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Akal Dan Wahyu</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351044_581953129">
            <w:r>
              <w:rPr>
                <w:webHidden/>
                <w:rStyle w:val="IndexLink"/>
              </w:rPr>
              <w:t>BOOK ID</w:t>
              <w:tab/>
              <w:t>7</w:t>
            </w:r>
          </w:hyperlink>
        </w:p>
        <w:p>
          <w:pPr>
            <w:pStyle w:val="Contents2"/>
            <w:tabs>
              <w:tab w:val="clear" w:pos="8743"/>
              <w:tab w:val="right" w:pos="9026" w:leader="dot"/>
            </w:tabs>
            <w:bidi w:val="0"/>
            <w:rPr/>
          </w:pPr>
          <w:hyperlink w:anchor="__RefHeading___Toc1351046_581953129">
            <w:r>
              <w:rPr>
                <w:webHidden/>
                <w:rStyle w:val="IndexLink"/>
              </w:rPr>
              <w:t>Point</w:t>
              <w:tab/>
              <w:t>7</w:t>
            </w:r>
          </w:hyperlink>
        </w:p>
        <w:p>
          <w:pPr>
            <w:pStyle w:val="Contents2"/>
            <w:tabs>
              <w:tab w:val="clear" w:pos="8743"/>
              <w:tab w:val="right" w:pos="9026" w:leader="dot"/>
            </w:tabs>
            <w:bidi w:val="0"/>
            <w:rPr/>
          </w:pPr>
          <w:hyperlink w:anchor="__RefHeading___Toc1351048_581953129">
            <w:r>
              <w:rPr>
                <w:webHidden/>
                <w:rStyle w:val="IndexLink"/>
              </w:rPr>
              <w:t>DAFTAR ISI</w:t>
              <w:tab/>
              <w:t>11</w:t>
            </w:r>
          </w:hyperlink>
        </w:p>
        <w:p>
          <w:pPr>
            <w:pStyle w:val="Contents2"/>
            <w:tabs>
              <w:tab w:val="clear" w:pos="8743"/>
              <w:tab w:val="right" w:pos="9026" w:leader="dot"/>
            </w:tabs>
            <w:bidi w:val="0"/>
            <w:rPr/>
          </w:pPr>
          <w:hyperlink w:anchor="__RefHeading___Toc1351050_581953129">
            <w:r>
              <w:rPr>
                <w:webHidden/>
                <w:rStyle w:val="IndexLink"/>
              </w:rPr>
              <w:t>PENGANTAR IICT</w:t>
              <w:tab/>
              <w:t>17</w:t>
            </w:r>
          </w:hyperlink>
        </w:p>
        <w:p>
          <w:pPr>
            <w:pStyle w:val="Contents2"/>
            <w:tabs>
              <w:tab w:val="clear" w:pos="8743"/>
              <w:tab w:val="right" w:pos="9026" w:leader="dot"/>
            </w:tabs>
            <w:bidi w:val="0"/>
            <w:rPr/>
          </w:pPr>
          <w:hyperlink w:anchor="__RefHeading___Toc1351052_581953129">
            <w:r>
              <w:rPr>
                <w:webHidden/>
                <w:rStyle w:val="IndexLink"/>
              </w:rPr>
              <w:t>PENDAHULUAN</w:t>
              <w:tab/>
              <w:t>20</w:t>
            </w:r>
          </w:hyperlink>
        </w:p>
        <w:p>
          <w:pPr>
            <w:pStyle w:val="Contents2"/>
            <w:tabs>
              <w:tab w:val="clear" w:pos="8743"/>
              <w:tab w:val="right" w:pos="9026" w:leader="dot"/>
            </w:tabs>
            <w:bidi w:val="0"/>
            <w:rPr/>
          </w:pPr>
          <w:hyperlink w:anchor="__RefHeading___Toc1351054_581953129">
            <w:r>
              <w:rPr>
                <w:webHidden/>
                <w:rStyle w:val="IndexLink"/>
              </w:rPr>
              <w:t>BAB 1 DEFINISI AKAL DAN WAHYU</w:t>
              <w:tab/>
              <w:t>28</w:t>
            </w:r>
          </w:hyperlink>
        </w:p>
        <w:p>
          <w:pPr>
            <w:pStyle w:val="Contents3"/>
            <w:tabs>
              <w:tab w:val="clear" w:pos="8459"/>
              <w:tab w:val="right" w:pos="9026" w:leader="dot"/>
            </w:tabs>
            <w:bidi w:val="0"/>
            <w:rPr/>
          </w:pPr>
          <w:hyperlink w:anchor="__RefHeading___Toc1351056_581953129">
            <w:r>
              <w:rPr>
                <w:webHidden/>
                <w:rStyle w:val="IndexLink"/>
              </w:rPr>
              <w:t>Point</w:t>
              <w:tab/>
              <w:t>28</w:t>
            </w:r>
          </w:hyperlink>
        </w:p>
        <w:p>
          <w:pPr>
            <w:pStyle w:val="Contents3"/>
            <w:tabs>
              <w:tab w:val="clear" w:pos="8459"/>
              <w:tab w:val="right" w:pos="9026" w:leader="dot"/>
            </w:tabs>
            <w:bidi w:val="0"/>
            <w:rPr/>
          </w:pPr>
          <w:hyperlink w:anchor="__RefHeading___Toc1351058_581953129">
            <w:r>
              <w:rPr>
                <w:webHidden/>
                <w:rStyle w:val="IndexLink"/>
              </w:rPr>
              <w:t>Jalan Memperoleh Pengetahuan</w:t>
              <w:tab/>
              <w:t>29</w:t>
            </w:r>
          </w:hyperlink>
        </w:p>
        <w:p>
          <w:pPr>
            <w:pStyle w:val="Contents3"/>
            <w:tabs>
              <w:tab w:val="clear" w:pos="8459"/>
              <w:tab w:val="right" w:pos="9026" w:leader="dot"/>
            </w:tabs>
            <w:bidi w:val="0"/>
            <w:rPr/>
          </w:pPr>
          <w:hyperlink w:anchor="__RefHeading___Toc1351060_581953129">
            <w:r>
              <w:rPr>
                <w:webHidden/>
                <w:rStyle w:val="IndexLink"/>
              </w:rPr>
              <w:t>Jalan Umum</w:t>
              <w:tab/>
              <w:t>30</w:t>
            </w:r>
          </w:hyperlink>
        </w:p>
        <w:p>
          <w:pPr>
            <w:pStyle w:val="Contents4"/>
            <w:tabs>
              <w:tab w:val="clear" w:pos="8176"/>
              <w:tab w:val="right" w:pos="9026" w:leader="dot"/>
            </w:tabs>
            <w:bidi w:val="0"/>
            <w:rPr/>
          </w:pPr>
          <w:hyperlink w:anchor="__RefHeading___Toc1351062_581953129">
            <w:r>
              <w:rPr>
                <w:webHidden/>
                <w:rStyle w:val="IndexLink"/>
              </w:rPr>
              <w:t>Indra dan Eksperimen</w:t>
              <w:tab/>
              <w:t>30</w:t>
            </w:r>
          </w:hyperlink>
        </w:p>
        <w:p>
          <w:pPr>
            <w:pStyle w:val="Contents4"/>
            <w:tabs>
              <w:tab w:val="clear" w:pos="8176"/>
              <w:tab w:val="right" w:pos="9026" w:leader="dot"/>
            </w:tabs>
            <w:bidi w:val="0"/>
            <w:rPr/>
          </w:pPr>
          <w:hyperlink w:anchor="__RefHeading___Toc1351064_581953129">
            <w:r>
              <w:rPr>
                <w:webHidden/>
                <w:rStyle w:val="IndexLink"/>
              </w:rPr>
              <w:t>Pemikiran dan Pembuktian</w:t>
              <w:tab/>
              <w:t>31</w:t>
            </w:r>
          </w:hyperlink>
        </w:p>
        <w:p>
          <w:pPr>
            <w:pStyle w:val="Contents4"/>
            <w:tabs>
              <w:tab w:val="clear" w:pos="8176"/>
              <w:tab w:val="right" w:pos="9026" w:leader="dot"/>
            </w:tabs>
            <w:bidi w:val="0"/>
            <w:rPr/>
          </w:pPr>
          <w:hyperlink w:anchor="__RefHeading___Toc1351066_581953129">
            <w:r>
              <w:rPr>
                <w:webHidden/>
                <w:rStyle w:val="IndexLink"/>
              </w:rPr>
              <w:t>Teks (Naql)</w:t>
              <w:tab/>
              <w:t>32</w:t>
            </w:r>
          </w:hyperlink>
        </w:p>
        <w:p>
          <w:pPr>
            <w:pStyle w:val="Contents4"/>
            <w:tabs>
              <w:tab w:val="clear" w:pos="8176"/>
              <w:tab w:val="right" w:pos="9026" w:leader="dot"/>
            </w:tabs>
            <w:bidi w:val="0"/>
            <w:rPr/>
          </w:pPr>
          <w:hyperlink w:anchor="__RefHeading___Toc1351068_581953129">
            <w:r>
              <w:rPr>
                <w:webHidden/>
                <w:rStyle w:val="IndexLink"/>
              </w:rPr>
              <w:t>Penyaksian Batin (Syuhud Bathini)</w:t>
              <w:tab/>
              <w:t>32</w:t>
            </w:r>
          </w:hyperlink>
        </w:p>
        <w:p>
          <w:pPr>
            <w:pStyle w:val="Contents3"/>
            <w:tabs>
              <w:tab w:val="clear" w:pos="8459"/>
              <w:tab w:val="right" w:pos="9026" w:leader="dot"/>
            </w:tabs>
            <w:bidi w:val="0"/>
            <w:rPr/>
          </w:pPr>
          <w:hyperlink w:anchor="__RefHeading___Toc1351070_581953129">
            <w:r>
              <w:rPr>
                <w:webHidden/>
                <w:rStyle w:val="IndexLink"/>
              </w:rPr>
              <w:t>Jalan Khusus</w:t>
              <w:tab/>
              <w:t>34</w:t>
            </w:r>
          </w:hyperlink>
        </w:p>
        <w:p>
          <w:pPr>
            <w:pStyle w:val="Contents4"/>
            <w:tabs>
              <w:tab w:val="clear" w:pos="8176"/>
              <w:tab w:val="right" w:pos="9026" w:leader="dot"/>
            </w:tabs>
            <w:bidi w:val="0"/>
            <w:rPr/>
          </w:pPr>
          <w:hyperlink w:anchor="__RefHeading___Toc1351072_581953129">
            <w:r>
              <w:rPr>
                <w:webHidden/>
                <w:rStyle w:val="IndexLink"/>
              </w:rPr>
              <w:t>Point</w:t>
              <w:tab/>
              <w:t>34</w:t>
            </w:r>
          </w:hyperlink>
        </w:p>
        <w:p>
          <w:pPr>
            <w:pStyle w:val="Contents4"/>
            <w:tabs>
              <w:tab w:val="clear" w:pos="8176"/>
              <w:tab w:val="right" w:pos="9026" w:leader="dot"/>
            </w:tabs>
            <w:bidi w:val="0"/>
            <w:rPr/>
          </w:pPr>
          <w:hyperlink w:anchor="__RefHeading___Toc1351074_581953129">
            <w:r>
              <w:rPr>
                <w:webHidden/>
                <w:rStyle w:val="IndexLink"/>
              </w:rPr>
              <w:t>Huduri</w:t>
              <w:tab/>
              <w:t>35</w:t>
            </w:r>
          </w:hyperlink>
        </w:p>
        <w:p>
          <w:pPr>
            <w:pStyle w:val="Contents4"/>
            <w:tabs>
              <w:tab w:val="clear" w:pos="8176"/>
              <w:tab w:val="right" w:pos="9026" w:leader="dot"/>
            </w:tabs>
            <w:bidi w:val="0"/>
            <w:rPr/>
          </w:pPr>
          <w:hyperlink w:anchor="__RefHeading___Toc1351076_581953129">
            <w:r>
              <w:rPr>
                <w:webHidden/>
                <w:rStyle w:val="IndexLink"/>
              </w:rPr>
              <w:t>Mustahil Keliru</w:t>
              <w:tab/>
              <w:t>35</w:t>
            </w:r>
          </w:hyperlink>
        </w:p>
        <w:p>
          <w:pPr>
            <w:pStyle w:val="Contents3"/>
            <w:tabs>
              <w:tab w:val="clear" w:pos="8459"/>
              <w:tab w:val="right" w:pos="9026" w:leader="dot"/>
            </w:tabs>
            <w:bidi w:val="0"/>
            <w:rPr/>
          </w:pPr>
          <w:hyperlink w:anchor="__RefHeading___Toc1351078_581953129">
            <w:r>
              <w:rPr>
                <w:webHidden/>
                <w:rStyle w:val="IndexLink"/>
              </w:rPr>
              <w:t>Terma-terma Alternatif</w:t>
              <w:tab/>
              <w:t>36</w:t>
            </w:r>
          </w:hyperlink>
        </w:p>
        <w:p>
          <w:pPr>
            <w:pStyle w:val="Contents4"/>
            <w:tabs>
              <w:tab w:val="clear" w:pos="8176"/>
              <w:tab w:val="right" w:pos="9026" w:leader="dot"/>
            </w:tabs>
            <w:bidi w:val="0"/>
            <w:rPr/>
          </w:pPr>
          <w:hyperlink w:anchor="__RefHeading___Toc1351080_581953129">
            <w:r>
              <w:rPr>
                <w:webHidden/>
                <w:rStyle w:val="IndexLink"/>
              </w:rPr>
              <w:t>Point</w:t>
              <w:tab/>
              <w:t>36</w:t>
            </w:r>
          </w:hyperlink>
        </w:p>
        <w:p>
          <w:pPr>
            <w:pStyle w:val="Contents5"/>
            <w:tabs>
              <w:tab w:val="clear" w:pos="7892"/>
              <w:tab w:val="right" w:pos="9026" w:leader="dot"/>
            </w:tabs>
            <w:bidi w:val="0"/>
            <w:rPr/>
          </w:pPr>
          <w:hyperlink w:anchor="__RefHeading___Toc1351082_581953129">
            <w:r>
              <w:rPr>
                <w:webHidden/>
                <w:rStyle w:val="IndexLink"/>
              </w:rPr>
              <w:t>Point</w:t>
              <w:tab/>
              <w:t>36</w:t>
            </w:r>
          </w:hyperlink>
        </w:p>
        <w:p>
          <w:pPr>
            <w:pStyle w:val="Contents5"/>
            <w:tabs>
              <w:tab w:val="clear" w:pos="7892"/>
              <w:tab w:val="right" w:pos="9026" w:leader="dot"/>
            </w:tabs>
            <w:bidi w:val="0"/>
            <w:rPr/>
          </w:pPr>
          <w:hyperlink w:anchor="__RefHeading___Toc1351084_581953129">
            <w:r>
              <w:rPr>
                <w:webHidden/>
                <w:rStyle w:val="IndexLink"/>
              </w:rPr>
              <w:t>Point</w:t>
              <w:tab/>
              <w:t>36</w:t>
            </w:r>
          </w:hyperlink>
        </w:p>
        <w:p>
          <w:pPr>
            <w:pStyle w:val="Contents5"/>
            <w:tabs>
              <w:tab w:val="clear" w:pos="7892"/>
              <w:tab w:val="right" w:pos="9026" w:leader="dot"/>
            </w:tabs>
            <w:bidi w:val="0"/>
            <w:rPr/>
          </w:pPr>
          <w:hyperlink w:anchor="__RefHeading___Toc1351086_581953129">
            <w:r>
              <w:rPr>
                <w:webHidden/>
                <w:rStyle w:val="IndexLink"/>
              </w:rPr>
              <w:t>Kendala Pendefinisian Agama</w:t>
              <w:tab/>
              <w:t>36</w:t>
            </w:r>
          </w:hyperlink>
        </w:p>
        <w:p>
          <w:pPr>
            <w:pStyle w:val="Contents5"/>
            <w:tabs>
              <w:tab w:val="clear" w:pos="7892"/>
              <w:tab w:val="right" w:pos="9026" w:leader="dot"/>
            </w:tabs>
            <w:bidi w:val="0"/>
            <w:rPr/>
          </w:pPr>
          <w:hyperlink w:anchor="__RefHeading___Toc1351088_581953129">
            <w:r>
              <w:rPr>
                <w:webHidden/>
                <w:rStyle w:val="IndexLink"/>
              </w:rPr>
              <w:t>Kesalahpahaman Akibat Melawankan Akal dengan Agama</w:t>
              <w:tab/>
              <w:t>38</w:t>
            </w:r>
          </w:hyperlink>
        </w:p>
        <w:p>
          <w:pPr>
            <w:pStyle w:val="Contents4"/>
            <w:tabs>
              <w:tab w:val="clear" w:pos="8176"/>
              <w:tab w:val="right" w:pos="9026" w:leader="dot"/>
            </w:tabs>
            <w:bidi w:val="0"/>
            <w:rPr/>
          </w:pPr>
          <w:hyperlink w:anchor="__RefHeading___Toc1351090_581953129">
            <w:r>
              <w:rPr>
                <w:webHidden/>
                <w:rStyle w:val="IndexLink"/>
              </w:rPr>
              <w:t>Point</w:t>
              <w:tab/>
              <w:t>39</w:t>
            </w:r>
          </w:hyperlink>
        </w:p>
        <w:p>
          <w:pPr>
            <w:pStyle w:val="Contents4"/>
            <w:tabs>
              <w:tab w:val="clear" w:pos="8176"/>
              <w:tab w:val="right" w:pos="9026" w:leader="dot"/>
            </w:tabs>
            <w:bidi w:val="0"/>
            <w:rPr/>
          </w:pPr>
          <w:hyperlink w:anchor="__RefHeading___Toc1351092_581953129">
            <w:r>
              <w:rPr>
                <w:webHidden/>
                <w:rStyle w:val="IndexLink"/>
              </w:rPr>
              <w:t>llmu dan Agama</w:t>
              <w:tab/>
              <w:t>44</w:t>
            </w:r>
          </w:hyperlink>
        </w:p>
        <w:p>
          <w:pPr>
            <w:pStyle w:val="Contents4"/>
            <w:tabs>
              <w:tab w:val="clear" w:pos="8176"/>
              <w:tab w:val="right" w:pos="9026" w:leader="dot"/>
            </w:tabs>
            <w:bidi w:val="0"/>
            <w:rPr/>
          </w:pPr>
          <w:hyperlink w:anchor="__RefHeading___Toc1351094_581953129">
            <w:r>
              <w:rPr>
                <w:webHidden/>
                <w:rStyle w:val="IndexLink"/>
              </w:rPr>
              <w:t>Akal dan Iman</w:t>
              <w:tab/>
              <w:t>44</w:t>
            </w:r>
          </w:hyperlink>
        </w:p>
        <w:p>
          <w:pPr>
            <w:pStyle w:val="Contents4"/>
            <w:tabs>
              <w:tab w:val="clear" w:pos="8176"/>
              <w:tab w:val="right" w:pos="9026" w:leader="dot"/>
            </w:tabs>
            <w:bidi w:val="0"/>
            <w:rPr/>
          </w:pPr>
          <w:hyperlink w:anchor="__RefHeading___Toc1351096_581953129">
            <w:r>
              <w:rPr>
                <w:webHidden/>
                <w:rStyle w:val="IndexLink"/>
              </w:rPr>
              <w:t>Sekilas “Rasionalisme”</w:t>
              <w:tab/>
              <w:t>47</w:t>
            </w:r>
          </w:hyperlink>
        </w:p>
        <w:p>
          <w:pPr>
            <w:pStyle w:val="Contents5"/>
            <w:tabs>
              <w:tab w:val="clear" w:pos="7892"/>
              <w:tab w:val="right" w:pos="9026" w:leader="dot"/>
            </w:tabs>
            <w:bidi w:val="0"/>
            <w:rPr/>
          </w:pPr>
          <w:hyperlink w:anchor="__RefHeading___Toc1351098_581953129">
            <w:r>
              <w:rPr>
                <w:webHidden/>
                <w:rStyle w:val="IndexLink"/>
              </w:rPr>
              <w:t>Point</w:t>
              <w:tab/>
              <w:t>47</w:t>
            </w:r>
          </w:hyperlink>
        </w:p>
        <w:p>
          <w:pPr>
            <w:pStyle w:val="Contents5"/>
            <w:tabs>
              <w:tab w:val="clear" w:pos="7892"/>
              <w:tab w:val="right" w:pos="9026" w:leader="dot"/>
            </w:tabs>
            <w:bidi w:val="0"/>
            <w:rPr/>
          </w:pPr>
          <w:hyperlink w:anchor="__RefHeading___Toc1351100_581953129">
            <w:r>
              <w:rPr>
                <w:webHidden/>
                <w:rStyle w:val="IndexLink"/>
              </w:rPr>
              <w:t>Makna Rasionalisme vis-a-vis Empirisme</w:t>
              <w:tab/>
              <w:t>48</w:t>
            </w:r>
          </w:hyperlink>
        </w:p>
        <w:p>
          <w:pPr>
            <w:pStyle w:val="Contents5"/>
            <w:tabs>
              <w:tab w:val="clear" w:pos="7892"/>
              <w:tab w:val="right" w:pos="9026" w:leader="dot"/>
            </w:tabs>
            <w:bidi w:val="0"/>
            <w:rPr/>
          </w:pPr>
          <w:hyperlink w:anchor="__RefHeading___Toc1351102_581953129">
            <w:r>
              <w:rPr>
                <w:webHidden/>
                <w:rStyle w:val="IndexLink"/>
              </w:rPr>
              <w:t>Makna Rasionalisme vis-a-vis Fideisme dan Literalisme</w:t>
              <w:tab/>
              <w:t>48</w:t>
            </w:r>
          </w:hyperlink>
        </w:p>
        <w:p>
          <w:pPr>
            <w:pStyle w:val="Contents2"/>
            <w:tabs>
              <w:tab w:val="clear" w:pos="8743"/>
              <w:tab w:val="right" w:pos="9026" w:leader="dot"/>
            </w:tabs>
            <w:bidi w:val="0"/>
            <w:rPr/>
          </w:pPr>
          <w:hyperlink w:anchor="__RefHeading___Toc1351104_581953129">
            <w:r>
              <w:rPr>
                <w:webHidden/>
                <w:rStyle w:val="IndexLink"/>
              </w:rPr>
              <w:t>BAB 2 MAKNA AKAL DALAM SKEMA PRO-KONTRA</w:t>
              <w:tab/>
              <w:t>51</w:t>
            </w:r>
          </w:hyperlink>
        </w:p>
        <w:p>
          <w:pPr>
            <w:pStyle w:val="Contents3"/>
            <w:tabs>
              <w:tab w:val="clear" w:pos="8459"/>
              <w:tab w:val="right" w:pos="9026" w:leader="dot"/>
            </w:tabs>
            <w:bidi w:val="0"/>
            <w:rPr/>
          </w:pPr>
          <w:hyperlink w:anchor="__RefHeading___Toc1351106_581953129">
            <w:r>
              <w:rPr>
                <w:webHidden/>
                <w:rStyle w:val="IndexLink"/>
              </w:rPr>
              <w:t>Point</w:t>
              <w:tab/>
              <w:t>51</w:t>
            </w:r>
          </w:hyperlink>
        </w:p>
        <w:p>
          <w:pPr>
            <w:pStyle w:val="Contents3"/>
            <w:tabs>
              <w:tab w:val="clear" w:pos="8459"/>
              <w:tab w:val="right" w:pos="9026" w:leader="dot"/>
            </w:tabs>
            <w:bidi w:val="0"/>
            <w:rPr/>
          </w:pPr>
          <w:hyperlink w:anchor="__RefHeading___Toc1351108_581953129">
            <w:r>
              <w:rPr>
                <w:webHidden/>
                <w:rStyle w:val="IndexLink"/>
              </w:rPr>
              <w:t>Akal, Sarana atau Sumber?</w:t>
              <w:tab/>
              <w:t>56</w:t>
            </w:r>
          </w:hyperlink>
        </w:p>
        <w:p>
          <w:pPr>
            <w:pStyle w:val="Contents3"/>
            <w:tabs>
              <w:tab w:val="clear" w:pos="8459"/>
              <w:tab w:val="right" w:pos="9026" w:leader="dot"/>
            </w:tabs>
            <w:bidi w:val="0"/>
            <w:rPr/>
          </w:pPr>
          <w:hyperlink w:anchor="__RefHeading___Toc1351110_581953129">
            <w:r>
              <w:rPr>
                <w:webHidden/>
                <w:rStyle w:val="IndexLink"/>
              </w:rPr>
              <w:t>Sarana, Bukan Sumber Pengetahuan</w:t>
              <w:tab/>
              <w:t>56</w:t>
            </w:r>
          </w:hyperlink>
        </w:p>
        <w:p>
          <w:pPr>
            <w:pStyle w:val="Contents4"/>
            <w:tabs>
              <w:tab w:val="clear" w:pos="8176"/>
              <w:tab w:val="right" w:pos="9026" w:leader="dot"/>
            </w:tabs>
            <w:bidi w:val="0"/>
            <w:rPr/>
          </w:pPr>
          <w:hyperlink w:anchor="__RefHeading___Toc1351112_581953129">
            <w:r>
              <w:rPr>
                <w:webHidden/>
                <w:rStyle w:val="IndexLink"/>
              </w:rPr>
              <w:t>Point</w:t>
              <w:tab/>
              <w:t>56</w:t>
            </w:r>
          </w:hyperlink>
        </w:p>
        <w:p>
          <w:pPr>
            <w:pStyle w:val="Contents4"/>
            <w:tabs>
              <w:tab w:val="clear" w:pos="8176"/>
              <w:tab w:val="right" w:pos="9026" w:leader="dot"/>
            </w:tabs>
            <w:bidi w:val="0"/>
            <w:rPr/>
          </w:pPr>
          <w:hyperlink w:anchor="__RefHeading___Toc1351114_581953129">
            <w:r>
              <w:rPr>
                <w:webHidden/>
                <w:rStyle w:val="IndexLink"/>
              </w:rPr>
              <w:t>Point</w:t>
              <w:tab/>
              <w:t>57</w:t>
            </w:r>
          </w:hyperlink>
        </w:p>
        <w:p>
          <w:pPr>
            <w:pStyle w:val="Contents3"/>
            <w:tabs>
              <w:tab w:val="clear" w:pos="8459"/>
              <w:tab w:val="right" w:pos="9026" w:leader="dot"/>
            </w:tabs>
            <w:bidi w:val="0"/>
            <w:rPr/>
          </w:pPr>
          <w:hyperlink w:anchor="__RefHeading___Toc1351116_581953129">
            <w:r>
              <w:rPr>
                <w:webHidden/>
                <w:rStyle w:val="IndexLink"/>
              </w:rPr>
              <w:t>Akal di Kalangan Kaum Arif</w:t>
              <w:tab/>
              <w:t>58</w:t>
            </w:r>
          </w:hyperlink>
        </w:p>
        <w:p>
          <w:pPr>
            <w:pStyle w:val="Contents4"/>
            <w:tabs>
              <w:tab w:val="clear" w:pos="8176"/>
              <w:tab w:val="right" w:pos="9026" w:leader="dot"/>
            </w:tabs>
            <w:bidi w:val="0"/>
            <w:rPr/>
          </w:pPr>
          <w:hyperlink w:anchor="__RefHeading___Toc1351118_581953129">
            <w:r>
              <w:rPr>
                <w:webHidden/>
                <w:rStyle w:val="IndexLink"/>
              </w:rPr>
              <w:t>Point</w:t>
              <w:tab/>
              <w:t>58</w:t>
            </w:r>
          </w:hyperlink>
        </w:p>
        <w:p>
          <w:pPr>
            <w:pStyle w:val="Contents4"/>
            <w:tabs>
              <w:tab w:val="clear" w:pos="8176"/>
              <w:tab w:val="right" w:pos="9026" w:leader="dot"/>
            </w:tabs>
            <w:bidi w:val="0"/>
            <w:rPr/>
          </w:pPr>
          <w:hyperlink w:anchor="__RefHeading___Toc1351120_581953129">
            <w:r>
              <w:rPr>
                <w:webHidden/>
                <w:rStyle w:val="IndexLink"/>
              </w:rPr>
              <w:t>Hati di atas Akal</w:t>
              <w:tab/>
              <w:t>60</w:t>
            </w:r>
          </w:hyperlink>
        </w:p>
        <w:p>
          <w:pPr>
            <w:pStyle w:val="Contents4"/>
            <w:tabs>
              <w:tab w:val="clear" w:pos="8176"/>
              <w:tab w:val="right" w:pos="9026" w:leader="dot"/>
            </w:tabs>
            <w:bidi w:val="0"/>
            <w:rPr/>
          </w:pPr>
          <w:hyperlink w:anchor="__RefHeading___Toc1351122_581953129">
            <w:r>
              <w:rPr>
                <w:webHidden/>
                <w:rStyle w:val="IndexLink"/>
              </w:rPr>
              <w:t>Kelemahan Akal dalam Beberapa Bidang</w:t>
              <w:tab/>
              <w:t>63</w:t>
            </w:r>
          </w:hyperlink>
        </w:p>
        <w:p>
          <w:pPr>
            <w:pStyle w:val="Contents4"/>
            <w:tabs>
              <w:tab w:val="clear" w:pos="8176"/>
              <w:tab w:val="right" w:pos="9026" w:leader="dot"/>
            </w:tabs>
            <w:bidi w:val="0"/>
            <w:rPr/>
          </w:pPr>
          <w:hyperlink w:anchor="__RefHeading___Toc1351124_581953129">
            <w:r>
              <w:rPr>
                <w:webHidden/>
                <w:rStyle w:val="IndexLink"/>
              </w:rPr>
              <w:t>Penyingkapan ‘irfani: Nonakal atau Antiakal?</w:t>
              <w:tab/>
              <w:t>64</w:t>
            </w:r>
          </w:hyperlink>
        </w:p>
        <w:p>
          <w:pPr>
            <w:pStyle w:val="Contents4"/>
            <w:tabs>
              <w:tab w:val="clear" w:pos="8176"/>
              <w:tab w:val="right" w:pos="9026" w:leader="dot"/>
            </w:tabs>
            <w:bidi w:val="0"/>
            <w:rPr/>
          </w:pPr>
          <w:hyperlink w:anchor="__RefHeading___Toc1351126_581953129">
            <w:r>
              <w:rPr>
                <w:webHidden/>
                <w:rStyle w:val="IndexLink"/>
              </w:rPr>
              <w:t>Pandangan Rumi</w:t>
              <w:tab/>
              <w:t>66</w:t>
            </w:r>
          </w:hyperlink>
        </w:p>
        <w:p>
          <w:pPr>
            <w:pStyle w:val="Contents2"/>
            <w:tabs>
              <w:tab w:val="clear" w:pos="8743"/>
              <w:tab w:val="right" w:pos="9026" w:leader="dot"/>
            </w:tabs>
            <w:bidi w:val="0"/>
            <w:rPr/>
          </w:pPr>
          <w:hyperlink w:anchor="__RefHeading___Toc1351128_581953129">
            <w:r>
              <w:rPr>
                <w:webHidden/>
                <w:rStyle w:val="IndexLink"/>
              </w:rPr>
              <w:t>BAB 3 RASIONALISME RADIKAL ANTI AGAMA</w:t>
              <w:tab/>
              <w:t>71</w:t>
            </w:r>
          </w:hyperlink>
        </w:p>
        <w:p>
          <w:pPr>
            <w:pStyle w:val="Contents3"/>
            <w:tabs>
              <w:tab w:val="clear" w:pos="8459"/>
              <w:tab w:val="right" w:pos="9026" w:leader="dot"/>
            </w:tabs>
            <w:bidi w:val="0"/>
            <w:rPr/>
          </w:pPr>
          <w:hyperlink w:anchor="__RefHeading___Toc1351130_581953129">
            <w:r>
              <w:rPr>
                <w:webHidden/>
                <w:rStyle w:val="IndexLink"/>
              </w:rPr>
              <w:t>Point</w:t>
              <w:tab/>
              <w:t>71</w:t>
            </w:r>
          </w:hyperlink>
        </w:p>
        <w:p>
          <w:pPr>
            <w:pStyle w:val="Contents3"/>
            <w:tabs>
              <w:tab w:val="clear" w:pos="8459"/>
              <w:tab w:val="right" w:pos="9026" w:leader="dot"/>
            </w:tabs>
            <w:bidi w:val="0"/>
            <w:rPr/>
          </w:pPr>
          <w:hyperlink w:anchor="__RefHeading___Toc1351132_581953129">
            <w:r>
              <w:rPr>
                <w:webHidden/>
                <w:rStyle w:val="IndexLink"/>
              </w:rPr>
              <w:t>Wahyu, Gagasan Mustahil</w:t>
              <w:tab/>
              <w:t>72</w:t>
            </w:r>
          </w:hyperlink>
        </w:p>
        <w:p>
          <w:pPr>
            <w:pStyle w:val="Contents3"/>
            <w:tabs>
              <w:tab w:val="clear" w:pos="8459"/>
              <w:tab w:val="right" w:pos="9026" w:leader="dot"/>
            </w:tabs>
            <w:bidi w:val="0"/>
            <w:rPr/>
          </w:pPr>
          <w:hyperlink w:anchor="__RefHeading___Toc1351134_581953129">
            <w:r>
              <w:rPr>
                <w:webHidden/>
                <w:rStyle w:val="IndexLink"/>
              </w:rPr>
              <w:t>Cukup Akal!</w:t>
              <w:tab/>
              <w:t>75</w:t>
            </w:r>
          </w:hyperlink>
        </w:p>
        <w:p>
          <w:pPr>
            <w:pStyle w:val="Contents4"/>
            <w:tabs>
              <w:tab w:val="clear" w:pos="8176"/>
              <w:tab w:val="right" w:pos="9026" w:leader="dot"/>
            </w:tabs>
            <w:bidi w:val="0"/>
            <w:rPr/>
          </w:pPr>
          <w:hyperlink w:anchor="__RefHeading___Toc1351136_581953129">
            <w:r>
              <w:rPr>
                <w:webHidden/>
                <w:rStyle w:val="IndexLink"/>
              </w:rPr>
              <w:t>Point</w:t>
              <w:tab/>
              <w:t>75</w:t>
            </w:r>
          </w:hyperlink>
        </w:p>
        <w:p>
          <w:pPr>
            <w:pStyle w:val="Contents4"/>
            <w:tabs>
              <w:tab w:val="clear" w:pos="8176"/>
              <w:tab w:val="right" w:pos="9026" w:leader="dot"/>
            </w:tabs>
            <w:bidi w:val="0"/>
            <w:rPr/>
          </w:pPr>
          <w:hyperlink w:anchor="__RefHeading___Toc1351138_581953129">
            <w:r>
              <w:rPr>
                <w:webHidden/>
                <w:rStyle w:val="IndexLink"/>
              </w:rPr>
              <w:t>Brahmana</w:t>
              <w:tab/>
              <w:t>75</w:t>
            </w:r>
          </w:hyperlink>
        </w:p>
        <w:p>
          <w:pPr>
            <w:pStyle w:val="Contents4"/>
            <w:tabs>
              <w:tab w:val="clear" w:pos="8176"/>
              <w:tab w:val="right" w:pos="9026" w:leader="dot"/>
            </w:tabs>
            <w:bidi w:val="0"/>
            <w:rPr/>
          </w:pPr>
          <w:hyperlink w:anchor="__RefHeading___Toc1351140_581953129">
            <w:r>
              <w:rPr>
                <w:webHidden/>
                <w:rStyle w:val="IndexLink"/>
              </w:rPr>
              <w:t>Deisme</w:t>
              <w:tab/>
              <w:t>76</w:t>
            </w:r>
          </w:hyperlink>
        </w:p>
        <w:p>
          <w:pPr>
            <w:pStyle w:val="Contents4"/>
            <w:tabs>
              <w:tab w:val="clear" w:pos="8176"/>
              <w:tab w:val="right" w:pos="9026" w:leader="dot"/>
            </w:tabs>
            <w:bidi w:val="0"/>
            <w:rPr/>
          </w:pPr>
          <w:hyperlink w:anchor="__RefHeading___Toc1351142_581953129">
            <w:r>
              <w:rPr>
                <w:webHidden/>
                <w:rStyle w:val="IndexLink"/>
              </w:rPr>
              <w:t>Zakaria Razi</w:t>
              <w:tab/>
              <w:t>78</w:t>
            </w:r>
          </w:hyperlink>
        </w:p>
        <w:p>
          <w:pPr>
            <w:pStyle w:val="Contents3"/>
            <w:tabs>
              <w:tab w:val="clear" w:pos="8459"/>
              <w:tab w:val="right" w:pos="9026" w:leader="dot"/>
            </w:tabs>
            <w:bidi w:val="0"/>
            <w:rPr/>
          </w:pPr>
          <w:hyperlink w:anchor="__RefHeading___Toc1351144_581953129">
            <w:r>
              <w:rPr>
                <w:webHidden/>
                <w:rStyle w:val="IndexLink"/>
              </w:rPr>
              <w:t>Agama, Nihil Tolok Ukur Rasional</w:t>
              <w:tab/>
              <w:t>83</w:t>
            </w:r>
          </w:hyperlink>
        </w:p>
        <w:p>
          <w:pPr>
            <w:pStyle w:val="Contents4"/>
            <w:tabs>
              <w:tab w:val="clear" w:pos="8176"/>
              <w:tab w:val="right" w:pos="9026" w:leader="dot"/>
            </w:tabs>
            <w:bidi w:val="0"/>
            <w:rPr/>
          </w:pPr>
          <w:hyperlink w:anchor="__RefHeading___Toc1351146_581953129">
            <w:r>
              <w:rPr>
                <w:webHidden/>
                <w:rStyle w:val="IndexLink"/>
              </w:rPr>
              <w:t>Point</w:t>
              <w:tab/>
              <w:t>83</w:t>
            </w:r>
          </w:hyperlink>
        </w:p>
        <w:p>
          <w:pPr>
            <w:pStyle w:val="Contents4"/>
            <w:tabs>
              <w:tab w:val="clear" w:pos="8176"/>
              <w:tab w:val="right" w:pos="9026" w:leader="dot"/>
            </w:tabs>
            <w:bidi w:val="0"/>
            <w:rPr/>
          </w:pPr>
          <w:hyperlink w:anchor="__RefHeading___Toc1351148_581953129">
            <w:r>
              <w:rPr>
                <w:webHidden/>
                <w:rStyle w:val="IndexLink"/>
              </w:rPr>
              <w:t>Evidensialisme</w:t>
              <w:tab/>
              <w:t>84</w:t>
            </w:r>
          </w:hyperlink>
        </w:p>
        <w:p>
          <w:pPr>
            <w:pStyle w:val="Contents4"/>
            <w:tabs>
              <w:tab w:val="clear" w:pos="8176"/>
              <w:tab w:val="right" w:pos="9026" w:leader="dot"/>
            </w:tabs>
            <w:bidi w:val="0"/>
            <w:rPr/>
          </w:pPr>
          <w:hyperlink w:anchor="__RefHeading___Toc1351150_581953129">
            <w:r>
              <w:rPr>
                <w:webHidden/>
                <w:rStyle w:val="IndexLink"/>
              </w:rPr>
              <w:t>Abul Ala’ Ma’arri</w:t>
              <w:tab/>
              <w:t>87</w:t>
            </w:r>
          </w:hyperlink>
        </w:p>
        <w:p>
          <w:pPr>
            <w:pStyle w:val="Contents3"/>
            <w:tabs>
              <w:tab w:val="clear" w:pos="8459"/>
              <w:tab w:val="right" w:pos="9026" w:leader="dot"/>
            </w:tabs>
            <w:bidi w:val="0"/>
            <w:rPr/>
          </w:pPr>
          <w:hyperlink w:anchor="__RefHeading___Toc1351152_581953129">
            <w:r>
              <w:rPr>
                <w:webHidden/>
                <w:rStyle w:val="IndexLink"/>
              </w:rPr>
              <w:t>Respon Agamawan</w:t>
              <w:tab/>
              <w:t>92</w:t>
            </w:r>
          </w:hyperlink>
        </w:p>
        <w:p>
          <w:pPr>
            <w:pStyle w:val="Contents4"/>
            <w:tabs>
              <w:tab w:val="clear" w:pos="8176"/>
              <w:tab w:val="right" w:pos="9026" w:leader="dot"/>
            </w:tabs>
            <w:bidi w:val="0"/>
            <w:rPr/>
          </w:pPr>
          <w:hyperlink w:anchor="__RefHeading___Toc1351154_581953129">
            <w:r>
              <w:rPr>
                <w:webHidden/>
                <w:rStyle w:val="IndexLink"/>
              </w:rPr>
              <w:t>Point</w:t>
              <w:tab/>
              <w:t>92</w:t>
            </w:r>
          </w:hyperlink>
        </w:p>
        <w:p>
          <w:pPr>
            <w:pStyle w:val="Contents4"/>
            <w:tabs>
              <w:tab w:val="clear" w:pos="8176"/>
              <w:tab w:val="right" w:pos="9026" w:leader="dot"/>
            </w:tabs>
            <w:bidi w:val="0"/>
            <w:rPr/>
          </w:pPr>
          <w:hyperlink w:anchor="__RefHeading___Toc1351156_581953129">
            <w:r>
              <w:rPr>
                <w:webHidden/>
                <w:rStyle w:val="IndexLink"/>
              </w:rPr>
              <w:t>Menakar Rasionalitas Agama</w:t>
              <w:tab/>
              <w:t>93</w:t>
            </w:r>
          </w:hyperlink>
        </w:p>
        <w:p>
          <w:pPr>
            <w:pStyle w:val="Contents4"/>
            <w:tabs>
              <w:tab w:val="clear" w:pos="8176"/>
              <w:tab w:val="right" w:pos="9026" w:leader="dot"/>
            </w:tabs>
            <w:bidi w:val="0"/>
            <w:rPr/>
          </w:pPr>
          <w:hyperlink w:anchor="__RefHeading___Toc1351158_581953129">
            <w:r>
              <w:rPr>
                <w:webHidden/>
                <w:rStyle w:val="IndexLink"/>
              </w:rPr>
              <w:t>Berlindung di Balik Iman</w:t>
              <w:tab/>
              <w:t>94</w:t>
            </w:r>
          </w:hyperlink>
        </w:p>
        <w:p>
          <w:pPr>
            <w:pStyle w:val="Contents4"/>
            <w:tabs>
              <w:tab w:val="clear" w:pos="8176"/>
              <w:tab w:val="right" w:pos="9026" w:leader="dot"/>
            </w:tabs>
            <w:bidi w:val="0"/>
            <w:rPr/>
          </w:pPr>
          <w:hyperlink w:anchor="__RefHeading___Toc1351160_581953129">
            <w:r>
              <w:rPr>
                <w:webHidden/>
                <w:rStyle w:val="IndexLink"/>
              </w:rPr>
              <w:t>Subordinasi Akal</w:t>
              <w:tab/>
              <w:t>96</w:t>
            </w:r>
          </w:hyperlink>
        </w:p>
        <w:p>
          <w:pPr>
            <w:pStyle w:val="Contents4"/>
            <w:tabs>
              <w:tab w:val="clear" w:pos="8176"/>
              <w:tab w:val="right" w:pos="9026" w:leader="dot"/>
            </w:tabs>
            <w:bidi w:val="0"/>
            <w:rPr/>
          </w:pPr>
          <w:hyperlink w:anchor="__RefHeading___Toc1351162_581953129">
            <w:r>
              <w:rPr>
                <w:webHidden/>
                <w:rStyle w:val="IndexLink"/>
              </w:rPr>
              <w:t>Ketidakcukupan Akal Membimbing Manusia</w:t>
              <w:tab/>
              <w:t>97</w:t>
            </w:r>
          </w:hyperlink>
        </w:p>
        <w:p>
          <w:pPr>
            <w:pStyle w:val="Contents2"/>
            <w:tabs>
              <w:tab w:val="clear" w:pos="8743"/>
              <w:tab w:val="right" w:pos="9026" w:leader="dot"/>
            </w:tabs>
            <w:bidi w:val="0"/>
            <w:rPr/>
          </w:pPr>
          <w:hyperlink w:anchor="__RefHeading___Toc1351164_581953129">
            <w:r>
              <w:rPr>
                <w:webHidden/>
                <w:rStyle w:val="IndexLink"/>
              </w:rPr>
              <w:t>BAB 4 RASIONALISME RADIKAL DALAM SEJARAH ISLAM</w:t>
              <w:tab/>
              <w:t>101</w:t>
            </w:r>
          </w:hyperlink>
        </w:p>
        <w:p>
          <w:pPr>
            <w:pStyle w:val="Contents3"/>
            <w:tabs>
              <w:tab w:val="clear" w:pos="8459"/>
              <w:tab w:val="right" w:pos="9026" w:leader="dot"/>
            </w:tabs>
            <w:bidi w:val="0"/>
            <w:rPr/>
          </w:pPr>
          <w:hyperlink w:anchor="__RefHeading___Toc1351166_581953129">
            <w:r>
              <w:rPr>
                <w:webHidden/>
                <w:rStyle w:val="IndexLink"/>
              </w:rPr>
              <w:t>Point</w:t>
              <w:tab/>
              <w:t>101</w:t>
            </w:r>
          </w:hyperlink>
        </w:p>
        <w:p>
          <w:pPr>
            <w:pStyle w:val="Contents3"/>
            <w:tabs>
              <w:tab w:val="clear" w:pos="8459"/>
              <w:tab w:val="right" w:pos="9026" w:leader="dot"/>
            </w:tabs>
            <w:bidi w:val="0"/>
            <w:rPr/>
          </w:pPr>
          <w:hyperlink w:anchor="__RefHeading___Toc1351168_581953129">
            <w:r>
              <w:rPr>
                <w:webHidden/>
                <w:rStyle w:val="IndexLink"/>
              </w:rPr>
              <w:t>Muktazilah</w:t>
              <w:tab/>
              <w:t>103</w:t>
            </w:r>
          </w:hyperlink>
        </w:p>
        <w:p>
          <w:pPr>
            <w:pStyle w:val="Contents4"/>
            <w:tabs>
              <w:tab w:val="clear" w:pos="8176"/>
              <w:tab w:val="right" w:pos="9026" w:leader="dot"/>
            </w:tabs>
            <w:bidi w:val="0"/>
            <w:rPr/>
          </w:pPr>
          <w:hyperlink w:anchor="__RefHeading___Toc1351170_581953129">
            <w:r>
              <w:rPr>
                <w:webHidden/>
                <w:rStyle w:val="IndexLink"/>
              </w:rPr>
              <w:t>Point</w:t>
              <w:tab/>
              <w:t>103</w:t>
            </w:r>
          </w:hyperlink>
        </w:p>
        <w:p>
          <w:pPr>
            <w:pStyle w:val="Contents4"/>
            <w:tabs>
              <w:tab w:val="clear" w:pos="8176"/>
              <w:tab w:val="right" w:pos="9026" w:leader="dot"/>
            </w:tabs>
            <w:bidi w:val="0"/>
            <w:rPr/>
          </w:pPr>
          <w:hyperlink w:anchor="__RefHeading___Toc1351172_581953129">
            <w:r>
              <w:rPr>
                <w:webHidden/>
                <w:rStyle w:val="IndexLink"/>
              </w:rPr>
              <w:t>Anasir Utama Rasionalisme Muktazilah</w:t>
              <w:tab/>
              <w:t>104</w:t>
            </w:r>
          </w:hyperlink>
        </w:p>
        <w:p>
          <w:pPr>
            <w:pStyle w:val="Contents5"/>
            <w:tabs>
              <w:tab w:val="clear" w:pos="7892"/>
              <w:tab w:val="right" w:pos="9026" w:leader="dot"/>
            </w:tabs>
            <w:bidi w:val="0"/>
            <w:rPr/>
          </w:pPr>
          <w:hyperlink w:anchor="__RefHeading___Toc1351174_581953129">
            <w:r>
              <w:rPr>
                <w:webHidden/>
                <w:rStyle w:val="IndexLink"/>
              </w:rPr>
              <w:t>Point</w:t>
              <w:tab/>
              <w:t>104</w:t>
            </w:r>
          </w:hyperlink>
        </w:p>
        <w:p>
          <w:pPr>
            <w:pStyle w:val="Contents5"/>
            <w:tabs>
              <w:tab w:val="clear" w:pos="7892"/>
              <w:tab w:val="right" w:pos="9026" w:leader="dot"/>
            </w:tabs>
            <w:bidi w:val="0"/>
            <w:rPr/>
          </w:pPr>
          <w:hyperlink w:anchor="__RefHeading___Toc1351176_581953129">
            <w:r>
              <w:rPr>
                <w:webHidden/>
                <w:rStyle w:val="IndexLink"/>
              </w:rPr>
              <w:t>Agama dan Ajaran Non-Islam</w:t>
              <w:tab/>
              <w:t>105</w:t>
            </w:r>
          </w:hyperlink>
        </w:p>
        <w:p>
          <w:pPr>
            <w:pStyle w:val="Contents5"/>
            <w:tabs>
              <w:tab w:val="clear" w:pos="7892"/>
              <w:tab w:val="right" w:pos="9026" w:leader="dot"/>
            </w:tabs>
            <w:bidi w:val="0"/>
            <w:rPr/>
          </w:pPr>
          <w:hyperlink w:anchor="__RefHeading___Toc1351178_581953129">
            <w:r>
              <w:rPr>
                <w:webHidden/>
                <w:rStyle w:val="IndexLink"/>
              </w:rPr>
              <w:t>Kritik dan Analisis</w:t>
              <w:tab/>
              <w:t>107</w:t>
            </w:r>
          </w:hyperlink>
        </w:p>
        <w:p>
          <w:pPr>
            <w:pStyle w:val="Contents5"/>
            <w:tabs>
              <w:tab w:val="clear" w:pos="7892"/>
              <w:tab w:val="right" w:pos="9026" w:leader="dot"/>
            </w:tabs>
            <w:bidi w:val="0"/>
            <w:rPr/>
          </w:pPr>
          <w:hyperlink w:anchor="__RefHeading___Toc1351180_581953129">
            <w:r>
              <w:rPr>
                <w:webHidden/>
                <w:rStyle w:val="IndexLink"/>
              </w:rPr>
              <w:t>Filsafat Yunani</w:t>
              <w:tab/>
              <w:t>111</w:t>
            </w:r>
          </w:hyperlink>
        </w:p>
        <w:p>
          <w:pPr>
            <w:pStyle w:val="Contents5"/>
            <w:tabs>
              <w:tab w:val="clear" w:pos="7892"/>
              <w:tab w:val="right" w:pos="9026" w:leader="dot"/>
            </w:tabs>
            <w:bidi w:val="0"/>
            <w:rPr/>
          </w:pPr>
          <w:hyperlink w:anchor="__RefHeading___Toc1351182_581953129">
            <w:r>
              <w:rPr>
                <w:webHidden/>
                <w:rStyle w:val="IndexLink"/>
              </w:rPr>
              <w:t>Membela Kemurnian Ajaran Isiam</w:t>
              <w:tab/>
              <w:t>112</w:t>
            </w:r>
          </w:hyperlink>
        </w:p>
        <w:p>
          <w:pPr>
            <w:pStyle w:val="Contents4"/>
            <w:tabs>
              <w:tab w:val="clear" w:pos="8176"/>
              <w:tab w:val="right" w:pos="9026" w:leader="dot"/>
            </w:tabs>
            <w:bidi w:val="0"/>
            <w:rPr/>
          </w:pPr>
          <w:hyperlink w:anchor="__RefHeading___Toc1351184_581953129">
            <w:r>
              <w:rPr>
                <w:webHidden/>
                <w:rStyle w:val="IndexLink"/>
              </w:rPr>
              <w:t>Muktazilah: Rasionalisme Radikal atau Moderat?</w:t>
              <w:tab/>
              <w:t>114</w:t>
            </w:r>
          </w:hyperlink>
        </w:p>
        <w:p>
          <w:pPr>
            <w:pStyle w:val="Contents4"/>
            <w:tabs>
              <w:tab w:val="clear" w:pos="8176"/>
              <w:tab w:val="right" w:pos="9026" w:leader="dot"/>
            </w:tabs>
            <w:bidi w:val="0"/>
            <w:rPr/>
          </w:pPr>
          <w:hyperlink w:anchor="__RefHeading___Toc1351186_581953129">
            <w:r>
              <w:rPr>
                <w:webHidden/>
                <w:rStyle w:val="IndexLink"/>
              </w:rPr>
              <w:t>Faktor-Faktor Kemunduran Muktazilah</w:t>
              <w:tab/>
              <w:t>117</w:t>
            </w:r>
          </w:hyperlink>
        </w:p>
        <w:p>
          <w:pPr>
            <w:pStyle w:val="Contents5"/>
            <w:tabs>
              <w:tab w:val="clear" w:pos="7892"/>
              <w:tab w:val="right" w:pos="9026" w:leader="dot"/>
            </w:tabs>
            <w:bidi w:val="0"/>
            <w:rPr/>
          </w:pPr>
          <w:hyperlink w:anchor="__RefHeading___Toc1351188_581953129">
            <w:r>
              <w:rPr>
                <w:webHidden/>
                <w:rStyle w:val="IndexLink"/>
              </w:rPr>
              <w:t>Point</w:t>
              <w:tab/>
              <w:t>117</w:t>
            </w:r>
          </w:hyperlink>
        </w:p>
        <w:p>
          <w:pPr>
            <w:pStyle w:val="Contents5"/>
            <w:tabs>
              <w:tab w:val="clear" w:pos="7892"/>
              <w:tab w:val="right" w:pos="9026" w:leader="dot"/>
            </w:tabs>
            <w:bidi w:val="0"/>
            <w:rPr/>
          </w:pPr>
          <w:hyperlink w:anchor="__RefHeading___Toc1351190_581953129">
            <w:r>
              <w:rPr>
                <w:webHidden/>
                <w:rStyle w:val="IndexLink"/>
              </w:rPr>
              <w:t>Kritik terhadap Sahabat</w:t>
              <w:tab/>
              <w:t>118</w:t>
            </w:r>
          </w:hyperlink>
        </w:p>
        <w:p>
          <w:pPr>
            <w:pStyle w:val="Contents5"/>
            <w:tabs>
              <w:tab w:val="clear" w:pos="7892"/>
              <w:tab w:val="right" w:pos="9026" w:leader="dot"/>
            </w:tabs>
            <w:bidi w:val="0"/>
            <w:rPr/>
          </w:pPr>
          <w:hyperlink w:anchor="__RefHeading___Toc1351192_581953129">
            <w:r>
              <w:rPr>
                <w:webHidden/>
                <w:rStyle w:val="IndexLink"/>
              </w:rPr>
              <w:t>Ekstremisme dalam Merasionalisasi dan Menakwil Teks</w:t>
              <w:tab/>
              <w:t>118</w:t>
            </w:r>
          </w:hyperlink>
        </w:p>
        <w:p>
          <w:pPr>
            <w:pStyle w:val="Contents5"/>
            <w:tabs>
              <w:tab w:val="clear" w:pos="7892"/>
              <w:tab w:val="right" w:pos="9026" w:leader="dot"/>
            </w:tabs>
            <w:bidi w:val="0"/>
            <w:rPr/>
          </w:pPr>
          <w:hyperlink w:anchor="__RefHeading___Toc1351194_581953129">
            <w:r>
              <w:rPr>
                <w:webHidden/>
                <w:rStyle w:val="IndexLink"/>
              </w:rPr>
              <w:t>Akidah Lawan sebagai Selera Awam</w:t>
              <w:tab/>
              <w:t>119</w:t>
            </w:r>
          </w:hyperlink>
        </w:p>
        <w:p>
          <w:pPr>
            <w:pStyle w:val="Contents5"/>
            <w:tabs>
              <w:tab w:val="clear" w:pos="7892"/>
              <w:tab w:val="right" w:pos="9026" w:leader="dot"/>
            </w:tabs>
            <w:bidi w:val="0"/>
            <w:rPr/>
          </w:pPr>
          <w:hyperlink w:anchor="__RefHeading___Toc1351196_581953129">
            <w:r>
              <w:rPr>
                <w:webHidden/>
                <w:rStyle w:val="IndexLink"/>
              </w:rPr>
              <w:t>lnvestigasi Akidah</w:t>
              <w:tab/>
              <w:t>120</w:t>
            </w:r>
          </w:hyperlink>
        </w:p>
        <w:p>
          <w:pPr>
            <w:pStyle w:val="Contents4"/>
            <w:tabs>
              <w:tab w:val="clear" w:pos="8176"/>
              <w:tab w:val="right" w:pos="9026" w:leader="dot"/>
            </w:tabs>
            <w:bidi w:val="0"/>
            <w:rPr/>
          </w:pPr>
          <w:hyperlink w:anchor="__RefHeading___Toc1351198_581953129">
            <w:r>
              <w:rPr>
                <w:webHidden/>
                <w:rStyle w:val="IndexLink"/>
              </w:rPr>
              <w:t>Dampak Keruntuhan Muktazilah</w:t>
              <w:tab/>
              <w:t>120</w:t>
            </w:r>
          </w:hyperlink>
        </w:p>
        <w:p>
          <w:pPr>
            <w:pStyle w:val="Contents3"/>
            <w:tabs>
              <w:tab w:val="clear" w:pos="8459"/>
              <w:tab w:val="right" w:pos="9026" w:leader="dot"/>
            </w:tabs>
            <w:bidi w:val="0"/>
            <w:rPr/>
          </w:pPr>
          <w:hyperlink w:anchor="__RefHeading___Toc1351200_581953129">
            <w:r>
              <w:rPr>
                <w:webHidden/>
                <w:rStyle w:val="IndexLink"/>
              </w:rPr>
              <w:t>Ibnu Thufail</w:t>
              <w:tab/>
              <w:t>121</w:t>
            </w:r>
          </w:hyperlink>
        </w:p>
        <w:p>
          <w:pPr>
            <w:pStyle w:val="Contents3"/>
            <w:tabs>
              <w:tab w:val="clear" w:pos="8459"/>
              <w:tab w:val="right" w:pos="9026" w:leader="dot"/>
            </w:tabs>
            <w:bidi w:val="0"/>
            <w:rPr/>
          </w:pPr>
          <w:hyperlink w:anchor="__RefHeading___Toc1351202_581953129">
            <w:r>
              <w:rPr>
                <w:webHidden/>
                <w:rStyle w:val="IndexLink"/>
              </w:rPr>
              <w:t>Ibnu Rusyd</w:t>
              <w:tab/>
              <w:t>127</w:t>
            </w:r>
          </w:hyperlink>
        </w:p>
        <w:p>
          <w:pPr>
            <w:pStyle w:val="Contents4"/>
            <w:tabs>
              <w:tab w:val="clear" w:pos="8176"/>
              <w:tab w:val="right" w:pos="9026" w:leader="dot"/>
            </w:tabs>
            <w:bidi w:val="0"/>
            <w:rPr/>
          </w:pPr>
          <w:hyperlink w:anchor="__RefHeading___Toc1351204_581953129">
            <w:r>
              <w:rPr>
                <w:webHidden/>
                <w:rStyle w:val="IndexLink"/>
              </w:rPr>
              <w:t>Point</w:t>
              <w:tab/>
              <w:t>127</w:t>
            </w:r>
          </w:hyperlink>
        </w:p>
        <w:p>
          <w:pPr>
            <w:pStyle w:val="Contents4"/>
            <w:tabs>
              <w:tab w:val="clear" w:pos="8176"/>
              <w:tab w:val="right" w:pos="9026" w:leader="dot"/>
            </w:tabs>
            <w:bidi w:val="0"/>
            <w:rPr/>
          </w:pPr>
          <w:hyperlink w:anchor="__RefHeading___Toc1351206_581953129">
            <w:r>
              <w:rPr>
                <w:webHidden/>
                <w:rStyle w:val="IndexLink"/>
              </w:rPr>
              <w:t>Tahafut Al-Tahafut</w:t>
              <w:tab/>
              <w:t>129</w:t>
            </w:r>
          </w:hyperlink>
        </w:p>
        <w:p>
          <w:pPr>
            <w:pStyle w:val="Contents4"/>
            <w:tabs>
              <w:tab w:val="clear" w:pos="8176"/>
              <w:tab w:val="right" w:pos="9026" w:leader="dot"/>
            </w:tabs>
            <w:bidi w:val="0"/>
            <w:rPr/>
          </w:pPr>
          <w:hyperlink w:anchor="__RefHeading___Toc1351208_581953129">
            <w:r>
              <w:rPr>
                <w:webHidden/>
                <w:rStyle w:val="IndexLink"/>
              </w:rPr>
              <w:t>Fashl Al-Maqal fi ma bain Al-Hikmah wa Al-Syari‘ah min Al-Ittisha‘l</w:t>
              <w:tab/>
              <w:t>130</w:t>
            </w:r>
          </w:hyperlink>
        </w:p>
        <w:p>
          <w:pPr>
            <w:pStyle w:val="Contents4"/>
            <w:tabs>
              <w:tab w:val="clear" w:pos="8176"/>
              <w:tab w:val="right" w:pos="9026" w:leader="dot"/>
            </w:tabs>
            <w:bidi w:val="0"/>
            <w:rPr/>
          </w:pPr>
          <w:hyperlink w:anchor="__RefHeading___Toc1351210_581953129">
            <w:r>
              <w:rPr>
                <w:webHidden/>
                <w:rStyle w:val="IndexLink"/>
              </w:rPr>
              <w:t>Al-Kasyf ‘an Manéhij Al-Adillah</w:t>
              <w:tab/>
              <w:t>132</w:t>
            </w:r>
          </w:hyperlink>
        </w:p>
        <w:p>
          <w:pPr>
            <w:pStyle w:val="Contents4"/>
            <w:tabs>
              <w:tab w:val="clear" w:pos="8176"/>
              <w:tab w:val="right" w:pos="9026" w:leader="dot"/>
            </w:tabs>
            <w:bidi w:val="0"/>
            <w:rPr/>
          </w:pPr>
          <w:hyperlink w:anchor="__RefHeading___Toc1351212_581953129">
            <w:r>
              <w:rPr>
                <w:webHidden/>
                <w:rStyle w:val="IndexLink"/>
              </w:rPr>
              <w:t>Averroisme Barat dan Dualisme Kebenaran</w:t>
              <w:tab/>
              <w:t>133</w:t>
            </w:r>
          </w:hyperlink>
        </w:p>
        <w:p>
          <w:pPr>
            <w:pStyle w:val="Contents4"/>
            <w:tabs>
              <w:tab w:val="clear" w:pos="8176"/>
              <w:tab w:val="right" w:pos="9026" w:leader="dot"/>
            </w:tabs>
            <w:bidi w:val="0"/>
            <w:rPr/>
          </w:pPr>
          <w:hyperlink w:anchor="__RefHeading___Toc1351214_581953129">
            <w:r>
              <w:rPr>
                <w:webHidden/>
                <w:rStyle w:val="IndexLink"/>
              </w:rPr>
              <w:t>Kesimpulan</w:t>
              <w:tab/>
              <w:t>135</w:t>
            </w:r>
          </w:hyperlink>
        </w:p>
        <w:p>
          <w:pPr>
            <w:pStyle w:val="Contents2"/>
            <w:tabs>
              <w:tab w:val="clear" w:pos="8743"/>
              <w:tab w:val="right" w:pos="9026" w:leader="dot"/>
            </w:tabs>
            <w:bidi w:val="0"/>
            <w:rPr/>
          </w:pPr>
          <w:hyperlink w:anchor="__RefHeading___Toc1351216_581953129">
            <w:r>
              <w:rPr>
                <w:webHidden/>
                <w:rStyle w:val="IndexLink"/>
              </w:rPr>
              <w:t>BAB 5 LITERALISME AHLI SUNAH</w:t>
              <w:tab/>
              <w:t>139</w:t>
            </w:r>
          </w:hyperlink>
        </w:p>
        <w:p>
          <w:pPr>
            <w:pStyle w:val="Contents3"/>
            <w:tabs>
              <w:tab w:val="clear" w:pos="8459"/>
              <w:tab w:val="right" w:pos="9026" w:leader="dot"/>
            </w:tabs>
            <w:bidi w:val="0"/>
            <w:rPr/>
          </w:pPr>
          <w:hyperlink w:anchor="__RefHeading___Toc1351218_581953129">
            <w:r>
              <w:rPr>
                <w:webHidden/>
                <w:rStyle w:val="IndexLink"/>
              </w:rPr>
              <w:t>Point</w:t>
              <w:tab/>
              <w:t>139</w:t>
            </w:r>
          </w:hyperlink>
        </w:p>
        <w:p>
          <w:pPr>
            <w:pStyle w:val="Contents3"/>
            <w:tabs>
              <w:tab w:val="clear" w:pos="8459"/>
              <w:tab w:val="right" w:pos="9026" w:leader="dot"/>
            </w:tabs>
            <w:bidi w:val="0"/>
            <w:rPr/>
          </w:pPr>
          <w:hyperlink w:anchor="__RefHeading___Toc1351220_581953129">
            <w:r>
              <w:rPr>
                <w:webHidden/>
                <w:rStyle w:val="IndexLink"/>
              </w:rPr>
              <w:t>Ahli Hadis, Pelopor Literalisme</w:t>
              <w:tab/>
              <w:t>140</w:t>
            </w:r>
          </w:hyperlink>
        </w:p>
        <w:p>
          <w:pPr>
            <w:pStyle w:val="Contents4"/>
            <w:tabs>
              <w:tab w:val="clear" w:pos="8176"/>
              <w:tab w:val="right" w:pos="9026" w:leader="dot"/>
            </w:tabs>
            <w:bidi w:val="0"/>
            <w:rPr/>
          </w:pPr>
          <w:hyperlink w:anchor="__RefHeading___Toc1351222_581953129">
            <w:r>
              <w:rPr>
                <w:webHidden/>
                <w:rStyle w:val="IndexLink"/>
              </w:rPr>
              <w:t>Point</w:t>
              <w:tab/>
              <w:t>140</w:t>
            </w:r>
          </w:hyperlink>
        </w:p>
        <w:p>
          <w:pPr>
            <w:pStyle w:val="Contents4"/>
            <w:tabs>
              <w:tab w:val="clear" w:pos="8176"/>
              <w:tab w:val="right" w:pos="9026" w:leader="dot"/>
            </w:tabs>
            <w:bidi w:val="0"/>
            <w:rPr/>
          </w:pPr>
          <w:hyperlink w:anchor="__RefHeading___Toc1351224_581953129">
            <w:r>
              <w:rPr>
                <w:webHidden/>
                <w:rStyle w:val="IndexLink"/>
              </w:rPr>
              <w:t>Mengecam Teologi</w:t>
              <w:tab/>
              <w:t>143</w:t>
            </w:r>
          </w:hyperlink>
        </w:p>
        <w:p>
          <w:pPr>
            <w:pStyle w:val="Contents4"/>
            <w:tabs>
              <w:tab w:val="clear" w:pos="8176"/>
              <w:tab w:val="right" w:pos="9026" w:leader="dot"/>
            </w:tabs>
            <w:bidi w:val="0"/>
            <w:rPr/>
          </w:pPr>
          <w:hyperlink w:anchor="__RefHeading___Toc1351226_581953129">
            <w:r>
              <w:rPr>
                <w:webHidden/>
                <w:rStyle w:val="IndexLink"/>
              </w:rPr>
              <w:t>Kaum Hanbalis dan Kemandulan Akal</w:t>
              <w:tab/>
              <w:t>145</w:t>
            </w:r>
          </w:hyperlink>
        </w:p>
        <w:p>
          <w:pPr>
            <w:pStyle w:val="Contents5"/>
            <w:tabs>
              <w:tab w:val="clear" w:pos="7892"/>
              <w:tab w:val="right" w:pos="9026" w:leader="dot"/>
            </w:tabs>
            <w:bidi w:val="0"/>
            <w:rPr/>
          </w:pPr>
          <w:hyperlink w:anchor="__RefHeading___Toc1351228_581953129">
            <w:r>
              <w:rPr>
                <w:webHidden/>
                <w:rStyle w:val="IndexLink"/>
              </w:rPr>
              <w:t>Point</w:t>
              <w:tab/>
              <w:t>145</w:t>
            </w:r>
          </w:hyperlink>
        </w:p>
        <w:p>
          <w:pPr>
            <w:pStyle w:val="Contents6"/>
            <w:tabs>
              <w:tab w:val="clear" w:pos="7609"/>
              <w:tab w:val="right" w:pos="9026" w:leader="dot"/>
            </w:tabs>
            <w:bidi w:val="0"/>
            <w:rPr/>
          </w:pPr>
          <w:hyperlink w:anchor="__RefHeading___Toc1351230_581953129">
            <w:r>
              <w:rPr>
                <w:webHidden/>
                <w:rStyle w:val="IndexLink"/>
              </w:rPr>
              <w:t>Point</w:t>
              <w:tab/>
              <w:t>145</w:t>
            </w:r>
          </w:hyperlink>
        </w:p>
        <w:p>
          <w:pPr>
            <w:pStyle w:val="Contents4"/>
            <w:tabs>
              <w:tab w:val="clear" w:pos="8176"/>
              <w:tab w:val="right" w:pos="9026" w:leader="dot"/>
            </w:tabs>
            <w:bidi w:val="0"/>
            <w:rPr/>
          </w:pPr>
          <w:hyperlink w:anchor="__RefHeading___Toc1351232_581953129">
            <w:r>
              <w:rPr>
                <w:webHidden/>
                <w:rStyle w:val="IndexLink"/>
              </w:rPr>
              <w:t>Unsur Anti akal Hanbaliyah Makin Populer</w:t>
              <w:tab/>
              <w:t>148</w:t>
            </w:r>
          </w:hyperlink>
        </w:p>
        <w:p>
          <w:pPr>
            <w:pStyle w:val="Contents3"/>
            <w:tabs>
              <w:tab w:val="clear" w:pos="8459"/>
              <w:tab w:val="right" w:pos="9026" w:leader="dot"/>
            </w:tabs>
            <w:bidi w:val="0"/>
            <w:rPr/>
          </w:pPr>
          <w:hyperlink w:anchor="__RefHeading___Toc1351234_581953129">
            <w:r>
              <w:rPr>
                <w:webHidden/>
                <w:rStyle w:val="IndexLink"/>
              </w:rPr>
              <w:t>Mazhab Zhahiriyah, Pewaris Ahli Hadis</w:t>
              <w:tab/>
              <w:t>149</w:t>
            </w:r>
          </w:hyperlink>
        </w:p>
        <w:p>
          <w:pPr>
            <w:pStyle w:val="Contents3"/>
            <w:tabs>
              <w:tab w:val="clear" w:pos="8459"/>
              <w:tab w:val="right" w:pos="9026" w:leader="dot"/>
            </w:tabs>
            <w:bidi w:val="0"/>
            <w:rPr/>
          </w:pPr>
          <w:hyperlink w:anchor="__RefHeading___Toc1351236_581953129">
            <w:r>
              <w:rPr>
                <w:webHidden/>
                <w:rStyle w:val="IndexLink"/>
              </w:rPr>
              <w:t>Antirasionalisme, Dalih Menolak Qiyas</w:t>
              <w:tab/>
              <w:t>152</w:t>
            </w:r>
          </w:hyperlink>
        </w:p>
        <w:p>
          <w:pPr>
            <w:pStyle w:val="Contents3"/>
            <w:tabs>
              <w:tab w:val="clear" w:pos="8459"/>
              <w:tab w:val="right" w:pos="9026" w:leader="dot"/>
            </w:tabs>
            <w:bidi w:val="0"/>
            <w:rPr/>
          </w:pPr>
          <w:hyperlink w:anchor="__RefHeading___Toc1351238_581953129">
            <w:r>
              <w:rPr>
                <w:webHidden/>
                <w:rStyle w:val="IndexLink"/>
              </w:rPr>
              <w:t>Kombinasi Literalisme-Rasionalisme</w:t>
              <w:tab/>
              <w:t>155</w:t>
            </w:r>
          </w:hyperlink>
        </w:p>
        <w:p>
          <w:pPr>
            <w:pStyle w:val="Contents3"/>
            <w:tabs>
              <w:tab w:val="clear" w:pos="8459"/>
              <w:tab w:val="right" w:pos="9026" w:leader="dot"/>
            </w:tabs>
            <w:bidi w:val="0"/>
            <w:rPr/>
          </w:pPr>
          <w:hyperlink w:anchor="__RefHeading___Toc1351240_581953129">
            <w:r>
              <w:rPr>
                <w:webHidden/>
                <w:rStyle w:val="IndexLink"/>
              </w:rPr>
              <w:t>Ibnu Taimiyah dan Kebangkitan Kembali Literalisme Radikal</w:t>
              <w:tab/>
              <w:t>157</w:t>
            </w:r>
          </w:hyperlink>
        </w:p>
        <w:p>
          <w:pPr>
            <w:pStyle w:val="Contents4"/>
            <w:tabs>
              <w:tab w:val="clear" w:pos="8176"/>
              <w:tab w:val="right" w:pos="9026" w:leader="dot"/>
            </w:tabs>
            <w:bidi w:val="0"/>
            <w:rPr/>
          </w:pPr>
          <w:hyperlink w:anchor="__RefHeading___Toc1351242_581953129">
            <w:r>
              <w:rPr>
                <w:webHidden/>
                <w:rStyle w:val="IndexLink"/>
              </w:rPr>
              <w:t>Point</w:t>
              <w:tab/>
              <w:t>157</w:t>
            </w:r>
          </w:hyperlink>
        </w:p>
        <w:p>
          <w:pPr>
            <w:pStyle w:val="Contents4"/>
            <w:tabs>
              <w:tab w:val="clear" w:pos="8176"/>
              <w:tab w:val="right" w:pos="9026" w:leader="dot"/>
            </w:tabs>
            <w:bidi w:val="0"/>
            <w:rPr/>
          </w:pPr>
          <w:hyperlink w:anchor="__RefHeading___Toc1351244_581953129">
            <w:r>
              <w:rPr>
                <w:webHidden/>
                <w:rStyle w:val="IndexLink"/>
              </w:rPr>
              <w:t>Posisi Akal dalam Syariat</w:t>
              <w:tab/>
              <w:t>158</w:t>
            </w:r>
          </w:hyperlink>
        </w:p>
        <w:p>
          <w:pPr>
            <w:pStyle w:val="Contents4"/>
            <w:tabs>
              <w:tab w:val="clear" w:pos="8176"/>
              <w:tab w:val="right" w:pos="9026" w:leader="dot"/>
            </w:tabs>
            <w:bidi w:val="0"/>
            <w:rPr/>
          </w:pPr>
          <w:hyperlink w:anchor="__RefHeading___Toc1351246_581953129">
            <w:r>
              <w:rPr>
                <w:webHidden/>
                <w:rStyle w:val="IndexLink"/>
              </w:rPr>
              <w:t>Ciri Khas Sifat Khabariyah versi lbnu Taimiyah</w:t>
              <w:tab/>
              <w:t>160</w:t>
            </w:r>
          </w:hyperlink>
        </w:p>
        <w:p>
          <w:pPr>
            <w:pStyle w:val="Contents4"/>
            <w:tabs>
              <w:tab w:val="clear" w:pos="8176"/>
              <w:tab w:val="right" w:pos="9026" w:leader="dot"/>
            </w:tabs>
            <w:bidi w:val="0"/>
            <w:rPr/>
          </w:pPr>
          <w:hyperlink w:anchor="__RefHeading___Toc1351248_581953129">
            <w:r>
              <w:rPr>
                <w:webHidden/>
                <w:rStyle w:val="IndexLink"/>
              </w:rPr>
              <w:t>Menolak Logika Aristotelian</w:t>
              <w:tab/>
              <w:t>164</w:t>
            </w:r>
          </w:hyperlink>
        </w:p>
        <w:p>
          <w:pPr>
            <w:pStyle w:val="Contents4"/>
            <w:tabs>
              <w:tab w:val="clear" w:pos="8176"/>
              <w:tab w:val="right" w:pos="9026" w:leader="dot"/>
            </w:tabs>
            <w:bidi w:val="0"/>
            <w:rPr/>
          </w:pPr>
          <w:hyperlink w:anchor="__RefHeading___Toc1351250_581953129">
            <w:r>
              <w:rPr>
                <w:webHidden/>
                <w:rStyle w:val="IndexLink"/>
              </w:rPr>
              <w:t>Reaksi terhadap Pemikiran Ibnu Taimiyah</w:t>
              <w:tab/>
              <w:t>166</w:t>
            </w:r>
          </w:hyperlink>
        </w:p>
        <w:p>
          <w:pPr>
            <w:pStyle w:val="Contents3"/>
            <w:tabs>
              <w:tab w:val="clear" w:pos="8459"/>
              <w:tab w:val="right" w:pos="9026" w:leader="dot"/>
            </w:tabs>
            <w:bidi w:val="0"/>
            <w:rPr/>
          </w:pPr>
          <w:hyperlink w:anchor="__RefHeading___Toc1351252_581953129">
            <w:r>
              <w:rPr>
                <w:webHidden/>
                <w:rStyle w:val="IndexLink"/>
              </w:rPr>
              <w:t>Wahabisme, Wajah Baru Ahli Hadis</w:t>
              <w:tab/>
              <w:t>168</w:t>
            </w:r>
          </w:hyperlink>
        </w:p>
        <w:p>
          <w:pPr>
            <w:pStyle w:val="Contents3"/>
            <w:tabs>
              <w:tab w:val="clear" w:pos="8459"/>
              <w:tab w:val="right" w:pos="9026" w:leader="dot"/>
            </w:tabs>
            <w:bidi w:val="0"/>
            <w:rPr/>
          </w:pPr>
          <w:hyperlink w:anchor="__RefHeading___Toc1351254_581953129">
            <w:r>
              <w:rPr>
                <w:webHidden/>
                <w:rStyle w:val="IndexLink"/>
              </w:rPr>
              <w:t>Literalisme Menuai Kritik</w:t>
              <w:tab/>
              <w:t>171</w:t>
            </w:r>
          </w:hyperlink>
        </w:p>
        <w:p>
          <w:pPr>
            <w:pStyle w:val="Contents4"/>
            <w:tabs>
              <w:tab w:val="clear" w:pos="8176"/>
              <w:tab w:val="right" w:pos="9026" w:leader="dot"/>
            </w:tabs>
            <w:bidi w:val="0"/>
            <w:rPr/>
          </w:pPr>
          <w:hyperlink w:anchor="__RefHeading___Toc1351256_581953129">
            <w:r>
              <w:rPr>
                <w:webHidden/>
                <w:rStyle w:val="IndexLink"/>
              </w:rPr>
              <w:t>Point</w:t>
              <w:tab/>
              <w:t>171</w:t>
            </w:r>
          </w:hyperlink>
        </w:p>
        <w:p>
          <w:pPr>
            <w:pStyle w:val="Contents4"/>
            <w:tabs>
              <w:tab w:val="clear" w:pos="8176"/>
              <w:tab w:val="right" w:pos="9026" w:leader="dot"/>
            </w:tabs>
            <w:bidi w:val="0"/>
            <w:rPr/>
          </w:pPr>
          <w:hyperlink w:anchor="__RefHeading___Toc1351258_581953129">
            <w:r>
              <w:rPr>
                <w:webHidden/>
                <w:rStyle w:val="IndexLink"/>
              </w:rPr>
              <w:t>Makna Mengikuti Teks (Literal)</w:t>
              <w:tab/>
              <w:t>173</w:t>
            </w:r>
          </w:hyperlink>
        </w:p>
        <w:p>
          <w:pPr>
            <w:pStyle w:val="Contents4"/>
            <w:tabs>
              <w:tab w:val="clear" w:pos="8176"/>
              <w:tab w:val="right" w:pos="9026" w:leader="dot"/>
            </w:tabs>
            <w:bidi w:val="0"/>
            <w:rPr/>
          </w:pPr>
          <w:hyperlink w:anchor="__RefHeading___Toc1351260_581953129">
            <w:r>
              <w:rPr>
                <w:webHidden/>
                <w:rStyle w:val="IndexLink"/>
              </w:rPr>
              <w:t>Ambiguitas, Jalan Keluar tanpa Jaminan</w:t>
              <w:tab/>
              <w:t>174</w:t>
            </w:r>
          </w:hyperlink>
        </w:p>
        <w:p>
          <w:pPr>
            <w:pStyle w:val="Contents4"/>
            <w:tabs>
              <w:tab w:val="clear" w:pos="8176"/>
              <w:tab w:val="right" w:pos="9026" w:leader="dot"/>
            </w:tabs>
            <w:bidi w:val="0"/>
            <w:rPr/>
          </w:pPr>
          <w:hyperlink w:anchor="__RefHeading___Toc1351262_581953129">
            <w:r>
              <w:rPr>
                <w:webHidden/>
                <w:rStyle w:val="IndexLink"/>
              </w:rPr>
              <w:t>Ragam Kecenderungan Kaum Salaf</w:t>
              <w:tab/>
              <w:t>176</w:t>
            </w:r>
          </w:hyperlink>
        </w:p>
        <w:p>
          <w:pPr>
            <w:pStyle w:val="Contents2"/>
            <w:tabs>
              <w:tab w:val="clear" w:pos="8743"/>
              <w:tab w:val="right" w:pos="9026" w:leader="dot"/>
            </w:tabs>
            <w:bidi w:val="0"/>
            <w:rPr/>
          </w:pPr>
          <w:hyperlink w:anchor="__RefHeading___Toc1351264_581953129">
            <w:r>
              <w:rPr>
                <w:webHidden/>
                <w:rStyle w:val="IndexLink"/>
              </w:rPr>
              <w:t>BAB 6 AKAL: PERSPEKTIF AKHBARIYAH</w:t>
              <w:tab/>
              <w:t>177</w:t>
            </w:r>
          </w:hyperlink>
        </w:p>
        <w:p>
          <w:pPr>
            <w:pStyle w:val="Contents3"/>
            <w:tabs>
              <w:tab w:val="clear" w:pos="8459"/>
              <w:tab w:val="right" w:pos="9026" w:leader="dot"/>
            </w:tabs>
            <w:bidi w:val="0"/>
            <w:rPr/>
          </w:pPr>
          <w:hyperlink w:anchor="__RefHeading___Toc1351266_581953129">
            <w:r>
              <w:rPr>
                <w:webHidden/>
                <w:rStyle w:val="IndexLink"/>
              </w:rPr>
              <w:t>Point</w:t>
              <w:tab/>
              <w:t>177</w:t>
            </w:r>
          </w:hyperlink>
        </w:p>
        <w:p>
          <w:pPr>
            <w:pStyle w:val="Contents3"/>
            <w:tabs>
              <w:tab w:val="clear" w:pos="8459"/>
              <w:tab w:val="right" w:pos="9026" w:leader="dot"/>
            </w:tabs>
            <w:bidi w:val="0"/>
            <w:rPr/>
          </w:pPr>
          <w:hyperlink w:anchor="__RefHeading___Toc1351268_581953129">
            <w:r>
              <w:rPr>
                <w:webHidden/>
                <w:rStyle w:val="IndexLink"/>
              </w:rPr>
              <w:t>Latar Belakang Historis</w:t>
              <w:tab/>
              <w:t>178</w:t>
            </w:r>
          </w:hyperlink>
        </w:p>
        <w:p>
          <w:pPr>
            <w:pStyle w:val="Contents3"/>
            <w:tabs>
              <w:tab w:val="clear" w:pos="8459"/>
              <w:tab w:val="right" w:pos="9026" w:leader="dot"/>
            </w:tabs>
            <w:bidi w:val="0"/>
            <w:rPr/>
          </w:pPr>
          <w:hyperlink w:anchor="__RefHeading___Toc1351270_581953129">
            <w:r>
              <w:rPr>
                <w:webHidden/>
                <w:rStyle w:val="IndexLink"/>
              </w:rPr>
              <w:t>Asal Usul Akhbariyah</w:t>
              <w:tab/>
              <w:t>188</w:t>
            </w:r>
          </w:hyperlink>
        </w:p>
        <w:p>
          <w:pPr>
            <w:pStyle w:val="Contents4"/>
            <w:tabs>
              <w:tab w:val="clear" w:pos="8176"/>
              <w:tab w:val="right" w:pos="9026" w:leader="dot"/>
            </w:tabs>
            <w:bidi w:val="0"/>
            <w:rPr/>
          </w:pPr>
          <w:hyperlink w:anchor="__RefHeading___Toc1351272_581953129">
            <w:r>
              <w:rPr>
                <w:webHidden/>
                <w:rStyle w:val="IndexLink"/>
              </w:rPr>
              <w:t>Point</w:t>
              <w:tab/>
              <w:t>188</w:t>
            </w:r>
          </w:hyperlink>
        </w:p>
        <w:p>
          <w:pPr>
            <w:pStyle w:val="Contents4"/>
            <w:tabs>
              <w:tab w:val="clear" w:pos="8176"/>
              <w:tab w:val="right" w:pos="9026" w:leader="dot"/>
            </w:tabs>
            <w:bidi w:val="0"/>
            <w:rPr/>
          </w:pPr>
          <w:hyperlink w:anchor="__RefHeading___Toc1351274_581953129">
            <w:r>
              <w:rPr>
                <w:webHidden/>
                <w:rStyle w:val="IndexLink"/>
              </w:rPr>
              <w:t>Empirisme Barat</w:t>
              <w:tab/>
              <w:t>189</w:t>
            </w:r>
          </w:hyperlink>
        </w:p>
        <w:p>
          <w:pPr>
            <w:pStyle w:val="Contents4"/>
            <w:tabs>
              <w:tab w:val="clear" w:pos="8176"/>
              <w:tab w:val="right" w:pos="9026" w:leader="dot"/>
            </w:tabs>
            <w:bidi w:val="0"/>
            <w:rPr/>
          </w:pPr>
          <w:hyperlink w:anchor="__RefHeading___Toc1351276_581953129">
            <w:r>
              <w:rPr>
                <w:webHidden/>
                <w:rStyle w:val="IndexLink"/>
              </w:rPr>
              <w:t>Sinis Menilai Ushul Fikih</w:t>
              <w:tab/>
              <w:t>191</w:t>
            </w:r>
          </w:hyperlink>
        </w:p>
        <w:p>
          <w:pPr>
            <w:pStyle w:val="Contents4"/>
            <w:tabs>
              <w:tab w:val="clear" w:pos="8176"/>
              <w:tab w:val="right" w:pos="9026" w:leader="dot"/>
            </w:tabs>
            <w:bidi w:val="0"/>
            <w:rPr/>
          </w:pPr>
          <w:hyperlink w:anchor="__RefHeading___Toc1351278_581953129">
            <w:r>
              <w:rPr>
                <w:webHidden/>
                <w:rStyle w:val="IndexLink"/>
              </w:rPr>
              <w:t>Taklid pada Ahli Sunah</w:t>
              <w:tab/>
              <w:t>194</w:t>
            </w:r>
          </w:hyperlink>
        </w:p>
        <w:p>
          <w:pPr>
            <w:pStyle w:val="Contents4"/>
            <w:tabs>
              <w:tab w:val="clear" w:pos="8176"/>
              <w:tab w:val="right" w:pos="9026" w:leader="dot"/>
            </w:tabs>
            <w:bidi w:val="0"/>
            <w:rPr/>
          </w:pPr>
          <w:hyperlink w:anchor="__RefHeading___Toc1351280_581953129">
            <w:r>
              <w:rPr>
                <w:webHidden/>
                <w:rStyle w:val="IndexLink"/>
              </w:rPr>
              <w:t>Keliru Memahami Hadis Imam</w:t>
              <w:tab/>
              <w:t>196</w:t>
            </w:r>
          </w:hyperlink>
        </w:p>
        <w:p>
          <w:pPr>
            <w:pStyle w:val="Contents3"/>
            <w:tabs>
              <w:tab w:val="clear" w:pos="8459"/>
              <w:tab w:val="right" w:pos="9026" w:leader="dot"/>
            </w:tabs>
            <w:bidi w:val="0"/>
            <w:rPr/>
          </w:pPr>
          <w:hyperlink w:anchor="__RefHeading___Toc1351282_581953129">
            <w:r>
              <w:rPr>
                <w:webHidden/>
                <w:rStyle w:val="IndexLink"/>
              </w:rPr>
              <w:t>Perbedaan Fundamental Akhbariyah dan Ushuliyah</w:t>
              <w:tab/>
              <w:t>200</w:t>
            </w:r>
          </w:hyperlink>
        </w:p>
        <w:p>
          <w:pPr>
            <w:pStyle w:val="Contents3"/>
            <w:tabs>
              <w:tab w:val="clear" w:pos="8459"/>
              <w:tab w:val="right" w:pos="9026" w:leader="dot"/>
            </w:tabs>
            <w:bidi w:val="0"/>
            <w:rPr/>
          </w:pPr>
          <w:hyperlink w:anchor="__RefHeading___Toc1351284_581953129">
            <w:r>
              <w:rPr>
                <w:webHidden/>
                <w:rStyle w:val="IndexLink"/>
              </w:rPr>
              <w:t>Skala Pemikiran Akhbariyah</w:t>
              <w:tab/>
              <w:t>202</w:t>
            </w:r>
          </w:hyperlink>
        </w:p>
        <w:p>
          <w:pPr>
            <w:pStyle w:val="Contents3"/>
            <w:tabs>
              <w:tab w:val="clear" w:pos="8459"/>
              <w:tab w:val="right" w:pos="9026" w:leader="dot"/>
            </w:tabs>
            <w:bidi w:val="0"/>
            <w:rPr/>
          </w:pPr>
          <w:hyperlink w:anchor="__RefHeading___Toc1351286_581953129">
            <w:r>
              <w:rPr>
                <w:webHidden/>
                <w:rStyle w:val="IndexLink"/>
              </w:rPr>
              <w:t>Nilai Validitas [Hukum] Akal</w:t>
              <w:tab/>
              <w:t>205</w:t>
            </w:r>
          </w:hyperlink>
        </w:p>
        <w:p>
          <w:pPr>
            <w:pStyle w:val="Contents4"/>
            <w:tabs>
              <w:tab w:val="clear" w:pos="8176"/>
              <w:tab w:val="right" w:pos="9026" w:leader="dot"/>
            </w:tabs>
            <w:bidi w:val="0"/>
            <w:rPr/>
          </w:pPr>
          <w:hyperlink w:anchor="__RefHeading___Toc1351288_581953129">
            <w:r>
              <w:rPr>
                <w:webHidden/>
                <w:rStyle w:val="IndexLink"/>
              </w:rPr>
              <w:t>Point</w:t>
              <w:tab/>
              <w:t>205</w:t>
            </w:r>
          </w:hyperlink>
        </w:p>
        <w:p>
          <w:pPr>
            <w:pStyle w:val="Contents4"/>
            <w:tabs>
              <w:tab w:val="clear" w:pos="8176"/>
              <w:tab w:val="right" w:pos="9026" w:leader="dot"/>
            </w:tabs>
            <w:bidi w:val="0"/>
            <w:rPr/>
          </w:pPr>
          <w:hyperlink w:anchor="__RefHeading___Toc1351290_581953129">
            <w:r>
              <w:rPr>
                <w:webHidden/>
                <w:rStyle w:val="IndexLink"/>
              </w:rPr>
              <w:t>Argumentasi Tekstual</w:t>
              <w:tab/>
              <w:t>207</w:t>
            </w:r>
          </w:hyperlink>
        </w:p>
        <w:p>
          <w:pPr>
            <w:pStyle w:val="Contents4"/>
            <w:tabs>
              <w:tab w:val="clear" w:pos="8176"/>
              <w:tab w:val="right" w:pos="9026" w:leader="dot"/>
            </w:tabs>
            <w:bidi w:val="0"/>
            <w:rPr/>
          </w:pPr>
          <w:hyperlink w:anchor="__RefHeading___Toc1351292_581953129">
            <w:r>
              <w:rPr>
                <w:webHidden/>
                <w:rStyle w:val="IndexLink"/>
              </w:rPr>
              <w:t>Beberapa Kritik</w:t>
              <w:tab/>
              <w:t>209</w:t>
            </w:r>
          </w:hyperlink>
        </w:p>
        <w:p>
          <w:pPr>
            <w:pStyle w:val="Contents4"/>
            <w:tabs>
              <w:tab w:val="clear" w:pos="8176"/>
              <w:tab w:val="right" w:pos="9026" w:leader="dot"/>
            </w:tabs>
            <w:bidi w:val="0"/>
            <w:rPr/>
          </w:pPr>
          <w:hyperlink w:anchor="__RefHeading___Toc1351294_581953129">
            <w:r>
              <w:rPr>
                <w:webHidden/>
                <w:rStyle w:val="IndexLink"/>
              </w:rPr>
              <w:t>Argumentasi Rasional</w:t>
              <w:tab/>
              <w:t>212</w:t>
            </w:r>
          </w:hyperlink>
        </w:p>
        <w:p>
          <w:pPr>
            <w:pStyle w:val="Contents4"/>
            <w:tabs>
              <w:tab w:val="clear" w:pos="8176"/>
              <w:tab w:val="right" w:pos="9026" w:leader="dot"/>
            </w:tabs>
            <w:bidi w:val="0"/>
            <w:rPr/>
          </w:pPr>
          <w:hyperlink w:anchor="__RefHeading___Toc1351296_581953129">
            <w:r>
              <w:rPr>
                <w:webHidden/>
                <w:rStyle w:val="IndexLink"/>
              </w:rPr>
              <w:t>Analisis dan Kritik</w:t>
              <w:tab/>
              <w:t>214</w:t>
            </w:r>
          </w:hyperlink>
        </w:p>
        <w:p>
          <w:pPr>
            <w:pStyle w:val="Contents4"/>
            <w:tabs>
              <w:tab w:val="clear" w:pos="8176"/>
              <w:tab w:val="right" w:pos="9026" w:leader="dot"/>
            </w:tabs>
            <w:bidi w:val="0"/>
            <w:rPr/>
          </w:pPr>
          <w:hyperlink w:anchor="__RefHeading___Toc1351298_581953129">
            <w:r>
              <w:rPr>
                <w:webHidden/>
                <w:rStyle w:val="IndexLink"/>
              </w:rPr>
              <w:t>Kelompok Akhbari dan Masalah Pertentangan Akal dan Teks</w:t>
              <w:tab/>
              <w:t>216</w:t>
            </w:r>
          </w:hyperlink>
        </w:p>
        <w:p>
          <w:pPr>
            <w:pStyle w:val="Contents2"/>
            <w:tabs>
              <w:tab w:val="clear" w:pos="8743"/>
              <w:tab w:val="right" w:pos="9026" w:leader="dot"/>
            </w:tabs>
            <w:bidi w:val="0"/>
            <w:rPr/>
          </w:pPr>
          <w:hyperlink w:anchor="__RefHeading___Toc1351300_581953129">
            <w:r>
              <w:rPr>
                <w:webHidden/>
                <w:rStyle w:val="IndexLink"/>
              </w:rPr>
              <w:t>BAB 7 WAHYU DAN PENYAKSIAN SUFISTIK</w:t>
              <w:tab/>
              <w:t>219</w:t>
            </w:r>
          </w:hyperlink>
        </w:p>
        <w:p>
          <w:pPr>
            <w:pStyle w:val="Contents3"/>
            <w:tabs>
              <w:tab w:val="clear" w:pos="8459"/>
              <w:tab w:val="right" w:pos="9026" w:leader="dot"/>
            </w:tabs>
            <w:bidi w:val="0"/>
            <w:rPr/>
          </w:pPr>
          <w:hyperlink w:anchor="__RefHeading___Toc1351302_581953129">
            <w:r>
              <w:rPr>
                <w:webHidden/>
                <w:rStyle w:val="IndexLink"/>
              </w:rPr>
              <w:t>Point</w:t>
              <w:tab/>
              <w:t>219</w:t>
            </w:r>
          </w:hyperlink>
        </w:p>
        <w:p>
          <w:pPr>
            <w:pStyle w:val="Contents3"/>
            <w:tabs>
              <w:tab w:val="clear" w:pos="8459"/>
              <w:tab w:val="right" w:pos="9026" w:leader="dot"/>
            </w:tabs>
            <w:bidi w:val="0"/>
            <w:rPr/>
          </w:pPr>
          <w:hyperlink w:anchor="__RefHeading___Toc1351304_581953129">
            <w:r>
              <w:rPr>
                <w:webHidden/>
                <w:rStyle w:val="IndexLink"/>
              </w:rPr>
              <w:t>Hakikat tanpa Syariat</w:t>
              <w:tab/>
              <w:t>225</w:t>
            </w:r>
          </w:hyperlink>
        </w:p>
        <w:p>
          <w:pPr>
            <w:pStyle w:val="Contents3"/>
            <w:tabs>
              <w:tab w:val="clear" w:pos="8459"/>
              <w:tab w:val="right" w:pos="9026" w:leader="dot"/>
            </w:tabs>
            <w:bidi w:val="0"/>
            <w:rPr/>
          </w:pPr>
          <w:hyperlink w:anchor="__RefHeading___Toc1351306_581953129">
            <w:r>
              <w:rPr>
                <w:webHidden/>
                <w:rStyle w:val="IndexLink"/>
              </w:rPr>
              <w:t>Khidhir dan Musa, Simbol Ahli Tarikat dan Syariat</w:t>
              <w:tab/>
              <w:t>231</w:t>
            </w:r>
          </w:hyperlink>
        </w:p>
        <w:p>
          <w:pPr>
            <w:pStyle w:val="Contents3"/>
            <w:tabs>
              <w:tab w:val="clear" w:pos="8459"/>
              <w:tab w:val="right" w:pos="9026" w:leader="dot"/>
            </w:tabs>
            <w:bidi w:val="0"/>
            <w:rPr/>
          </w:pPr>
          <w:hyperlink w:anchor="__RefHeading___Toc1351308_581953129">
            <w:r>
              <w:rPr>
                <w:webHidden/>
                <w:rStyle w:val="IndexLink"/>
              </w:rPr>
              <w:t>Tasawuf dan Syariat Khusus</w:t>
              <w:tab/>
              <w:t>233</w:t>
            </w:r>
          </w:hyperlink>
        </w:p>
        <w:p>
          <w:pPr>
            <w:pStyle w:val="Contents3"/>
            <w:tabs>
              <w:tab w:val="clear" w:pos="8459"/>
              <w:tab w:val="right" w:pos="9026" w:leader="dot"/>
            </w:tabs>
            <w:bidi w:val="0"/>
            <w:rPr/>
          </w:pPr>
          <w:hyperlink w:anchor="__RefHeading___Toc1351310_581953129">
            <w:r>
              <w:rPr>
                <w:webHidden/>
                <w:rStyle w:val="IndexLink"/>
              </w:rPr>
              <w:t>Tujuan, Pembenar Sarana</w:t>
              <w:tab/>
              <w:t>237</w:t>
            </w:r>
          </w:hyperlink>
        </w:p>
        <w:p>
          <w:pPr>
            <w:pStyle w:val="Contents3"/>
            <w:tabs>
              <w:tab w:val="clear" w:pos="8459"/>
              <w:tab w:val="right" w:pos="9026" w:leader="dot"/>
            </w:tabs>
            <w:bidi w:val="0"/>
            <w:rPr/>
          </w:pPr>
          <w:hyperlink w:anchor="__RefHeading___Toc1351312_581953129">
            <w:r>
              <w:rPr>
                <w:webHidden/>
                <w:rStyle w:val="IndexLink"/>
              </w:rPr>
              <w:t>Antisyariat dalam Doktrin Malamatiyah</w:t>
              <w:tab/>
              <w:t>243</w:t>
            </w:r>
          </w:hyperlink>
        </w:p>
        <w:p>
          <w:pPr>
            <w:pStyle w:val="Contents3"/>
            <w:tabs>
              <w:tab w:val="clear" w:pos="8459"/>
              <w:tab w:val="right" w:pos="9026" w:leader="dot"/>
            </w:tabs>
            <w:bidi w:val="0"/>
            <w:rPr/>
          </w:pPr>
          <w:hyperlink w:anchor="__RefHeading___Toc1351314_581953129">
            <w:r>
              <w:rPr>
                <w:webHidden/>
                <w:rStyle w:val="IndexLink"/>
              </w:rPr>
              <w:t>Mabuk (Sakr), Pelarian Bebas Syariat</w:t>
              <w:tab/>
              <w:t>245</w:t>
            </w:r>
          </w:hyperlink>
        </w:p>
        <w:p>
          <w:pPr>
            <w:pStyle w:val="Contents3"/>
            <w:tabs>
              <w:tab w:val="clear" w:pos="8459"/>
              <w:tab w:val="right" w:pos="9026" w:leader="dot"/>
            </w:tabs>
            <w:bidi w:val="0"/>
            <w:rPr/>
          </w:pPr>
          <w:hyperlink w:anchor="__RefHeading___Toc1351316_581953129">
            <w:r>
              <w:rPr>
                <w:webHidden/>
                <w:rStyle w:val="IndexLink"/>
              </w:rPr>
              <w:t>Analisis dan Kritik</w:t>
              <w:tab/>
              <w:t>247</w:t>
            </w:r>
          </w:hyperlink>
        </w:p>
        <w:p>
          <w:pPr>
            <w:pStyle w:val="Contents4"/>
            <w:tabs>
              <w:tab w:val="clear" w:pos="8176"/>
              <w:tab w:val="right" w:pos="9026" w:leader="dot"/>
            </w:tabs>
            <w:bidi w:val="0"/>
            <w:rPr/>
          </w:pPr>
          <w:hyperlink w:anchor="__RefHeading___Toc1351318_581953129">
            <w:r>
              <w:rPr>
                <w:webHidden/>
                <w:rStyle w:val="IndexLink"/>
              </w:rPr>
              <w:t>Point</w:t>
              <w:tab/>
              <w:t>247</w:t>
            </w:r>
          </w:hyperlink>
        </w:p>
        <w:p>
          <w:pPr>
            <w:pStyle w:val="Contents4"/>
            <w:tabs>
              <w:tab w:val="clear" w:pos="8176"/>
              <w:tab w:val="right" w:pos="9026" w:leader="dot"/>
            </w:tabs>
            <w:bidi w:val="0"/>
            <w:rPr/>
          </w:pPr>
          <w:hyperlink w:anchor="__RefHeading___Toc1351320_581953129">
            <w:r>
              <w:rPr>
                <w:webHidden/>
                <w:rStyle w:val="IndexLink"/>
              </w:rPr>
              <w:t>Keseutuhan Hakikat dan Syariat</w:t>
              <w:tab/>
              <w:t>248</w:t>
            </w:r>
          </w:hyperlink>
        </w:p>
        <w:p>
          <w:pPr>
            <w:pStyle w:val="Contents4"/>
            <w:tabs>
              <w:tab w:val="clear" w:pos="8176"/>
              <w:tab w:val="right" w:pos="9026" w:leader="dot"/>
            </w:tabs>
            <w:bidi w:val="0"/>
            <w:rPr/>
          </w:pPr>
          <w:hyperlink w:anchor="__RefHeading___Toc1351322_581953129">
            <w:r>
              <w:rPr>
                <w:webHidden/>
                <w:rStyle w:val="IndexLink"/>
              </w:rPr>
              <w:t>Konsistensi Khidhir pada Syariat</w:t>
              <w:tab/>
              <w:t>253</w:t>
            </w:r>
          </w:hyperlink>
        </w:p>
        <w:p>
          <w:pPr>
            <w:pStyle w:val="Contents4"/>
            <w:tabs>
              <w:tab w:val="clear" w:pos="8176"/>
              <w:tab w:val="right" w:pos="9026" w:leader="dot"/>
            </w:tabs>
            <w:bidi w:val="0"/>
            <w:rPr/>
          </w:pPr>
          <w:hyperlink w:anchor="__RefHeading___Toc1351324_581953129">
            <w:r>
              <w:rPr>
                <w:webHidden/>
                <w:rStyle w:val="IndexLink"/>
              </w:rPr>
              <w:t>Koherensi Sarana dan Tujuan</w:t>
              <w:tab/>
              <w:t>255</w:t>
            </w:r>
          </w:hyperlink>
        </w:p>
        <w:p>
          <w:pPr>
            <w:pStyle w:val="Contents4"/>
            <w:tabs>
              <w:tab w:val="clear" w:pos="8176"/>
              <w:tab w:val="right" w:pos="9026" w:leader="dot"/>
            </w:tabs>
            <w:bidi w:val="0"/>
            <w:rPr/>
          </w:pPr>
          <w:hyperlink w:anchor="__RefHeading___Toc1351326_581953129">
            <w:r>
              <w:rPr>
                <w:webHidden/>
                <w:rStyle w:val="IndexLink"/>
              </w:rPr>
              <w:t>Karamah dan tolok ukur kebenaran</w:t>
              <w:tab/>
              <w:t>256</w:t>
            </w:r>
          </w:hyperlink>
        </w:p>
        <w:p>
          <w:pPr>
            <w:pStyle w:val="Contents2"/>
            <w:tabs>
              <w:tab w:val="clear" w:pos="8743"/>
              <w:tab w:val="right" w:pos="9026" w:leader="dot"/>
            </w:tabs>
            <w:bidi w:val="0"/>
            <w:rPr/>
          </w:pPr>
          <w:hyperlink w:anchor="__RefHeading___Toc1351328_581953129">
            <w:r>
              <w:rPr>
                <w:webHidden/>
                <w:rStyle w:val="IndexLink"/>
              </w:rPr>
              <w:t>BAB 8 AKAL: PERSPEKTIF ISLAM</w:t>
              <w:tab/>
              <w:t>259</w:t>
            </w:r>
          </w:hyperlink>
        </w:p>
        <w:p>
          <w:pPr>
            <w:pStyle w:val="Contents3"/>
            <w:tabs>
              <w:tab w:val="clear" w:pos="8459"/>
              <w:tab w:val="right" w:pos="9026" w:leader="dot"/>
            </w:tabs>
            <w:bidi w:val="0"/>
            <w:rPr/>
          </w:pPr>
          <w:hyperlink w:anchor="__RefHeading___Toc1351330_581953129">
            <w:r>
              <w:rPr>
                <w:webHidden/>
                <w:rStyle w:val="IndexLink"/>
              </w:rPr>
              <w:t>Point</w:t>
              <w:tab/>
              <w:t>259</w:t>
            </w:r>
          </w:hyperlink>
        </w:p>
        <w:p>
          <w:pPr>
            <w:pStyle w:val="Contents3"/>
            <w:tabs>
              <w:tab w:val="clear" w:pos="8459"/>
              <w:tab w:val="right" w:pos="9026" w:leader="dot"/>
            </w:tabs>
            <w:bidi w:val="0"/>
            <w:rPr/>
          </w:pPr>
          <w:hyperlink w:anchor="__RefHeading___Toc1351332_581953129">
            <w:r>
              <w:rPr>
                <w:webHidden/>
                <w:rStyle w:val="IndexLink"/>
              </w:rPr>
              <w:t>Tinjauan Teks (Ayat dan Riwayat)</w:t>
              <w:tab/>
              <w:t>260</w:t>
            </w:r>
          </w:hyperlink>
        </w:p>
        <w:p>
          <w:pPr>
            <w:pStyle w:val="Contents3"/>
            <w:tabs>
              <w:tab w:val="clear" w:pos="8459"/>
              <w:tab w:val="right" w:pos="9026" w:leader="dot"/>
            </w:tabs>
            <w:bidi w:val="0"/>
            <w:rPr/>
          </w:pPr>
          <w:hyperlink w:anchor="__RefHeading___Toc1351334_581953129">
            <w:r>
              <w:rPr>
                <w:webHidden/>
                <w:rStyle w:val="IndexLink"/>
              </w:rPr>
              <w:t>Perspektif Alquran</w:t>
              <w:tab/>
              <w:t>263</w:t>
            </w:r>
          </w:hyperlink>
        </w:p>
        <w:p>
          <w:pPr>
            <w:pStyle w:val="Contents4"/>
            <w:tabs>
              <w:tab w:val="clear" w:pos="8176"/>
              <w:tab w:val="right" w:pos="9026" w:leader="dot"/>
            </w:tabs>
            <w:bidi w:val="0"/>
            <w:rPr/>
          </w:pPr>
          <w:hyperlink w:anchor="__RefHeading___Toc1351336_581953129">
            <w:r>
              <w:rPr>
                <w:webHidden/>
                <w:rStyle w:val="IndexLink"/>
              </w:rPr>
              <w:t>Point</w:t>
              <w:tab/>
              <w:t>263</w:t>
            </w:r>
          </w:hyperlink>
        </w:p>
        <w:p>
          <w:pPr>
            <w:pStyle w:val="Contents4"/>
            <w:tabs>
              <w:tab w:val="clear" w:pos="8176"/>
              <w:tab w:val="right" w:pos="9026" w:leader="dot"/>
            </w:tabs>
            <w:bidi w:val="0"/>
            <w:rPr/>
          </w:pPr>
          <w:hyperlink w:anchor="__RefHeading___Toc1351338_581953129">
            <w:r>
              <w:rPr>
                <w:webHidden/>
                <w:rStyle w:val="IndexLink"/>
              </w:rPr>
              <w:t>Mengajak Berpikir</w:t>
              <w:tab/>
              <w:t>263</w:t>
            </w:r>
          </w:hyperlink>
        </w:p>
        <w:p>
          <w:pPr>
            <w:pStyle w:val="Contents4"/>
            <w:tabs>
              <w:tab w:val="clear" w:pos="8176"/>
              <w:tab w:val="right" w:pos="9026" w:leader="dot"/>
            </w:tabs>
            <w:bidi w:val="0"/>
            <w:rPr/>
          </w:pPr>
          <w:hyperlink w:anchor="__RefHeading___Toc1351340_581953129">
            <w:r>
              <w:rPr>
                <w:webHidden/>
                <w:rStyle w:val="IndexLink"/>
              </w:rPr>
              <w:t>Merumuskan Argumentasi Rasional</w:t>
              <w:tab/>
              <w:t>264</w:t>
            </w:r>
          </w:hyperlink>
        </w:p>
        <w:p>
          <w:pPr>
            <w:pStyle w:val="Contents4"/>
            <w:tabs>
              <w:tab w:val="clear" w:pos="8176"/>
              <w:tab w:val="right" w:pos="9026" w:leader="dot"/>
            </w:tabs>
            <w:bidi w:val="0"/>
            <w:rPr/>
          </w:pPr>
          <w:hyperlink w:anchor="__RefHeading___Toc1351342_581953129">
            <w:r>
              <w:rPr>
                <w:webHidden/>
                <w:rStyle w:val="IndexLink"/>
              </w:rPr>
              <w:t>Mengacu Prinsip Kausalitas</w:t>
              <w:tab/>
              <w:t>265</w:t>
            </w:r>
          </w:hyperlink>
        </w:p>
        <w:p>
          <w:pPr>
            <w:pStyle w:val="Contents4"/>
            <w:tabs>
              <w:tab w:val="clear" w:pos="8176"/>
              <w:tab w:val="right" w:pos="9026" w:leader="dot"/>
            </w:tabs>
            <w:bidi w:val="0"/>
            <w:rPr/>
          </w:pPr>
          <w:hyperlink w:anchor="__RefHeading___Toc1351344_581953129">
            <w:r>
              <w:rPr>
                <w:webHidden/>
                <w:rStyle w:val="IndexLink"/>
              </w:rPr>
              <w:t>Menjelaskan Filsafat Hukum</w:t>
              <w:tab/>
              <w:t>267</w:t>
            </w:r>
          </w:hyperlink>
        </w:p>
        <w:p>
          <w:pPr>
            <w:pStyle w:val="Contents4"/>
            <w:tabs>
              <w:tab w:val="clear" w:pos="8176"/>
              <w:tab w:val="right" w:pos="9026" w:leader="dot"/>
            </w:tabs>
            <w:bidi w:val="0"/>
            <w:rPr/>
          </w:pPr>
          <w:hyperlink w:anchor="__RefHeading___Toc1351346_581953129">
            <w:r>
              <w:rPr>
                <w:webHidden/>
                <w:rStyle w:val="IndexLink"/>
              </w:rPr>
              <w:t>Kekeliruan Berpikir</w:t>
              <w:tab/>
              <w:t>267</w:t>
            </w:r>
          </w:hyperlink>
        </w:p>
        <w:p>
          <w:pPr>
            <w:pStyle w:val="Contents4"/>
            <w:tabs>
              <w:tab w:val="clear" w:pos="8176"/>
              <w:tab w:val="right" w:pos="9026" w:leader="dot"/>
            </w:tabs>
            <w:bidi w:val="0"/>
            <w:rPr/>
          </w:pPr>
          <w:hyperlink w:anchor="__RefHeading___Toc1351348_581953129">
            <w:r>
              <w:rPr>
                <w:webHidden/>
                <w:rStyle w:val="IndexLink"/>
              </w:rPr>
              <w:t>Menuruti Prasangka dan Praduga</w:t>
              <w:tab/>
              <w:t>268</w:t>
            </w:r>
          </w:hyperlink>
        </w:p>
        <w:p>
          <w:pPr>
            <w:pStyle w:val="Contents4"/>
            <w:tabs>
              <w:tab w:val="clear" w:pos="8176"/>
              <w:tab w:val="right" w:pos="9026" w:leader="dot"/>
            </w:tabs>
            <w:bidi w:val="0"/>
            <w:rPr/>
          </w:pPr>
          <w:hyperlink w:anchor="__RefHeading___Toc1351350_581953129">
            <w:r>
              <w:rPr>
                <w:webHidden/>
                <w:rStyle w:val="IndexLink"/>
              </w:rPr>
              <w:t>Taklid Buta</w:t>
              <w:tab/>
              <w:t>269</w:t>
            </w:r>
          </w:hyperlink>
        </w:p>
        <w:p>
          <w:pPr>
            <w:pStyle w:val="Contents4"/>
            <w:tabs>
              <w:tab w:val="clear" w:pos="8176"/>
              <w:tab w:val="right" w:pos="9026" w:leader="dot"/>
            </w:tabs>
            <w:bidi w:val="0"/>
            <w:rPr/>
          </w:pPr>
          <w:hyperlink w:anchor="__RefHeading___Toc1351352_581953129">
            <w:r>
              <w:rPr>
                <w:webHidden/>
                <w:rStyle w:val="IndexLink"/>
              </w:rPr>
              <w:t>Ketergesaan</w:t>
              <w:tab/>
              <w:t>270</w:t>
            </w:r>
          </w:hyperlink>
        </w:p>
        <w:p>
          <w:pPr>
            <w:pStyle w:val="Contents4"/>
            <w:tabs>
              <w:tab w:val="clear" w:pos="8176"/>
              <w:tab w:val="right" w:pos="9026" w:leader="dot"/>
            </w:tabs>
            <w:bidi w:val="0"/>
            <w:rPr/>
          </w:pPr>
          <w:hyperlink w:anchor="__RefHeading___Toc1351354_581953129">
            <w:r>
              <w:rPr>
                <w:webHidden/>
                <w:rStyle w:val="IndexLink"/>
              </w:rPr>
              <w:t>Hasrat dan Desakan Jiwa</w:t>
              <w:tab/>
              <w:t>270</w:t>
            </w:r>
          </w:hyperlink>
        </w:p>
        <w:p>
          <w:pPr>
            <w:pStyle w:val="Contents3"/>
            <w:tabs>
              <w:tab w:val="clear" w:pos="8459"/>
              <w:tab w:val="right" w:pos="9026" w:leader="dot"/>
            </w:tabs>
            <w:bidi w:val="0"/>
            <w:rPr/>
          </w:pPr>
          <w:hyperlink w:anchor="__RefHeading___Toc1351356_581953129">
            <w:r>
              <w:rPr>
                <w:webHidden/>
                <w:rStyle w:val="IndexLink"/>
              </w:rPr>
              <w:t>Peran Wahyu</w:t>
              <w:tab/>
              <w:t>272</w:t>
            </w:r>
          </w:hyperlink>
        </w:p>
        <w:p>
          <w:pPr>
            <w:pStyle w:val="Contents4"/>
            <w:tabs>
              <w:tab w:val="clear" w:pos="8176"/>
              <w:tab w:val="right" w:pos="9026" w:leader="dot"/>
            </w:tabs>
            <w:bidi w:val="0"/>
            <w:rPr/>
          </w:pPr>
          <w:hyperlink w:anchor="__RefHeading___Toc1351358_581953129">
            <w:r>
              <w:rPr>
                <w:webHidden/>
                <w:rStyle w:val="IndexLink"/>
              </w:rPr>
              <w:t>Point</w:t>
              <w:tab/>
              <w:t>272</w:t>
            </w:r>
          </w:hyperlink>
        </w:p>
        <w:p>
          <w:pPr>
            <w:pStyle w:val="Contents4"/>
            <w:tabs>
              <w:tab w:val="clear" w:pos="8176"/>
              <w:tab w:val="right" w:pos="9026" w:leader="dot"/>
            </w:tabs>
            <w:bidi w:val="0"/>
            <w:rPr/>
          </w:pPr>
          <w:hyperlink w:anchor="__RefHeading___Toc1351360_581953129">
            <w:r>
              <w:rPr>
                <w:webHidden/>
                <w:rStyle w:val="IndexLink"/>
              </w:rPr>
              <w:t>Menjelaskan Keterbatasan Akal</w:t>
              <w:tab/>
              <w:t>272</w:t>
            </w:r>
          </w:hyperlink>
        </w:p>
        <w:p>
          <w:pPr>
            <w:pStyle w:val="Contents4"/>
            <w:tabs>
              <w:tab w:val="clear" w:pos="8176"/>
              <w:tab w:val="right" w:pos="9026" w:leader="dot"/>
            </w:tabs>
            <w:bidi w:val="0"/>
            <w:rPr/>
          </w:pPr>
          <w:hyperlink w:anchor="__RefHeading___Toc1351362_581953129">
            <w:r>
              <w:rPr>
                <w:webHidden/>
                <w:rStyle w:val="IndexLink"/>
              </w:rPr>
              <w:t>Mengarahkan pada Objek</w:t>
              <w:tab/>
              <w:t>273</w:t>
            </w:r>
          </w:hyperlink>
        </w:p>
        <w:p>
          <w:pPr>
            <w:pStyle w:val="Contents4"/>
            <w:tabs>
              <w:tab w:val="clear" w:pos="8176"/>
              <w:tab w:val="right" w:pos="9026" w:leader="dot"/>
            </w:tabs>
            <w:bidi w:val="0"/>
            <w:rPr/>
          </w:pPr>
          <w:hyperlink w:anchor="__RefHeading___Toc1351364_581953129">
            <w:r>
              <w:rPr>
                <w:webHidden/>
                <w:rStyle w:val="IndexLink"/>
              </w:rPr>
              <w:t>Menunjukkan Rincian Jalan</w:t>
              <w:tab/>
              <w:t>274</w:t>
            </w:r>
          </w:hyperlink>
        </w:p>
        <w:p>
          <w:pPr>
            <w:pStyle w:val="Contents4"/>
            <w:tabs>
              <w:tab w:val="clear" w:pos="8176"/>
              <w:tab w:val="right" w:pos="9026" w:leader="dot"/>
            </w:tabs>
            <w:bidi w:val="0"/>
            <w:rPr/>
          </w:pPr>
          <w:hyperlink w:anchor="__RefHeading___Toc1351366_581953129">
            <w:r>
              <w:rPr>
                <w:webHidden/>
                <w:rStyle w:val="IndexLink"/>
              </w:rPr>
              <w:t>Menunjukkan Kekeliruan Berpikir</w:t>
              <w:tab/>
              <w:t>275</w:t>
            </w:r>
          </w:hyperlink>
        </w:p>
        <w:p>
          <w:pPr>
            <w:pStyle w:val="Contents3"/>
            <w:tabs>
              <w:tab w:val="clear" w:pos="8459"/>
              <w:tab w:val="right" w:pos="9026" w:leader="dot"/>
            </w:tabs>
            <w:bidi w:val="0"/>
            <w:rPr/>
          </w:pPr>
          <w:hyperlink w:anchor="__RefHeading___Toc1351368_581953129">
            <w:r>
              <w:rPr>
                <w:webHidden/>
                <w:rStyle w:val="IndexLink"/>
              </w:rPr>
              <w:t>Peran Akal</w:t>
              <w:tab/>
              <w:t>275</w:t>
            </w:r>
          </w:hyperlink>
        </w:p>
        <w:p>
          <w:pPr>
            <w:pStyle w:val="Contents4"/>
            <w:tabs>
              <w:tab w:val="clear" w:pos="8176"/>
              <w:tab w:val="right" w:pos="9026" w:leader="dot"/>
            </w:tabs>
            <w:bidi w:val="0"/>
            <w:rPr/>
          </w:pPr>
          <w:hyperlink w:anchor="__RefHeading___Toc1351370_581953129">
            <w:r>
              <w:rPr>
                <w:webHidden/>
                <w:rStyle w:val="IndexLink"/>
              </w:rPr>
              <w:t>Point</w:t>
              <w:tab/>
              <w:t>275</w:t>
            </w:r>
          </w:hyperlink>
        </w:p>
        <w:p>
          <w:pPr>
            <w:pStyle w:val="Contents4"/>
            <w:tabs>
              <w:tab w:val="clear" w:pos="8176"/>
              <w:tab w:val="right" w:pos="9026" w:leader="dot"/>
            </w:tabs>
            <w:bidi w:val="0"/>
            <w:rPr/>
          </w:pPr>
          <w:hyperlink w:anchor="__RefHeading___Toc1351372_581953129">
            <w:r>
              <w:rPr>
                <w:webHidden/>
                <w:rStyle w:val="IndexLink"/>
              </w:rPr>
              <w:t>Akal sebagai Tolok Ukur</w:t>
              <w:tab/>
              <w:t>276</w:t>
            </w:r>
          </w:hyperlink>
        </w:p>
        <w:p>
          <w:pPr>
            <w:pStyle w:val="Contents4"/>
            <w:tabs>
              <w:tab w:val="clear" w:pos="8176"/>
              <w:tab w:val="right" w:pos="9026" w:leader="dot"/>
            </w:tabs>
            <w:bidi w:val="0"/>
            <w:rPr/>
          </w:pPr>
          <w:hyperlink w:anchor="__RefHeading___Toc1351374_581953129">
            <w:r>
              <w:rPr>
                <w:webHidden/>
                <w:rStyle w:val="IndexLink"/>
              </w:rPr>
              <w:t>Mengafirmasi Kebenaran Agama</w:t>
              <w:tab/>
              <w:t>276</w:t>
            </w:r>
          </w:hyperlink>
        </w:p>
        <w:p>
          <w:pPr>
            <w:pStyle w:val="Contents4"/>
            <w:tabs>
              <w:tab w:val="clear" w:pos="8176"/>
              <w:tab w:val="right" w:pos="9026" w:leader="dot"/>
            </w:tabs>
            <w:bidi w:val="0"/>
            <w:rPr/>
          </w:pPr>
          <w:hyperlink w:anchor="__RefHeading___Toc1351376_581953129">
            <w:r>
              <w:rPr>
                <w:webHidden/>
                <w:rStyle w:val="IndexLink"/>
              </w:rPr>
              <w:t>Membuktikan Prinsip-prinsip Keimanan</w:t>
              <w:tab/>
              <w:t>277</w:t>
            </w:r>
          </w:hyperlink>
        </w:p>
        <w:p>
          <w:pPr>
            <w:pStyle w:val="Contents4"/>
            <w:tabs>
              <w:tab w:val="clear" w:pos="8176"/>
              <w:tab w:val="right" w:pos="9026" w:leader="dot"/>
            </w:tabs>
            <w:bidi w:val="0"/>
            <w:rPr/>
          </w:pPr>
          <w:hyperlink w:anchor="__RefHeading___Toc1351378_581953129">
            <w:r>
              <w:rPr>
                <w:webHidden/>
                <w:rStyle w:val="IndexLink"/>
              </w:rPr>
              <w:t>Melindungi Agama dari Penyimpangan</w:t>
              <w:tab/>
              <w:t>277</w:t>
            </w:r>
          </w:hyperlink>
        </w:p>
        <w:p>
          <w:pPr>
            <w:pStyle w:val="Contents4"/>
            <w:tabs>
              <w:tab w:val="clear" w:pos="8176"/>
              <w:tab w:val="right" w:pos="9026" w:leader="dot"/>
            </w:tabs>
            <w:bidi w:val="0"/>
            <w:rPr/>
          </w:pPr>
          <w:hyperlink w:anchor="__RefHeading___Toc1351380_581953129">
            <w:r>
              <w:rPr>
                <w:webHidden/>
                <w:rStyle w:val="IndexLink"/>
              </w:rPr>
              <w:t>Akal sebagai Kunci</w:t>
              <w:tab/>
              <w:t>278</w:t>
            </w:r>
          </w:hyperlink>
        </w:p>
        <w:p>
          <w:pPr>
            <w:pStyle w:val="Contents4"/>
            <w:tabs>
              <w:tab w:val="clear" w:pos="8176"/>
              <w:tab w:val="right" w:pos="9026" w:leader="dot"/>
            </w:tabs>
            <w:bidi w:val="0"/>
            <w:rPr/>
          </w:pPr>
          <w:hyperlink w:anchor="__RefHeading___Toc1351382_581953129">
            <w:r>
              <w:rPr>
                <w:webHidden/>
                <w:rStyle w:val="IndexLink"/>
              </w:rPr>
              <w:t>Akal sebagai Pelita</w:t>
              <w:tab/>
              <w:t>279</w:t>
            </w:r>
          </w:hyperlink>
        </w:p>
        <w:p>
          <w:pPr>
            <w:pStyle w:val="Contents4"/>
            <w:tabs>
              <w:tab w:val="clear" w:pos="8176"/>
              <w:tab w:val="right" w:pos="9026" w:leader="dot"/>
            </w:tabs>
            <w:bidi w:val="0"/>
            <w:rPr/>
          </w:pPr>
          <w:hyperlink w:anchor="__RefHeading___Toc1351384_581953129">
            <w:r>
              <w:rPr>
                <w:webHidden/>
                <w:rStyle w:val="IndexLink"/>
              </w:rPr>
              <w:t>Baik-Buruk Rasional (Husn wa Qubh ‘Aqli)</w:t>
              <w:tab/>
              <w:t>279</w:t>
            </w:r>
          </w:hyperlink>
        </w:p>
        <w:p>
          <w:pPr>
            <w:pStyle w:val="Contents4"/>
            <w:tabs>
              <w:tab w:val="clear" w:pos="8176"/>
              <w:tab w:val="right" w:pos="9026" w:leader="dot"/>
            </w:tabs>
            <w:bidi w:val="0"/>
            <w:rPr/>
          </w:pPr>
          <w:hyperlink w:anchor="__RefHeading___Toc1351386_581953129">
            <w:r>
              <w:rPr>
                <w:webHidden/>
                <w:rStyle w:val="IndexLink"/>
              </w:rPr>
              <w:t>Kaidah Korelasi (Mulazamah)</w:t>
              <w:tab/>
              <w:t>282</w:t>
            </w:r>
          </w:hyperlink>
        </w:p>
        <w:p>
          <w:pPr>
            <w:pStyle w:val="Contents2"/>
            <w:tabs>
              <w:tab w:val="clear" w:pos="8743"/>
              <w:tab w:val="right" w:pos="9026" w:leader="dot"/>
            </w:tabs>
            <w:bidi w:val="0"/>
            <w:rPr/>
          </w:pPr>
          <w:hyperlink w:anchor="__RefHeading___Toc1351388_581953129">
            <w:r>
              <w:rPr>
                <w:webHidden/>
                <w:rStyle w:val="IndexLink"/>
              </w:rPr>
              <w:t>DAFTAR PUSTAKA</w:t>
              <w:tab/>
              <w:t>285</w:t>
            </w:r>
          </w:hyperlink>
        </w:p>
        <w:p>
          <w:pPr>
            <w:pStyle w:val="Contents2"/>
            <w:tabs>
              <w:tab w:val="clear" w:pos="8743"/>
              <w:tab w:val="right" w:pos="9026" w:leader="dot"/>
            </w:tabs>
            <w:bidi w:val="0"/>
            <w:rPr/>
          </w:pPr>
          <w:hyperlink w:anchor="__RefHeading___Toc1351390_581953129">
            <w:r>
              <w:rPr>
                <w:webHidden/>
                <w:rStyle w:val="IndexLink"/>
              </w:rPr>
              <w:t>INDEKS</w:t>
              <w:tab/>
              <w:t>317</w:t>
            </w:r>
          </w:hyperlink>
        </w:p>
        <w:p>
          <w:pPr>
            <w:pStyle w:val="Contents2"/>
            <w:tabs>
              <w:tab w:val="clear" w:pos="8743"/>
              <w:tab w:val="right" w:pos="9026" w:leader="dot"/>
            </w:tabs>
            <w:bidi w:val="0"/>
            <w:rPr/>
          </w:pPr>
          <w:hyperlink w:anchor="__RefHeading___Toc1351392_581953129">
            <w:r>
              <w:rPr>
                <w:webHidden/>
                <w:rStyle w:val="IndexLink"/>
              </w:rPr>
              <w:t>LAMPIRAN</w:t>
              <w:tab/>
              <w:t>323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376_50338"/>
      <w:bookmarkStart w:id="1" w:name="pg5376_50338"/>
      <w:bookmarkEnd w:id="1"/>
    </w:p>
    <w:p>
      <w:pPr>
        <w:pStyle w:val="Heading2"/>
        <w:numPr>
          <w:ilvl w:val="1"/>
          <w:numId w:val="1"/>
        </w:numPr>
        <w:bidi w:val="0"/>
        <w:jc w:val="left"/>
        <w:rPr/>
      </w:pPr>
      <w:bookmarkStart w:id="2" w:name="pg5376_50338"/>
      <w:bookmarkStart w:id="3" w:name="__RefHeading___Toc1351044_581953129"/>
      <w:bookmarkStart w:id="4" w:name="_Toc1"/>
      <w:bookmarkEnd w:id="2"/>
      <w:bookmarkEnd w:id="3"/>
      <w:r>
        <w:rPr/>
        <w:t>BOOK ID</w:t>
      </w:r>
      <w:bookmarkEnd w:id="4"/>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یوسفیان، حسن</w:t>
      </w:r>
    </w:p>
    <w:p>
      <w:pPr>
        <w:pStyle w:val="BookText"/>
        <w:bidi w:val="0"/>
        <w:jc w:val="both"/>
        <w:rPr/>
      </w:pPr>
      <w:r>
        <w:rPr>
          <w:rFonts w:eastAsia="Times New Roman" w:cs="Times New Roman" w:ascii="Times New Roman" w:hAnsi="Times New Roman"/>
          <w:color w:val="111111"/>
          <w:sz w:val="28"/>
          <w:szCs w:val="28"/>
          <w:lang w:val="en-US"/>
        </w:rPr>
        <w:t>Yusufiyan, Hasan</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Akal Dan Wahyu Tentang RasionalitasDalam Ilmu, Agama dan Filsafat/ Hasan Yusfian, Ahmad Husain Sharifi; penterjemah Ammar Fauzi Heryadi.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Al-Mustafa International Translation and Publication Center, 2014= 1393.</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۲۶۴</w:t>
      </w:r>
      <w:r>
        <w:rPr>
          <w:rFonts w:eastAsia="IRNazanin" w:cs="IRNazanin"/>
          <w:color w:val="111111"/>
          <w:sz w:val="28"/>
          <w:szCs w:val="28"/>
          <w:lang w:bidi="fa-IR"/>
        </w:rPr>
        <w:t>/</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المصطفی در اندونزی؛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035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اندوزیایی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احمدحسین،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Sharifi,Ahmad Husain</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فوزی‌هریادی، عمار،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Fauzi Heryadi, ,Ammar</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‌۷۰۴۹۵۱۹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۴۸۱۲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۳۶۴۹۴۹۱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351046_581953129"/>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Akal Dan Wahyu Tentang Rasionalitas Dalam Ilmu, Agama dan Filsafat</w:t>
      </w:r>
    </w:p>
    <w:p>
      <w:pPr>
        <w:pStyle w:val="BookText"/>
        <w:bidi w:val="0"/>
        <w:jc w:val="both"/>
        <w:rPr/>
      </w:pPr>
      <w:r>
        <w:rPr>
          <w:rFonts w:eastAsia="Times New Roman" w:cs="Times New Roman" w:ascii="Times New Roman" w:hAnsi="Times New Roman"/>
          <w:color w:val="111111"/>
          <w:sz w:val="28"/>
          <w:szCs w:val="28"/>
          <w:lang w:val="en-US"/>
        </w:rPr>
        <w:t>penulis: Hasan Yusfian, Ahmad Husain Sharifi</w:t>
      </w:r>
    </w:p>
    <w:p>
      <w:pPr>
        <w:pStyle w:val="BookText"/>
        <w:bidi w:val="0"/>
        <w:jc w:val="both"/>
        <w:rPr/>
      </w:pPr>
      <w:r>
        <w:rPr>
          <w:rFonts w:eastAsia="Times New Roman" w:cs="Times New Roman" w:ascii="Times New Roman" w:hAnsi="Times New Roman"/>
          <w:color w:val="111111"/>
          <w:sz w:val="28"/>
          <w:szCs w:val="28"/>
          <w:lang w:val="en-US"/>
        </w:rPr>
        <w:t>penerjemah: Ammar Fauzi Heryadi</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978-964-195-035-6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Al-Mustafa International Publication and Translation Center </w:t>
      </w:r>
    </w:p>
    <w:p>
      <w:pPr>
        <w:pStyle w:val="BookText"/>
        <w:bidi w:val="0"/>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Mashad; Imam Reza (a.s)Avenue, DanishAvenue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kepada semua pihak yang turut andil dalam penerbitan buku ini kami haturkan banyak terima kasih</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www.pub.miu.ac.ir miup@pub.miu.ac.ir </w:t>
      </w:r>
      <w:bookmarkStart w:id="7" w:name="pg5376_50345"/>
    </w:p>
    <w:p>
      <w:pPr>
        <w:pStyle w:val="Heading2"/>
        <w:numPr>
          <w:ilvl w:val="1"/>
          <w:numId w:val="1"/>
        </w:numPr>
        <w:bidi w:val="0"/>
        <w:jc w:val="left"/>
        <w:rPr/>
      </w:pPr>
      <w:bookmarkStart w:id="8" w:name="__RefHeading___Toc1351048_581953129"/>
      <w:bookmarkStart w:id="9" w:name="_Toc3"/>
      <w:bookmarkEnd w:id="7"/>
      <w:bookmarkEnd w:id="8"/>
      <w:r>
        <w:rPr/>
        <w:t>DAFTAR ISI</w:t>
      </w:r>
      <w:bookmarkEnd w:id="9"/>
    </w:p>
    <w:p>
      <w:pPr>
        <w:pStyle w:val="BookText"/>
        <w:bidi w:val="0"/>
        <w:jc w:val="both"/>
        <w:rPr/>
      </w:pPr>
      <w:r>
        <w:rPr>
          <w:rFonts w:eastAsia="Times New Roman" w:cs="Times New Roman" w:ascii="Times New Roman" w:hAnsi="Times New Roman"/>
          <w:color w:val="111111"/>
          <w:sz w:val="28"/>
          <w:szCs w:val="28"/>
          <w:lang w:val="en-US"/>
        </w:rPr>
        <w:t>Pengantar IICT xiii</w:t>
      </w:r>
    </w:p>
    <w:p>
      <w:pPr>
        <w:pStyle w:val="BookText"/>
        <w:bidi w:val="0"/>
        <w:jc w:val="both"/>
        <w:rPr/>
      </w:pPr>
      <w:r>
        <w:rPr>
          <w:rFonts w:eastAsia="Times New Roman" w:cs="Times New Roman" w:ascii="Times New Roman" w:hAnsi="Times New Roman"/>
          <w:color w:val="111111"/>
          <w:sz w:val="28"/>
          <w:szCs w:val="28"/>
          <w:lang w:val="en-US"/>
        </w:rPr>
        <w:t>Pendahuluan 1</w:t>
      </w:r>
    </w:p>
    <w:p>
      <w:pPr>
        <w:pStyle w:val="BookText"/>
        <w:bidi w:val="0"/>
        <w:jc w:val="both"/>
        <w:rPr/>
      </w:pPr>
      <w:r>
        <w:rPr>
          <w:rFonts w:eastAsia="Times New Roman" w:cs="Times New Roman" w:ascii="Times New Roman" w:hAnsi="Times New Roman"/>
          <w:color w:val="111111"/>
          <w:sz w:val="28"/>
          <w:szCs w:val="28"/>
          <w:lang w:val="en-US"/>
        </w:rPr>
        <w:t>BABI Definisi Akal Dan Wahyu 9</w:t>
      </w:r>
    </w:p>
    <w:p>
      <w:pPr>
        <w:pStyle w:val="BookText"/>
        <w:bidi w:val="0"/>
        <w:jc w:val="both"/>
        <w:rPr/>
      </w:pPr>
      <w:r>
        <w:rPr>
          <w:rFonts w:eastAsia="Times New Roman" w:cs="Times New Roman" w:ascii="Times New Roman" w:hAnsi="Times New Roman"/>
          <w:color w:val="111111"/>
          <w:sz w:val="28"/>
          <w:szCs w:val="28"/>
          <w:lang w:val="en-US"/>
        </w:rPr>
        <w:t>Jalan Memperoleh Pengetahuan 10</w:t>
      </w:r>
    </w:p>
    <w:p>
      <w:pPr>
        <w:pStyle w:val="BookText"/>
        <w:bidi w:val="0"/>
        <w:jc w:val="both"/>
        <w:rPr/>
      </w:pPr>
      <w:r>
        <w:rPr>
          <w:rFonts w:eastAsia="Times New Roman" w:cs="Times New Roman" w:ascii="Times New Roman" w:hAnsi="Times New Roman"/>
          <w:color w:val="111111"/>
          <w:sz w:val="28"/>
          <w:szCs w:val="28"/>
          <w:lang w:val="en-US"/>
        </w:rPr>
        <w:t>Jalan Umum 11</w:t>
      </w:r>
    </w:p>
    <w:p>
      <w:pPr>
        <w:pStyle w:val="BookText"/>
        <w:bidi w:val="0"/>
        <w:jc w:val="both"/>
        <w:rPr/>
      </w:pPr>
      <w:r>
        <w:rPr>
          <w:rFonts w:eastAsia="Times New Roman" w:cs="Times New Roman" w:ascii="Times New Roman" w:hAnsi="Times New Roman"/>
          <w:color w:val="111111"/>
          <w:sz w:val="28"/>
          <w:szCs w:val="28"/>
          <w:lang w:val="en-US"/>
        </w:rPr>
        <w:t>Indra dan Eksperimen 11</w:t>
      </w:r>
    </w:p>
    <w:p>
      <w:pPr>
        <w:pStyle w:val="BookText"/>
        <w:bidi w:val="0"/>
        <w:jc w:val="both"/>
        <w:rPr/>
      </w:pPr>
      <w:r>
        <w:rPr>
          <w:rFonts w:eastAsia="Times New Roman" w:cs="Times New Roman" w:ascii="Times New Roman" w:hAnsi="Times New Roman"/>
          <w:color w:val="111111"/>
          <w:sz w:val="28"/>
          <w:szCs w:val="28"/>
          <w:lang w:val="en-US"/>
        </w:rPr>
        <w:t>Pemikiran dan Pembuktian 12</w:t>
      </w:r>
    </w:p>
    <w:p>
      <w:pPr>
        <w:pStyle w:val="BookText"/>
        <w:bidi w:val="0"/>
        <w:jc w:val="both"/>
        <w:rPr/>
      </w:pPr>
      <w:r>
        <w:rPr>
          <w:rFonts w:eastAsia="Times New Roman" w:cs="Times New Roman" w:ascii="Times New Roman" w:hAnsi="Times New Roman"/>
          <w:color w:val="111111"/>
          <w:sz w:val="28"/>
          <w:szCs w:val="28"/>
          <w:lang w:val="en-US"/>
        </w:rPr>
        <w:t>Teks (Naql) 13</w:t>
      </w:r>
    </w:p>
    <w:p>
      <w:pPr>
        <w:pStyle w:val="BookText"/>
        <w:bidi w:val="0"/>
        <w:jc w:val="both"/>
        <w:rPr/>
      </w:pPr>
      <w:r>
        <w:rPr>
          <w:rFonts w:eastAsia="Times New Roman" w:cs="Times New Roman" w:ascii="Times New Roman" w:hAnsi="Times New Roman"/>
          <w:color w:val="111111"/>
          <w:sz w:val="28"/>
          <w:szCs w:val="28"/>
          <w:lang w:val="en-US"/>
        </w:rPr>
        <w:t>Penyaksian Batin (Syuliuid Bathini) 13</w:t>
      </w:r>
    </w:p>
    <w:p>
      <w:pPr>
        <w:pStyle w:val="BookText"/>
        <w:bidi w:val="0"/>
        <w:jc w:val="both"/>
        <w:rPr/>
      </w:pPr>
      <w:r>
        <w:rPr>
          <w:rFonts w:eastAsia="Times New Roman" w:cs="Times New Roman" w:ascii="Times New Roman" w:hAnsi="Times New Roman"/>
          <w:color w:val="111111"/>
          <w:sz w:val="28"/>
          <w:szCs w:val="28"/>
          <w:lang w:val="en-US"/>
        </w:rPr>
        <w:t>Jalan Khusus 15</w:t>
      </w:r>
    </w:p>
    <w:p>
      <w:pPr>
        <w:pStyle w:val="BookText"/>
        <w:bidi w:val="0"/>
        <w:jc w:val="both"/>
        <w:rPr/>
      </w:pPr>
      <w:r>
        <w:rPr>
          <w:rFonts w:eastAsia="Times New Roman" w:cs="Times New Roman" w:ascii="Times New Roman" w:hAnsi="Times New Roman"/>
          <w:color w:val="111111"/>
          <w:sz w:val="28"/>
          <w:szCs w:val="28"/>
          <w:lang w:val="en-US"/>
        </w:rPr>
        <w:t>Huduri 16</w:t>
      </w:r>
    </w:p>
    <w:p>
      <w:pPr>
        <w:pStyle w:val="BookText"/>
        <w:bidi w:val="0"/>
        <w:jc w:val="both"/>
        <w:rPr/>
      </w:pPr>
      <w:r>
        <w:rPr>
          <w:rFonts w:eastAsia="Times New Roman" w:cs="Times New Roman" w:ascii="Times New Roman" w:hAnsi="Times New Roman"/>
          <w:color w:val="111111"/>
          <w:sz w:val="28"/>
          <w:szCs w:val="28"/>
          <w:lang w:val="en-US"/>
        </w:rPr>
        <w:t>Mustahil Keliru 16</w:t>
      </w:r>
    </w:p>
    <w:p>
      <w:pPr>
        <w:pStyle w:val="BookText"/>
        <w:bidi w:val="0"/>
        <w:jc w:val="both"/>
        <w:rPr/>
      </w:pPr>
      <w:r>
        <w:rPr>
          <w:rFonts w:eastAsia="Times New Roman" w:cs="Times New Roman" w:ascii="Times New Roman" w:hAnsi="Times New Roman"/>
          <w:color w:val="111111"/>
          <w:sz w:val="28"/>
          <w:szCs w:val="28"/>
          <w:lang w:val="en-US"/>
        </w:rPr>
        <w:t>Terma-terma Alternatif 17</w:t>
      </w:r>
    </w:p>
    <w:p>
      <w:pPr>
        <w:pStyle w:val="BookText"/>
        <w:bidi w:val="0"/>
        <w:jc w:val="both"/>
        <w:rPr/>
      </w:pPr>
      <w:r>
        <w:rPr>
          <w:rFonts w:eastAsia="Times New Roman" w:cs="Times New Roman" w:ascii="Times New Roman" w:hAnsi="Times New Roman"/>
          <w:color w:val="111111"/>
          <w:sz w:val="28"/>
          <w:szCs w:val="28"/>
          <w:lang w:val="en-US"/>
        </w:rPr>
        <w:t>Akal dan Agama 17</w:t>
      </w:r>
    </w:p>
    <w:p>
      <w:pPr>
        <w:pStyle w:val="BookText"/>
        <w:bidi w:val="0"/>
        <w:jc w:val="both"/>
        <w:rPr/>
      </w:pPr>
      <w:r>
        <w:rPr>
          <w:rFonts w:eastAsia="Times New Roman" w:cs="Times New Roman" w:ascii="Times New Roman" w:hAnsi="Times New Roman"/>
          <w:color w:val="111111"/>
          <w:sz w:val="28"/>
          <w:szCs w:val="28"/>
          <w:lang w:val="en-US"/>
        </w:rPr>
        <w:t>Kesalahpahaman Akibat Melawankan Akal</w:t>
      </w:r>
    </w:p>
    <w:p>
      <w:pPr>
        <w:pStyle w:val="BookText"/>
        <w:bidi w:val="0"/>
        <w:jc w:val="both"/>
        <w:rPr/>
      </w:pPr>
      <w:r>
        <w:rPr>
          <w:rFonts w:eastAsia="Times New Roman" w:cs="Times New Roman" w:ascii="Times New Roman" w:hAnsi="Times New Roman"/>
          <w:color w:val="111111"/>
          <w:sz w:val="28"/>
          <w:szCs w:val="28"/>
          <w:lang w:val="en-US"/>
        </w:rPr>
        <w:t>dengan Agama 17</w:t>
      </w:r>
    </w:p>
    <w:p>
      <w:pPr>
        <w:pStyle w:val="BookText"/>
        <w:bidi w:val="0"/>
        <w:jc w:val="both"/>
        <w:rPr/>
      </w:pPr>
      <w:r>
        <w:rPr>
          <w:rFonts w:eastAsia="Times New Roman" w:cs="Times New Roman" w:ascii="Times New Roman" w:hAnsi="Times New Roman"/>
          <w:color w:val="111111"/>
          <w:sz w:val="28"/>
          <w:szCs w:val="28"/>
          <w:lang w:val="en-US"/>
        </w:rPr>
        <w:t>Kendala Pendefinisian Agama 18</w:t>
      </w:r>
    </w:p>
    <w:p>
      <w:pPr>
        <w:pStyle w:val="BookText"/>
        <w:bidi w:val="0"/>
        <w:jc w:val="both"/>
        <w:rPr/>
      </w:pPr>
      <w:r>
        <w:rPr>
          <w:rFonts w:eastAsia="Times New Roman" w:cs="Times New Roman" w:ascii="Times New Roman" w:hAnsi="Times New Roman"/>
          <w:color w:val="111111"/>
          <w:sz w:val="28"/>
          <w:szCs w:val="28"/>
          <w:lang w:val="en-US"/>
        </w:rPr>
        <w:t>Agama dan Filsafat 19</w:t>
      </w:r>
    </w:p>
    <w:p>
      <w:pPr>
        <w:pStyle w:val="BookText"/>
        <w:bidi w:val="0"/>
        <w:jc w:val="both"/>
        <w:rPr/>
      </w:pPr>
      <w:r>
        <w:rPr>
          <w:rFonts w:eastAsia="Times New Roman" w:cs="Times New Roman" w:ascii="Times New Roman" w:hAnsi="Times New Roman"/>
          <w:color w:val="111111"/>
          <w:sz w:val="28"/>
          <w:szCs w:val="28"/>
          <w:lang w:val="en-US"/>
        </w:rPr>
        <w:t>IImu dan Agama 24</w:t>
      </w:r>
    </w:p>
    <w:p>
      <w:pPr>
        <w:pStyle w:val="BookText"/>
        <w:bidi w:val="0"/>
        <w:jc w:val="both"/>
        <w:rPr/>
      </w:pPr>
      <w:r>
        <w:rPr>
          <w:rFonts w:eastAsia="Times New Roman" w:cs="Times New Roman" w:ascii="Times New Roman" w:hAnsi="Times New Roman"/>
          <w:color w:val="111111"/>
          <w:sz w:val="28"/>
          <w:szCs w:val="28"/>
          <w:lang w:val="en-US"/>
        </w:rPr>
        <w:t>Akal dan Iman 24</w:t>
      </w:r>
    </w:p>
    <w:p>
      <w:pPr>
        <w:pStyle w:val="BookText"/>
        <w:bidi w:val="0"/>
        <w:jc w:val="both"/>
        <w:rPr/>
      </w:pPr>
      <w:r>
        <w:rPr>
          <w:rFonts w:eastAsia="Times New Roman" w:cs="Times New Roman" w:ascii="Times New Roman" w:hAnsi="Times New Roman"/>
          <w:color w:val="111111"/>
          <w:sz w:val="28"/>
          <w:szCs w:val="28"/>
          <w:lang w:val="en-US"/>
        </w:rPr>
        <w:t>Sekilas “Rasionalisme” 27</w:t>
      </w:r>
    </w:p>
    <w:p>
      <w:pPr>
        <w:pStyle w:val="BookText"/>
        <w:bidi w:val="0"/>
        <w:jc w:val="both"/>
        <w:rPr/>
      </w:pPr>
      <w:r>
        <w:rPr>
          <w:rFonts w:eastAsia="Times New Roman" w:cs="Times New Roman" w:ascii="Times New Roman" w:hAnsi="Times New Roman"/>
          <w:color w:val="111111"/>
          <w:sz w:val="28"/>
          <w:szCs w:val="28"/>
          <w:lang w:val="en-US"/>
        </w:rPr>
        <w:t>Makna Rasionalisme vis-a-vis Empirisme 28</w:t>
      </w:r>
    </w:p>
    <w:p>
      <w:pPr>
        <w:pStyle w:val="BookText"/>
        <w:bidi w:val="0"/>
        <w:jc w:val="both"/>
        <w:rPr/>
      </w:pPr>
      <w:r>
        <w:rPr>
          <w:rFonts w:eastAsia="Times New Roman" w:cs="Times New Roman" w:ascii="Times New Roman" w:hAnsi="Times New Roman"/>
          <w:color w:val="111111"/>
          <w:sz w:val="28"/>
          <w:szCs w:val="28"/>
          <w:lang w:val="en-US"/>
        </w:rPr>
        <w:t>Makna Rasionalisme vis-a-vis Fideisme dan</w:t>
      </w:r>
    </w:p>
    <w:p>
      <w:pPr>
        <w:pStyle w:val="BookText"/>
        <w:bidi w:val="0"/>
        <w:jc w:val="both"/>
        <w:rPr/>
      </w:pPr>
      <w:r>
        <w:rPr>
          <w:rFonts w:eastAsia="Times New Roman" w:cs="Times New Roman" w:ascii="Times New Roman" w:hAnsi="Times New Roman"/>
          <w:color w:val="111111"/>
          <w:sz w:val="28"/>
          <w:szCs w:val="28"/>
          <w:lang w:val="en-US"/>
        </w:rPr>
        <w:t>Literalisme 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p:v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BAB II Makna Akal dalam Skema Pro-Kontra 31</w:t>
      </w:r>
    </w:p>
    <w:p>
      <w:pPr>
        <w:pStyle w:val="BookText"/>
        <w:bidi w:val="0"/>
        <w:jc w:val="both"/>
        <w:rPr/>
      </w:pPr>
      <w:r>
        <w:rPr>
          <w:rFonts w:eastAsia="Times New Roman" w:cs="Times New Roman" w:ascii="Times New Roman" w:hAnsi="Times New Roman"/>
          <w:color w:val="111111"/>
          <w:sz w:val="28"/>
          <w:szCs w:val="28"/>
          <w:lang w:val="en-US"/>
        </w:rPr>
        <w:t>Akal, Sarana atau Sumber? 36</w:t>
      </w:r>
    </w:p>
    <w:p>
      <w:pPr>
        <w:pStyle w:val="BookText"/>
        <w:bidi w:val="0"/>
        <w:jc w:val="both"/>
        <w:rPr/>
      </w:pPr>
      <w:r>
        <w:rPr>
          <w:rFonts w:eastAsia="Times New Roman" w:cs="Times New Roman" w:ascii="Times New Roman" w:hAnsi="Times New Roman"/>
          <w:color w:val="111111"/>
          <w:sz w:val="28"/>
          <w:szCs w:val="28"/>
          <w:lang w:val="en-US"/>
        </w:rPr>
        <w:t>Sarana, Bukan Sumber Pengetahuan 36</w:t>
      </w:r>
    </w:p>
    <w:p>
      <w:pPr>
        <w:pStyle w:val="BookText"/>
        <w:bidi w:val="0"/>
        <w:jc w:val="both"/>
        <w:rPr/>
      </w:pPr>
      <w:r>
        <w:rPr>
          <w:rFonts w:eastAsia="Times New Roman" w:cs="Times New Roman" w:ascii="Times New Roman" w:hAnsi="Times New Roman"/>
          <w:color w:val="111111"/>
          <w:sz w:val="28"/>
          <w:szCs w:val="28"/>
          <w:lang w:val="en-US"/>
        </w:rPr>
        <w:t>Analisis 37</w:t>
      </w:r>
    </w:p>
    <w:p>
      <w:pPr>
        <w:pStyle w:val="BookText"/>
        <w:bidi w:val="0"/>
        <w:jc w:val="both"/>
        <w:rPr/>
      </w:pPr>
      <w:r>
        <w:rPr>
          <w:rFonts w:eastAsia="Times New Roman" w:cs="Times New Roman" w:ascii="Times New Roman" w:hAnsi="Times New Roman"/>
          <w:color w:val="111111"/>
          <w:sz w:val="28"/>
          <w:szCs w:val="28"/>
          <w:lang w:val="en-US"/>
        </w:rPr>
        <w:t>Akal di Kalangan Kaum Arif 38</w:t>
      </w:r>
    </w:p>
    <w:p>
      <w:pPr>
        <w:pStyle w:val="BookText"/>
        <w:bidi w:val="0"/>
        <w:jc w:val="both"/>
        <w:rPr/>
      </w:pPr>
      <w:r>
        <w:rPr>
          <w:rFonts w:eastAsia="Times New Roman" w:cs="Times New Roman" w:ascii="Times New Roman" w:hAnsi="Times New Roman"/>
          <w:color w:val="111111"/>
          <w:sz w:val="28"/>
          <w:szCs w:val="28"/>
          <w:lang w:val="en-US"/>
        </w:rPr>
        <w:t>Hati di atas Akal 40</w:t>
      </w:r>
    </w:p>
    <w:p>
      <w:pPr>
        <w:pStyle w:val="BookText"/>
        <w:bidi w:val="0"/>
        <w:jc w:val="both"/>
        <w:rPr/>
      </w:pPr>
      <w:r>
        <w:rPr>
          <w:rFonts w:eastAsia="Times New Roman" w:cs="Times New Roman" w:ascii="Times New Roman" w:hAnsi="Times New Roman"/>
          <w:color w:val="111111"/>
          <w:sz w:val="28"/>
          <w:szCs w:val="28"/>
          <w:lang w:val="en-US"/>
        </w:rPr>
        <w:t>Kelemahan Akal dalam Beberapa Bidang 43</w:t>
      </w:r>
    </w:p>
    <w:p>
      <w:pPr>
        <w:pStyle w:val="BookText"/>
        <w:bidi w:val="0"/>
        <w:jc w:val="both"/>
        <w:rPr/>
      </w:pPr>
      <w:r>
        <w:rPr>
          <w:rFonts w:eastAsia="Times New Roman" w:cs="Times New Roman" w:ascii="Times New Roman" w:hAnsi="Times New Roman"/>
          <w:color w:val="111111"/>
          <w:sz w:val="28"/>
          <w:szCs w:val="28"/>
          <w:lang w:val="en-US"/>
        </w:rPr>
        <w:t>Penyingkapan ‘Irfani: Nonakal atau Antiakal? 44</w:t>
      </w:r>
    </w:p>
    <w:p>
      <w:pPr>
        <w:pStyle w:val="BookText"/>
        <w:bidi w:val="0"/>
        <w:jc w:val="both"/>
        <w:rPr/>
      </w:pPr>
      <w:r>
        <w:rPr>
          <w:rFonts w:eastAsia="Times New Roman" w:cs="Times New Roman" w:ascii="Times New Roman" w:hAnsi="Times New Roman"/>
          <w:color w:val="111111"/>
          <w:sz w:val="28"/>
          <w:szCs w:val="28"/>
          <w:lang w:val="en-US"/>
        </w:rPr>
        <w:t>Pandangan Rumi 46</w:t>
      </w:r>
    </w:p>
    <w:p>
      <w:pPr>
        <w:pStyle w:val="BookText"/>
        <w:bidi w:val="0"/>
        <w:jc w:val="both"/>
        <w:rPr/>
      </w:pPr>
      <w:r>
        <w:rPr>
          <w:rFonts w:eastAsia="Times New Roman" w:cs="Times New Roman" w:ascii="Times New Roman" w:hAnsi="Times New Roman"/>
          <w:color w:val="111111"/>
          <w:sz w:val="28"/>
          <w:szCs w:val="28"/>
          <w:lang w:val="en-US"/>
        </w:rPr>
        <w:t>BAB III Rasionalisme Radikal Antiagama 51</w:t>
      </w:r>
    </w:p>
    <w:p>
      <w:pPr>
        <w:pStyle w:val="BookText"/>
        <w:bidi w:val="0"/>
        <w:jc w:val="both"/>
        <w:rPr/>
      </w:pPr>
      <w:r>
        <w:rPr>
          <w:rFonts w:eastAsia="Times New Roman" w:cs="Times New Roman" w:ascii="Times New Roman" w:hAnsi="Times New Roman"/>
          <w:color w:val="111111"/>
          <w:sz w:val="28"/>
          <w:szCs w:val="28"/>
          <w:lang w:val="en-US"/>
        </w:rPr>
        <w:t>Wahyu, Gagasan Mustahil 52</w:t>
      </w:r>
    </w:p>
    <w:p>
      <w:pPr>
        <w:pStyle w:val="BookText"/>
        <w:bidi w:val="0"/>
        <w:jc w:val="both"/>
        <w:rPr/>
      </w:pPr>
      <w:r>
        <w:rPr>
          <w:rFonts w:eastAsia="Times New Roman" w:cs="Times New Roman" w:ascii="Times New Roman" w:hAnsi="Times New Roman"/>
          <w:color w:val="111111"/>
          <w:sz w:val="28"/>
          <w:szCs w:val="28"/>
          <w:lang w:val="en-US"/>
        </w:rPr>
        <w:t>Cukup Akal! 55</w:t>
      </w:r>
    </w:p>
    <w:p>
      <w:pPr>
        <w:pStyle w:val="BookText"/>
        <w:bidi w:val="0"/>
        <w:jc w:val="both"/>
        <w:rPr/>
      </w:pPr>
      <w:r>
        <w:rPr>
          <w:rFonts w:eastAsia="Times New Roman" w:cs="Times New Roman" w:ascii="Times New Roman" w:hAnsi="Times New Roman"/>
          <w:color w:val="111111"/>
          <w:sz w:val="28"/>
          <w:szCs w:val="28"/>
          <w:lang w:val="en-US"/>
        </w:rPr>
        <w:t>Brahmana 55</w:t>
      </w:r>
    </w:p>
    <w:p>
      <w:pPr>
        <w:pStyle w:val="BookText"/>
        <w:bidi w:val="0"/>
        <w:jc w:val="both"/>
        <w:rPr/>
      </w:pPr>
      <w:r>
        <w:rPr>
          <w:rFonts w:eastAsia="Times New Roman" w:cs="Times New Roman" w:ascii="Times New Roman" w:hAnsi="Times New Roman"/>
          <w:color w:val="111111"/>
          <w:sz w:val="28"/>
          <w:szCs w:val="28"/>
          <w:lang w:val="en-US"/>
        </w:rPr>
        <w:t>Deisme 56</w:t>
      </w:r>
    </w:p>
    <w:p>
      <w:pPr>
        <w:pStyle w:val="BookText"/>
        <w:bidi w:val="0"/>
        <w:jc w:val="both"/>
        <w:rPr/>
      </w:pPr>
      <w:r>
        <w:rPr>
          <w:rFonts w:eastAsia="Times New Roman" w:cs="Times New Roman" w:ascii="Times New Roman" w:hAnsi="Times New Roman"/>
          <w:color w:val="111111"/>
          <w:sz w:val="28"/>
          <w:szCs w:val="28"/>
          <w:lang w:val="en-US"/>
        </w:rPr>
        <w:t>Zakaria Razi 58</w:t>
      </w:r>
    </w:p>
    <w:p>
      <w:pPr>
        <w:pStyle w:val="BookText"/>
        <w:bidi w:val="0"/>
        <w:jc w:val="both"/>
        <w:rPr/>
      </w:pPr>
      <w:r>
        <w:rPr>
          <w:rFonts w:eastAsia="Times New Roman" w:cs="Times New Roman" w:ascii="Times New Roman" w:hAnsi="Times New Roman"/>
          <w:color w:val="111111"/>
          <w:sz w:val="28"/>
          <w:szCs w:val="28"/>
          <w:lang w:val="en-US"/>
        </w:rPr>
        <w:t>Agama, Nihil Tolok Ukur Rasional 63</w:t>
      </w:r>
    </w:p>
    <w:p>
      <w:pPr>
        <w:pStyle w:val="BookText"/>
        <w:bidi w:val="0"/>
        <w:jc w:val="both"/>
        <w:rPr/>
      </w:pPr>
      <w:r>
        <w:rPr>
          <w:rFonts w:eastAsia="Times New Roman" w:cs="Times New Roman" w:ascii="Times New Roman" w:hAnsi="Times New Roman"/>
          <w:color w:val="111111"/>
          <w:sz w:val="28"/>
          <w:szCs w:val="28"/>
          <w:lang w:val="en-US"/>
        </w:rPr>
        <w:t>Evidensialisme 64</w:t>
      </w:r>
    </w:p>
    <w:p>
      <w:pPr>
        <w:pStyle w:val="BookText"/>
        <w:bidi w:val="0"/>
        <w:jc w:val="both"/>
        <w:rPr/>
      </w:pPr>
      <w:r>
        <w:rPr>
          <w:rFonts w:eastAsia="Times New Roman" w:cs="Times New Roman" w:ascii="Times New Roman" w:hAnsi="Times New Roman"/>
          <w:color w:val="111111"/>
          <w:sz w:val="28"/>
          <w:szCs w:val="28"/>
          <w:lang w:val="en-US"/>
        </w:rPr>
        <w:t>Abul Ala’ Ma‘arri 67</w:t>
      </w:r>
    </w:p>
    <w:p>
      <w:pPr>
        <w:pStyle w:val="BookText"/>
        <w:bidi w:val="0"/>
        <w:jc w:val="both"/>
        <w:rPr/>
      </w:pPr>
      <w:r>
        <w:rPr>
          <w:rFonts w:eastAsia="Times New Roman" w:cs="Times New Roman" w:ascii="Times New Roman" w:hAnsi="Times New Roman"/>
          <w:color w:val="111111"/>
          <w:sz w:val="28"/>
          <w:szCs w:val="28"/>
          <w:lang w:val="en-US"/>
        </w:rPr>
        <w:t>Respon Agamawan 72</w:t>
      </w:r>
    </w:p>
    <w:p>
      <w:pPr>
        <w:pStyle w:val="BookText"/>
        <w:bidi w:val="0"/>
        <w:jc w:val="both"/>
        <w:rPr/>
      </w:pPr>
      <w:r>
        <w:rPr>
          <w:rFonts w:eastAsia="Times New Roman" w:cs="Times New Roman" w:ascii="Times New Roman" w:hAnsi="Times New Roman"/>
          <w:color w:val="111111"/>
          <w:sz w:val="28"/>
          <w:szCs w:val="28"/>
          <w:lang w:val="en-US"/>
        </w:rPr>
        <w:t>Menakar Rasionalitas Agama 73</w:t>
      </w:r>
    </w:p>
    <w:p>
      <w:pPr>
        <w:pStyle w:val="BookText"/>
        <w:bidi w:val="0"/>
        <w:jc w:val="both"/>
        <w:rPr/>
      </w:pPr>
      <w:r>
        <w:rPr>
          <w:rFonts w:eastAsia="Times New Roman" w:cs="Times New Roman" w:ascii="Times New Roman" w:hAnsi="Times New Roman"/>
          <w:color w:val="111111"/>
          <w:sz w:val="28"/>
          <w:szCs w:val="28"/>
          <w:lang w:val="en-US"/>
        </w:rPr>
        <w:t>Berlindung di Balik Iman 74</w:t>
      </w:r>
    </w:p>
    <w:p>
      <w:pPr>
        <w:pStyle w:val="BookText"/>
        <w:bidi w:val="0"/>
        <w:jc w:val="both"/>
        <w:rPr/>
      </w:pPr>
      <w:r>
        <w:rPr>
          <w:rFonts w:eastAsia="Times New Roman" w:cs="Times New Roman" w:ascii="Times New Roman" w:hAnsi="Times New Roman"/>
          <w:color w:val="111111"/>
          <w:sz w:val="28"/>
          <w:szCs w:val="28"/>
          <w:lang w:val="en-US"/>
        </w:rPr>
        <w:t>Subordinasi Akal 76</w:t>
      </w:r>
    </w:p>
    <w:p>
      <w:pPr>
        <w:pStyle w:val="BookText"/>
        <w:bidi w:val="0"/>
        <w:jc w:val="both"/>
        <w:rPr/>
      </w:pPr>
      <w:r>
        <w:rPr>
          <w:rFonts w:eastAsia="Times New Roman" w:cs="Times New Roman" w:ascii="Times New Roman" w:hAnsi="Times New Roman"/>
          <w:color w:val="111111"/>
          <w:sz w:val="28"/>
          <w:szCs w:val="28"/>
          <w:lang w:val="en-US"/>
        </w:rPr>
        <w:t>Ketidakcukupan Akal Membimbing Manusia 77</w:t>
      </w:r>
    </w:p>
    <w:p>
      <w:pPr>
        <w:pStyle w:val="BookText"/>
        <w:bidi w:val="0"/>
        <w:jc w:val="both"/>
        <w:rPr/>
      </w:pPr>
      <w:r>
        <w:rPr>
          <w:rFonts w:eastAsia="Times New Roman" w:cs="Times New Roman" w:ascii="Times New Roman" w:hAnsi="Times New Roman"/>
          <w:color w:val="111111"/>
          <w:sz w:val="28"/>
          <w:szCs w:val="28"/>
          <w:lang w:val="en-US"/>
        </w:rPr>
        <w:t>BAB IV Rasionalisme Radikal dalam Sejarah Islam 81</w:t>
      </w:r>
    </w:p>
    <w:p>
      <w:pPr>
        <w:pStyle w:val="BookText"/>
        <w:bidi w:val="0"/>
        <w:jc w:val="both"/>
        <w:rPr/>
      </w:pPr>
      <w:r>
        <w:rPr>
          <w:rFonts w:eastAsia="Times New Roman" w:cs="Times New Roman" w:ascii="Times New Roman" w:hAnsi="Times New Roman"/>
          <w:color w:val="111111"/>
          <w:sz w:val="28"/>
          <w:szCs w:val="28"/>
          <w:lang w:val="en-US"/>
        </w:rPr>
        <w:t>Muktazilah 83</w:t>
      </w:r>
    </w:p>
    <w:p>
      <w:pPr>
        <w:pStyle w:val="BookText"/>
        <w:bidi w:val="0"/>
        <w:jc w:val="both"/>
        <w:rPr/>
      </w:pPr>
      <w:r>
        <w:rPr>
          <w:rFonts w:eastAsia="Times New Roman" w:cs="Times New Roman" w:ascii="Times New Roman" w:hAnsi="Times New Roman"/>
          <w:color w:val="111111"/>
          <w:sz w:val="28"/>
          <w:szCs w:val="28"/>
          <w:lang w:val="en-US"/>
        </w:rPr>
        <w:t>Anasir Utama Rasionalisme Muktazilah 84</w:t>
      </w:r>
    </w:p>
    <w:p>
      <w:pPr>
        <w:pStyle w:val="BookText"/>
        <w:bidi w:val="0"/>
        <w:jc w:val="both"/>
        <w:rPr/>
      </w:pPr>
      <w:r>
        <w:rPr>
          <w:rFonts w:eastAsia="Times New Roman" w:cs="Times New Roman" w:ascii="Times New Roman" w:hAnsi="Times New Roman"/>
          <w:color w:val="111111"/>
          <w:sz w:val="28"/>
          <w:szCs w:val="28"/>
          <w:lang w:val="en-US"/>
        </w:rPr>
        <w:t>Agama dan Ajaran Non-Islam 85</w:t>
      </w:r>
    </w:p>
    <w:p>
      <w:pPr>
        <w:pStyle w:val="BookText"/>
        <w:bidi w:val="0"/>
        <w:jc w:val="both"/>
        <w:rPr/>
      </w:pPr>
      <w:r>
        <w:rPr>
          <w:rFonts w:eastAsia="Times New Roman" w:cs="Times New Roman" w:ascii="Times New Roman" w:hAnsi="Times New Roman"/>
          <w:color w:val="111111"/>
          <w:sz w:val="28"/>
          <w:szCs w:val="28"/>
          <w:lang w:val="en-US"/>
        </w:rPr>
        <w:t>Kritik dan Analisis 87</w:t>
      </w:r>
    </w:p>
    <w:p>
      <w:pPr>
        <w:pStyle w:val="BookText"/>
        <w:bidi w:val="0"/>
        <w:jc w:val="both"/>
        <w:rPr/>
      </w:pPr>
      <w:r>
        <w:rPr>
          <w:rFonts w:eastAsia="Times New Roman" w:cs="Times New Roman" w:ascii="Times New Roman" w:hAnsi="Times New Roman"/>
          <w:color w:val="111111"/>
          <w:sz w:val="28"/>
          <w:szCs w:val="28"/>
          <w:lang w:val="en-US"/>
        </w:rPr>
        <w:t>Filsafat Yunani 91</w:t>
      </w:r>
    </w:p>
    <w:p>
      <w:pPr>
        <w:pStyle w:val="BookText"/>
        <w:bidi w:val="0"/>
        <w:jc w:val="both"/>
        <w:rPr/>
      </w:pPr>
      <w:r>
        <w:rPr>
          <w:rFonts w:eastAsia="Times New Roman" w:cs="Times New Roman" w:ascii="Times New Roman" w:hAnsi="Times New Roman"/>
          <w:color w:val="111111"/>
          <w:sz w:val="28"/>
          <w:szCs w:val="28"/>
          <w:lang w:val="en-US"/>
        </w:rPr>
        <w:t>Membela Kemurnian Ajaran Islam 92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p:vi </w:t>
      </w:r>
    </w:p>
    <w:p>
      <w:pPr>
        <w:pStyle w:val="BookText"/>
        <w:bidi w:val="0"/>
        <w:rPr/>
      </w:pPr>
      <w:r>
        <w:rPr>
          <w:rFonts w:eastAsia="Times New Roman" w:cs="Times New Roman" w:ascii="Times New Roman" w:hAnsi="Times New Roman"/>
          <w:color w:val="111111"/>
          <w:sz w:val="28"/>
          <w:szCs w:val="28"/>
          <w:lang w:val="en-US"/>
        </w:rPr>
        <w:t>Daftar Isi</w:t>
      </w:r>
    </w:p>
    <w:p>
      <w:pPr>
        <w:pStyle w:val="BookText"/>
        <w:bidi w:val="0"/>
        <w:jc w:val="both"/>
        <w:rPr/>
      </w:pPr>
      <w:r>
        <w:rPr>
          <w:rFonts w:eastAsia="Times New Roman" w:cs="Times New Roman" w:ascii="Times New Roman" w:hAnsi="Times New Roman"/>
          <w:color w:val="111111"/>
          <w:sz w:val="28"/>
          <w:szCs w:val="28"/>
          <w:lang w:val="en-US"/>
        </w:rPr>
        <w:t>Muktazilah: Rasionalisme Radikal atau Moderat? 94</w:t>
      </w:r>
    </w:p>
    <w:p>
      <w:pPr>
        <w:pStyle w:val="BookText"/>
        <w:bidi w:val="0"/>
        <w:jc w:val="both"/>
        <w:rPr/>
      </w:pPr>
      <w:r>
        <w:rPr>
          <w:rFonts w:eastAsia="Times New Roman" w:cs="Times New Roman" w:ascii="Times New Roman" w:hAnsi="Times New Roman"/>
          <w:color w:val="111111"/>
          <w:sz w:val="28"/>
          <w:szCs w:val="28"/>
          <w:lang w:val="en-US"/>
        </w:rPr>
        <w:t>Faktor-Faktor Kemunduran Muktazilah 97</w:t>
      </w:r>
    </w:p>
    <w:p>
      <w:pPr>
        <w:pStyle w:val="BookText"/>
        <w:bidi w:val="0"/>
        <w:jc w:val="both"/>
        <w:rPr/>
      </w:pPr>
      <w:r>
        <w:rPr>
          <w:rFonts w:eastAsia="Times New Roman" w:cs="Times New Roman" w:ascii="Times New Roman" w:hAnsi="Times New Roman"/>
          <w:color w:val="111111"/>
          <w:sz w:val="28"/>
          <w:szCs w:val="28"/>
          <w:lang w:val="en-US"/>
        </w:rPr>
        <w:t>Kritik terhadap Sahabat 98</w:t>
      </w:r>
    </w:p>
    <w:p>
      <w:pPr>
        <w:pStyle w:val="BookText"/>
        <w:bidi w:val="0"/>
        <w:jc w:val="both"/>
        <w:rPr/>
      </w:pPr>
      <w:r>
        <w:rPr>
          <w:rFonts w:eastAsia="Times New Roman" w:cs="Times New Roman" w:ascii="Times New Roman" w:hAnsi="Times New Roman"/>
          <w:color w:val="111111"/>
          <w:sz w:val="28"/>
          <w:szCs w:val="28"/>
          <w:lang w:val="en-US"/>
        </w:rPr>
        <w:t>Ekstremisme dalam Merasionalisasi dan</w:t>
      </w:r>
    </w:p>
    <w:p>
      <w:pPr>
        <w:pStyle w:val="BookText"/>
        <w:bidi w:val="0"/>
        <w:jc w:val="both"/>
        <w:rPr/>
      </w:pPr>
      <w:r>
        <w:rPr>
          <w:rFonts w:eastAsia="Times New Roman" w:cs="Times New Roman" w:ascii="Times New Roman" w:hAnsi="Times New Roman"/>
          <w:color w:val="111111"/>
          <w:sz w:val="28"/>
          <w:szCs w:val="28"/>
          <w:lang w:val="en-US"/>
        </w:rPr>
        <w:t>Menakwil Teks 98</w:t>
      </w:r>
    </w:p>
    <w:p>
      <w:pPr>
        <w:pStyle w:val="BookText"/>
        <w:bidi w:val="0"/>
        <w:jc w:val="both"/>
        <w:rPr/>
      </w:pPr>
      <w:r>
        <w:rPr>
          <w:rFonts w:eastAsia="Times New Roman" w:cs="Times New Roman" w:ascii="Times New Roman" w:hAnsi="Times New Roman"/>
          <w:color w:val="111111"/>
          <w:sz w:val="28"/>
          <w:szCs w:val="28"/>
          <w:lang w:val="en-US"/>
        </w:rPr>
        <w:t>Akidah Lawan sebagai Selera Awam 99</w:t>
      </w:r>
    </w:p>
    <w:p>
      <w:pPr>
        <w:pStyle w:val="BookText"/>
        <w:bidi w:val="0"/>
        <w:jc w:val="both"/>
        <w:rPr/>
      </w:pPr>
      <w:r>
        <w:rPr>
          <w:rFonts w:eastAsia="Times New Roman" w:cs="Times New Roman" w:ascii="Times New Roman" w:hAnsi="Times New Roman"/>
          <w:color w:val="111111"/>
          <w:sz w:val="28"/>
          <w:szCs w:val="28"/>
          <w:lang w:val="en-US"/>
        </w:rPr>
        <w:t>Investigasi Akidah 100</w:t>
      </w:r>
    </w:p>
    <w:p>
      <w:pPr>
        <w:pStyle w:val="BookText"/>
        <w:bidi w:val="0"/>
        <w:jc w:val="both"/>
        <w:rPr/>
      </w:pPr>
      <w:r>
        <w:rPr>
          <w:rFonts w:eastAsia="Times New Roman" w:cs="Times New Roman" w:ascii="Times New Roman" w:hAnsi="Times New Roman"/>
          <w:color w:val="111111"/>
          <w:sz w:val="28"/>
          <w:szCs w:val="28"/>
          <w:lang w:val="en-US"/>
        </w:rPr>
        <w:t>Dampak Keruntuhan Muktazilah 100</w:t>
      </w:r>
    </w:p>
    <w:p>
      <w:pPr>
        <w:pStyle w:val="BookText"/>
        <w:bidi w:val="0"/>
        <w:jc w:val="both"/>
        <w:rPr/>
      </w:pPr>
      <w:r>
        <w:rPr>
          <w:rFonts w:eastAsia="Times New Roman" w:cs="Times New Roman" w:ascii="Times New Roman" w:hAnsi="Times New Roman"/>
          <w:color w:val="111111"/>
          <w:sz w:val="28"/>
          <w:szCs w:val="28"/>
          <w:lang w:val="en-US"/>
        </w:rPr>
        <w:t>Ibnu Thufail 101</w:t>
      </w:r>
    </w:p>
    <w:p>
      <w:pPr>
        <w:pStyle w:val="BookText"/>
        <w:bidi w:val="0"/>
        <w:jc w:val="both"/>
        <w:rPr/>
      </w:pPr>
      <w:r>
        <w:rPr>
          <w:rFonts w:eastAsia="Times New Roman" w:cs="Times New Roman" w:ascii="Times New Roman" w:hAnsi="Times New Roman"/>
          <w:color w:val="111111"/>
          <w:sz w:val="28"/>
          <w:szCs w:val="28"/>
          <w:lang w:val="en-US"/>
        </w:rPr>
        <w:t>Ibnu Rusyd 107</w:t>
      </w:r>
    </w:p>
    <w:p>
      <w:pPr>
        <w:pStyle w:val="BookText"/>
        <w:bidi w:val="0"/>
        <w:jc w:val="both"/>
        <w:rPr/>
      </w:pPr>
      <w:r>
        <w:rPr>
          <w:rFonts w:eastAsia="Times New Roman" w:cs="Times New Roman" w:ascii="Times New Roman" w:hAnsi="Times New Roman"/>
          <w:color w:val="111111"/>
          <w:sz w:val="28"/>
          <w:szCs w:val="28"/>
          <w:lang w:val="en-US"/>
        </w:rPr>
        <w:t>Tahafut Al-Tahafut 109</w:t>
      </w:r>
    </w:p>
    <w:p>
      <w:pPr>
        <w:pStyle w:val="BookText"/>
        <w:bidi w:val="0"/>
        <w:jc w:val="both"/>
        <w:rPr/>
      </w:pPr>
      <w:r>
        <w:rPr>
          <w:rFonts w:eastAsia="Times New Roman" w:cs="Times New Roman" w:ascii="Times New Roman" w:hAnsi="Times New Roman"/>
          <w:color w:val="111111"/>
          <w:sz w:val="28"/>
          <w:szCs w:val="28"/>
          <w:lang w:val="en-US"/>
        </w:rPr>
        <w:t>Fashl Al-Magal fi ma@ bain Al-Hikmah wa</w:t>
      </w:r>
    </w:p>
    <w:p>
      <w:pPr>
        <w:pStyle w:val="BookText"/>
        <w:bidi w:val="0"/>
        <w:jc w:val="both"/>
        <w:rPr/>
      </w:pPr>
      <w:r>
        <w:rPr>
          <w:rFonts w:eastAsia="Times New Roman" w:cs="Times New Roman" w:ascii="Times New Roman" w:hAnsi="Times New Roman"/>
          <w:color w:val="111111"/>
          <w:sz w:val="28"/>
          <w:szCs w:val="28"/>
          <w:lang w:val="en-US"/>
        </w:rPr>
        <w:t>Al-Syari‘ah min Al-Ittishal 110</w:t>
      </w:r>
    </w:p>
    <w:p>
      <w:pPr>
        <w:pStyle w:val="BookText"/>
        <w:bidi w:val="0"/>
        <w:jc w:val="both"/>
        <w:rPr/>
      </w:pPr>
      <w:r>
        <w:rPr>
          <w:rFonts w:eastAsia="Times New Roman" w:cs="Times New Roman" w:ascii="Times New Roman" w:hAnsi="Times New Roman"/>
          <w:color w:val="111111"/>
          <w:sz w:val="28"/>
          <w:szCs w:val="28"/>
          <w:lang w:val="en-US"/>
        </w:rPr>
        <w:t>Al-Kasyf ‘an Manahuj Al-Adillah 112</w:t>
      </w:r>
    </w:p>
    <w:p>
      <w:pPr>
        <w:pStyle w:val="BookText"/>
        <w:bidi w:val="0"/>
        <w:jc w:val="both"/>
        <w:rPr/>
      </w:pPr>
      <w:r>
        <w:rPr>
          <w:rFonts w:eastAsia="Times New Roman" w:cs="Times New Roman" w:ascii="Times New Roman" w:hAnsi="Times New Roman"/>
          <w:color w:val="111111"/>
          <w:sz w:val="28"/>
          <w:szCs w:val="28"/>
          <w:lang w:val="en-US"/>
        </w:rPr>
        <w:t>Averroisme Barat dan Dualisme Kebenaran 113</w:t>
      </w:r>
    </w:p>
    <w:p>
      <w:pPr>
        <w:pStyle w:val="BookText"/>
        <w:bidi w:val="0"/>
        <w:jc w:val="both"/>
        <w:rPr/>
      </w:pPr>
      <w:r>
        <w:rPr>
          <w:rFonts w:eastAsia="Times New Roman" w:cs="Times New Roman" w:ascii="Times New Roman" w:hAnsi="Times New Roman"/>
          <w:color w:val="111111"/>
          <w:sz w:val="28"/>
          <w:szCs w:val="28"/>
          <w:lang w:val="en-US"/>
        </w:rPr>
        <w:t>Kesimpulan 115</w:t>
      </w:r>
    </w:p>
    <w:p>
      <w:pPr>
        <w:pStyle w:val="BookText"/>
        <w:bidi w:val="0"/>
        <w:jc w:val="both"/>
        <w:rPr/>
      </w:pPr>
      <w:r>
        <w:rPr>
          <w:rFonts w:eastAsia="Times New Roman" w:cs="Times New Roman" w:ascii="Times New Roman" w:hAnsi="Times New Roman"/>
          <w:color w:val="111111"/>
          <w:sz w:val="28"/>
          <w:szCs w:val="28"/>
          <w:lang w:val="en-US"/>
        </w:rPr>
        <w:t>BAB V Literalisme Ahli Sunah 119</w:t>
      </w:r>
    </w:p>
    <w:p>
      <w:pPr>
        <w:pStyle w:val="BookText"/>
        <w:bidi w:val="0"/>
        <w:jc w:val="both"/>
        <w:rPr/>
      </w:pPr>
      <w:r>
        <w:rPr>
          <w:rFonts w:eastAsia="Times New Roman" w:cs="Times New Roman" w:ascii="Times New Roman" w:hAnsi="Times New Roman"/>
          <w:color w:val="111111"/>
          <w:sz w:val="28"/>
          <w:szCs w:val="28"/>
          <w:lang w:val="en-US"/>
        </w:rPr>
        <w:t>Ahli Hadis, Pelopor Literalisme 120</w:t>
      </w:r>
    </w:p>
    <w:p>
      <w:pPr>
        <w:pStyle w:val="BookText"/>
        <w:bidi w:val="0"/>
        <w:jc w:val="both"/>
        <w:rPr/>
      </w:pPr>
      <w:r>
        <w:rPr>
          <w:rFonts w:eastAsia="Times New Roman" w:cs="Times New Roman" w:ascii="Times New Roman" w:hAnsi="Times New Roman"/>
          <w:color w:val="111111"/>
          <w:sz w:val="28"/>
          <w:szCs w:val="28"/>
          <w:lang w:val="en-US"/>
        </w:rPr>
        <w:t>Mengecam Teologi 123</w:t>
      </w:r>
    </w:p>
    <w:p>
      <w:pPr>
        <w:pStyle w:val="BookText"/>
        <w:bidi w:val="0"/>
        <w:jc w:val="both"/>
        <w:rPr/>
      </w:pPr>
      <w:r>
        <w:rPr>
          <w:rFonts w:eastAsia="Times New Roman" w:cs="Times New Roman" w:ascii="Times New Roman" w:hAnsi="Times New Roman"/>
          <w:color w:val="111111"/>
          <w:sz w:val="28"/>
          <w:szCs w:val="28"/>
          <w:lang w:val="en-US"/>
        </w:rPr>
        <w:t>Kaum Hanbalis dan Kemandulan Akal 125</w:t>
      </w:r>
    </w:p>
    <w:p>
      <w:pPr>
        <w:pStyle w:val="BookText"/>
        <w:bidi w:val="0"/>
        <w:jc w:val="both"/>
        <w:rPr/>
      </w:pPr>
      <w:r>
        <w:rPr>
          <w:rFonts w:eastAsia="Times New Roman" w:cs="Times New Roman" w:ascii="Times New Roman" w:hAnsi="Times New Roman"/>
          <w:color w:val="111111"/>
          <w:sz w:val="28"/>
          <w:szCs w:val="28"/>
          <w:lang w:val="en-US"/>
        </w:rPr>
        <w:t>Ahmad bin Hanbal dan Sifat Khabariyah 126</w:t>
      </w:r>
    </w:p>
    <w:p>
      <w:pPr>
        <w:pStyle w:val="BookText"/>
        <w:bidi w:val="0"/>
        <w:jc w:val="both"/>
        <w:rPr/>
      </w:pPr>
      <w:r>
        <w:rPr>
          <w:rFonts w:eastAsia="Times New Roman" w:cs="Times New Roman" w:ascii="Times New Roman" w:hAnsi="Times New Roman"/>
          <w:color w:val="111111"/>
          <w:sz w:val="28"/>
          <w:szCs w:val="28"/>
          <w:lang w:val="en-US"/>
        </w:rPr>
        <w:t>Unsur Antiakal Hanbaliyah Makin Populer 128</w:t>
      </w:r>
    </w:p>
    <w:p>
      <w:pPr>
        <w:pStyle w:val="BookText"/>
        <w:bidi w:val="0"/>
        <w:jc w:val="both"/>
        <w:rPr/>
      </w:pPr>
      <w:r>
        <w:rPr>
          <w:rFonts w:eastAsia="Times New Roman" w:cs="Times New Roman" w:ascii="Times New Roman" w:hAnsi="Times New Roman"/>
          <w:color w:val="111111"/>
          <w:sz w:val="28"/>
          <w:szCs w:val="28"/>
          <w:lang w:val="en-US"/>
        </w:rPr>
        <w:t>Mazhab Zhahiriyah, Pewaris Ahli Hadis 129</w:t>
      </w:r>
    </w:p>
    <w:p>
      <w:pPr>
        <w:pStyle w:val="BookText"/>
        <w:bidi w:val="0"/>
        <w:jc w:val="both"/>
        <w:rPr/>
      </w:pPr>
      <w:r>
        <w:rPr>
          <w:rFonts w:eastAsia="Times New Roman" w:cs="Times New Roman" w:ascii="Times New Roman" w:hAnsi="Times New Roman"/>
          <w:color w:val="111111"/>
          <w:sz w:val="28"/>
          <w:szCs w:val="28"/>
          <w:lang w:val="en-US"/>
        </w:rPr>
        <w:t>Antirasionalisme, Dalih Menolak Qiyas 132</w:t>
      </w:r>
    </w:p>
    <w:p>
      <w:pPr>
        <w:pStyle w:val="BookText"/>
        <w:bidi w:val="0"/>
        <w:jc w:val="both"/>
        <w:rPr/>
      </w:pPr>
      <w:r>
        <w:rPr>
          <w:rFonts w:eastAsia="Times New Roman" w:cs="Times New Roman" w:ascii="Times New Roman" w:hAnsi="Times New Roman"/>
          <w:color w:val="111111"/>
          <w:sz w:val="28"/>
          <w:szCs w:val="28"/>
          <w:lang w:val="en-US"/>
        </w:rPr>
        <w:t>Kombinasi Literalisme-Rasionalisme 135</w:t>
      </w:r>
    </w:p>
    <w:p>
      <w:pPr>
        <w:pStyle w:val="BookText"/>
        <w:bidi w:val="0"/>
        <w:jc w:val="both"/>
        <w:rPr/>
      </w:pPr>
      <w:r>
        <w:rPr>
          <w:rFonts w:eastAsia="Times New Roman" w:cs="Times New Roman" w:ascii="Times New Roman" w:hAnsi="Times New Roman"/>
          <w:color w:val="111111"/>
          <w:sz w:val="28"/>
          <w:szCs w:val="28"/>
          <w:lang w:val="en-US"/>
        </w:rPr>
        <w:t>Ibnu Taimiyah dan Kebangkitan Kembali Literalisme</w:t>
      </w:r>
    </w:p>
    <w:p>
      <w:pPr>
        <w:pStyle w:val="BookText"/>
        <w:bidi w:val="0"/>
        <w:jc w:val="both"/>
        <w:rPr/>
      </w:pPr>
      <w:r>
        <w:rPr>
          <w:rFonts w:eastAsia="Times New Roman" w:cs="Times New Roman" w:ascii="Times New Roman" w:hAnsi="Times New Roman"/>
          <w:color w:val="111111"/>
          <w:sz w:val="28"/>
          <w:szCs w:val="28"/>
          <w:lang w:val="en-US"/>
        </w:rPr>
        <w:t>Radikal 137</w:t>
      </w:r>
    </w:p>
    <w:p>
      <w:pPr>
        <w:pStyle w:val="BookText"/>
        <w:bidi w:val="0"/>
        <w:jc w:val="both"/>
        <w:rPr/>
      </w:pPr>
      <w:r>
        <w:rPr>
          <w:rFonts w:eastAsia="Times New Roman" w:cs="Times New Roman" w:ascii="Times New Roman" w:hAnsi="Times New Roman"/>
          <w:color w:val="111111"/>
          <w:sz w:val="28"/>
          <w:szCs w:val="28"/>
          <w:lang w:val="en-US"/>
        </w:rPr>
        <w:t>Posisi Akal dalam Syariat 138</w:t>
      </w:r>
    </w:p>
    <w:p>
      <w:pPr>
        <w:pStyle w:val="BookText"/>
        <w:bidi w:val="0"/>
        <w:jc w:val="both"/>
        <w:rPr/>
      </w:pPr>
      <w:r>
        <w:rPr>
          <w:rFonts w:eastAsia="Times New Roman" w:cs="Times New Roman" w:ascii="Times New Roman" w:hAnsi="Times New Roman"/>
          <w:color w:val="111111"/>
          <w:sz w:val="28"/>
          <w:szCs w:val="28"/>
          <w:lang w:val="en-US"/>
        </w:rPr>
        <w:t>Ciri Khas Sifat Khabariyah versi Ibnu Taimiyah 140</w:t>
      </w:r>
    </w:p>
    <w:p>
      <w:pPr>
        <w:pStyle w:val="BookText"/>
        <w:bidi w:val="0"/>
        <w:jc w:val="both"/>
        <w:rPr/>
      </w:pPr>
      <w:r>
        <w:rPr>
          <w:rFonts w:eastAsia="Times New Roman" w:cs="Times New Roman" w:ascii="Times New Roman" w:hAnsi="Times New Roman"/>
          <w:color w:val="111111"/>
          <w:sz w:val="28"/>
          <w:szCs w:val="28"/>
          <w:lang w:val="en-US"/>
        </w:rPr>
        <w:t>Menolak Logika Aristotelian 144</w:t>
      </w:r>
    </w:p>
    <w:p>
      <w:pPr>
        <w:pStyle w:val="BookText"/>
        <w:bidi w:val="0"/>
        <w:jc w:val="both"/>
        <w:rPr/>
      </w:pPr>
      <w:r>
        <w:rPr>
          <w:rFonts w:eastAsia="Times New Roman" w:cs="Times New Roman" w:ascii="Times New Roman" w:hAnsi="Times New Roman"/>
          <w:color w:val="111111"/>
          <w:sz w:val="28"/>
          <w:szCs w:val="28"/>
          <w:lang w:val="en-US"/>
        </w:rPr>
        <w:t>Reaksi terhadap Pemikiran [bnu Taimiyah 146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p:vii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Wahabisme, Wajah Baru Ahli Hadis 148</w:t>
      </w:r>
    </w:p>
    <w:p>
      <w:pPr>
        <w:pStyle w:val="BookText"/>
        <w:bidi w:val="0"/>
        <w:jc w:val="both"/>
        <w:rPr/>
      </w:pPr>
      <w:r>
        <w:rPr>
          <w:rFonts w:eastAsia="Times New Roman" w:cs="Times New Roman" w:ascii="Times New Roman" w:hAnsi="Times New Roman"/>
          <w:color w:val="111111"/>
          <w:sz w:val="28"/>
          <w:szCs w:val="28"/>
          <w:lang w:val="en-US"/>
        </w:rPr>
        <w:t>Literalisme Menuai Kritik 151</w:t>
      </w:r>
    </w:p>
    <w:p>
      <w:pPr>
        <w:pStyle w:val="BookText"/>
        <w:bidi w:val="0"/>
        <w:jc w:val="both"/>
        <w:rPr/>
      </w:pPr>
      <w:r>
        <w:rPr>
          <w:rFonts w:eastAsia="Times New Roman" w:cs="Times New Roman" w:ascii="Times New Roman" w:hAnsi="Times New Roman"/>
          <w:color w:val="111111"/>
          <w:sz w:val="28"/>
          <w:szCs w:val="28"/>
          <w:lang w:val="en-US"/>
        </w:rPr>
        <w:t>Makna Mengikuti Teks (Literal) 153</w:t>
      </w:r>
    </w:p>
    <w:p>
      <w:pPr>
        <w:pStyle w:val="BookText"/>
        <w:bidi w:val="0"/>
        <w:jc w:val="both"/>
        <w:rPr/>
      </w:pPr>
      <w:r>
        <w:rPr>
          <w:rFonts w:eastAsia="Times New Roman" w:cs="Times New Roman" w:ascii="Times New Roman" w:hAnsi="Times New Roman"/>
          <w:color w:val="111111"/>
          <w:sz w:val="28"/>
          <w:szCs w:val="28"/>
          <w:lang w:val="en-US"/>
        </w:rPr>
        <w:t>Ambiguitas, Jalan Keluar tanpa Jaminan 154</w:t>
      </w:r>
    </w:p>
    <w:p>
      <w:pPr>
        <w:pStyle w:val="BookText"/>
        <w:bidi w:val="0"/>
        <w:jc w:val="both"/>
        <w:rPr/>
      </w:pPr>
      <w:r>
        <w:rPr>
          <w:rFonts w:eastAsia="Times New Roman" w:cs="Times New Roman" w:ascii="Times New Roman" w:hAnsi="Times New Roman"/>
          <w:color w:val="111111"/>
          <w:sz w:val="28"/>
          <w:szCs w:val="28"/>
          <w:lang w:val="en-US"/>
        </w:rPr>
        <w:t>Ragam Kecenderungan Kaum Salaf 156</w:t>
      </w:r>
    </w:p>
    <w:p>
      <w:pPr>
        <w:pStyle w:val="BookText"/>
        <w:bidi w:val="0"/>
        <w:jc w:val="both"/>
        <w:rPr/>
      </w:pPr>
      <w:r>
        <w:rPr>
          <w:rFonts w:eastAsia="Times New Roman" w:cs="Times New Roman" w:ascii="Times New Roman" w:hAnsi="Times New Roman"/>
          <w:color w:val="111111"/>
          <w:sz w:val="28"/>
          <w:szCs w:val="28"/>
          <w:lang w:val="en-US"/>
        </w:rPr>
        <w:t>BAB VI Akal: Perspektif Akhbariyah 157</w:t>
      </w:r>
    </w:p>
    <w:p>
      <w:pPr>
        <w:pStyle w:val="BookText"/>
        <w:bidi w:val="0"/>
        <w:jc w:val="both"/>
        <w:rPr/>
      </w:pPr>
      <w:r>
        <w:rPr>
          <w:rFonts w:eastAsia="Times New Roman" w:cs="Times New Roman" w:ascii="Times New Roman" w:hAnsi="Times New Roman"/>
          <w:color w:val="111111"/>
          <w:sz w:val="28"/>
          <w:szCs w:val="28"/>
          <w:lang w:val="en-US"/>
        </w:rPr>
        <w:t>Latar Belakang Historis 158</w:t>
      </w:r>
    </w:p>
    <w:p>
      <w:pPr>
        <w:pStyle w:val="BookText"/>
        <w:bidi w:val="0"/>
        <w:jc w:val="both"/>
        <w:rPr/>
      </w:pPr>
      <w:r>
        <w:rPr>
          <w:rFonts w:eastAsia="Times New Roman" w:cs="Times New Roman" w:ascii="Times New Roman" w:hAnsi="Times New Roman"/>
          <w:color w:val="111111"/>
          <w:sz w:val="28"/>
          <w:szCs w:val="28"/>
          <w:lang w:val="en-US"/>
        </w:rPr>
        <w:t>Asal Usul Akhbariyah 168</w:t>
      </w:r>
    </w:p>
    <w:p>
      <w:pPr>
        <w:pStyle w:val="BookText"/>
        <w:bidi w:val="0"/>
        <w:jc w:val="both"/>
        <w:rPr/>
      </w:pPr>
      <w:r>
        <w:rPr>
          <w:rFonts w:eastAsia="Times New Roman" w:cs="Times New Roman" w:ascii="Times New Roman" w:hAnsi="Times New Roman"/>
          <w:color w:val="111111"/>
          <w:sz w:val="28"/>
          <w:szCs w:val="28"/>
          <w:lang w:val="en-US"/>
        </w:rPr>
        <w:t>Empirisme Barat 169</w:t>
      </w:r>
    </w:p>
    <w:p>
      <w:pPr>
        <w:pStyle w:val="BookText"/>
        <w:bidi w:val="0"/>
        <w:jc w:val="both"/>
        <w:rPr/>
      </w:pPr>
      <w:r>
        <w:rPr>
          <w:rFonts w:eastAsia="Times New Roman" w:cs="Times New Roman" w:ascii="Times New Roman" w:hAnsi="Times New Roman"/>
          <w:color w:val="111111"/>
          <w:sz w:val="28"/>
          <w:szCs w:val="28"/>
          <w:lang w:val="en-US"/>
        </w:rPr>
        <w:t>Sinis Menilai Ushiul Fikih 171</w:t>
      </w:r>
    </w:p>
    <w:p>
      <w:pPr>
        <w:pStyle w:val="BookText"/>
        <w:bidi w:val="0"/>
        <w:jc w:val="both"/>
        <w:rPr/>
      </w:pPr>
      <w:r>
        <w:rPr>
          <w:rFonts w:eastAsia="Times New Roman" w:cs="Times New Roman" w:ascii="Times New Roman" w:hAnsi="Times New Roman"/>
          <w:color w:val="111111"/>
          <w:sz w:val="28"/>
          <w:szCs w:val="28"/>
          <w:lang w:val="en-US"/>
        </w:rPr>
        <w:t>Taklid pada Ahli Sunah 174</w:t>
      </w:r>
    </w:p>
    <w:p>
      <w:pPr>
        <w:pStyle w:val="BookText"/>
        <w:bidi w:val="0"/>
        <w:jc w:val="both"/>
        <w:rPr/>
      </w:pPr>
      <w:r>
        <w:rPr>
          <w:rFonts w:eastAsia="Times New Roman" w:cs="Times New Roman" w:ascii="Times New Roman" w:hAnsi="Times New Roman"/>
          <w:color w:val="111111"/>
          <w:sz w:val="28"/>
          <w:szCs w:val="28"/>
          <w:lang w:val="en-US"/>
        </w:rPr>
        <w:t>Keliru Memahami Hadis Imam 176</w:t>
      </w:r>
    </w:p>
    <w:p>
      <w:pPr>
        <w:pStyle w:val="BookText"/>
        <w:bidi w:val="0"/>
        <w:jc w:val="both"/>
        <w:rPr/>
      </w:pPr>
      <w:r>
        <w:rPr>
          <w:rFonts w:eastAsia="Times New Roman" w:cs="Times New Roman" w:ascii="Times New Roman" w:hAnsi="Times New Roman"/>
          <w:color w:val="111111"/>
          <w:sz w:val="28"/>
          <w:szCs w:val="28"/>
          <w:lang w:val="en-US"/>
        </w:rPr>
        <w:t>Perbedaan Fundamental Akhbariyah dan Ushuliyah 180</w:t>
      </w:r>
    </w:p>
    <w:p>
      <w:pPr>
        <w:pStyle w:val="BookText"/>
        <w:bidi w:val="0"/>
        <w:jc w:val="both"/>
        <w:rPr/>
      </w:pPr>
      <w:r>
        <w:rPr>
          <w:rFonts w:eastAsia="Times New Roman" w:cs="Times New Roman" w:ascii="Times New Roman" w:hAnsi="Times New Roman"/>
          <w:color w:val="111111"/>
          <w:sz w:val="28"/>
          <w:szCs w:val="28"/>
          <w:lang w:val="en-US"/>
        </w:rPr>
        <w:t>Skala Pemikiran Akhbariyah 182</w:t>
      </w:r>
    </w:p>
    <w:p>
      <w:pPr>
        <w:pStyle w:val="BookText"/>
        <w:bidi w:val="0"/>
        <w:jc w:val="both"/>
        <w:rPr/>
      </w:pPr>
      <w:r>
        <w:rPr>
          <w:rFonts w:eastAsia="Times New Roman" w:cs="Times New Roman" w:ascii="Times New Roman" w:hAnsi="Times New Roman"/>
          <w:color w:val="111111"/>
          <w:sz w:val="28"/>
          <w:szCs w:val="28"/>
          <w:lang w:val="en-US"/>
        </w:rPr>
        <w:t>Nilai Validitas [Hukum] Akal 185</w:t>
      </w:r>
    </w:p>
    <w:p>
      <w:pPr>
        <w:pStyle w:val="BookText"/>
        <w:bidi w:val="0"/>
        <w:jc w:val="both"/>
        <w:rPr/>
      </w:pPr>
      <w:r>
        <w:rPr>
          <w:rFonts w:eastAsia="Times New Roman" w:cs="Times New Roman" w:ascii="Times New Roman" w:hAnsi="Times New Roman"/>
          <w:color w:val="111111"/>
          <w:sz w:val="28"/>
          <w:szCs w:val="28"/>
          <w:lang w:val="en-US"/>
        </w:rPr>
        <w:t>Argumentasi Tekstual 187</w:t>
      </w:r>
    </w:p>
    <w:p>
      <w:pPr>
        <w:pStyle w:val="BookText"/>
        <w:bidi w:val="0"/>
        <w:jc w:val="both"/>
        <w:rPr/>
      </w:pPr>
      <w:r>
        <w:rPr>
          <w:rFonts w:eastAsia="Times New Roman" w:cs="Times New Roman" w:ascii="Times New Roman" w:hAnsi="Times New Roman"/>
          <w:color w:val="111111"/>
          <w:sz w:val="28"/>
          <w:szCs w:val="28"/>
          <w:lang w:val="en-US"/>
        </w:rPr>
        <w:t>Beberapa Kritik 189</w:t>
      </w:r>
    </w:p>
    <w:p>
      <w:pPr>
        <w:pStyle w:val="BookText"/>
        <w:bidi w:val="0"/>
        <w:jc w:val="both"/>
        <w:rPr/>
      </w:pPr>
      <w:r>
        <w:rPr>
          <w:rFonts w:eastAsia="Times New Roman" w:cs="Times New Roman" w:ascii="Times New Roman" w:hAnsi="Times New Roman"/>
          <w:color w:val="111111"/>
          <w:sz w:val="28"/>
          <w:szCs w:val="28"/>
          <w:lang w:val="en-US"/>
        </w:rPr>
        <w:t>Argumentasi Rasional 192</w:t>
      </w:r>
    </w:p>
    <w:p>
      <w:pPr>
        <w:pStyle w:val="BookText"/>
        <w:bidi w:val="0"/>
        <w:jc w:val="both"/>
        <w:rPr/>
      </w:pPr>
      <w:r>
        <w:rPr>
          <w:rFonts w:eastAsia="Times New Roman" w:cs="Times New Roman" w:ascii="Times New Roman" w:hAnsi="Times New Roman"/>
          <w:color w:val="111111"/>
          <w:sz w:val="28"/>
          <w:szCs w:val="28"/>
          <w:lang w:val="en-US"/>
        </w:rPr>
        <w:t>Analisis dan Kritik 194</w:t>
      </w:r>
    </w:p>
    <w:p>
      <w:pPr>
        <w:pStyle w:val="BookText"/>
        <w:bidi w:val="0"/>
        <w:jc w:val="both"/>
        <w:rPr/>
      </w:pPr>
      <w:r>
        <w:rPr>
          <w:rFonts w:eastAsia="Times New Roman" w:cs="Times New Roman" w:ascii="Times New Roman" w:hAnsi="Times New Roman"/>
          <w:color w:val="111111"/>
          <w:sz w:val="28"/>
          <w:szCs w:val="28"/>
          <w:lang w:val="en-US"/>
        </w:rPr>
        <w:t>Kelompok Akhbari dan Masalah Pertentangan</w:t>
      </w:r>
    </w:p>
    <w:p>
      <w:pPr>
        <w:pStyle w:val="BookText"/>
        <w:bidi w:val="0"/>
        <w:jc w:val="both"/>
        <w:rPr/>
      </w:pPr>
      <w:r>
        <w:rPr>
          <w:rFonts w:eastAsia="Times New Roman" w:cs="Times New Roman" w:ascii="Times New Roman" w:hAnsi="Times New Roman"/>
          <w:color w:val="111111"/>
          <w:sz w:val="28"/>
          <w:szCs w:val="28"/>
          <w:lang w:val="en-US"/>
        </w:rPr>
        <w:t>Akal dan Teks 196</w:t>
      </w:r>
    </w:p>
    <w:p>
      <w:pPr>
        <w:pStyle w:val="BookText"/>
        <w:bidi w:val="0"/>
        <w:jc w:val="both"/>
        <w:rPr/>
      </w:pPr>
      <w:r>
        <w:rPr>
          <w:rFonts w:eastAsia="Times New Roman" w:cs="Times New Roman" w:ascii="Times New Roman" w:hAnsi="Times New Roman"/>
          <w:color w:val="111111"/>
          <w:sz w:val="28"/>
          <w:szCs w:val="28"/>
          <w:lang w:val="en-US"/>
        </w:rPr>
        <w:t>BAB VII Wahyu dan Penyaksian Sufistik 199</w:t>
      </w:r>
    </w:p>
    <w:p>
      <w:pPr>
        <w:pStyle w:val="BookText"/>
        <w:bidi w:val="0"/>
        <w:jc w:val="both"/>
        <w:rPr/>
      </w:pPr>
      <w:r>
        <w:rPr>
          <w:rFonts w:eastAsia="Times New Roman" w:cs="Times New Roman" w:ascii="Times New Roman" w:hAnsi="Times New Roman"/>
          <w:color w:val="111111"/>
          <w:sz w:val="28"/>
          <w:szCs w:val="28"/>
          <w:lang w:val="en-US"/>
        </w:rPr>
        <w:t>Hakikat tanpa Syariat 205</w:t>
      </w:r>
    </w:p>
    <w:p>
      <w:pPr>
        <w:pStyle w:val="BookText"/>
        <w:bidi w:val="0"/>
        <w:jc w:val="both"/>
        <w:rPr/>
      </w:pPr>
      <w:r>
        <w:rPr>
          <w:rFonts w:eastAsia="Times New Roman" w:cs="Times New Roman" w:ascii="Times New Roman" w:hAnsi="Times New Roman"/>
          <w:color w:val="111111"/>
          <w:sz w:val="28"/>
          <w:szCs w:val="28"/>
          <w:lang w:val="en-US"/>
        </w:rPr>
        <w:t>Khidhir dan Musa, Simbol Ahli Tarikat dan Syariat 211</w:t>
      </w:r>
    </w:p>
    <w:p>
      <w:pPr>
        <w:pStyle w:val="BookText"/>
        <w:bidi w:val="0"/>
        <w:jc w:val="both"/>
        <w:rPr/>
      </w:pPr>
      <w:r>
        <w:rPr>
          <w:rFonts w:eastAsia="Times New Roman" w:cs="Times New Roman" w:ascii="Times New Roman" w:hAnsi="Times New Roman"/>
          <w:color w:val="111111"/>
          <w:sz w:val="28"/>
          <w:szCs w:val="28"/>
          <w:lang w:val="en-US"/>
        </w:rPr>
        <w:t>Tasawuf dan Syariat Khusus 213</w:t>
      </w:r>
    </w:p>
    <w:p>
      <w:pPr>
        <w:pStyle w:val="BookText"/>
        <w:bidi w:val="0"/>
        <w:jc w:val="both"/>
        <w:rPr/>
      </w:pPr>
      <w:r>
        <w:rPr>
          <w:rFonts w:eastAsia="Times New Roman" w:cs="Times New Roman" w:ascii="Times New Roman" w:hAnsi="Times New Roman"/>
          <w:color w:val="111111"/>
          <w:sz w:val="28"/>
          <w:szCs w:val="28"/>
          <w:lang w:val="en-US"/>
        </w:rPr>
        <w:t>Tujuan, Pembenar Sarana 217</w:t>
      </w:r>
    </w:p>
    <w:p>
      <w:pPr>
        <w:pStyle w:val="BookText"/>
        <w:bidi w:val="0"/>
        <w:jc w:val="both"/>
        <w:rPr/>
      </w:pPr>
      <w:r>
        <w:rPr>
          <w:rFonts w:eastAsia="Times New Roman" w:cs="Times New Roman" w:ascii="Times New Roman" w:hAnsi="Times New Roman"/>
          <w:color w:val="111111"/>
          <w:sz w:val="28"/>
          <w:szCs w:val="28"/>
          <w:lang w:val="en-US"/>
        </w:rPr>
        <w:t>Antisyariat dalam Doktrin Malamatiyah 223</w:t>
      </w:r>
    </w:p>
    <w:p>
      <w:pPr>
        <w:pStyle w:val="BookText"/>
        <w:bidi w:val="0"/>
        <w:jc w:val="both"/>
        <w:rPr/>
      </w:pPr>
      <w:r>
        <w:rPr>
          <w:rFonts w:eastAsia="Times New Roman" w:cs="Times New Roman" w:ascii="Times New Roman" w:hAnsi="Times New Roman"/>
          <w:color w:val="111111"/>
          <w:sz w:val="28"/>
          <w:szCs w:val="28"/>
          <w:lang w:val="en-US"/>
        </w:rPr>
        <w:t>Mabuk (Sakr), Pelarian Bebas syariat 225</w:t>
      </w:r>
    </w:p>
    <w:p>
      <w:pPr>
        <w:pStyle w:val="BookText"/>
        <w:bidi w:val="0"/>
        <w:jc w:val="both"/>
        <w:rPr/>
      </w:pPr>
      <w:r>
        <w:rPr>
          <w:rFonts w:eastAsia="Times New Roman" w:cs="Times New Roman" w:ascii="Times New Roman" w:hAnsi="Times New Roman"/>
          <w:color w:val="111111"/>
          <w:sz w:val="28"/>
          <w:szCs w:val="28"/>
          <w:lang w:val="en-US"/>
        </w:rPr>
        <w:t>Analisis dan Kritik 227</w:t>
      </w:r>
    </w:p>
    <w:p>
      <w:pPr>
        <w:pStyle w:val="BookText"/>
        <w:bidi w:val="0"/>
        <w:jc w:val="both"/>
        <w:rPr/>
      </w:pPr>
      <w:r>
        <w:rPr>
          <w:rFonts w:eastAsia="Times New Roman" w:cs="Times New Roman" w:ascii="Times New Roman" w:hAnsi="Times New Roman"/>
          <w:color w:val="111111"/>
          <w:sz w:val="28"/>
          <w:szCs w:val="28"/>
          <w:lang w:val="en-US"/>
        </w:rPr>
        <w:t>Keseutuhan Hakikat dan Syariat 228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p:viii </w:t>
      </w:r>
    </w:p>
    <w:p>
      <w:pPr>
        <w:pStyle w:val="BookText"/>
        <w:bidi w:val="0"/>
        <w:rPr/>
      </w:pPr>
      <w:r>
        <w:rPr>
          <w:rFonts w:eastAsia="Times New Roman" w:cs="Times New Roman" w:ascii="Times New Roman" w:hAnsi="Times New Roman"/>
          <w:color w:val="111111"/>
          <w:sz w:val="28"/>
          <w:szCs w:val="28"/>
          <w:lang w:val="en-US"/>
        </w:rPr>
        <w:t>Daftar Isi</w:t>
      </w:r>
    </w:p>
    <w:p>
      <w:pPr>
        <w:pStyle w:val="BookText"/>
        <w:bidi w:val="0"/>
        <w:jc w:val="both"/>
        <w:rPr/>
      </w:pPr>
      <w:r>
        <w:rPr>
          <w:rFonts w:eastAsia="Times New Roman" w:cs="Times New Roman" w:ascii="Times New Roman" w:hAnsi="Times New Roman"/>
          <w:color w:val="111111"/>
          <w:sz w:val="28"/>
          <w:szCs w:val="28"/>
          <w:lang w:val="en-US"/>
        </w:rPr>
        <w:t>Konsistensi Kludir pada Syariat 233</w:t>
      </w:r>
    </w:p>
    <w:p>
      <w:pPr>
        <w:pStyle w:val="BookText"/>
        <w:bidi w:val="0"/>
        <w:jc w:val="both"/>
        <w:rPr/>
      </w:pPr>
      <w:r>
        <w:rPr>
          <w:rFonts w:eastAsia="Times New Roman" w:cs="Times New Roman" w:ascii="Times New Roman" w:hAnsi="Times New Roman"/>
          <w:color w:val="111111"/>
          <w:sz w:val="28"/>
          <w:szCs w:val="28"/>
          <w:lang w:val="en-US"/>
        </w:rPr>
        <w:t>Koherensi Sarana dan Tujuan 235</w:t>
      </w:r>
    </w:p>
    <w:p>
      <w:pPr>
        <w:pStyle w:val="BookText"/>
        <w:bidi w:val="0"/>
        <w:jc w:val="both"/>
        <w:rPr/>
      </w:pPr>
      <w:r>
        <w:rPr>
          <w:rFonts w:eastAsia="Times New Roman" w:cs="Times New Roman" w:ascii="Times New Roman" w:hAnsi="Times New Roman"/>
          <w:color w:val="111111"/>
          <w:sz w:val="28"/>
          <w:szCs w:val="28"/>
          <w:lang w:val="en-US"/>
        </w:rPr>
        <w:t>Karamah dan Tolok Ukur Kebenaran 236</w:t>
      </w:r>
    </w:p>
    <w:p>
      <w:pPr>
        <w:pStyle w:val="BookText"/>
        <w:bidi w:val="0"/>
        <w:jc w:val="both"/>
        <w:rPr/>
      </w:pPr>
      <w:r>
        <w:rPr>
          <w:rFonts w:eastAsia="Times New Roman" w:cs="Times New Roman" w:ascii="Times New Roman" w:hAnsi="Times New Roman"/>
          <w:color w:val="111111"/>
          <w:sz w:val="28"/>
          <w:szCs w:val="28"/>
          <w:lang w:val="en-US"/>
        </w:rPr>
        <w:t>BAB VIII Akal: Perspektif Islam 239</w:t>
      </w:r>
    </w:p>
    <w:p>
      <w:pPr>
        <w:pStyle w:val="BookText"/>
        <w:bidi w:val="0"/>
        <w:jc w:val="both"/>
        <w:rPr/>
      </w:pPr>
      <w:r>
        <w:rPr>
          <w:rFonts w:eastAsia="Times New Roman" w:cs="Times New Roman" w:ascii="Times New Roman" w:hAnsi="Times New Roman"/>
          <w:color w:val="111111"/>
          <w:sz w:val="28"/>
          <w:szCs w:val="28"/>
          <w:lang w:val="en-US"/>
        </w:rPr>
        <w:t>Tinjauan Teks (Ayat dan Riwayat) 240</w:t>
      </w:r>
    </w:p>
    <w:p>
      <w:pPr>
        <w:pStyle w:val="BookText"/>
        <w:bidi w:val="0"/>
        <w:jc w:val="both"/>
        <w:rPr/>
      </w:pPr>
      <w:r>
        <w:rPr>
          <w:rFonts w:eastAsia="Times New Roman" w:cs="Times New Roman" w:ascii="Times New Roman" w:hAnsi="Times New Roman"/>
          <w:color w:val="111111"/>
          <w:sz w:val="28"/>
          <w:szCs w:val="28"/>
          <w:lang w:val="en-US"/>
        </w:rPr>
        <w:t>Perspektif Alquran 243</w:t>
      </w:r>
    </w:p>
    <w:p>
      <w:pPr>
        <w:pStyle w:val="BookText"/>
        <w:bidi w:val="0"/>
        <w:jc w:val="both"/>
        <w:rPr/>
      </w:pPr>
      <w:r>
        <w:rPr>
          <w:rFonts w:eastAsia="Times New Roman" w:cs="Times New Roman" w:ascii="Times New Roman" w:hAnsi="Times New Roman"/>
          <w:color w:val="111111"/>
          <w:sz w:val="28"/>
          <w:szCs w:val="28"/>
          <w:lang w:val="en-US"/>
        </w:rPr>
        <w:t>Mengajak Berpikir 243</w:t>
      </w:r>
    </w:p>
    <w:p>
      <w:pPr>
        <w:pStyle w:val="BookText"/>
        <w:bidi w:val="0"/>
        <w:jc w:val="both"/>
        <w:rPr/>
      </w:pPr>
      <w:r>
        <w:rPr>
          <w:rFonts w:eastAsia="Times New Roman" w:cs="Times New Roman" w:ascii="Times New Roman" w:hAnsi="Times New Roman"/>
          <w:color w:val="111111"/>
          <w:sz w:val="28"/>
          <w:szCs w:val="28"/>
          <w:lang w:val="en-US"/>
        </w:rPr>
        <w:t>Merumuskan Argumentasi Rasional 244</w:t>
      </w:r>
    </w:p>
    <w:p>
      <w:pPr>
        <w:pStyle w:val="BookText"/>
        <w:bidi w:val="0"/>
        <w:jc w:val="both"/>
        <w:rPr/>
      </w:pPr>
      <w:r>
        <w:rPr>
          <w:rFonts w:eastAsia="Times New Roman" w:cs="Times New Roman" w:ascii="Times New Roman" w:hAnsi="Times New Roman"/>
          <w:color w:val="111111"/>
          <w:sz w:val="28"/>
          <w:szCs w:val="28"/>
          <w:lang w:val="en-US"/>
        </w:rPr>
        <w:t>Mengacu Prinsip Kausalitas 245</w:t>
      </w:r>
    </w:p>
    <w:p>
      <w:pPr>
        <w:pStyle w:val="BookText"/>
        <w:bidi w:val="0"/>
        <w:jc w:val="both"/>
        <w:rPr/>
      </w:pPr>
      <w:r>
        <w:rPr>
          <w:rFonts w:eastAsia="Times New Roman" w:cs="Times New Roman" w:ascii="Times New Roman" w:hAnsi="Times New Roman"/>
          <w:color w:val="111111"/>
          <w:sz w:val="28"/>
          <w:szCs w:val="28"/>
          <w:lang w:val="en-US"/>
        </w:rPr>
        <w:t>Menjelaskan Filsafat Hukum 247</w:t>
      </w:r>
    </w:p>
    <w:p>
      <w:pPr>
        <w:pStyle w:val="BookText"/>
        <w:bidi w:val="0"/>
        <w:jc w:val="both"/>
        <w:rPr/>
      </w:pPr>
      <w:r>
        <w:rPr>
          <w:rFonts w:eastAsia="Times New Roman" w:cs="Times New Roman" w:ascii="Times New Roman" w:hAnsi="Times New Roman"/>
          <w:color w:val="111111"/>
          <w:sz w:val="28"/>
          <w:szCs w:val="28"/>
          <w:lang w:val="en-US"/>
        </w:rPr>
        <w:t>Kekeliruan Berpikir 247</w:t>
      </w:r>
    </w:p>
    <w:p>
      <w:pPr>
        <w:pStyle w:val="BookText"/>
        <w:bidi w:val="0"/>
        <w:jc w:val="both"/>
        <w:rPr/>
      </w:pPr>
      <w:r>
        <w:rPr>
          <w:rFonts w:eastAsia="Times New Roman" w:cs="Times New Roman" w:ascii="Times New Roman" w:hAnsi="Times New Roman"/>
          <w:color w:val="111111"/>
          <w:sz w:val="28"/>
          <w:szCs w:val="28"/>
          <w:lang w:val="en-US"/>
        </w:rPr>
        <w:t>Menuruti Prasangka dan Praduga 248</w:t>
      </w:r>
    </w:p>
    <w:p>
      <w:pPr>
        <w:pStyle w:val="BookText"/>
        <w:bidi w:val="0"/>
        <w:jc w:val="both"/>
        <w:rPr/>
      </w:pPr>
      <w:r>
        <w:rPr>
          <w:rFonts w:eastAsia="Times New Roman" w:cs="Times New Roman" w:ascii="Times New Roman" w:hAnsi="Times New Roman"/>
          <w:color w:val="111111"/>
          <w:sz w:val="28"/>
          <w:szCs w:val="28"/>
          <w:lang w:val="en-US"/>
        </w:rPr>
        <w:t>Taklid Buta 249</w:t>
      </w:r>
    </w:p>
    <w:p>
      <w:pPr>
        <w:pStyle w:val="BookText"/>
        <w:bidi w:val="0"/>
        <w:jc w:val="both"/>
        <w:rPr/>
      </w:pPr>
      <w:r>
        <w:rPr>
          <w:rFonts w:eastAsia="Times New Roman" w:cs="Times New Roman" w:ascii="Times New Roman" w:hAnsi="Times New Roman"/>
          <w:color w:val="111111"/>
          <w:sz w:val="28"/>
          <w:szCs w:val="28"/>
          <w:lang w:val="en-US"/>
        </w:rPr>
        <w:t>Ketergesaan 250</w:t>
      </w:r>
    </w:p>
    <w:p>
      <w:pPr>
        <w:pStyle w:val="BookText"/>
        <w:bidi w:val="0"/>
        <w:jc w:val="both"/>
        <w:rPr/>
      </w:pPr>
      <w:r>
        <w:rPr>
          <w:rFonts w:eastAsia="Times New Roman" w:cs="Times New Roman" w:ascii="Times New Roman" w:hAnsi="Times New Roman"/>
          <w:color w:val="111111"/>
          <w:sz w:val="28"/>
          <w:szCs w:val="28"/>
          <w:lang w:val="en-US"/>
        </w:rPr>
        <w:t>Hasrat dan Desakan Jiwa 250</w:t>
      </w:r>
    </w:p>
    <w:p>
      <w:pPr>
        <w:pStyle w:val="BookText"/>
        <w:bidi w:val="0"/>
        <w:jc w:val="both"/>
        <w:rPr/>
      </w:pPr>
      <w:r>
        <w:rPr>
          <w:rFonts w:eastAsia="Times New Roman" w:cs="Times New Roman" w:ascii="Times New Roman" w:hAnsi="Times New Roman"/>
          <w:color w:val="111111"/>
          <w:sz w:val="28"/>
          <w:szCs w:val="28"/>
          <w:lang w:val="en-US"/>
        </w:rPr>
        <w:t>Peran Wahyu 252</w:t>
      </w:r>
    </w:p>
    <w:p>
      <w:pPr>
        <w:pStyle w:val="BookText"/>
        <w:bidi w:val="0"/>
        <w:jc w:val="both"/>
        <w:rPr/>
      </w:pPr>
      <w:r>
        <w:rPr>
          <w:rFonts w:eastAsia="Times New Roman" w:cs="Times New Roman" w:ascii="Times New Roman" w:hAnsi="Times New Roman"/>
          <w:color w:val="111111"/>
          <w:sz w:val="28"/>
          <w:szCs w:val="28"/>
          <w:lang w:val="en-US"/>
        </w:rPr>
        <w:t>Menjelaskan Keterbatasan Akal 252</w:t>
      </w:r>
    </w:p>
    <w:p>
      <w:pPr>
        <w:pStyle w:val="BookText"/>
        <w:bidi w:val="0"/>
        <w:jc w:val="both"/>
        <w:rPr/>
      </w:pPr>
      <w:r>
        <w:rPr>
          <w:rFonts w:eastAsia="Times New Roman" w:cs="Times New Roman" w:ascii="Times New Roman" w:hAnsi="Times New Roman"/>
          <w:color w:val="111111"/>
          <w:sz w:val="28"/>
          <w:szCs w:val="28"/>
          <w:lang w:val="en-US"/>
        </w:rPr>
        <w:t>Mengarahkan pada Objek 253</w:t>
      </w:r>
    </w:p>
    <w:p>
      <w:pPr>
        <w:pStyle w:val="BookText"/>
        <w:bidi w:val="0"/>
        <w:jc w:val="both"/>
        <w:rPr/>
      </w:pPr>
      <w:r>
        <w:rPr>
          <w:rFonts w:eastAsia="Times New Roman" w:cs="Times New Roman" w:ascii="Times New Roman" w:hAnsi="Times New Roman"/>
          <w:color w:val="111111"/>
          <w:sz w:val="28"/>
          <w:szCs w:val="28"/>
          <w:lang w:val="en-US"/>
        </w:rPr>
        <w:t>Menunjukkan Rincian Jalan 254</w:t>
      </w:r>
    </w:p>
    <w:p>
      <w:pPr>
        <w:pStyle w:val="BookText"/>
        <w:bidi w:val="0"/>
        <w:jc w:val="both"/>
        <w:rPr/>
      </w:pPr>
      <w:r>
        <w:rPr>
          <w:rFonts w:eastAsia="Times New Roman" w:cs="Times New Roman" w:ascii="Times New Roman" w:hAnsi="Times New Roman"/>
          <w:color w:val="111111"/>
          <w:sz w:val="28"/>
          <w:szCs w:val="28"/>
          <w:lang w:val="en-US"/>
        </w:rPr>
        <w:t>Menunjukkan Kekeliruan Berpikir 255</w:t>
      </w:r>
    </w:p>
    <w:p>
      <w:pPr>
        <w:pStyle w:val="BookText"/>
        <w:bidi w:val="0"/>
        <w:jc w:val="both"/>
        <w:rPr/>
      </w:pPr>
      <w:r>
        <w:rPr>
          <w:rFonts w:eastAsia="Times New Roman" w:cs="Times New Roman" w:ascii="Times New Roman" w:hAnsi="Times New Roman"/>
          <w:color w:val="111111"/>
          <w:sz w:val="28"/>
          <w:szCs w:val="28"/>
          <w:lang w:val="en-US"/>
        </w:rPr>
        <w:t>Peran Akal 255</w:t>
      </w:r>
    </w:p>
    <w:p>
      <w:pPr>
        <w:pStyle w:val="BookText"/>
        <w:bidi w:val="0"/>
        <w:jc w:val="both"/>
        <w:rPr/>
      </w:pPr>
      <w:r>
        <w:rPr>
          <w:rFonts w:eastAsia="Times New Roman" w:cs="Times New Roman" w:ascii="Times New Roman" w:hAnsi="Times New Roman"/>
          <w:color w:val="111111"/>
          <w:sz w:val="28"/>
          <w:szCs w:val="28"/>
          <w:lang w:val="en-US"/>
        </w:rPr>
        <w:t>Akal sebagai Tolok Ukur 256</w:t>
      </w:r>
    </w:p>
    <w:p>
      <w:pPr>
        <w:pStyle w:val="BookText"/>
        <w:bidi w:val="0"/>
        <w:jc w:val="both"/>
        <w:rPr/>
      </w:pPr>
      <w:r>
        <w:rPr>
          <w:rFonts w:eastAsia="Times New Roman" w:cs="Times New Roman" w:ascii="Times New Roman" w:hAnsi="Times New Roman"/>
          <w:color w:val="111111"/>
          <w:sz w:val="28"/>
          <w:szCs w:val="28"/>
          <w:lang w:val="en-US"/>
        </w:rPr>
        <w:t>Mengafirmasi Kebenaran Agama 256</w:t>
      </w:r>
    </w:p>
    <w:p>
      <w:pPr>
        <w:pStyle w:val="BookText"/>
        <w:bidi w:val="0"/>
        <w:jc w:val="both"/>
        <w:rPr/>
      </w:pPr>
      <w:r>
        <w:rPr>
          <w:rFonts w:eastAsia="Times New Roman" w:cs="Times New Roman" w:ascii="Times New Roman" w:hAnsi="Times New Roman"/>
          <w:color w:val="111111"/>
          <w:sz w:val="28"/>
          <w:szCs w:val="28"/>
          <w:lang w:val="en-US"/>
        </w:rPr>
        <w:t>Membuktikan Prinsip-prinsip Keimanan 257</w:t>
      </w:r>
    </w:p>
    <w:p>
      <w:pPr>
        <w:pStyle w:val="BookText"/>
        <w:bidi w:val="0"/>
        <w:jc w:val="both"/>
        <w:rPr/>
      </w:pPr>
      <w:r>
        <w:rPr>
          <w:rFonts w:eastAsia="Times New Roman" w:cs="Times New Roman" w:ascii="Times New Roman" w:hAnsi="Times New Roman"/>
          <w:color w:val="111111"/>
          <w:sz w:val="28"/>
          <w:szCs w:val="28"/>
          <w:lang w:val="en-US"/>
        </w:rPr>
        <w:t>Melindungi Agama dari Penyimpangan 257</w:t>
      </w:r>
    </w:p>
    <w:p>
      <w:pPr>
        <w:pStyle w:val="BookText"/>
        <w:bidi w:val="0"/>
        <w:jc w:val="both"/>
        <w:rPr/>
      </w:pPr>
      <w:r>
        <w:rPr>
          <w:rFonts w:eastAsia="Times New Roman" w:cs="Times New Roman" w:ascii="Times New Roman" w:hAnsi="Times New Roman"/>
          <w:color w:val="111111"/>
          <w:sz w:val="28"/>
          <w:szCs w:val="28"/>
          <w:lang w:val="en-US"/>
        </w:rPr>
        <w:t>Akal sebagai Kunci 258</w:t>
      </w:r>
    </w:p>
    <w:p>
      <w:pPr>
        <w:pStyle w:val="BookText"/>
        <w:bidi w:val="0"/>
        <w:jc w:val="both"/>
        <w:rPr/>
      </w:pPr>
      <w:r>
        <w:rPr>
          <w:rFonts w:eastAsia="Times New Roman" w:cs="Times New Roman" w:ascii="Times New Roman" w:hAnsi="Times New Roman"/>
          <w:color w:val="111111"/>
          <w:sz w:val="28"/>
          <w:szCs w:val="28"/>
          <w:lang w:val="en-US"/>
        </w:rPr>
        <w:t>Akal sebagai Pelita 259</w:t>
      </w:r>
    </w:p>
    <w:p>
      <w:pPr>
        <w:pStyle w:val="BookText"/>
        <w:bidi w:val="0"/>
        <w:jc w:val="both"/>
        <w:rPr/>
      </w:pPr>
      <w:r>
        <w:rPr>
          <w:rFonts w:eastAsia="Times New Roman" w:cs="Times New Roman" w:ascii="Times New Roman" w:hAnsi="Times New Roman"/>
          <w:color w:val="111111"/>
          <w:sz w:val="28"/>
          <w:szCs w:val="28"/>
          <w:lang w:val="en-US"/>
        </w:rPr>
        <w:t>Baik-Buruk Rasional (Husn wa Qubh ‘Agli) 259</w:t>
      </w:r>
    </w:p>
    <w:p>
      <w:pPr>
        <w:pStyle w:val="BookText"/>
        <w:bidi w:val="0"/>
        <w:jc w:val="both"/>
        <w:rPr/>
      </w:pPr>
      <w:r>
        <w:rPr>
          <w:rFonts w:eastAsia="Times New Roman" w:cs="Times New Roman" w:ascii="Times New Roman" w:hAnsi="Times New Roman"/>
          <w:color w:val="111111"/>
          <w:sz w:val="28"/>
          <w:szCs w:val="28"/>
          <w:lang w:val="en-US"/>
        </w:rPr>
        <w:t>Kaidah Korelasi (Mulazamalt) 262</w:t>
      </w:r>
    </w:p>
    <w:p>
      <w:pPr>
        <w:pStyle w:val="BookText"/>
        <w:bidi w:val="0"/>
        <w:jc w:val="both"/>
        <w:rPr/>
      </w:pPr>
      <w:r>
        <w:rPr>
          <w:rFonts w:eastAsia="Times New Roman" w:cs="Times New Roman" w:ascii="Times New Roman" w:hAnsi="Times New Roman"/>
          <w:color w:val="111111"/>
          <w:sz w:val="28"/>
          <w:szCs w:val="28"/>
          <w:lang w:val="en-US"/>
        </w:rPr>
        <w:t>Daftar Pustaka 265</w:t>
      </w:r>
    </w:p>
    <w:p>
      <w:pPr>
        <w:pStyle w:val="BookText"/>
        <w:bidi w:val="0"/>
        <w:jc w:val="both"/>
        <w:rPr/>
      </w:pPr>
      <w:r>
        <w:rPr>
          <w:rFonts w:eastAsia="Times New Roman" w:cs="Times New Roman" w:ascii="Times New Roman" w:hAnsi="Times New Roman"/>
          <w:color w:val="111111"/>
          <w:sz w:val="28"/>
          <w:szCs w:val="28"/>
          <w:lang w:val="en-US"/>
        </w:rPr>
        <w:t>Indeks 297</w:t>
      </w:r>
    </w:p>
    <w:p>
      <w:pPr>
        <w:pStyle w:val="BookText"/>
        <w:bidi w:val="0"/>
        <w:jc w:val="both"/>
        <w:rPr/>
      </w:pPr>
      <w:r>
        <w:rPr>
          <w:rFonts w:eastAsia="Times New Roman" w:cs="Times New Roman" w:ascii="Times New Roman" w:hAnsi="Times New Roman"/>
          <w:color w:val="111111"/>
          <w:sz w:val="28"/>
          <w:szCs w:val="28"/>
          <w:lang w:val="en-US"/>
        </w:rPr>
        <w:t>Lampiran 301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p:ix </w:t>
      </w:r>
    </w:p>
    <w:p>
      <w:pPr>
        <w:pStyle w:val="BookText"/>
        <w:bidi w:val="0"/>
        <w:rPr/>
      </w:pPr>
      <w:r>
        <w:rPr>
          <w:rFonts w:eastAsia="Times New Roman" w:cs="Times New Roman" w:ascii="Times New Roman" w:hAnsi="Times New Roman"/>
          <w:color w:val="111111"/>
          <w:sz w:val="28"/>
          <w:szCs w:val="28"/>
          <w:lang w:val="en-US"/>
        </w:rPr>
        <w:t>Gambar</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724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6" o:detectmouseclick="t"/>
                <v:stroke color="#3465a4" joinstyle="round" endcap="flat"/>
                <w10:wrap type="none"/>
              </v:shape>
            </w:pict>
          </mc:Fallback>
        </mc:AlternateContent>
      </w:r>
      <w:bookmarkStart w:id="10" w:name="pg5376_50357"/>
    </w:p>
    <w:p>
      <w:pPr>
        <w:pStyle w:val="BookText"/>
        <w:bidi w:val="0"/>
        <w:rPr/>
      </w:pPr>
      <w:bookmarkEnd w:id="10"/>
      <w:r>
        <w:rPr>
          <w:rFonts w:eastAsia="Times New Roman" w:cs="Times New Roman" w:ascii="Times New Roman" w:hAnsi="Times New Roman"/>
          <w:color w:val="111111"/>
          <w:sz w:val="28"/>
          <w:szCs w:val="28"/>
          <w:lang w:val="en-US"/>
        </w:rPr>
        <w:t>Gambar</w:t>
      </w:r>
    </w:p>
    <w:p>
      <w:pPr>
        <w:pStyle w:val="BookText"/>
        <w:bidi w:val="0"/>
        <w:jc w:val="both"/>
        <w:rPr/>
      </w:pPr>
      <w:r>
        <w:rPr/>
        <mc:AlternateContent>
          <mc:Choice Requires="wps">
            <w:drawing>
              <wp:inline distT="0" distB="0" distL="0" distR="0">
                <wp:extent cx="4724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Heading2"/>
        <w:numPr>
          <w:ilvl w:val="1"/>
          <w:numId w:val="1"/>
        </w:numPr>
        <w:bidi w:val="0"/>
        <w:jc w:val="left"/>
        <w:rPr/>
      </w:pPr>
      <w:bookmarkStart w:id="11" w:name="__RefHeading___Toc1351050_581953129"/>
      <w:bookmarkStart w:id="12" w:name="_Toc4"/>
      <w:bookmarkEnd w:id="11"/>
      <w:r>
        <w:rPr/>
        <w:t>PENGANTAR IICT</w:t>
      </w:r>
      <w:bookmarkEnd w:id="12"/>
    </w:p>
    <w:p>
      <w:pPr>
        <w:pStyle w:val="BookText"/>
        <w:bidi w:val="0"/>
        <w:jc w:val="both"/>
        <w:rPr/>
      </w:pPr>
      <w:r>
        <w:rPr>
          <w:rFonts w:eastAsia="Times New Roman" w:cs="Times New Roman" w:ascii="Times New Roman" w:hAnsi="Times New Roman"/>
          <w:color w:val="111111"/>
          <w:sz w:val="28"/>
          <w:szCs w:val="28"/>
          <w:lang w:val="en-US"/>
        </w:rPr>
        <w:t>Institute for Islamic Culture and Thought (ICT) berdiri dan memulai</w:t>
      </w:r>
    </w:p>
    <w:p>
      <w:pPr>
        <w:pStyle w:val="BookText"/>
        <w:bidi w:val="0"/>
        <w:jc w:val="both"/>
        <w:rPr/>
      </w:pPr>
      <w:r>
        <w:rPr>
          <w:rFonts w:eastAsia="Times New Roman" w:cs="Times New Roman" w:ascii="Times New Roman" w:hAnsi="Times New Roman"/>
          <w:color w:val="111111"/>
          <w:sz w:val="28"/>
          <w:szCs w:val="28"/>
          <w:lang w:val="en-US"/>
        </w:rPr>
        <w:t>aktivitasnya pada 1372 HS/1994 M di atas sebuah paradigma pemikir-</w:t>
      </w:r>
    </w:p>
    <w:p>
      <w:pPr>
        <w:pStyle w:val="BookText"/>
        <w:bidi w:val="0"/>
        <w:jc w:val="both"/>
        <w:rPr/>
      </w:pPr>
      <w:r>
        <w:rPr>
          <w:rFonts w:eastAsia="Times New Roman" w:cs="Times New Roman" w:ascii="Times New Roman" w:hAnsi="Times New Roman"/>
          <w:color w:val="111111"/>
          <w:sz w:val="28"/>
          <w:szCs w:val="28"/>
          <w:lang w:val="en-US"/>
        </w:rPr>
        <w:t>an pembaruan. Hingga kini, konstruksi pemikiran sarjana dunia Is-</w:t>
      </w:r>
    </w:p>
    <w:p>
      <w:pPr>
        <w:pStyle w:val="BookText"/>
        <w:bidi w:val="0"/>
        <w:jc w:val="both"/>
        <w:rPr/>
      </w:pPr>
      <w:r>
        <w:rPr>
          <w:rFonts w:eastAsia="Times New Roman" w:cs="Times New Roman" w:ascii="Times New Roman" w:hAnsi="Times New Roman"/>
          <w:color w:val="111111"/>
          <w:sz w:val="28"/>
          <w:szCs w:val="28"/>
          <w:lang w:val="en-US"/>
        </w:rPr>
        <w:t>lam dapat diklasifikasi ke dalam tiga tipe, yakni tradisionalisme, mod-</w:t>
      </w:r>
    </w:p>
    <w:p>
      <w:pPr>
        <w:pStyle w:val="BookText"/>
        <w:bidi w:val="0"/>
        <w:jc w:val="both"/>
        <w:rPr/>
      </w:pPr>
      <w:r>
        <w:rPr>
          <w:rFonts w:eastAsia="Times New Roman" w:cs="Times New Roman" w:ascii="Times New Roman" w:hAnsi="Times New Roman"/>
          <w:color w:val="111111"/>
          <w:sz w:val="28"/>
          <w:szCs w:val="28"/>
          <w:lang w:val="en-US"/>
        </w:rPr>
        <w:t>ernisme, dan modernisme religius. Kaum tradisionalis, dalam interaksi</w:t>
      </w:r>
    </w:p>
    <w:p>
      <w:pPr>
        <w:pStyle w:val="BookText"/>
        <w:bidi w:val="0"/>
        <w:jc w:val="both"/>
        <w:rPr/>
      </w:pPr>
      <w:r>
        <w:rPr>
          <w:rFonts w:eastAsia="Times New Roman" w:cs="Times New Roman" w:ascii="Times New Roman" w:hAnsi="Times New Roman"/>
          <w:color w:val="111111"/>
          <w:sz w:val="28"/>
          <w:szCs w:val="28"/>
          <w:lang w:val="en-US"/>
        </w:rPr>
        <w:t>mereka dengan modernitas, menghadapi berbagai konsep dan teori</w:t>
      </w:r>
    </w:p>
    <w:p>
      <w:pPr>
        <w:pStyle w:val="BookText"/>
        <w:bidi w:val="0"/>
        <w:jc w:val="both"/>
        <w:rPr/>
      </w:pPr>
      <w:r>
        <w:rPr>
          <w:rFonts w:eastAsia="Times New Roman" w:cs="Times New Roman" w:ascii="Times New Roman" w:hAnsi="Times New Roman"/>
          <w:color w:val="111111"/>
          <w:sz w:val="28"/>
          <w:szCs w:val="28"/>
          <w:lang w:val="en-US"/>
        </w:rPr>
        <w:t>baru, menempatkan tradisi sebagai prinsip yang tak bisa “disentuh” dalam</w:t>
      </w:r>
    </w:p>
    <w:p>
      <w:pPr>
        <w:pStyle w:val="BookText"/>
        <w:bidi w:val="0"/>
        <w:jc w:val="both"/>
        <w:rPr/>
      </w:pPr>
      <w:r>
        <w:rPr>
          <w:rFonts w:eastAsia="Times New Roman" w:cs="Times New Roman" w:ascii="Times New Roman" w:hAnsi="Times New Roman"/>
          <w:color w:val="111111"/>
          <w:sz w:val="28"/>
          <w:szCs w:val="28"/>
          <w:lang w:val="en-US"/>
        </w:rPr>
        <w:t>kondisi apa pun. Dalam rangka melindungi tradisi, mereka mereaksi</w:t>
      </w:r>
    </w:p>
    <w:p>
      <w:pPr>
        <w:pStyle w:val="BookText"/>
        <w:bidi w:val="0"/>
        <w:jc w:val="both"/>
        <w:rPr/>
      </w:pPr>
      <w:r>
        <w:rPr>
          <w:rFonts w:eastAsia="Times New Roman" w:cs="Times New Roman" w:ascii="Times New Roman" w:hAnsi="Times New Roman"/>
          <w:color w:val="111111"/>
          <w:sz w:val="28"/>
          <w:szCs w:val="28"/>
          <w:lang w:val="en-US"/>
        </w:rPr>
        <w:t>modernitas secara negatif. Dampaknya, upaya dekonstruksi pemikiran</w:t>
      </w:r>
    </w:p>
    <w:p>
      <w:pPr>
        <w:pStyle w:val="BookText"/>
        <w:bidi w:val="0"/>
        <w:jc w:val="both"/>
        <w:rPr/>
      </w:pPr>
      <w:r>
        <w:rPr>
          <w:rFonts w:eastAsia="Times New Roman" w:cs="Times New Roman" w:ascii="Times New Roman" w:hAnsi="Times New Roman"/>
          <w:color w:val="111111"/>
          <w:sz w:val="28"/>
          <w:szCs w:val="28"/>
          <w:lang w:val="en-US"/>
        </w:rPr>
        <w:t>dan reproduksi pemahaman aktual terhadap teks agama yang kom-</w:t>
      </w:r>
    </w:p>
    <w:p>
      <w:pPr>
        <w:pStyle w:val="BookText"/>
        <w:bidi w:val="0"/>
        <w:jc w:val="both"/>
        <w:rPr/>
      </w:pPr>
      <w:r>
        <w:rPr>
          <w:rFonts w:eastAsia="Times New Roman" w:cs="Times New Roman" w:ascii="Times New Roman" w:hAnsi="Times New Roman"/>
          <w:color w:val="111111"/>
          <w:sz w:val="28"/>
          <w:szCs w:val="28"/>
          <w:lang w:val="en-US"/>
        </w:rPr>
        <w:t>patibel dengan aneka ragam kebutuhan masyarakat, dalam paradigma</w:t>
      </w:r>
    </w:p>
    <w:p>
      <w:pPr>
        <w:pStyle w:val="BookText"/>
        <w:bidi w:val="0"/>
        <w:jc w:val="both"/>
        <w:rPr/>
      </w:pPr>
      <w:r>
        <w:rPr>
          <w:rFonts w:eastAsia="Times New Roman" w:cs="Times New Roman" w:ascii="Times New Roman" w:hAnsi="Times New Roman"/>
          <w:color w:val="111111"/>
          <w:sz w:val="28"/>
          <w:szCs w:val="28"/>
          <w:lang w:val="en-US"/>
        </w:rPr>
        <w:t>ini, tampaknya tidak mungkin lagi ditempuh.</w:t>
      </w:r>
    </w:p>
    <w:p>
      <w:pPr>
        <w:pStyle w:val="BookText"/>
        <w:bidi w:val="0"/>
        <w:jc w:val="both"/>
        <w:rPr/>
      </w:pPr>
      <w:r>
        <w:rPr>
          <w:rFonts w:eastAsia="Times New Roman" w:cs="Times New Roman" w:ascii="Times New Roman" w:hAnsi="Times New Roman"/>
          <w:color w:val="111111"/>
          <w:sz w:val="28"/>
          <w:szCs w:val="28"/>
          <w:lang w:val="en-US"/>
        </w:rPr>
        <w:t>Sementara dari sisi lain, kaum modern berdiri pada posisi</w:t>
      </w:r>
    </w:p>
    <w:p>
      <w:pPr>
        <w:pStyle w:val="BookText"/>
        <w:bidi w:val="0"/>
        <w:jc w:val="both"/>
        <w:rPr/>
      </w:pPr>
      <w:r>
        <w:rPr>
          <w:rFonts w:eastAsia="Times New Roman" w:cs="Times New Roman" w:ascii="Times New Roman" w:hAnsi="Times New Roman"/>
          <w:color w:val="111111"/>
          <w:sz w:val="28"/>
          <w:szCs w:val="28"/>
          <w:lang w:val="en-US"/>
        </w:rPr>
        <w:t>diametris di hadapan kaum tradisionalis, sedemikian rupa hingga</w:t>
      </w:r>
    </w:p>
    <w:p>
      <w:pPr>
        <w:pStyle w:val="BookText"/>
        <w:bidi w:val="0"/>
        <w:jc w:val="both"/>
        <w:rPr/>
      </w:pPr>
      <w:r>
        <w:rPr>
          <w:rFonts w:eastAsia="Times New Roman" w:cs="Times New Roman" w:ascii="Times New Roman" w:hAnsi="Times New Roman"/>
          <w:color w:val="111111"/>
          <w:sz w:val="28"/>
          <w:szCs w:val="28"/>
          <w:lang w:val="en-US"/>
        </w:rPr>
        <w:t>dalam interaksi dengan berbagai konsep modernitas dan pemikiran</w:t>
      </w:r>
    </w:p>
    <w:p>
      <w:pPr>
        <w:pStyle w:val="BookText"/>
        <w:bidi w:val="0"/>
        <w:jc w:val="both"/>
        <w:rPr/>
      </w:pPr>
      <w:r>
        <w:rPr>
          <w:rFonts w:eastAsia="Times New Roman" w:cs="Times New Roman" w:ascii="Times New Roman" w:hAnsi="Times New Roman"/>
          <w:color w:val="111111"/>
          <w:sz w:val="28"/>
          <w:szCs w:val="28"/>
          <w:lang w:val="en-US"/>
        </w:rPr>
        <w:t>modern, mereka menempatkan modernitas sebagai nilai prinsip dan</w:t>
      </w:r>
    </w:p>
    <w:p>
      <w:pPr>
        <w:pStyle w:val="BookText"/>
        <w:bidi w:val="0"/>
        <w:jc w:val="both"/>
        <w:rPr/>
      </w:pPr>
      <w:r>
        <w:rPr>
          <w:rFonts w:eastAsia="Times New Roman" w:cs="Times New Roman" w:ascii="Times New Roman" w:hAnsi="Times New Roman"/>
          <w:color w:val="111111"/>
          <w:sz w:val="28"/>
          <w:szCs w:val="28"/>
          <w:lang w:val="en-US"/>
        </w:rPr>
        <w:t>mengkontekstualisasikan tradisi sesuai dengan konsep-konsepnya.</w:t>
      </w:r>
    </w:p>
    <w:p>
      <w:pPr>
        <w:pStyle w:val="BookText"/>
        <w:bidi w:val="0"/>
        <w:jc w:val="both"/>
        <w:rPr/>
      </w:pPr>
      <w:r>
        <w:rPr>
          <w:rFonts w:eastAsia="Times New Roman" w:cs="Times New Roman" w:ascii="Times New Roman" w:hAnsi="Times New Roman"/>
          <w:color w:val="111111"/>
          <w:sz w:val="28"/>
          <w:szCs w:val="28"/>
          <w:lang w:val="en-US"/>
        </w:rPr>
        <w:t>Apabila dampak paradigma tradisionalisme itu muncul dalam bentuk</w:t>
      </w:r>
    </w:p>
    <w:p>
      <w:pPr>
        <w:pStyle w:val="BookText"/>
        <w:bidi w:val="0"/>
        <w:jc w:val="both"/>
        <w:rPr/>
      </w:pPr>
      <w:r>
        <w:rPr>
          <w:rFonts w:eastAsia="Times New Roman" w:cs="Times New Roman" w:ascii="Times New Roman" w:hAnsi="Times New Roman"/>
          <w:color w:val="111111"/>
          <w:sz w:val="28"/>
          <w:szCs w:val="28"/>
          <w:lang w:val="en-US"/>
        </w:rPr>
        <w:t>kejumudan, fundamentalisme, dan keterbelakangan, paradigma modern-</w:t>
      </w:r>
    </w:p>
    <w:p>
      <w:pPr>
        <w:pStyle w:val="BookText"/>
        <w:bidi w:val="0"/>
        <w:jc w:val="both"/>
        <w:rPr/>
      </w:pPr>
      <w:r>
        <w:rPr>
          <w:rFonts w:eastAsia="Times New Roman" w:cs="Times New Roman" w:ascii="Times New Roman" w:hAnsi="Times New Roman"/>
          <w:color w:val="111111"/>
          <w:sz w:val="28"/>
          <w:szCs w:val="28"/>
          <w:lang w:val="en-US"/>
        </w:rPr>
        <w:t>isme, justru pada gilirannya, berujung pada negasi total terhadap</w:t>
      </w:r>
    </w:p>
    <w:p>
      <w:pPr>
        <w:pStyle w:val="BookText"/>
        <w:bidi w:val="0"/>
        <w:jc w:val="both"/>
        <w:rPr/>
      </w:pPr>
      <w:r>
        <w:rPr>
          <w:rFonts w:eastAsia="Times New Roman" w:cs="Times New Roman" w:ascii="Times New Roman" w:hAnsi="Times New Roman"/>
          <w:color w:val="111111"/>
          <w:sz w:val="28"/>
          <w:szCs w:val="28"/>
          <w:lang w:val="en-US"/>
        </w:rPr>
        <w:t>tradisi, dan sebaliknya menumbuhkan paradigma humanisme serta</w:t>
      </w:r>
    </w:p>
    <w:p>
      <w:pPr>
        <w:pStyle w:val="BookText"/>
        <w:bidi w:val="0"/>
        <w:jc w:val="both"/>
        <w:rPr/>
      </w:pPr>
      <w:r>
        <w:rPr>
          <w:rFonts w:eastAsia="Times New Roman" w:cs="Times New Roman" w:ascii="Times New Roman" w:hAnsi="Times New Roman"/>
          <w:color w:val="111111"/>
          <w:sz w:val="28"/>
          <w:szCs w:val="28"/>
          <w:lang w:val="en-US"/>
        </w:rPr>
        <w:t>mendukung dominasi sekularisme dalam seluruh aspek masyarakat.</w:t>
      </w:r>
    </w:p>
    <w:p>
      <w:pPr>
        <w:pStyle w:val="BookText"/>
        <w:bidi w:val="0"/>
        <w:jc w:val="both"/>
        <w:rPr/>
      </w:pPr>
      <w:r>
        <w:rPr>
          <w:rFonts w:eastAsia="Times New Roman" w:cs="Times New Roman" w:ascii="Times New Roman" w:hAnsi="Times New Roman"/>
          <w:color w:val="111111"/>
          <w:sz w:val="28"/>
          <w:szCs w:val="28"/>
          <w:lang w:val="en-US"/>
        </w:rPr>
        <w:t>Di antara dua paradigma ini, modernisme religius, terutama</w:t>
      </w:r>
    </w:p>
    <w:p>
      <w:pPr>
        <w:pStyle w:val="BookText"/>
        <w:bidi w:val="0"/>
        <w:jc w:val="both"/>
        <w:rPr/>
      </w:pPr>
      <w:r>
        <w:rPr>
          <w:rFonts w:eastAsia="Times New Roman" w:cs="Times New Roman" w:ascii="Times New Roman" w:hAnsi="Times New Roman"/>
          <w:color w:val="111111"/>
          <w:sz w:val="28"/>
          <w:szCs w:val="28"/>
          <w:lang w:val="en-US"/>
        </w:rPr>
        <w:t>paradigma Pemikiran Pembaruan, tampil konsisten dalam menjunjung</w:t>
      </w:r>
    </w:p>
    <w:p>
      <w:pPr>
        <w:pStyle w:val="BookText"/>
        <w:bidi w:val="0"/>
        <w:jc w:val="both"/>
        <w:rPr/>
      </w:pPr>
      <w:r>
        <w:rPr>
          <w:rFonts w:eastAsia="Times New Roman" w:cs="Times New Roman" w:ascii="Times New Roman" w:hAnsi="Times New Roman"/>
          <w:color w:val="111111"/>
          <w:sz w:val="28"/>
          <w:szCs w:val="28"/>
          <w:lang w:val="en-US"/>
        </w:rPr>
        <w:t>tinggi tradisi sebagai prinsip sepanjang pergaulannya dengan konsep-</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p:xiii </w:t>
      </w:r>
    </w:p>
    <w:p>
      <w:pPr>
        <w:pStyle w:val="BookText"/>
        <w:bidi w:val="0"/>
        <w:rPr/>
      </w:pPr>
      <w:r>
        <w:rPr>
          <w:rFonts w:eastAsia="Times New Roman" w:cs="Times New Roman" w:ascii="Times New Roman" w:hAnsi="Times New Roman"/>
          <w:color w:val="111111"/>
          <w:sz w:val="28"/>
          <w:szCs w:val="28"/>
          <w:lang w:val="en-US"/>
        </w:rPr>
        <w:t>konsep modernitas, sekaligus berupaya mendekonstruksi dan mereproduksi</w:t>
      </w:r>
    </w:p>
    <w:p>
      <w:pPr>
        <w:pStyle w:val="BookText"/>
        <w:bidi w:val="0"/>
        <w:jc w:val="both"/>
        <w:rPr/>
      </w:pPr>
      <w:r>
        <w:rPr>
          <w:rFonts w:eastAsia="Times New Roman" w:cs="Times New Roman" w:ascii="Times New Roman" w:hAnsi="Times New Roman"/>
          <w:color w:val="111111"/>
          <w:sz w:val="28"/>
          <w:szCs w:val="28"/>
          <w:lang w:val="en-US"/>
        </w:rPr>
        <w:t>pemikiran baru dengan cara menyaring konsep-konsep modernitas dengan</w:t>
      </w:r>
    </w:p>
    <w:p>
      <w:pPr>
        <w:pStyle w:val="BookText"/>
        <w:bidi w:val="0"/>
        <w:jc w:val="both"/>
        <w:rPr/>
      </w:pPr>
      <w:r>
        <w:rPr>
          <w:rFonts w:eastAsia="Times New Roman" w:cs="Times New Roman" w:ascii="Times New Roman" w:hAnsi="Times New Roman"/>
          <w:color w:val="111111"/>
          <w:sz w:val="28"/>
          <w:szCs w:val="28"/>
          <w:lang w:val="en-US"/>
        </w:rPr>
        <w:t>filter tradisi. Dalam mekanisme inilah, terma-terma seperti kebebasan,</w:t>
      </w:r>
    </w:p>
    <w:p>
      <w:pPr>
        <w:pStyle w:val="BookText"/>
        <w:bidi w:val="0"/>
        <w:jc w:val="both"/>
        <w:rPr/>
      </w:pPr>
      <w:r>
        <w:rPr>
          <w:rFonts w:eastAsia="Times New Roman" w:cs="Times New Roman" w:ascii="Times New Roman" w:hAnsi="Times New Roman"/>
          <w:color w:val="111111"/>
          <w:sz w:val="28"/>
          <w:szCs w:val="28"/>
          <w:lang w:val="en-US"/>
        </w:rPr>
        <w:t>kesetaraan, dan demokrasi agama menemukan makna khasnya dibanding</w:t>
      </w:r>
    </w:p>
    <w:p>
      <w:pPr>
        <w:pStyle w:val="BookText"/>
        <w:bidi w:val="0"/>
        <w:jc w:val="both"/>
        <w:rPr/>
      </w:pPr>
      <w:r>
        <w:rPr>
          <w:rFonts w:eastAsia="Times New Roman" w:cs="Times New Roman" w:ascii="Times New Roman" w:hAnsi="Times New Roman"/>
          <w:color w:val="111111"/>
          <w:sz w:val="28"/>
          <w:szCs w:val="28"/>
          <w:lang w:val="en-US"/>
        </w:rPr>
        <w:t>dengan kebebasan, demokrasi, dan keadilan sosial sebagaimana yang</w:t>
      </w:r>
    </w:p>
    <w:p>
      <w:pPr>
        <w:pStyle w:val="BookText"/>
        <w:bidi w:val="0"/>
        <w:jc w:val="both"/>
        <w:rPr/>
      </w:pPr>
      <w:r>
        <w:rPr>
          <w:rFonts w:eastAsia="Times New Roman" w:cs="Times New Roman" w:ascii="Times New Roman" w:hAnsi="Times New Roman"/>
          <w:color w:val="111111"/>
          <w:sz w:val="28"/>
          <w:szCs w:val="28"/>
          <w:lang w:val="en-US"/>
        </w:rPr>
        <w:t>dipahami dalam paradigma modern.</w:t>
      </w:r>
    </w:p>
    <w:p>
      <w:pPr>
        <w:pStyle w:val="BookText"/>
        <w:bidi w:val="0"/>
        <w:jc w:val="both"/>
        <w:rPr/>
      </w:pPr>
      <w:r>
        <w:rPr>
          <w:rFonts w:eastAsia="Times New Roman" w:cs="Times New Roman" w:ascii="Times New Roman" w:hAnsi="Times New Roman"/>
          <w:color w:val="111111"/>
          <w:sz w:val="28"/>
          <w:szCs w:val="28"/>
          <w:lang w:val="en-US"/>
        </w:rPr>
        <w:t>Berbasis di atas, akal dan rasionalitas, paradigma pemikiran pembaruan</w:t>
      </w:r>
    </w:p>
    <w:p>
      <w:pPr>
        <w:pStyle w:val="BookText"/>
        <w:bidi w:val="0"/>
        <w:jc w:val="both"/>
        <w:rPr/>
      </w:pPr>
      <w:r>
        <w:rPr>
          <w:rFonts w:eastAsia="Times New Roman" w:cs="Times New Roman" w:ascii="Times New Roman" w:hAnsi="Times New Roman"/>
          <w:color w:val="111111"/>
          <w:sz w:val="28"/>
          <w:szCs w:val="28"/>
          <w:lang w:val="en-US"/>
        </w:rPr>
        <w:t>meletakkan pandangan dunia Islam sebagai sudut pandangnya dalam upaya</w:t>
      </w:r>
    </w:p>
    <w:p>
      <w:pPr>
        <w:pStyle w:val="BookText"/>
        <w:bidi w:val="0"/>
        <w:jc w:val="both"/>
        <w:rPr/>
      </w:pPr>
      <w:r>
        <w:rPr>
          <w:rFonts w:eastAsia="Times New Roman" w:cs="Times New Roman" w:ascii="Times New Roman" w:hAnsi="Times New Roman"/>
          <w:color w:val="111111"/>
          <w:sz w:val="28"/>
          <w:szCs w:val="28"/>
          <w:lang w:val="en-US"/>
        </w:rPr>
        <w:t>mendefinisikan realitas, mencapai kebenaran, dan menjelaskan sistem nilai.</w:t>
      </w:r>
    </w:p>
    <w:p>
      <w:pPr>
        <w:pStyle w:val="BookText"/>
        <w:bidi w:val="0"/>
        <w:jc w:val="both"/>
        <w:rPr/>
      </w:pPr>
      <w:r>
        <w:rPr>
          <w:rFonts w:eastAsia="Times New Roman" w:cs="Times New Roman" w:ascii="Times New Roman" w:hAnsi="Times New Roman"/>
          <w:color w:val="111111"/>
          <w:sz w:val="28"/>
          <w:szCs w:val="28"/>
          <w:lang w:val="en-US"/>
        </w:rPr>
        <w:t>Atas dasar ini pula, tentu saja, ia melaksanakan agenda penggagasan teori</w:t>
      </w:r>
    </w:p>
    <w:p>
      <w:pPr>
        <w:pStyle w:val="BookText"/>
        <w:bidi w:val="0"/>
        <w:jc w:val="both"/>
        <w:rPr/>
      </w:pPr>
      <w:r>
        <w:rPr>
          <w:rFonts w:eastAsia="Times New Roman" w:cs="Times New Roman" w:ascii="Times New Roman" w:hAnsi="Times New Roman"/>
          <w:color w:val="111111"/>
          <w:sz w:val="28"/>
          <w:szCs w:val="28"/>
          <w:lang w:val="en-US"/>
        </w:rPr>
        <w:t>dan reproduksi pemikiran dalam berbagai bidang: hukum, budaya, ekonomi,</w:t>
      </w:r>
    </w:p>
    <w:p>
      <w:pPr>
        <w:pStyle w:val="BookText"/>
        <w:bidi w:val="0"/>
        <w:jc w:val="both"/>
        <w:rPr/>
      </w:pPr>
      <w:r>
        <w:rPr>
          <w:rFonts w:eastAsia="Times New Roman" w:cs="Times New Roman" w:ascii="Times New Roman" w:hAnsi="Times New Roman"/>
          <w:color w:val="111111"/>
          <w:sz w:val="28"/>
          <w:szCs w:val="28"/>
          <w:lang w:val="en-US"/>
        </w:rPr>
        <w:t>politik, dan sosial.</w:t>
      </w:r>
    </w:p>
    <w:p>
      <w:pPr>
        <w:pStyle w:val="BookText"/>
        <w:bidi w:val="0"/>
        <w:jc w:val="both"/>
        <w:rPr/>
      </w:pPr>
      <w:r>
        <w:rPr>
          <w:rFonts w:eastAsia="Times New Roman" w:cs="Times New Roman" w:ascii="Times New Roman" w:hAnsi="Times New Roman"/>
          <w:color w:val="111111"/>
          <w:sz w:val="28"/>
          <w:szCs w:val="28"/>
          <w:lang w:val="en-US"/>
        </w:rPr>
        <w:t>Berkaitan dengan hal ini, IICT hingga kini telah mendistribusikan lebih</w:t>
      </w:r>
    </w:p>
    <w:p>
      <w:pPr>
        <w:pStyle w:val="BookText"/>
        <w:bidi w:val="0"/>
        <w:jc w:val="both"/>
        <w:rPr/>
      </w:pPr>
      <w:r>
        <w:rPr>
          <w:rFonts w:eastAsia="Times New Roman" w:cs="Times New Roman" w:ascii="Times New Roman" w:hAnsi="Times New Roman"/>
          <w:color w:val="111111"/>
          <w:sz w:val="28"/>
          <w:szCs w:val="28"/>
          <w:lang w:val="en-US"/>
        </w:rPr>
        <w:t>dari enam ratus karya ilmiah ke pasar penerbitan di tingkat internasional.</w:t>
      </w:r>
    </w:p>
    <w:p>
      <w:pPr>
        <w:pStyle w:val="BookText"/>
        <w:bidi w:val="0"/>
        <w:jc w:val="both"/>
        <w:rPr/>
      </w:pPr>
      <w:r>
        <w:rPr>
          <w:rFonts w:eastAsia="Times New Roman" w:cs="Times New Roman" w:ascii="Times New Roman" w:hAnsi="Times New Roman"/>
          <w:color w:val="111111"/>
          <w:sz w:val="28"/>
          <w:szCs w:val="28"/>
          <w:lang w:val="en-US"/>
        </w:rPr>
        <w:t>Tidak hanya menanggapi kritis sekularisme dan humanisme sebagai dua pan-</w:t>
      </w:r>
    </w:p>
    <w:p>
      <w:pPr>
        <w:pStyle w:val="BookText"/>
        <w:bidi w:val="0"/>
        <w:jc w:val="both"/>
        <w:rPr/>
      </w:pPr>
      <w:r>
        <w:rPr>
          <w:rFonts w:eastAsia="Times New Roman" w:cs="Times New Roman" w:ascii="Times New Roman" w:hAnsi="Times New Roman"/>
          <w:color w:val="111111"/>
          <w:sz w:val="28"/>
          <w:szCs w:val="28"/>
          <w:lang w:val="en-US"/>
        </w:rPr>
        <w:t>dangan dunia yang dominan di Barat, karya-karya ini, juga dengan kekuatan</w:t>
      </w:r>
    </w:p>
    <w:p>
      <w:pPr>
        <w:pStyle w:val="BookText"/>
        <w:bidi w:val="0"/>
        <w:jc w:val="both"/>
        <w:rPr/>
      </w:pPr>
      <w:r>
        <w:rPr>
          <w:rFonts w:eastAsia="Times New Roman" w:cs="Times New Roman" w:ascii="Times New Roman" w:hAnsi="Times New Roman"/>
          <w:color w:val="111111"/>
          <w:sz w:val="28"/>
          <w:szCs w:val="28"/>
          <w:lang w:val="en-US"/>
        </w:rPr>
        <w:t>kritis yang sebanding, menganalisis dan menyangkal paradigma kaum</w:t>
      </w:r>
    </w:p>
    <w:p>
      <w:pPr>
        <w:pStyle w:val="BookText"/>
        <w:bidi w:val="0"/>
        <w:jc w:val="both"/>
        <w:rPr/>
      </w:pPr>
      <w:r>
        <w:rPr>
          <w:rFonts w:eastAsia="Times New Roman" w:cs="Times New Roman" w:ascii="Times New Roman" w:hAnsi="Times New Roman"/>
          <w:color w:val="111111"/>
          <w:sz w:val="28"/>
          <w:szCs w:val="28"/>
          <w:lang w:val="en-US"/>
        </w:rPr>
        <w:t>tradisionalis muslim, sekaligus mengolah pemikiran baru di atas jalur tradisi</w:t>
      </w:r>
    </w:p>
    <w:p>
      <w:pPr>
        <w:pStyle w:val="BookText"/>
        <w:bidi w:val="0"/>
        <w:jc w:val="both"/>
        <w:rPr/>
      </w:pPr>
      <w:r>
        <w:rPr>
          <w:rFonts w:eastAsia="Times New Roman" w:cs="Times New Roman" w:ascii="Times New Roman" w:hAnsi="Times New Roman"/>
          <w:color w:val="111111"/>
          <w:sz w:val="28"/>
          <w:szCs w:val="28"/>
          <w:lang w:val="en-US"/>
        </w:rPr>
        <w:t>dalam kerangka rasionalitas Islam dan basis-basis yang aksiomatis dan logis.</w:t>
      </w:r>
    </w:p>
    <w:p>
      <w:pPr>
        <w:pStyle w:val="BookText"/>
        <w:bidi w:val="0"/>
        <w:jc w:val="both"/>
        <w:rPr/>
      </w:pPr>
      <w:r>
        <w:rPr>
          <w:rFonts w:eastAsia="Times New Roman" w:cs="Times New Roman" w:ascii="Times New Roman" w:hAnsi="Times New Roman"/>
          <w:color w:val="111111"/>
          <w:sz w:val="28"/>
          <w:szCs w:val="28"/>
          <w:lang w:val="en-US"/>
        </w:rPr>
        <w:t>Hujjatul Islam Prof. Ali Akbar Rasyad</w:t>
      </w:r>
    </w:p>
    <w:p>
      <w:pPr>
        <w:pStyle w:val="BookText"/>
        <w:bidi w:val="0"/>
        <w:jc w:val="both"/>
        <w:rPr/>
      </w:pPr>
      <w:r>
        <w:rPr>
          <w:rFonts w:eastAsia="Times New Roman" w:cs="Times New Roman" w:ascii="Times New Roman" w:hAnsi="Times New Roman"/>
          <w:color w:val="111111"/>
          <w:sz w:val="28"/>
          <w:szCs w:val="28"/>
          <w:lang w:val="en-US"/>
        </w:rPr>
        <w:t>DIREKTUR INSTITUTE FOR ISLAMIC CULTURE</w:t>
      </w:r>
    </w:p>
    <w:p>
      <w:pPr>
        <w:pStyle w:val="BookText"/>
        <w:bidi w:val="0"/>
        <w:jc w:val="both"/>
        <w:rPr/>
      </w:pPr>
      <w:r>
        <w:rPr>
          <w:rFonts w:eastAsia="Times New Roman" w:cs="Times New Roman" w:ascii="Times New Roman" w:hAnsi="Times New Roman"/>
          <w:color w:val="111111"/>
          <w:sz w:val="28"/>
          <w:szCs w:val="28"/>
          <w:lang w:val="en-US"/>
        </w:rPr>
        <w:t>AND THOUGHT (IICT)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p:xiv </w:t>
      </w:r>
      <w:bookmarkStart w:id="13" w:name="pg5378_50383"/>
    </w:p>
    <w:p>
      <w:pPr>
        <w:pStyle w:val="Heading2"/>
        <w:numPr>
          <w:ilvl w:val="1"/>
          <w:numId w:val="1"/>
        </w:numPr>
        <w:bidi w:val="0"/>
        <w:jc w:val="left"/>
        <w:rPr/>
      </w:pPr>
      <w:bookmarkStart w:id="14" w:name="__RefHeading___Toc1351052_581953129"/>
      <w:bookmarkStart w:id="15" w:name="_Toc5"/>
      <w:bookmarkEnd w:id="13"/>
      <w:bookmarkEnd w:id="14"/>
      <w:r>
        <w:rPr/>
        <w:t>PENDAHULUAN</w:t>
      </w:r>
      <w:bookmarkEnd w:id="15"/>
    </w:p>
    <w:p>
      <w:pPr>
        <w:pStyle w:val="BookText"/>
        <w:bidi w:val="0"/>
        <w:jc w:val="both"/>
        <w:rPr/>
      </w:pPr>
      <w:r>
        <w:rPr>
          <w:rFonts w:eastAsia="Times New Roman" w:cs="Times New Roman" w:ascii="Times New Roman" w:hAnsi="Times New Roman"/>
          <w:color w:val="111111"/>
          <w:sz w:val="28"/>
          <w:szCs w:val="28"/>
          <w:lang w:val="en-US"/>
        </w:rPr>
        <w:t>Dengan Nama Yang Menerangi jiwa dengan agama</w:t>
      </w:r>
    </w:p>
    <w:p>
      <w:pPr>
        <w:pStyle w:val="BookText"/>
        <w:bidi w:val="0"/>
        <w:jc w:val="both"/>
        <w:rPr/>
      </w:pPr>
      <w:r>
        <w:rPr>
          <w:rFonts w:eastAsia="Times New Roman" w:cs="Times New Roman" w:ascii="Times New Roman" w:hAnsi="Times New Roman"/>
          <w:color w:val="111111"/>
          <w:sz w:val="28"/>
          <w:szCs w:val="28"/>
          <w:lang w:val="en-US"/>
        </w:rPr>
        <w:t>Yang kepada akal Memberi yakin ketuhanan.</w:t>
      </w:r>
    </w:p>
    <w:p>
      <w:pPr>
        <w:pStyle w:val="BookText"/>
        <w:bidi w:val="0"/>
        <w:jc w:val="both"/>
        <w:rPr/>
      </w:pPr>
      <w:r>
        <w:rPr>
          <w:rFonts w:eastAsia="Times New Roman" w:cs="Times New Roman" w:ascii="Times New Roman" w:hAnsi="Times New Roman"/>
          <w:color w:val="111111"/>
          <w:sz w:val="28"/>
          <w:szCs w:val="28"/>
          <w:lang w:val="en-US"/>
        </w:rPr>
        <w:t>Puji dan syukur kepada Tuhan yang telah mengistimewakan manusia</w:t>
      </w:r>
    </w:p>
    <w:p>
      <w:pPr>
        <w:pStyle w:val="BookText"/>
        <w:bidi w:val="0"/>
        <w:jc w:val="both"/>
        <w:rPr/>
      </w:pPr>
      <w:r>
        <w:rPr>
          <w:rFonts w:eastAsia="Times New Roman" w:cs="Times New Roman" w:ascii="Times New Roman" w:hAnsi="Times New Roman"/>
          <w:color w:val="111111"/>
          <w:sz w:val="28"/>
          <w:szCs w:val="28"/>
          <w:lang w:val="en-US"/>
        </w:rPr>
        <w:t>dari semua makhluk lain dan menetapkan pengenalan terhadap Diri-</w:t>
      </w:r>
    </w:p>
    <w:p>
      <w:pPr>
        <w:pStyle w:val="BookText"/>
        <w:bidi w:val="0"/>
        <w:jc w:val="both"/>
        <w:rPr/>
      </w:pPr>
      <w:r>
        <w:rPr>
          <w:rFonts w:eastAsia="Times New Roman" w:cs="Times New Roman" w:ascii="Times New Roman" w:hAnsi="Times New Roman"/>
          <w:color w:val="111111"/>
          <w:sz w:val="28"/>
          <w:szCs w:val="28"/>
          <w:lang w:val="en-US"/>
        </w:rPr>
        <w:t>Nya sebagai tujuan penciptaan. Mengingat sarana yang benar-benar</w:t>
      </w:r>
    </w:p>
    <w:p>
      <w:pPr>
        <w:pStyle w:val="BookText"/>
        <w:bidi w:val="0"/>
        <w:jc w:val="both"/>
        <w:rPr/>
      </w:pPr>
      <w:r>
        <w:rPr>
          <w:rFonts w:eastAsia="Times New Roman" w:cs="Times New Roman" w:ascii="Times New Roman" w:hAnsi="Times New Roman"/>
          <w:color w:val="111111"/>
          <w:sz w:val="28"/>
          <w:szCs w:val="28"/>
          <w:lang w:val="en-US"/>
        </w:rPr>
        <w:t>tepat diperlukan untuk mencapai tujuan ini, Dia lantas membekali</w:t>
      </w:r>
    </w:p>
    <w:p>
      <w:pPr>
        <w:pStyle w:val="BookText"/>
        <w:bidi w:val="0"/>
        <w:jc w:val="both"/>
        <w:rPr/>
      </w:pPr>
      <w:r>
        <w:rPr>
          <w:rFonts w:eastAsia="Times New Roman" w:cs="Times New Roman" w:ascii="Times New Roman" w:hAnsi="Times New Roman"/>
          <w:color w:val="111111"/>
          <w:sz w:val="28"/>
          <w:szCs w:val="28"/>
          <w:lang w:val="en-US"/>
        </w:rPr>
        <w:t>manusia sejenis “utusan” dalam dirinya yang disebut akal, sekaligus</w:t>
      </w:r>
    </w:p>
    <w:p>
      <w:pPr>
        <w:pStyle w:val="BookText"/>
        <w:bidi w:val="0"/>
        <w:jc w:val="both"/>
        <w:rPr/>
      </w:pPr>
      <w:r>
        <w:rPr>
          <w:rFonts w:eastAsia="Times New Roman" w:cs="Times New Roman" w:ascii="Times New Roman" w:hAnsi="Times New Roman"/>
          <w:color w:val="111111"/>
          <w:sz w:val="28"/>
          <w:szCs w:val="28"/>
          <w:lang w:val="en-US"/>
        </w:rPr>
        <w:t>melengkapinya dengan indra lahiriah dan batiniah yang berfungsi</w:t>
      </w:r>
    </w:p>
    <w:p>
      <w:pPr>
        <w:pStyle w:val="BookText"/>
        <w:bidi w:val="0"/>
        <w:jc w:val="both"/>
        <w:rPr/>
      </w:pPr>
      <w:r>
        <w:rPr>
          <w:rFonts w:eastAsia="Times New Roman" w:cs="Times New Roman" w:ascii="Times New Roman" w:hAnsi="Times New Roman"/>
          <w:color w:val="111111"/>
          <w:sz w:val="28"/>
          <w:szCs w:val="28"/>
          <w:lang w:val="en-US"/>
        </w:rPr>
        <w:t>sebagai juru bantu.</w:t>
      </w:r>
    </w:p>
    <w:p>
      <w:pPr>
        <w:pStyle w:val="BookText"/>
        <w:bidi w:val="0"/>
        <w:jc w:val="both"/>
        <w:rPr/>
      </w:pPr>
      <w:r>
        <w:rPr>
          <w:rFonts w:eastAsia="Times New Roman" w:cs="Times New Roman" w:ascii="Times New Roman" w:hAnsi="Times New Roman"/>
          <w:color w:val="111111"/>
          <w:sz w:val="28"/>
          <w:szCs w:val="28"/>
          <w:lang w:val="en-US"/>
        </w:rPr>
        <w:t>Modal keistimewaan yang melampaui semua makhluk lain</w:t>
      </w:r>
    </w:p>
    <w:p>
      <w:pPr>
        <w:pStyle w:val="BookText"/>
        <w:bidi w:val="0"/>
        <w:jc w:val="both"/>
        <w:rPr/>
      </w:pPr>
      <w:r>
        <w:rPr>
          <w:rFonts w:eastAsia="Times New Roman" w:cs="Times New Roman" w:ascii="Times New Roman" w:hAnsi="Times New Roman"/>
          <w:color w:val="111111"/>
          <w:sz w:val="28"/>
          <w:szCs w:val="28"/>
          <w:lang w:val="en-US"/>
        </w:rPr>
        <w:t>ini ditanamkan Tuhan dalam kemampuan manusia untuk meraih</w:t>
      </w:r>
    </w:p>
    <w:p>
      <w:pPr>
        <w:pStyle w:val="BookText"/>
        <w:bidi w:val="0"/>
        <w:jc w:val="both"/>
        <w:rPr/>
      </w:pPr>
      <w:r>
        <w:rPr>
          <w:rFonts w:eastAsia="Times New Roman" w:cs="Times New Roman" w:ascii="Times New Roman" w:hAnsi="Times New Roman"/>
          <w:color w:val="111111"/>
          <w:sz w:val="28"/>
          <w:szCs w:val="28"/>
          <w:lang w:val="en-US"/>
        </w:rPr>
        <w:t>pengetahuan dan pengenalan yang tidak mungkin diperoleh makhluk</w:t>
      </w:r>
    </w:p>
    <w:p>
      <w:pPr>
        <w:pStyle w:val="BookText"/>
        <w:bidi w:val="0"/>
        <w:jc w:val="both"/>
        <w:rPr/>
      </w:pPr>
      <w:r>
        <w:rPr>
          <w:rFonts w:eastAsia="Times New Roman" w:cs="Times New Roman" w:ascii="Times New Roman" w:hAnsi="Times New Roman"/>
          <w:color w:val="111111"/>
          <w:sz w:val="28"/>
          <w:szCs w:val="28"/>
          <w:lang w:val="en-US"/>
        </w:rPr>
        <w:t>lain. Itulah sebabnya, bila manusia tidak menggunakan sarana Ilahi</w:t>
      </w:r>
    </w:p>
    <w:p>
      <w:pPr>
        <w:pStyle w:val="BookText"/>
        <w:bidi w:val="0"/>
        <w:jc w:val="both"/>
        <w:rPr/>
      </w:pPr>
      <w:r>
        <w:rPr>
          <w:rFonts w:eastAsia="Times New Roman" w:cs="Times New Roman" w:ascii="Times New Roman" w:hAnsi="Times New Roman"/>
          <w:color w:val="111111"/>
          <w:sz w:val="28"/>
          <w:szCs w:val="28"/>
          <w:lang w:val="en-US"/>
        </w:rPr>
        <w:t>ini secara maksimal, niscaya dirinya akan sederajat dengan — bahkan</w:t>
      </w:r>
    </w:p>
    <w:p>
      <w:pPr>
        <w:pStyle w:val="BookText"/>
        <w:bidi w:val="0"/>
        <w:jc w:val="both"/>
        <w:rPr/>
      </w:pPr>
      <w:r>
        <w:rPr>
          <w:rFonts w:eastAsia="Times New Roman" w:cs="Times New Roman" w:ascii="Times New Roman" w:hAnsi="Times New Roman"/>
          <w:color w:val="111111"/>
          <w:sz w:val="28"/>
          <w:szCs w:val="28"/>
          <w:lang w:val="en-US"/>
        </w:rPr>
        <w:t>jauh lebih rendah lagi dari — binatang ternak sekalipun:</w:t>
      </w:r>
    </w:p>
    <w:p>
      <w:pPr>
        <w:pStyle w:val="BookText"/>
        <w:bidi w:val="0"/>
        <w:jc w:val="both"/>
        <w:rPr/>
      </w:pPr>
      <w:r>
        <w:rPr>
          <w:rFonts w:eastAsia="Times New Roman" w:cs="Times New Roman" w:ascii="Times New Roman" w:hAnsi="Times New Roman"/>
          <w:color w:val="111111"/>
          <w:sz w:val="28"/>
          <w:szCs w:val="28"/>
          <w:lang w:val="en-US"/>
        </w:rPr>
        <w:t>Dan sesungguhnya, Kami jadikan untuk (isi) neraka Jahanam</w:t>
      </w:r>
    </w:p>
    <w:p>
      <w:pPr>
        <w:pStyle w:val="BookText"/>
        <w:bidi w:val="0"/>
        <w:jc w:val="both"/>
        <w:rPr/>
      </w:pPr>
      <w:r>
        <w:rPr>
          <w:rFonts w:eastAsia="Times New Roman" w:cs="Times New Roman" w:ascii="Times New Roman" w:hAnsi="Times New Roman"/>
          <w:color w:val="111111"/>
          <w:sz w:val="28"/>
          <w:szCs w:val="28"/>
          <w:lang w:val="en-US"/>
        </w:rPr>
        <w:t>kebanyakan dari jin dan manusia; mereka mempunyai hati, tetapi</w:t>
      </w:r>
    </w:p>
    <w:p>
      <w:pPr>
        <w:pStyle w:val="BookText"/>
        <w:bidi w:val="0"/>
        <w:jc w:val="both"/>
        <w:rPr/>
      </w:pPr>
      <w:r>
        <w:rPr>
          <w:rFonts w:eastAsia="Times New Roman" w:cs="Times New Roman" w:ascii="Times New Roman" w:hAnsi="Times New Roman"/>
          <w:color w:val="111111"/>
          <w:sz w:val="28"/>
          <w:szCs w:val="28"/>
          <w:lang w:val="en-US"/>
        </w:rPr>
        <w:t>tidak digunakannya untuk memahami (ayat-ayat Allah); mereka</w:t>
      </w:r>
    </w:p>
    <w:p>
      <w:pPr>
        <w:pStyle w:val="BookText"/>
        <w:bidi w:val="0"/>
        <w:jc w:val="both"/>
        <w:rPr/>
      </w:pPr>
      <w:r>
        <w:rPr>
          <w:rFonts w:eastAsia="Times New Roman" w:cs="Times New Roman" w:ascii="Times New Roman" w:hAnsi="Times New Roman"/>
          <w:color w:val="111111"/>
          <w:sz w:val="28"/>
          <w:szCs w:val="28"/>
          <w:lang w:val="en-US"/>
        </w:rPr>
        <w:t>mempunyai mata (tetapi) tidak dipergunakannya untuk melihat</w:t>
      </w:r>
    </w:p>
    <w:p>
      <w:pPr>
        <w:pStyle w:val="BookText"/>
        <w:bidi w:val="0"/>
        <w:jc w:val="both"/>
        <w:rPr/>
      </w:pPr>
      <w:r>
        <w:rPr>
          <w:rFonts w:eastAsia="Times New Roman" w:cs="Times New Roman" w:ascii="Times New Roman" w:hAnsi="Times New Roman"/>
          <w:color w:val="111111"/>
          <w:sz w:val="28"/>
          <w:szCs w:val="28"/>
          <w:lang w:val="en-US"/>
        </w:rPr>
        <w:t>(ayat-ayat Allah); dan mereka mempunyai telinga (tetapi) tidak</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dipergunakannya untuk mendengar (ayat-ayat Allah). Mereka itu </w:t>
      </w:r>
    </w:p>
    <w:p>
      <w:pPr>
        <w:pStyle w:val="BookText"/>
        <w:bidi w:val="0"/>
        <w:rPr/>
      </w:pPr>
      <w:r>
        <w:rPr>
          <w:rFonts w:eastAsia="Times New Roman" w:cs="Times New Roman" w:ascii="Times New Roman" w:hAnsi="Times New Roman"/>
          <w:color w:val="111111"/>
          <w:sz w:val="28"/>
          <w:szCs w:val="28"/>
          <w:lang w:val="en-US"/>
        </w:rPr>
        <w:t>seperti binatang ternak, bahkan mereka lebih sesat lagi. Mereka</w:t>
      </w:r>
    </w:p>
    <w:p>
      <w:pPr>
        <w:pStyle w:val="BookText"/>
        <w:bidi w:val="0"/>
        <w:jc w:val="both"/>
        <w:rPr/>
      </w:pPr>
      <w:r>
        <w:rPr>
          <w:rFonts w:eastAsia="Times New Roman" w:cs="Times New Roman" w:ascii="Times New Roman" w:hAnsi="Times New Roman"/>
          <w:color w:val="111111"/>
          <w:sz w:val="28"/>
          <w:szCs w:val="28"/>
          <w:lang w:val="en-US"/>
        </w:rPr>
        <w:t>itulah orang-orang yang lalai (QS Al-A'raf [7]: 179).</w:t>
      </w:r>
    </w:p>
    <w:p>
      <w:pPr>
        <w:pStyle w:val="BookText"/>
        <w:bidi w:val="0"/>
        <w:jc w:val="both"/>
        <w:rPr/>
      </w:pPr>
      <w:r>
        <w:rPr>
          <w:rFonts w:eastAsia="Times New Roman" w:cs="Times New Roman" w:ascii="Times New Roman" w:hAnsi="Times New Roman"/>
          <w:color w:val="111111"/>
          <w:sz w:val="28"/>
          <w:szCs w:val="28"/>
          <w:lang w:val="en-US"/>
        </w:rPr>
        <w:t>Jelas, indra dan akal juga acapkali menemui jalan buntu</w:t>
      </w:r>
    </w:p>
    <w:p>
      <w:pPr>
        <w:pStyle w:val="BookText"/>
        <w:bidi w:val="0"/>
        <w:jc w:val="both"/>
        <w:rPr/>
      </w:pPr>
      <w:r>
        <w:rPr>
          <w:rFonts w:eastAsia="Times New Roman" w:cs="Times New Roman" w:ascii="Times New Roman" w:hAnsi="Times New Roman"/>
          <w:color w:val="111111"/>
          <w:sz w:val="28"/>
          <w:szCs w:val="28"/>
          <w:lang w:val="en-US"/>
        </w:rPr>
        <w:t>sehingga diakui memiliki kelemahan dan ketidakmampuan untuk</w:t>
      </w:r>
    </w:p>
    <w:p>
      <w:pPr>
        <w:pStyle w:val="BookText"/>
        <w:bidi w:val="0"/>
        <w:jc w:val="both"/>
        <w:rPr/>
      </w:pPr>
      <w:r>
        <w:rPr>
          <w:rFonts w:eastAsia="Times New Roman" w:cs="Times New Roman" w:ascii="Times New Roman" w:hAnsi="Times New Roman"/>
          <w:color w:val="111111"/>
          <w:sz w:val="28"/>
          <w:szCs w:val="28"/>
          <w:lang w:val="en-US"/>
        </w:rPr>
        <w:t>menghamparkan seluruh rincian jalan menuju kebahagiaan. Oleh</w:t>
      </w:r>
    </w:p>
    <w:p>
      <w:pPr>
        <w:pStyle w:val="BookText"/>
        <w:bidi w:val="0"/>
        <w:jc w:val="both"/>
        <w:rPr/>
      </w:pPr>
      <w:r>
        <w:rPr>
          <w:rFonts w:eastAsia="Times New Roman" w:cs="Times New Roman" w:ascii="Times New Roman" w:hAnsi="Times New Roman"/>
          <w:color w:val="111111"/>
          <w:sz w:val="28"/>
          <w:szCs w:val="28"/>
          <w:lang w:val="en-US"/>
        </w:rPr>
        <w:t>karena itu, mereka juga menaruh harapan pada sarana lain yang</w:t>
      </w:r>
    </w:p>
    <w:p>
      <w:pPr>
        <w:pStyle w:val="BookText"/>
        <w:bidi w:val="0"/>
        <w:jc w:val="both"/>
        <w:rPr/>
      </w:pPr>
      <w:r>
        <w:rPr>
          <w:rFonts w:eastAsia="Times New Roman" w:cs="Times New Roman" w:ascii="Times New Roman" w:hAnsi="Times New Roman"/>
          <w:color w:val="111111"/>
          <w:sz w:val="28"/>
          <w:szCs w:val="28"/>
          <w:lang w:val="en-US"/>
        </w:rPr>
        <w:t>representatif, yang mampu memetakan hubungan kehidupan di</w:t>
      </w:r>
    </w:p>
    <w:p>
      <w:pPr>
        <w:pStyle w:val="BookText"/>
        <w:bidi w:val="0"/>
        <w:jc w:val="both"/>
        <w:rPr/>
      </w:pPr>
      <w:r>
        <w:rPr>
          <w:rFonts w:eastAsia="Times New Roman" w:cs="Times New Roman" w:ascii="Times New Roman" w:hAnsi="Times New Roman"/>
          <w:color w:val="111111"/>
          <w:sz w:val="28"/>
          <w:szCs w:val="28"/>
          <w:lang w:val="en-US"/>
        </w:rPr>
        <w:t>alam ini dengan di alam lain, juga menunjukkan manusia bentangan</w:t>
      </w:r>
    </w:p>
    <w:p>
      <w:pPr>
        <w:pStyle w:val="BookText"/>
        <w:bidi w:val="0"/>
        <w:jc w:val="both"/>
        <w:rPr/>
      </w:pPr>
      <w:r>
        <w:rPr>
          <w:rFonts w:eastAsia="Times New Roman" w:cs="Times New Roman" w:ascii="Times New Roman" w:hAnsi="Times New Roman"/>
          <w:color w:val="111111"/>
          <w:sz w:val="28"/>
          <w:szCs w:val="28"/>
          <w:lang w:val="en-US"/>
        </w:rPr>
        <w:t>jalan ke puncak kesempurnaannya. Sungguh tepat saat pencipta</w:t>
      </w:r>
    </w:p>
    <w:p>
      <w:pPr>
        <w:pStyle w:val="BookText"/>
        <w:bidi w:val="0"/>
        <w:jc w:val="both"/>
        <w:rPr/>
      </w:pPr>
      <w:r>
        <w:rPr>
          <w:rFonts w:eastAsia="Times New Roman" w:cs="Times New Roman" w:ascii="Times New Roman" w:hAnsi="Times New Roman"/>
          <w:color w:val="111111"/>
          <w:sz w:val="28"/>
          <w:szCs w:val="28"/>
          <w:lang w:val="en-US"/>
        </w:rPr>
        <w:t>langit dan bumi ini menamakan dirinya “Sebaik-baik Pencipta”: Dia</w:t>
      </w:r>
    </w:p>
    <w:p>
      <w:pPr>
        <w:pStyle w:val="BookText"/>
        <w:bidi w:val="0"/>
        <w:jc w:val="both"/>
        <w:rPr/>
      </w:pPr>
      <w:r>
        <w:rPr>
          <w:rFonts w:eastAsia="Times New Roman" w:cs="Times New Roman" w:ascii="Times New Roman" w:hAnsi="Times New Roman"/>
          <w:color w:val="111111"/>
          <w:sz w:val="28"/>
          <w:szCs w:val="28"/>
          <w:lang w:val="en-US"/>
        </w:rPr>
        <w:t>telah menutupi semua kekurangan ini dengan fenomena wahyu. Para</w:t>
      </w:r>
    </w:p>
    <w:p>
      <w:pPr>
        <w:pStyle w:val="BookText"/>
        <w:bidi w:val="0"/>
        <w:jc w:val="both"/>
        <w:rPr/>
      </w:pPr>
      <w:r>
        <w:rPr>
          <w:rFonts w:eastAsia="Times New Roman" w:cs="Times New Roman" w:ascii="Times New Roman" w:hAnsi="Times New Roman"/>
          <w:color w:val="111111"/>
          <w:sz w:val="28"/>
          <w:szCs w:val="28"/>
          <w:lang w:val="en-US"/>
        </w:rPr>
        <w:t>utusan Tuhan, dengan bermodal bukti-bukti kuat yang mustahil</w:t>
      </w:r>
    </w:p>
    <w:p>
      <w:pPr>
        <w:pStyle w:val="BookText"/>
        <w:bidi w:val="0"/>
        <w:jc w:val="both"/>
        <w:rPr/>
      </w:pPr>
      <w:r>
        <w:rPr>
          <w:rFonts w:eastAsia="Times New Roman" w:cs="Times New Roman" w:ascii="Times New Roman" w:hAnsi="Times New Roman"/>
          <w:color w:val="111111"/>
          <w:sz w:val="28"/>
          <w:szCs w:val="28"/>
          <w:lang w:val="en-US"/>
        </w:rPr>
        <w:t>ditembus peluru keraguan, menyatakan diri sebagai penerima</w:t>
      </w:r>
    </w:p>
    <w:p>
      <w:pPr>
        <w:pStyle w:val="BookText"/>
        <w:bidi w:val="0"/>
        <w:jc w:val="both"/>
        <w:rPr/>
      </w:pPr>
      <w:r>
        <w:rPr>
          <w:rFonts w:eastAsia="Times New Roman" w:cs="Times New Roman" w:ascii="Times New Roman" w:hAnsi="Times New Roman"/>
          <w:color w:val="111111"/>
          <w:sz w:val="28"/>
          <w:szCs w:val="28"/>
          <w:lang w:val="en-US"/>
        </w:rPr>
        <w:t>pengetahuan wahyuni, untuk kemudian mengajak umat manusia</w:t>
      </w:r>
    </w:p>
    <w:p>
      <w:pPr>
        <w:pStyle w:val="BookText"/>
        <w:bidi w:val="0"/>
        <w:jc w:val="both"/>
        <w:rPr/>
      </w:pPr>
      <w:r>
        <w:rPr>
          <w:rFonts w:eastAsia="Times New Roman" w:cs="Times New Roman" w:ascii="Times New Roman" w:hAnsi="Times New Roman"/>
          <w:color w:val="111111"/>
          <w:sz w:val="28"/>
          <w:szCs w:val="28"/>
          <w:lang w:val="en-US"/>
        </w:rPr>
        <w:t>memosisikan wahyu (aq!) bersanding erat dengan akal.</w:t>
      </w:r>
    </w:p>
    <w:p>
      <w:pPr>
        <w:pStyle w:val="BookText"/>
        <w:bidi w:val="0"/>
        <w:jc w:val="both"/>
        <w:rPr/>
      </w:pPr>
      <w:r>
        <w:rPr>
          <w:rFonts w:eastAsia="Times New Roman" w:cs="Times New Roman" w:ascii="Times New Roman" w:hAnsi="Times New Roman"/>
          <w:color w:val="111111"/>
          <w:sz w:val="28"/>
          <w:szCs w:val="28"/>
          <w:lang w:val="en-US"/>
        </w:rPr>
        <w:t>Dengan demikian, “utusan-utusan” internal dan eksternal diri</w:t>
      </w:r>
    </w:p>
    <w:p>
      <w:pPr>
        <w:pStyle w:val="BookText"/>
        <w:bidi w:val="0"/>
        <w:jc w:val="both"/>
        <w:rPr/>
      </w:pPr>
      <w:r>
        <w:rPr>
          <w:rFonts w:eastAsia="Times New Roman" w:cs="Times New Roman" w:ascii="Times New Roman" w:hAnsi="Times New Roman"/>
          <w:color w:val="111111"/>
          <w:sz w:val="28"/>
          <w:szCs w:val="28"/>
          <w:lang w:val="en-US"/>
        </w:rPr>
        <w:t>manusia pada dasarnya saling menguatkan satu sama lain, dengan</w:t>
      </w:r>
    </w:p>
    <w:p>
      <w:pPr>
        <w:pStyle w:val="BookText"/>
        <w:bidi w:val="0"/>
        <w:jc w:val="both"/>
        <w:rPr/>
      </w:pPr>
      <w:r>
        <w:rPr>
          <w:rFonts w:eastAsia="Times New Roman" w:cs="Times New Roman" w:ascii="Times New Roman" w:hAnsi="Times New Roman"/>
          <w:color w:val="111111"/>
          <w:sz w:val="28"/>
          <w:szCs w:val="28"/>
          <w:lang w:val="en-US"/>
        </w:rPr>
        <w:t>catatan: pesan dan tuntunan mereka ini dicerna dengan benar (logis)</w:t>
      </w:r>
    </w:p>
    <w:p>
      <w:pPr>
        <w:pStyle w:val="BookText"/>
        <w:bidi w:val="0"/>
        <w:jc w:val="both"/>
        <w:rPr/>
      </w:pPr>
      <w:r>
        <w:rPr>
          <w:rFonts w:eastAsia="Times New Roman" w:cs="Times New Roman" w:ascii="Times New Roman" w:hAnsi="Times New Roman"/>
          <w:color w:val="111111"/>
          <w:sz w:val="28"/>
          <w:szCs w:val="28"/>
          <w:lang w:val="en-US"/>
        </w:rPr>
        <w:t>dan baik (metodis). Akal tak akan enggan menerima pengetahuan</w:t>
      </w:r>
    </w:p>
    <w:p>
      <w:pPr>
        <w:pStyle w:val="BookText"/>
        <w:bidi w:val="0"/>
        <w:jc w:val="both"/>
        <w:rPr/>
      </w:pPr>
      <w:r>
        <w:rPr>
          <w:rFonts w:eastAsia="Times New Roman" w:cs="Times New Roman" w:ascii="Times New Roman" w:hAnsi="Times New Roman"/>
          <w:color w:val="111111"/>
          <w:sz w:val="28"/>
          <w:szCs w:val="28"/>
          <w:lang w:val="en-US"/>
        </w:rPr>
        <w:t>wahyuni. Sebaliknya, wahyu pun tidak mungkin membuka diri</w:t>
      </w:r>
    </w:p>
    <w:p>
      <w:pPr>
        <w:pStyle w:val="BookText"/>
        <w:bidi w:val="0"/>
        <w:jc w:val="both"/>
        <w:rPr/>
      </w:pPr>
      <w:r>
        <w:rPr>
          <w:rFonts w:eastAsia="Times New Roman" w:cs="Times New Roman" w:ascii="Times New Roman" w:hAnsi="Times New Roman"/>
          <w:color w:val="111111"/>
          <w:sz w:val="28"/>
          <w:szCs w:val="28"/>
          <w:lang w:val="en-US"/>
        </w:rPr>
        <w:t>bilamana akal ditanggalkan, sebab keduanya merupakan bukti</w:t>
      </w:r>
    </w:p>
    <w:p>
      <w:pPr>
        <w:pStyle w:val="BookText"/>
        <w:bidi w:val="0"/>
        <w:jc w:val="both"/>
        <w:rPr/>
      </w:pPr>
      <w:r>
        <w:rPr>
          <w:rFonts w:eastAsia="Times New Roman" w:cs="Times New Roman" w:ascii="Times New Roman" w:hAnsi="Times New Roman"/>
          <w:color w:val="111111"/>
          <w:sz w:val="28"/>
          <w:szCs w:val="28"/>
          <w:lang w:val="en-US"/>
        </w:rPr>
        <w:t>Iahi.</w:t>
      </w:r>
    </w:p>
    <w:p>
      <w:pPr>
        <w:pStyle w:val="BookText"/>
        <w:bidi w:val="0"/>
        <w:jc w:val="both"/>
        <w:rPr/>
      </w:pPr>
      <w:r>
        <w:rPr>
          <w:rFonts w:eastAsia="Times New Roman" w:cs="Times New Roman" w:ascii="Times New Roman" w:hAnsi="Times New Roman"/>
          <w:color w:val="111111"/>
          <w:sz w:val="28"/>
          <w:szCs w:val="28"/>
          <w:lang w:val="en-US"/>
        </w:rPr>
        <w:t>Allah memiliki dua bukti atas manusia: bukti yang tampak dan</w:t>
      </w:r>
    </w:p>
    <w:p>
      <w:pPr>
        <w:pStyle w:val="BookText"/>
        <w:bidi w:val="0"/>
        <w:jc w:val="both"/>
        <w:rPr/>
      </w:pPr>
      <w:r>
        <w:rPr>
          <w:rFonts w:eastAsia="Times New Roman" w:cs="Times New Roman" w:ascii="Times New Roman" w:hAnsi="Times New Roman"/>
          <w:color w:val="111111"/>
          <w:sz w:val="28"/>
          <w:szCs w:val="28"/>
          <w:lang w:val="en-US"/>
        </w:rPr>
        <w:t>bukti yang batin. Bukti yang tampak adalah para rasul dan para</w:t>
      </w:r>
    </w:p>
    <w:p>
      <w:pPr>
        <w:pStyle w:val="BookText"/>
        <w:bidi w:val="0"/>
        <w:jc w:val="both"/>
        <w:rPr/>
      </w:pPr>
      <w:r>
        <w:rPr>
          <w:rFonts w:eastAsia="Times New Roman" w:cs="Times New Roman" w:ascii="Times New Roman" w:hAnsi="Times New Roman"/>
          <w:color w:val="111111"/>
          <w:sz w:val="28"/>
          <w:szCs w:val="28"/>
          <w:lang w:val="en-US"/>
        </w:rPr>
        <w:t>nabi, sedangkan bukti yang batin adalah akal.</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Kendati begitu, relasi di antara data-data yang diajukan kedua jenis</w:t>
      </w:r>
    </w:p>
    <w:p>
      <w:pPr>
        <w:pStyle w:val="BookText"/>
        <w:bidi w:val="0"/>
        <w:jc w:val="both"/>
        <w:rPr/>
      </w:pPr>
      <w:r>
        <w:rPr>
          <w:rFonts w:eastAsia="Times New Roman" w:cs="Times New Roman" w:ascii="Times New Roman" w:hAnsi="Times New Roman"/>
          <w:color w:val="111111"/>
          <w:sz w:val="28"/>
          <w:szCs w:val="28"/>
          <w:lang w:val="en-US"/>
        </w:rPr>
        <w:t>pengetahuan ini senantiasa menjadi pusat kegelisahan manusia; sejak</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dahulu sampai sekarang. Tidaklah berlebihan jika sejarah pemikiran </w:t>
      </w:r>
    </w:p>
    <w:p>
      <w:pPr>
        <w:pStyle w:val="BookText"/>
        <w:bidi w:val="0"/>
        <w:rPr/>
      </w:pPr>
      <w:r>
        <w:rPr>
          <w:rFonts w:eastAsia="Times New Roman" w:cs="Times New Roman" w:ascii="Times New Roman" w:hAnsi="Times New Roman"/>
          <w:color w:val="111111"/>
          <w:sz w:val="28"/>
          <w:szCs w:val="28"/>
          <w:lang w:val="en-US"/>
        </w:rPr>
        <w:t>manusia disebut juga sejarah gagasan seputar relasi pengetahuan</w:t>
      </w:r>
    </w:p>
    <w:p>
      <w:pPr>
        <w:pStyle w:val="BookText"/>
        <w:bidi w:val="0"/>
        <w:jc w:val="both"/>
        <w:rPr/>
      </w:pPr>
      <w:r>
        <w:rPr>
          <w:rFonts w:eastAsia="Times New Roman" w:cs="Times New Roman" w:ascii="Times New Roman" w:hAnsi="Times New Roman"/>
          <w:color w:val="111111"/>
          <w:sz w:val="28"/>
          <w:szCs w:val="28"/>
          <w:lang w:val="en-US"/>
        </w:rPr>
        <w:t>aklani dan pengetahuan wahyuni. Berbagai polemik yang tampak</w:t>
      </w:r>
    </w:p>
    <w:p>
      <w:pPr>
        <w:pStyle w:val="BookText"/>
        <w:bidi w:val="0"/>
        <w:jc w:val="both"/>
        <w:rPr/>
      </w:pPr>
      <w:r>
        <w:rPr>
          <w:rFonts w:eastAsia="Times New Roman" w:cs="Times New Roman" w:ascii="Times New Roman" w:hAnsi="Times New Roman"/>
          <w:color w:val="111111"/>
          <w:sz w:val="28"/>
          <w:szCs w:val="28"/>
          <w:lang w:val="en-US"/>
        </w:rPr>
        <w:t>dari produk-produk kedua sumber pengetahuan ini terus menjadi</w:t>
      </w:r>
    </w:p>
    <w:p>
      <w:pPr>
        <w:pStyle w:val="BookText"/>
        <w:bidi w:val="0"/>
        <w:jc w:val="both"/>
        <w:rPr/>
      </w:pPr>
      <w:r>
        <w:rPr>
          <w:rFonts w:eastAsia="Times New Roman" w:cs="Times New Roman" w:ascii="Times New Roman" w:hAnsi="Times New Roman"/>
          <w:color w:val="111111"/>
          <w:sz w:val="28"/>
          <w:szCs w:val="28"/>
          <w:lang w:val="en-US"/>
        </w:rPr>
        <w:t>fokus kaum agamawan dan para cendekiawan. Sebagian kelompok</w:t>
      </w:r>
    </w:p>
    <w:p>
      <w:pPr>
        <w:pStyle w:val="BookText"/>
        <w:bidi w:val="0"/>
        <w:jc w:val="both"/>
        <w:rPr/>
      </w:pPr>
      <w:r>
        <w:rPr>
          <w:rFonts w:eastAsia="Times New Roman" w:cs="Times New Roman" w:ascii="Times New Roman" w:hAnsi="Times New Roman"/>
          <w:color w:val="111111"/>
          <w:sz w:val="28"/>
          <w:szCs w:val="28"/>
          <w:lang w:val="en-US"/>
        </w:rPr>
        <w:t>berusaha menjatuhkan martabat akal dengan maksud melindungi</w:t>
      </w:r>
    </w:p>
    <w:p>
      <w:pPr>
        <w:pStyle w:val="BookText"/>
        <w:bidi w:val="0"/>
        <w:jc w:val="both"/>
        <w:rPr/>
      </w:pPr>
      <w:r>
        <w:rPr>
          <w:rFonts w:eastAsia="Times New Roman" w:cs="Times New Roman" w:ascii="Times New Roman" w:hAnsi="Times New Roman"/>
          <w:color w:val="111111"/>
          <w:sz w:val="28"/>
          <w:szCs w:val="28"/>
          <w:lang w:val="en-US"/>
        </w:rPr>
        <w:t>kehormatan wahyu. Sementara itu, sebagian lain begitu menjunjung</w:t>
      </w:r>
    </w:p>
    <w:p>
      <w:pPr>
        <w:pStyle w:val="BookText"/>
        <w:bidi w:val="0"/>
        <w:jc w:val="both"/>
        <w:rPr/>
      </w:pPr>
      <w:r>
        <w:rPr>
          <w:rFonts w:eastAsia="Times New Roman" w:cs="Times New Roman" w:ascii="Times New Roman" w:hAnsi="Times New Roman"/>
          <w:color w:val="111111"/>
          <w:sz w:val="28"/>
          <w:szCs w:val="28"/>
          <w:lang w:val="en-US"/>
        </w:rPr>
        <w:t>tinggi posisi dan superioritas akal dengan cara menjatuhkan wahyu.</w:t>
      </w:r>
    </w:p>
    <w:p>
      <w:pPr>
        <w:pStyle w:val="BookText"/>
        <w:bidi w:val="0"/>
        <w:jc w:val="both"/>
        <w:rPr/>
      </w:pPr>
      <w:r>
        <w:rPr>
          <w:rFonts w:eastAsia="Times New Roman" w:cs="Times New Roman" w:ascii="Times New Roman" w:hAnsi="Times New Roman"/>
          <w:color w:val="111111"/>
          <w:sz w:val="28"/>
          <w:szCs w:val="28"/>
          <w:lang w:val="en-US"/>
        </w:rPr>
        <w:t>Ada pula sekelompok yang mengerahkan segenap upaya untuk</w:t>
      </w:r>
    </w:p>
    <w:p>
      <w:pPr>
        <w:pStyle w:val="BookText"/>
        <w:bidi w:val="0"/>
        <w:jc w:val="both"/>
        <w:rPr/>
      </w:pPr>
      <w:r>
        <w:rPr>
          <w:rFonts w:eastAsia="Times New Roman" w:cs="Times New Roman" w:ascii="Times New Roman" w:hAnsi="Times New Roman"/>
          <w:color w:val="111111"/>
          <w:sz w:val="28"/>
          <w:szCs w:val="28"/>
          <w:lang w:val="en-US"/>
        </w:rPr>
        <w:t>mendamaikan kedua sumber pengetahuan tersebut.</w:t>
      </w:r>
    </w:p>
    <w:p>
      <w:pPr>
        <w:pStyle w:val="BookText"/>
        <w:bidi w:val="0"/>
        <w:jc w:val="both"/>
        <w:rPr/>
      </w:pPr>
      <w:r>
        <w:rPr>
          <w:rFonts w:eastAsia="Times New Roman" w:cs="Times New Roman" w:ascii="Times New Roman" w:hAnsi="Times New Roman"/>
          <w:color w:val="111111"/>
          <w:sz w:val="28"/>
          <w:szCs w:val="28"/>
          <w:lang w:val="en-US"/>
        </w:rPr>
        <w:t>Sepanjang sejarah, konflik antara akal dan wahyu memiliki</w:t>
      </w:r>
    </w:p>
    <w:p>
      <w:pPr>
        <w:pStyle w:val="BookText"/>
        <w:bidi w:val="0"/>
        <w:jc w:val="both"/>
        <w:rPr/>
      </w:pPr>
      <w:r>
        <w:rPr>
          <w:rFonts w:eastAsia="Times New Roman" w:cs="Times New Roman" w:ascii="Times New Roman" w:hAnsi="Times New Roman"/>
          <w:color w:val="111111"/>
          <w:sz w:val="28"/>
          <w:szCs w:val="28"/>
          <w:lang w:val="en-US"/>
        </w:rPr>
        <w:t>dimensi dan pola yang berbeda-beda, seirama formasi wacana</w:t>
      </w:r>
    </w:p>
    <w:p>
      <w:pPr>
        <w:pStyle w:val="BookText"/>
        <w:bidi w:val="0"/>
        <w:jc w:val="both"/>
        <w:rPr/>
      </w:pPr>
      <w:r>
        <w:rPr>
          <w:rFonts w:eastAsia="Times New Roman" w:cs="Times New Roman" w:ascii="Times New Roman" w:hAnsi="Times New Roman"/>
          <w:color w:val="111111"/>
          <w:sz w:val="28"/>
          <w:szCs w:val="28"/>
          <w:lang w:val="en-US"/>
        </w:rPr>
        <w:t>yang populer saat itu. Awalnya, polemik ini mengemuka dalam</w:t>
      </w:r>
    </w:p>
    <w:p>
      <w:pPr>
        <w:pStyle w:val="BookText"/>
        <w:bidi w:val="0"/>
        <w:jc w:val="both"/>
        <w:rPr/>
      </w:pPr>
      <w:r>
        <w:rPr>
          <w:rFonts w:eastAsia="Times New Roman" w:cs="Times New Roman" w:ascii="Times New Roman" w:hAnsi="Times New Roman"/>
          <w:color w:val="111111"/>
          <w:sz w:val="28"/>
          <w:szCs w:val="28"/>
          <w:lang w:val="en-US"/>
        </w:rPr>
        <w:t>formasi “filsafat versus agama”. Ajaran-ajaran filosofis—dalam</w:t>
      </w:r>
    </w:p>
    <w:p>
      <w:pPr>
        <w:pStyle w:val="BookText"/>
        <w:bidi w:val="0"/>
        <w:jc w:val="both"/>
        <w:rPr/>
      </w:pPr>
      <w:r>
        <w:rPr>
          <w:rFonts w:eastAsia="Times New Roman" w:cs="Times New Roman" w:ascii="Times New Roman" w:hAnsi="Times New Roman"/>
          <w:color w:val="111111"/>
          <w:sz w:val="28"/>
          <w:szCs w:val="28"/>
          <w:lang w:val="en-US"/>
        </w:rPr>
        <w:t>kapasitasnya sebagai data-data rasional yang disusun sistematis —</w:t>
      </w:r>
    </w:p>
    <w:p>
      <w:pPr>
        <w:pStyle w:val="BookText"/>
        <w:bidi w:val="0"/>
        <w:jc w:val="both"/>
        <w:rPr/>
      </w:pPr>
      <w:r>
        <w:rPr>
          <w:rFonts w:eastAsia="Times New Roman" w:cs="Times New Roman" w:ascii="Times New Roman" w:hAnsi="Times New Roman"/>
          <w:color w:val="111111"/>
          <w:sz w:val="28"/>
          <w:szCs w:val="28"/>
          <w:lang w:val="en-US"/>
        </w:rPr>
        <w:t>diyakini bertolak belakang dengan ajaran agama. Akibatnya, muncul</w:t>
      </w:r>
    </w:p>
    <w:p>
      <w:pPr>
        <w:pStyle w:val="BookText"/>
        <w:bidi w:val="0"/>
        <w:jc w:val="both"/>
        <w:rPr/>
      </w:pPr>
      <w:r>
        <w:rPr>
          <w:rFonts w:eastAsia="Times New Roman" w:cs="Times New Roman" w:ascii="Times New Roman" w:hAnsi="Times New Roman"/>
          <w:color w:val="111111"/>
          <w:sz w:val="28"/>
          <w:szCs w:val="28"/>
          <w:lang w:val="en-US"/>
        </w:rPr>
        <w:t>sekelompok agamawan yang berusaha mati-matian menjadikan</w:t>
      </w:r>
    </w:p>
    <w:p>
      <w:pPr>
        <w:pStyle w:val="BookText"/>
        <w:bidi w:val="0"/>
        <w:jc w:val="both"/>
        <w:rPr/>
      </w:pPr>
      <w:r>
        <w:rPr>
          <w:rFonts w:eastAsia="Times New Roman" w:cs="Times New Roman" w:ascii="Times New Roman" w:hAnsi="Times New Roman"/>
          <w:color w:val="111111"/>
          <w:sz w:val="28"/>
          <w:szCs w:val="28"/>
          <w:lang w:val="en-US"/>
        </w:rPr>
        <w:t>ruang lingkup agama steril dari “kuman-kuman” filsafat. Peluru-</w:t>
      </w:r>
    </w:p>
    <w:p>
      <w:pPr>
        <w:pStyle w:val="BookText"/>
        <w:bidi w:val="0"/>
        <w:jc w:val="both"/>
        <w:rPr/>
      </w:pPr>
      <w:r>
        <w:rPr>
          <w:rFonts w:eastAsia="Times New Roman" w:cs="Times New Roman" w:ascii="Times New Roman" w:hAnsi="Times New Roman"/>
          <w:color w:val="111111"/>
          <w:sz w:val="28"/>
          <w:szCs w:val="28"/>
          <w:lang w:val="en-US"/>
        </w:rPr>
        <w:t>peluru tudingan dogmatis (hitam-putih) yang mereka tembakkan</w:t>
      </w:r>
    </w:p>
    <w:p>
      <w:pPr>
        <w:pStyle w:val="BookText"/>
        <w:bidi w:val="0"/>
        <w:jc w:val="both"/>
        <w:rPr/>
      </w:pPr>
      <w:r>
        <w:rPr>
          <w:rFonts w:eastAsia="Times New Roman" w:cs="Times New Roman" w:ascii="Times New Roman" w:hAnsi="Times New Roman"/>
          <w:color w:val="111111"/>
          <w:sz w:val="28"/>
          <w:szCs w:val="28"/>
          <w:lang w:val="en-US"/>
        </w:rPr>
        <w:t>tak ayal menghambur ke mana-mana, hingga menyasar disiplin</w:t>
      </w:r>
    </w:p>
    <w:p>
      <w:pPr>
        <w:pStyle w:val="BookText"/>
        <w:bidi w:val="0"/>
        <w:jc w:val="both"/>
        <w:rPr/>
      </w:pPr>
      <w:r>
        <w:rPr>
          <w:rFonts w:eastAsia="Times New Roman" w:cs="Times New Roman" w:ascii="Times New Roman" w:hAnsi="Times New Roman"/>
          <w:color w:val="111111"/>
          <w:sz w:val="28"/>
          <w:szCs w:val="28"/>
          <w:lang w:val="en-US"/>
        </w:rPr>
        <w:t>Logika dan Teologi. Dalam rangka ini, tidak jarang dari mereka</w:t>
      </w:r>
    </w:p>
    <w:p>
      <w:pPr>
        <w:pStyle w:val="BookText"/>
        <w:bidi w:val="0"/>
        <w:jc w:val="both"/>
        <w:rPr/>
      </w:pPr>
      <w:r>
        <w:rPr>
          <w:rFonts w:eastAsia="Times New Roman" w:cs="Times New Roman" w:ascii="Times New Roman" w:hAnsi="Times New Roman"/>
          <w:color w:val="111111"/>
          <w:sz w:val="28"/>
          <w:szCs w:val="28"/>
          <w:lang w:val="en-US"/>
        </w:rPr>
        <w:t>menulis buku dan risalah secara khusus; mereka menjuluki ilmu</w:t>
      </w:r>
    </w:p>
    <w:p>
      <w:pPr>
        <w:pStyle w:val="BookText"/>
        <w:bidi w:val="0"/>
        <w:jc w:val="both"/>
        <w:rPr/>
      </w:pPr>
      <w:r>
        <w:rPr>
          <w:rFonts w:eastAsia="Times New Roman" w:cs="Times New Roman" w:ascii="Times New Roman" w:hAnsi="Times New Roman"/>
          <w:color w:val="111111"/>
          <w:sz w:val="28"/>
          <w:szCs w:val="28"/>
          <w:lang w:val="en-US"/>
        </w:rPr>
        <w:t>Logika sebagai “pengunyah sisa makanan orang kafir dan ateis</w:t>
      </w:r>
    </w:p>
    <w:p>
      <w:pPr>
        <w:pStyle w:val="BookText"/>
        <w:bidi w:val="0"/>
        <w:jc w:val="both"/>
        <w:rPr/>
      </w:pPr>
      <w:r>
        <w:rPr>
          <w:rFonts w:eastAsia="Times New Roman" w:cs="Times New Roman" w:ascii="Times New Roman" w:hAnsi="Times New Roman"/>
          <w:color w:val="111111"/>
          <w:sz w:val="28"/>
          <w:szCs w:val="28"/>
          <w:lang w:val="en-US"/>
        </w:rPr>
        <w:t>Yunani Kuno”. Mereka juga menyerang habis-habisan kaum teolog</w:t>
      </w:r>
    </w:p>
    <w:p>
      <w:pPr>
        <w:pStyle w:val="BookText"/>
        <w:bidi w:val="0"/>
        <w:jc w:val="both"/>
        <w:rPr/>
      </w:pPr>
      <w:r>
        <w:rPr>
          <w:rFonts w:eastAsia="Times New Roman" w:cs="Times New Roman" w:ascii="Times New Roman" w:hAnsi="Times New Roman"/>
          <w:color w:val="111111"/>
          <w:sz w:val="28"/>
          <w:szCs w:val="28"/>
          <w:lang w:val="en-US"/>
        </w:rPr>
        <w:t>yang bermaksud merasionalisasi agama dan keberagamaan.</w:t>
      </w:r>
    </w:p>
    <w:p>
      <w:pPr>
        <w:pStyle w:val="BookText"/>
        <w:bidi w:val="0"/>
        <w:jc w:val="both"/>
        <w:rPr/>
      </w:pPr>
      <w:r>
        <w:rPr>
          <w:rFonts w:eastAsia="Times New Roman" w:cs="Times New Roman" w:ascii="Times New Roman" w:hAnsi="Times New Roman"/>
          <w:color w:val="111111"/>
          <w:sz w:val="28"/>
          <w:szCs w:val="28"/>
          <w:lang w:val="en-US"/>
        </w:rPr>
        <w:t>Dalam bukunya, Tahfut Al-Falsafah, Ghazali terlihat jelas ingin</w:t>
      </w:r>
    </w:p>
    <w:p>
      <w:pPr>
        <w:pStyle w:val="BookText"/>
        <w:bidi w:val="0"/>
        <w:jc w:val="both"/>
        <w:rPr/>
      </w:pPr>
      <w:r>
        <w:rPr>
          <w:rFonts w:eastAsia="Times New Roman" w:cs="Times New Roman" w:ascii="Times New Roman" w:hAnsi="Times New Roman"/>
          <w:color w:val="111111"/>
          <w:sz w:val="28"/>
          <w:szCs w:val="28"/>
          <w:lang w:val="en-US"/>
        </w:rPr>
        <w:t>menunjukkan betapa kasar pergesekan yang terjadi antara konklusi</w:t>
      </w:r>
    </w:p>
    <w:p>
      <w:pPr>
        <w:pStyle w:val="BookText"/>
        <w:bidi w:val="0"/>
        <w:jc w:val="both"/>
        <w:rPr/>
      </w:pPr>
      <w:r>
        <w:rPr>
          <w:rFonts w:eastAsia="Times New Roman" w:cs="Times New Roman" w:ascii="Times New Roman" w:hAnsi="Times New Roman"/>
          <w:color w:val="111111"/>
          <w:sz w:val="28"/>
          <w:szCs w:val="28"/>
          <w:lang w:val="en-US"/>
        </w:rPr>
        <w:t>filosofis dengan ajaran wahyuni. Belum lagi Ibnu Taimiyah yang</w:t>
      </w:r>
    </w:p>
    <w:p>
      <w:pPr>
        <w:pStyle w:val="BookText"/>
        <w:bidi w:val="0"/>
        <w:jc w:val="both"/>
        <w:rPr/>
      </w:pPr>
      <w:r>
        <w:rPr>
          <w:rFonts w:eastAsia="Times New Roman" w:cs="Times New Roman" w:ascii="Times New Roman" w:hAnsi="Times New Roman"/>
          <w:color w:val="111111"/>
          <w:sz w:val="28"/>
          <w:szCs w:val="28"/>
          <w:lang w:val="en-US"/>
        </w:rPr>
        <w:t>secara khusus menulis Nasiihat Ahl Al-fmdn fi Al-Radd ‘ala Manthiq</w:t>
      </w:r>
    </w:p>
    <w:p>
      <w:pPr>
        <w:pStyle w:val="BookText"/>
        <w:bidi w:val="0"/>
        <w:jc w:val="both"/>
        <w:rPr/>
      </w:pPr>
      <w:r>
        <w:rPr>
          <w:rFonts w:eastAsia="Times New Roman" w:cs="Times New Roman" w:ascii="Times New Roman" w:hAnsi="Times New Roman"/>
          <w:color w:val="111111"/>
          <w:sz w:val="28"/>
          <w:szCs w:val="28"/>
          <w:lang w:val="en-US"/>
        </w:rPr>
        <w:t>Al-Ytinan untuk memperingatkan orang-orang Mukmin mengenai</w:t>
      </w:r>
    </w:p>
    <w:p>
      <w:pPr>
        <w:pStyle w:val="BookText"/>
        <w:bidi w:val="0"/>
        <w:jc w:val="both"/>
        <w:rPr/>
      </w:pPr>
      <w:r>
        <w:rPr>
          <w:rFonts w:eastAsia="Times New Roman" w:cs="Times New Roman" w:ascii="Times New Roman" w:hAnsi="Times New Roman"/>
          <w:color w:val="111111"/>
          <w:sz w:val="28"/>
          <w:szCs w:val="28"/>
          <w:lang w:val="en-US"/>
        </w:rPr>
        <w:t>bahaya logika Yunani. Sementara itu, muridnya, Ibnu Qayim, yang</w:t>
      </w:r>
    </w:p>
    <w:p>
      <w:pPr>
        <w:pStyle w:val="BookText"/>
        <w:bidi w:val="0"/>
        <w:jc w:val="both"/>
        <w:rPr/>
      </w:pPr>
      <w:r>
        <w:rPr>
          <w:rFonts w:eastAsia="Times New Roman" w:cs="Times New Roman" w:ascii="Times New Roman" w:hAnsi="Times New Roman"/>
          <w:color w:val="111111"/>
          <w:sz w:val="28"/>
          <w:szCs w:val="28"/>
          <w:lang w:val="en-US"/>
        </w:rPr>
        <w:t>ikut bergabung dengan kelompok penghujat Logika, menuturkan: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Logika Yunani sesungguh-sungguhnya </w:t>
      </w:r>
    </w:p>
    <w:p>
      <w:pPr>
        <w:pStyle w:val="BookText"/>
        <w:bidi w:val="0"/>
        <w:rPr/>
      </w:pPr>
      <w:r>
        <w:rPr>
          <w:rFonts w:eastAsia="Times New Roman" w:cs="Times New Roman" w:ascii="Times New Roman" w:hAnsi="Times New Roman"/>
          <w:color w:val="111111"/>
          <w:sz w:val="28"/>
          <w:szCs w:val="28"/>
          <w:lang w:val="en-US"/>
        </w:rPr>
        <w:t>betapa banyak omong kosongnya.</w:t>
      </w:r>
    </w:p>
    <w:p>
      <w:pPr>
        <w:pStyle w:val="BookText"/>
        <w:bidi w:val="0"/>
        <w:jc w:val="both"/>
        <w:rPr/>
      </w:pPr>
      <w:r>
        <w:rPr>
          <w:rFonts w:eastAsia="Times New Roman" w:cs="Times New Roman" w:ascii="Times New Roman" w:hAnsi="Times New Roman"/>
          <w:color w:val="111111"/>
          <w:sz w:val="28"/>
          <w:szCs w:val="28"/>
          <w:lang w:val="en-US"/>
        </w:rPr>
        <w:t>Penoda pikiran jernih</w:t>
      </w:r>
    </w:p>
    <w:p>
      <w:pPr>
        <w:pStyle w:val="BookText"/>
        <w:bidi w:val="0"/>
        <w:jc w:val="both"/>
        <w:rPr/>
      </w:pPr>
      <w:r>
        <w:rPr>
          <w:rFonts w:eastAsia="Times New Roman" w:cs="Times New Roman" w:ascii="Times New Roman" w:hAnsi="Times New Roman"/>
          <w:color w:val="111111"/>
          <w:sz w:val="28"/>
          <w:szCs w:val="28"/>
          <w:lang w:val="en-US"/>
        </w:rPr>
        <w:t>penghalang berseminya fitralt.</w:t>
      </w:r>
    </w:p>
    <w:p>
      <w:pPr>
        <w:pStyle w:val="BookText"/>
        <w:bidi w:val="0"/>
        <w:jc w:val="both"/>
        <w:rPr/>
      </w:pPr>
      <w:r>
        <w:rPr>
          <w:rFonts w:eastAsia="Times New Roman" w:cs="Times New Roman" w:ascii="Times New Roman" w:hAnsi="Times New Roman"/>
          <w:color w:val="111111"/>
          <w:sz w:val="28"/>
          <w:szCs w:val="28"/>
          <w:lang w:val="en-US"/>
        </w:rPr>
        <w:t>Pembungkam hati dan lidah</w:t>
      </w:r>
    </w:p>
    <w:p>
      <w:pPr>
        <w:pStyle w:val="BookText"/>
        <w:bidi w:val="0"/>
        <w:jc w:val="both"/>
        <w:rPr/>
      </w:pPr>
      <w:r>
        <w:rPr>
          <w:rFonts w:eastAsia="Times New Roman" w:cs="Times New Roman" w:ascii="Times New Roman" w:hAnsi="Times New Roman"/>
          <w:color w:val="111111"/>
          <w:sz w:val="28"/>
          <w:szCs w:val="28"/>
          <w:lang w:val="en-US"/>
        </w:rPr>
        <w:t xml:space="preserve">pemilik fondasi yang sangat rapuh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Perlu digarisbawahi, hujatan-hujatan ini pada dasarnya tidak</w:t>
      </w:r>
    </w:p>
    <w:p>
      <w:pPr>
        <w:pStyle w:val="BookText"/>
        <w:bidi w:val="0"/>
        <w:jc w:val="both"/>
        <w:rPr/>
      </w:pPr>
      <w:r>
        <w:rPr>
          <w:rFonts w:eastAsia="Times New Roman" w:cs="Times New Roman" w:ascii="Times New Roman" w:hAnsi="Times New Roman"/>
          <w:color w:val="111111"/>
          <w:sz w:val="28"/>
          <w:szCs w:val="28"/>
          <w:lang w:val="en-US"/>
        </w:rPr>
        <w:t>diarahkan pada akal perse; melainkan dapat dipandang sebagai</w:t>
      </w:r>
    </w:p>
    <w:p>
      <w:pPr>
        <w:pStyle w:val="BookText"/>
        <w:bidi w:val="0"/>
        <w:jc w:val="both"/>
        <w:rPr/>
      </w:pPr>
      <w:r>
        <w:rPr>
          <w:rFonts w:eastAsia="Times New Roman" w:cs="Times New Roman" w:ascii="Times New Roman" w:hAnsi="Times New Roman"/>
          <w:color w:val="111111"/>
          <w:sz w:val="28"/>
          <w:szCs w:val="28"/>
          <w:lang w:val="en-US"/>
        </w:rPr>
        <w:t>serangan terhadap ajaran-ajaran tertentu yang, oleh pendukungnya,</w:t>
      </w:r>
    </w:p>
    <w:p>
      <w:pPr>
        <w:pStyle w:val="BookText"/>
        <w:bidi w:val="0"/>
        <w:jc w:val="both"/>
        <w:rPr/>
      </w:pPr>
      <w:r>
        <w:rPr>
          <w:rFonts w:eastAsia="Times New Roman" w:cs="Times New Roman" w:ascii="Times New Roman" w:hAnsi="Times New Roman"/>
          <w:color w:val="111111"/>
          <w:sz w:val="28"/>
          <w:szCs w:val="28"/>
          <w:lang w:val="en-US"/>
        </w:rPr>
        <w:t>dianggap sebagai data-data rasional. Untuk lebih jelas lagi, para</w:t>
      </w:r>
    </w:p>
    <w:p>
      <w:pPr>
        <w:pStyle w:val="BookText"/>
        <w:bidi w:val="0"/>
        <w:jc w:val="both"/>
        <w:rPr/>
      </w:pPr>
      <w:r>
        <w:rPr>
          <w:rFonts w:eastAsia="Times New Roman" w:cs="Times New Roman" w:ascii="Times New Roman" w:hAnsi="Times New Roman"/>
          <w:color w:val="111111"/>
          <w:sz w:val="28"/>
          <w:szCs w:val="28"/>
          <w:lang w:val="en-US"/>
        </w:rPr>
        <w:t>kritikus itu mengatakan, “Apa yang kalian sebut ‘filsafat’ tidak lebih</w:t>
      </w:r>
    </w:p>
    <w:p>
      <w:pPr>
        <w:pStyle w:val="BookText"/>
        <w:bidi w:val="0"/>
        <w:jc w:val="both"/>
        <w:rPr/>
      </w:pPr>
      <w:r>
        <w:rPr>
          <w:rFonts w:eastAsia="Times New Roman" w:cs="Times New Roman" w:ascii="Times New Roman" w:hAnsi="Times New Roman"/>
          <w:color w:val="111111"/>
          <w:sz w:val="28"/>
          <w:szCs w:val="28"/>
          <w:lang w:val="en-US"/>
        </w:rPr>
        <w:t>dari hasil spekulasi, asumsi, dan pemitosan; bukan produk akal,</w:t>
      </w:r>
    </w:p>
    <w:p>
      <w:pPr>
        <w:pStyle w:val="BookText"/>
        <w:bidi w:val="0"/>
        <w:jc w:val="both"/>
        <w:rPr/>
      </w:pPr>
      <w:r>
        <w:rPr>
          <w:rFonts w:eastAsia="Times New Roman" w:cs="Times New Roman" w:ascii="Times New Roman" w:hAnsi="Times New Roman"/>
          <w:color w:val="111111"/>
          <w:sz w:val="28"/>
          <w:szCs w:val="28"/>
          <w:lang w:val="en-US"/>
        </w:rPr>
        <w:t>argumentasi, dan penelitian.” Maka dari itu, mereka mewanti-wanti</w:t>
      </w:r>
    </w:p>
    <w:p>
      <w:pPr>
        <w:pStyle w:val="BookText"/>
        <w:bidi w:val="0"/>
        <w:jc w:val="both"/>
        <w:rPr/>
      </w:pPr>
      <w:r>
        <w:rPr>
          <w:rFonts w:eastAsia="Times New Roman" w:cs="Times New Roman" w:ascii="Times New Roman" w:hAnsi="Times New Roman"/>
          <w:color w:val="111111"/>
          <w:sz w:val="28"/>
          <w:szCs w:val="28"/>
          <w:lang w:val="en-US"/>
        </w:rPr>
        <w:t>orang-orang yang berakal:</w:t>
      </w:r>
    </w:p>
    <w:p>
      <w:pPr>
        <w:pStyle w:val="BookText"/>
        <w:bidi w:val="0"/>
        <w:jc w:val="both"/>
        <w:rPr/>
      </w:pPr>
      <w:r>
        <w:rPr>
          <w:rFonts w:eastAsia="Times New Roman" w:cs="Times New Roman" w:ascii="Times New Roman" w:hAnsi="Times New Roman"/>
          <w:color w:val="111111"/>
          <w:sz w:val="28"/>
          <w:szCs w:val="28"/>
          <w:lang w:val="en-US"/>
        </w:rPr>
        <w:t>Jangan aduk filsafat dalam tutur kalimat</w:t>
      </w:r>
    </w:p>
    <w:p>
      <w:pPr>
        <w:pStyle w:val="BookText"/>
        <w:bidi w:val="0"/>
        <w:jc w:val="both"/>
        <w:rPr/>
      </w:pPr>
      <w:r>
        <w:rPr>
          <w:rFonts w:eastAsia="Times New Roman" w:cs="Times New Roman" w:ascii="Times New Roman" w:hAnsi="Times New Roman"/>
          <w:color w:val="111111"/>
          <w:sz w:val="28"/>
          <w:szCs w:val="28"/>
          <w:lang w:val="en-US"/>
        </w:rPr>
        <w:t>lalu kau sebut, “Inilah debat”.</w:t>
      </w:r>
    </w:p>
    <w:p>
      <w:pPr>
        <w:pStyle w:val="BookText"/>
        <w:bidi w:val="0"/>
        <w:jc w:val="both"/>
        <w:rPr/>
      </w:pPr>
      <w:r>
        <w:rPr>
          <w:rFonts w:eastAsia="Times New Roman" w:cs="Times New Roman" w:ascii="Times New Roman" w:hAnsi="Times New Roman"/>
          <w:color w:val="111111"/>
          <w:sz w:val="28"/>
          <w:szCs w:val="28"/>
          <w:lang w:val="en-US"/>
        </w:rPr>
        <w:t>Di jalan lumpur hanya ada sesat</w:t>
      </w:r>
    </w:p>
    <w:p>
      <w:pPr>
        <w:pStyle w:val="BookText"/>
        <w:bidi w:val="0"/>
        <w:jc w:val="both"/>
        <w:rPr/>
      </w:pPr>
      <w:r>
        <w:rPr>
          <w:rFonts w:eastAsia="Times New Roman" w:cs="Times New Roman" w:ascii="Times New Roman" w:hAnsi="Times New Roman"/>
          <w:color w:val="111111"/>
          <w:sz w:val="28"/>
          <w:szCs w:val="28"/>
          <w:lang w:val="en-US"/>
        </w:rPr>
        <w:t>wahai para tokoh! Jangan jejakkan kaki di lumpur.</w:t>
      </w:r>
    </w:p>
    <w:p>
      <w:pPr>
        <w:pStyle w:val="BookText"/>
        <w:bidi w:val="0"/>
        <w:jc w:val="both"/>
        <w:rPr/>
      </w:pPr>
      <w:r>
        <w:rPr>
          <w:rFonts w:eastAsia="Times New Roman" w:cs="Times New Roman" w:ascii="Times New Roman" w:hAnsi="Times New Roman"/>
          <w:color w:val="111111"/>
          <w:sz w:val="28"/>
          <w:szCs w:val="28"/>
          <w:lang w:val="en-US"/>
        </w:rPr>
        <w:t>Kendaraan agama kelahiran Arab</w:t>
      </w:r>
    </w:p>
    <w:p>
      <w:pPr>
        <w:pStyle w:val="BookText"/>
        <w:bidi w:val="0"/>
        <w:jc w:val="both"/>
        <w:rPr/>
      </w:pPr>
      <w:r>
        <w:rPr>
          <w:rFonts w:eastAsia="Times New Roman" w:cs="Times New Roman" w:ascii="Times New Roman" w:hAnsi="Times New Roman"/>
          <w:color w:val="111111"/>
          <w:sz w:val="28"/>
          <w:szCs w:val="28"/>
          <w:lang w:val="en-US"/>
        </w:rPr>
        <w:t>Jangan cetak tanda Yunani di pinggulnya.</w:t>
      </w:r>
    </w:p>
    <w:p>
      <w:pPr>
        <w:pStyle w:val="BookText"/>
        <w:bidi w:val="0"/>
        <w:jc w:val="both"/>
        <w:rPr/>
      </w:pPr>
      <w:r>
        <w:rPr>
          <w:rFonts w:eastAsia="Times New Roman" w:cs="Times New Roman" w:ascii="Times New Roman" w:hAnsi="Times New Roman"/>
          <w:color w:val="111111"/>
          <w:sz w:val="28"/>
          <w:szCs w:val="28"/>
          <w:lang w:val="en-US"/>
        </w:rPr>
        <w:t>Induk kunci mitos Aristoteles</w:t>
      </w:r>
    </w:p>
    <w:p>
      <w:pPr>
        <w:pStyle w:val="BookText"/>
        <w:bidi w:val="0"/>
        <w:jc w:val="both"/>
        <w:rPr/>
      </w:pPr>
      <w:r>
        <w:rPr>
          <w:rFonts w:eastAsia="Times New Roman" w:cs="Times New Roman" w:ascii="Times New Roman" w:hAnsi="Times New Roman"/>
          <w:color w:val="111111"/>
          <w:sz w:val="28"/>
          <w:szCs w:val="28"/>
          <w:lang w:val="en-US"/>
        </w:rPr>
        <w:t>Jangan pasang di pintu agama terbaik.</w:t>
      </w:r>
    </w:p>
    <w:p>
      <w:pPr>
        <w:pStyle w:val="BookText"/>
        <w:bidi w:val="0"/>
        <w:jc w:val="both"/>
        <w:rPr/>
      </w:pPr>
      <w:r>
        <w:rPr>
          <w:rFonts w:eastAsia="Times New Roman" w:cs="Times New Roman" w:ascii="Times New Roman" w:hAnsi="Times New Roman"/>
          <w:color w:val="111111"/>
          <w:sz w:val="28"/>
          <w:szCs w:val="28"/>
          <w:lang w:val="en-US"/>
        </w:rPr>
        <w:t>Lukisan usang Plato</w:t>
      </w:r>
    </w:p>
    <w:p>
      <w:pPr>
        <w:pStyle w:val="BookText"/>
        <w:bidi w:val="0"/>
        <w:jc w:val="both"/>
        <w:rPr/>
      </w:pPr>
      <w:r>
        <w:rPr>
          <w:rFonts w:eastAsia="Times New Roman" w:cs="Times New Roman" w:ascii="Times New Roman" w:hAnsi="Times New Roman"/>
          <w:color w:val="111111"/>
          <w:sz w:val="28"/>
          <w:szCs w:val="28"/>
          <w:lang w:val="en-US"/>
        </w:rPr>
        <w:t xml:space="preserve">Jangan pajang di altar tertinggi (agama)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Dari sudut yang lain, kalangan sufi juga menghujat akal</w:t>
      </w:r>
    </w:p>
    <w:p>
      <w:pPr>
        <w:pStyle w:val="BookText"/>
        <w:bidi w:val="0"/>
        <w:jc w:val="both"/>
        <w:rPr/>
      </w:pPr>
      <w:r>
        <w:rPr>
          <w:rFonts w:eastAsia="Times New Roman" w:cs="Times New Roman" w:ascii="Times New Roman" w:hAnsi="Times New Roman"/>
          <w:color w:val="111111"/>
          <w:sz w:val="28"/>
          <w:szCs w:val="28"/>
          <w:lang w:val="en-US"/>
        </w:rPr>
        <w:t>dan argumentasi filosofis. Dalam pandangan mereka, semua itu</w:t>
      </w:r>
    </w:p>
    <w:p>
      <w:pPr>
        <w:pStyle w:val="BookText"/>
        <w:bidi w:val="0"/>
        <w:jc w:val="both"/>
        <w:rPr/>
      </w:pPr>
      <w:r>
        <w:rPr>
          <w:rFonts w:eastAsia="Times New Roman" w:cs="Times New Roman" w:ascii="Times New Roman" w:hAnsi="Times New Roman"/>
          <w:color w:val="111111"/>
          <w:sz w:val="28"/>
          <w:szCs w:val="28"/>
          <w:lang w:val="en-US"/>
        </w:rPr>
        <w:t>bertentangan dengan gairah percintaan yang merupakan inti dari</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sensasi religius: </w:t>
      </w:r>
    </w:p>
    <w:p>
      <w:pPr>
        <w:pStyle w:val="BookText"/>
        <w:bidi w:val="0"/>
        <w:rPr/>
      </w:pPr>
      <w:r>
        <w:rPr>
          <w:rFonts w:eastAsia="Times New Roman" w:cs="Times New Roman" w:ascii="Times New Roman" w:hAnsi="Times New Roman"/>
          <w:color w:val="111111"/>
          <w:sz w:val="28"/>
          <w:szCs w:val="28"/>
          <w:lang w:val="en-US"/>
        </w:rPr>
        <w:t>Gerbang wilayalt cinta terlampau tegak</w:t>
      </w:r>
    </w:p>
    <w:p>
      <w:pPr>
        <w:pStyle w:val="BookText"/>
        <w:bidi w:val="0"/>
        <w:jc w:val="both"/>
        <w:rPr/>
      </w:pPr>
      <w:r>
        <w:rPr>
          <w:rFonts w:eastAsia="Times New Roman" w:cs="Times New Roman" w:ascii="Times New Roman" w:hAnsi="Times New Roman"/>
          <w:color w:val="111111"/>
          <w:sz w:val="28"/>
          <w:szCs w:val="28"/>
          <w:lang w:val="en-US"/>
        </w:rPr>
        <w:t>menjulang tinggi di atas akal.</w:t>
      </w:r>
    </w:p>
    <w:p>
      <w:pPr>
        <w:pStyle w:val="BookText"/>
        <w:bidi w:val="0"/>
        <w:jc w:val="both"/>
        <w:rPr/>
      </w:pPr>
      <w:r>
        <w:rPr>
          <w:rFonts w:eastAsia="Times New Roman" w:cs="Times New Roman" w:ascii="Times New Roman" w:hAnsi="Times New Roman"/>
          <w:color w:val="111111"/>
          <w:sz w:val="28"/>
          <w:szCs w:val="28"/>
          <w:lang w:val="en-US"/>
        </w:rPr>
        <w:t>Orang bisa cium wilayah itu</w:t>
      </w:r>
    </w:p>
    <w:p>
      <w:pPr>
        <w:pStyle w:val="BookText"/>
        <w:bidi w:val="0"/>
        <w:jc w:val="both"/>
        <w:rPr/>
      </w:pPr>
      <w:r>
        <w:rPr>
          <w:rFonts w:eastAsia="Times New Roman" w:cs="Times New Roman" w:ascii="Times New Roman" w:hAnsi="Times New Roman"/>
          <w:color w:val="111111"/>
          <w:sz w:val="28"/>
          <w:szCs w:val="28"/>
          <w:lang w:val="en-US"/>
        </w:rPr>
        <w:t>kala nyawa di lengannya.</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Pada hemat mereka, argumentasi tidak ada gunanya. Akal dan</w:t>
      </w:r>
    </w:p>
    <w:p>
      <w:pPr>
        <w:pStyle w:val="BookText"/>
        <w:bidi w:val="0"/>
        <w:jc w:val="both"/>
        <w:rPr/>
      </w:pPr>
      <w:r>
        <w:rPr>
          <w:rFonts w:eastAsia="Times New Roman" w:cs="Times New Roman" w:ascii="Times New Roman" w:hAnsi="Times New Roman"/>
          <w:color w:val="111111"/>
          <w:sz w:val="28"/>
          <w:szCs w:val="28"/>
          <w:lang w:val="en-US"/>
        </w:rPr>
        <w:t>argumentasi ibarat tongkat di tangan tunanetra; niscaya kurang</w:t>
      </w:r>
    </w:p>
    <w:p>
      <w:pPr>
        <w:pStyle w:val="BookText"/>
        <w:bidi w:val="0"/>
        <w:jc w:val="both"/>
        <w:rPr/>
      </w:pPr>
      <w:r>
        <w:rPr>
          <w:rFonts w:eastAsia="Times New Roman" w:cs="Times New Roman" w:ascii="Times New Roman" w:hAnsi="Times New Roman"/>
          <w:color w:val="111111"/>
          <w:sz w:val="28"/>
          <w:szCs w:val="28"/>
          <w:lang w:val="en-US"/>
        </w:rPr>
        <w:t>berarti kalau saja tak dibantu juru yang melihat dan mengenal jalan:</w:t>
      </w:r>
    </w:p>
    <w:p>
      <w:pPr>
        <w:pStyle w:val="BookText"/>
        <w:bidi w:val="0"/>
        <w:jc w:val="both"/>
        <w:rPr/>
      </w:pPr>
      <w:r>
        <w:rPr>
          <w:rFonts w:eastAsia="Times New Roman" w:cs="Times New Roman" w:ascii="Times New Roman" w:hAnsi="Times New Roman"/>
          <w:color w:val="111111"/>
          <w:sz w:val="28"/>
          <w:szCs w:val="28"/>
          <w:lang w:val="en-US"/>
        </w:rPr>
        <w:t>Andai dengan tongkat tunanetra menatap jalan</w:t>
      </w:r>
    </w:p>
    <w:p>
      <w:pPr>
        <w:pStyle w:val="BookText"/>
        <w:bidi w:val="0"/>
        <w:jc w:val="both"/>
        <w:rPr/>
      </w:pPr>
      <w:r>
        <w:rPr>
          <w:rFonts w:eastAsia="Times New Roman" w:cs="Times New Roman" w:ascii="Times New Roman" w:hAnsi="Times New Roman"/>
          <w:color w:val="111111"/>
          <w:sz w:val="28"/>
          <w:szCs w:val="28"/>
          <w:lang w:val="en-US"/>
        </w:rPr>
        <w:t>itu hanya berkat makhluk penatap cemerlang.</w:t>
      </w:r>
    </w:p>
    <w:p>
      <w:pPr>
        <w:pStyle w:val="BookText"/>
        <w:bidi w:val="0"/>
        <w:jc w:val="both"/>
        <w:rPr/>
      </w:pPr>
      <w:r>
        <w:rPr>
          <w:rFonts w:eastAsia="Times New Roman" w:cs="Times New Roman" w:ascii="Times New Roman" w:hAnsi="Times New Roman"/>
          <w:color w:val="111111"/>
          <w:sz w:val="28"/>
          <w:szCs w:val="28"/>
          <w:lang w:val="en-US"/>
        </w:rPr>
        <w:t>Jika tak ada pemandang dan sang baginda</w:t>
      </w:r>
    </w:p>
    <w:p>
      <w:pPr>
        <w:pStyle w:val="BookText"/>
        <w:bidi w:val="0"/>
        <w:jc w:val="both"/>
        <w:rPr/>
      </w:pPr>
      <w:r>
        <w:rPr>
          <w:rFonts w:eastAsia="Times New Roman" w:cs="Times New Roman" w:ascii="Times New Roman" w:hAnsi="Times New Roman"/>
          <w:color w:val="111111"/>
          <w:sz w:val="28"/>
          <w:szCs w:val="28"/>
          <w:lang w:val="en-US"/>
        </w:rPr>
        <w:t>semua tunanetra niscaya meregang nyawa di dunia.</w:t>
      </w:r>
    </w:p>
    <w:p>
      <w:pPr>
        <w:pStyle w:val="BookText"/>
        <w:bidi w:val="0"/>
        <w:jc w:val="both"/>
        <w:rPr/>
      </w:pPr>
      <w:r>
        <w:rPr>
          <w:rFonts w:eastAsia="Times New Roman" w:cs="Times New Roman" w:ascii="Times New Roman" w:hAnsi="Times New Roman"/>
          <w:color w:val="111111"/>
          <w:sz w:val="28"/>
          <w:szCs w:val="28"/>
          <w:lang w:val="en-US"/>
        </w:rPr>
        <w:t>Sebaliknya, kalangan filsuf Muslim mengerahkan segenap</w:t>
      </w:r>
    </w:p>
    <w:p>
      <w:pPr>
        <w:pStyle w:val="BookText"/>
        <w:bidi w:val="0"/>
        <w:jc w:val="both"/>
        <w:rPr/>
      </w:pPr>
      <w:r>
        <w:rPr>
          <w:rFonts w:eastAsia="Times New Roman" w:cs="Times New Roman" w:ascii="Times New Roman" w:hAnsi="Times New Roman"/>
          <w:color w:val="111111"/>
          <w:sz w:val="28"/>
          <w:szCs w:val="28"/>
          <w:lang w:val="en-US"/>
        </w:rPr>
        <w:t>kekuatan untuk membuktikan keselarasan filsafat dengan agama.</w:t>
      </w:r>
    </w:p>
    <w:p>
      <w:pPr>
        <w:pStyle w:val="BookText"/>
        <w:bidi w:val="0"/>
        <w:jc w:val="both"/>
        <w:rPr/>
      </w:pPr>
      <w:r>
        <w:rPr>
          <w:rFonts w:eastAsia="Times New Roman" w:cs="Times New Roman" w:ascii="Times New Roman" w:hAnsi="Times New Roman"/>
          <w:color w:val="111111"/>
          <w:sz w:val="28"/>
          <w:szCs w:val="28"/>
          <w:lang w:val="en-US"/>
        </w:rPr>
        <w:t>Menurut mereka, memperkarakan Yunani sebagai asal-usul filsafat</w:t>
      </w:r>
    </w:p>
    <w:p>
      <w:pPr>
        <w:pStyle w:val="BookText"/>
        <w:bidi w:val="0"/>
        <w:jc w:val="both"/>
        <w:rPr/>
      </w:pPr>
      <w:r>
        <w:rPr>
          <w:rFonts w:eastAsia="Times New Roman" w:cs="Times New Roman" w:ascii="Times New Roman" w:hAnsi="Times New Roman"/>
          <w:color w:val="111111"/>
          <w:sz w:val="28"/>
          <w:szCs w:val="28"/>
          <w:lang w:val="en-US"/>
        </w:rPr>
        <w:t>guna dijadikan alasan untuk menentang filsafat merupakan bentuk</w:t>
      </w:r>
    </w:p>
    <w:p>
      <w:pPr>
        <w:pStyle w:val="BookText"/>
        <w:bidi w:val="0"/>
        <w:jc w:val="both"/>
        <w:rPr/>
      </w:pPr>
      <w:r>
        <w:rPr>
          <w:rFonts w:eastAsia="Times New Roman" w:cs="Times New Roman" w:ascii="Times New Roman" w:hAnsi="Times New Roman"/>
          <w:color w:val="111111"/>
          <w:sz w:val="28"/>
          <w:szCs w:val="28"/>
          <w:lang w:val="en-US"/>
        </w:rPr>
        <w:t>dari kedangkalan berpikir. Meski begitu, mereka juga mengakui</w:t>
      </w:r>
    </w:p>
    <w:p>
      <w:pPr>
        <w:pStyle w:val="BookText"/>
        <w:bidi w:val="0"/>
        <w:jc w:val="both"/>
        <w:rPr/>
      </w:pPr>
      <w:r>
        <w:rPr>
          <w:rFonts w:eastAsia="Times New Roman" w:cs="Times New Roman" w:ascii="Times New Roman" w:hAnsi="Times New Roman"/>
          <w:color w:val="111111"/>
          <w:sz w:val="28"/>
          <w:szCs w:val="28"/>
          <w:lang w:val="en-US"/>
        </w:rPr>
        <w:t>sejumlah kekeliruan tak disengaja yang terdapat dalam pengetahuan</w:t>
      </w:r>
    </w:p>
    <w:p>
      <w:pPr>
        <w:pStyle w:val="BookText"/>
        <w:bidi w:val="0"/>
        <w:jc w:val="both"/>
        <w:rPr/>
      </w:pPr>
      <w:r>
        <w:rPr>
          <w:rFonts w:eastAsia="Times New Roman" w:cs="Times New Roman" w:ascii="Times New Roman" w:hAnsi="Times New Roman"/>
          <w:color w:val="111111"/>
          <w:sz w:val="28"/>
          <w:szCs w:val="28"/>
          <w:lang w:val="en-US"/>
        </w:rPr>
        <w:t>manusia. Oleh karena itu, mereka berupaya meminimalisasi kekeliruan</w:t>
      </w:r>
    </w:p>
    <w:p>
      <w:pPr>
        <w:pStyle w:val="BookText"/>
        <w:bidi w:val="0"/>
        <w:jc w:val="both"/>
        <w:rPr/>
      </w:pPr>
      <w:r>
        <w:rPr>
          <w:rFonts w:eastAsia="Times New Roman" w:cs="Times New Roman" w:ascii="Times New Roman" w:hAnsi="Times New Roman"/>
          <w:color w:val="111111"/>
          <w:sz w:val="28"/>
          <w:szCs w:val="28"/>
          <w:lang w:val="en-US"/>
        </w:rPr>
        <w:t>para filsuf terdahulu dan semaksimal mungkin mengharmonikan</w:t>
      </w:r>
    </w:p>
    <w:p>
      <w:pPr>
        <w:pStyle w:val="BookText"/>
        <w:bidi w:val="0"/>
        <w:jc w:val="both"/>
        <w:rPr/>
      </w:pPr>
      <w:r>
        <w:rPr>
          <w:rFonts w:eastAsia="Times New Roman" w:cs="Times New Roman" w:ascii="Times New Roman" w:hAnsi="Times New Roman"/>
          <w:color w:val="111111"/>
          <w:sz w:val="28"/>
          <w:szCs w:val="28"/>
          <w:lang w:val="en-US"/>
        </w:rPr>
        <w:t>filsafat dengan ajaran Islam. Dalam filsafat Shadrian (Mulla Shadra),</w:t>
      </w:r>
    </w:p>
    <w:p>
      <w:pPr>
        <w:pStyle w:val="BookText"/>
        <w:bidi w:val="0"/>
        <w:jc w:val="both"/>
        <w:rPr/>
      </w:pPr>
      <w:r>
        <w:rPr>
          <w:rFonts w:eastAsia="Times New Roman" w:cs="Times New Roman" w:ascii="Times New Roman" w:hAnsi="Times New Roman"/>
          <w:color w:val="111111"/>
          <w:sz w:val="28"/>
          <w:szCs w:val="28"/>
          <w:lang w:val="en-US"/>
        </w:rPr>
        <w:t>usaha ini tampak mencapai puncaknya. Ia memproklamasikan</w:t>
      </w:r>
    </w:p>
    <w:p>
      <w:pPr>
        <w:pStyle w:val="BookText"/>
        <w:bidi w:val="0"/>
        <w:jc w:val="both"/>
        <w:rPr/>
      </w:pPr>
      <w:r>
        <w:rPr>
          <w:rFonts w:eastAsia="Times New Roman" w:cs="Times New Roman" w:ascii="Times New Roman" w:hAnsi="Times New Roman"/>
          <w:color w:val="111111"/>
          <w:sz w:val="28"/>
          <w:szCs w:val="28"/>
          <w:lang w:val="en-US"/>
        </w:rPr>
        <w:t>Hikmah Muta’aliyah sebagai ejawantah dari integralitas Alquran,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irfan (penyingkapan batin), dan burlin (demonstrasi). Filsuf besar</w:t>
      </w:r>
    </w:p>
    <w:p>
      <w:pPr>
        <w:pStyle w:val="BookText"/>
        <w:bidi w:val="0"/>
        <w:jc w:val="both"/>
        <w:rPr/>
      </w:pPr>
      <w:r>
        <w:rPr>
          <w:rFonts w:eastAsia="Times New Roman" w:cs="Times New Roman" w:ascii="Times New Roman" w:hAnsi="Times New Roman"/>
          <w:color w:val="111111"/>
          <w:sz w:val="28"/>
          <w:szCs w:val="28"/>
          <w:lang w:val="en-US"/>
        </w:rPr>
        <w:t>ini mengatakan:</w:t>
      </w:r>
    </w:p>
    <w:p>
      <w:pPr>
        <w:pStyle w:val="BookText"/>
        <w:bidi w:val="0"/>
        <w:jc w:val="both"/>
        <w:rPr/>
      </w:pPr>
      <w:r>
        <w:rPr>
          <w:rFonts w:eastAsia="Times New Roman" w:cs="Times New Roman" w:ascii="Times New Roman" w:hAnsi="Times New Roman"/>
          <w:color w:val="111111"/>
          <w:sz w:val="28"/>
          <w:szCs w:val="28"/>
          <w:lang w:val="en-US"/>
        </w:rPr>
        <w:t>Mustahil hukum-hukum agama Ilahi yang /iaq dan cemerlang</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bertentangan dengan pengetahuan pasti (yaqini) dan jelas </w:t>
      </w:r>
    </w:p>
    <w:p>
      <w:pPr>
        <w:pStyle w:val="BookText"/>
        <w:bidi w:val="0"/>
        <w:rPr/>
      </w:pPr>
      <w:r>
        <w:rPr>
          <w:rFonts w:eastAsia="Times New Roman" w:cs="Times New Roman" w:ascii="Times New Roman" w:hAnsi="Times New Roman"/>
          <w:color w:val="111111"/>
          <w:sz w:val="28"/>
          <w:szCs w:val="28"/>
          <w:lang w:val="en-US"/>
        </w:rPr>
        <w:t>(dharuri). Celakalah filsafat yang hukum-hukumnya tidak selaras</w:t>
      </w:r>
    </w:p>
    <w:p>
      <w:pPr>
        <w:pStyle w:val="BookText"/>
        <w:bidi w:val="0"/>
        <w:jc w:val="both"/>
        <w:rPr/>
      </w:pPr>
      <w:r>
        <w:rPr>
          <w:rFonts w:eastAsia="Times New Roman" w:cs="Times New Roman" w:ascii="Times New Roman" w:hAnsi="Times New Roman"/>
          <w:color w:val="111111"/>
          <w:sz w:val="28"/>
          <w:szCs w:val="28"/>
          <w:lang w:val="en-US"/>
        </w:rPr>
        <w:t>dengan Alquran dan Sunah!</w:t>
      </w:r>
    </w:p>
    <w:p>
      <w:pPr>
        <w:pStyle w:val="BookText"/>
        <w:bidi w:val="0"/>
        <w:jc w:val="both"/>
        <w:rPr/>
      </w:pPr>
      <w:r>
        <w:rPr>
          <w:rFonts w:eastAsia="Times New Roman" w:cs="Times New Roman" w:ascii="Times New Roman" w:hAnsi="Times New Roman"/>
          <w:color w:val="111111"/>
          <w:sz w:val="28"/>
          <w:szCs w:val="28"/>
          <w:lang w:val="en-US"/>
        </w:rPr>
        <w:t>Di Barat, nasib akal dan wahyu juga nyaris mirip dengan yang</w:t>
      </w:r>
    </w:p>
    <w:p>
      <w:pPr>
        <w:pStyle w:val="BookText"/>
        <w:bidi w:val="0"/>
        <w:jc w:val="both"/>
        <w:rPr/>
      </w:pPr>
      <w:r>
        <w:rPr>
          <w:rFonts w:eastAsia="Times New Roman" w:cs="Times New Roman" w:ascii="Times New Roman" w:hAnsi="Times New Roman"/>
          <w:color w:val="111111"/>
          <w:sz w:val="28"/>
          <w:szCs w:val="28"/>
          <w:lang w:val="en-US"/>
        </w:rPr>
        <w:t>dialami di dunia Islam. Bedanya, penolakan terhadap akal dan</w:t>
      </w:r>
    </w:p>
    <w:p>
      <w:pPr>
        <w:pStyle w:val="BookText"/>
        <w:bidi w:val="0"/>
        <w:jc w:val="both"/>
        <w:rPr/>
      </w:pPr>
      <w:r>
        <w:rPr>
          <w:rFonts w:eastAsia="Times New Roman" w:cs="Times New Roman" w:ascii="Times New Roman" w:hAnsi="Times New Roman"/>
          <w:color w:val="111111"/>
          <w:sz w:val="28"/>
          <w:szCs w:val="28"/>
          <w:lang w:val="en-US"/>
        </w:rPr>
        <w:t>ajakan kaum agamawan kepada iman minus akal (reasoning) telah</w:t>
      </w:r>
    </w:p>
    <w:p>
      <w:pPr>
        <w:pStyle w:val="BookText"/>
        <w:bidi w:val="0"/>
        <w:jc w:val="both"/>
        <w:rPr/>
      </w:pPr>
      <w:r>
        <w:rPr>
          <w:rFonts w:eastAsia="Times New Roman" w:cs="Times New Roman" w:ascii="Times New Roman" w:hAnsi="Times New Roman"/>
          <w:color w:val="111111"/>
          <w:sz w:val="28"/>
          <w:szCs w:val="28"/>
          <w:lang w:val="en-US"/>
        </w:rPr>
        <w:t>merepresentasi gereja sebagai institusi keagamaan yang antiakal.</w:t>
      </w:r>
    </w:p>
    <w:p>
      <w:pPr>
        <w:pStyle w:val="BookText"/>
        <w:bidi w:val="0"/>
        <w:jc w:val="both"/>
        <w:rPr/>
      </w:pPr>
      <w:r>
        <w:rPr>
          <w:rFonts w:eastAsia="Times New Roman" w:cs="Times New Roman" w:ascii="Times New Roman" w:hAnsi="Times New Roman"/>
          <w:color w:val="111111"/>
          <w:sz w:val="28"/>
          <w:szCs w:val="28"/>
          <w:lang w:val="en-US"/>
        </w:rPr>
        <w:t>Ini lantaran mata ajaran agama Kristen sudah berubah, dan sama</w:t>
      </w:r>
    </w:p>
    <w:p>
      <w:pPr>
        <w:pStyle w:val="BookText"/>
        <w:bidi w:val="0"/>
        <w:jc w:val="both"/>
        <w:rPr/>
      </w:pPr>
      <w:r>
        <w:rPr>
          <w:rFonts w:eastAsia="Times New Roman" w:cs="Times New Roman" w:ascii="Times New Roman" w:hAnsi="Times New Roman"/>
          <w:color w:val="111111"/>
          <w:sz w:val="28"/>
          <w:szCs w:val="28"/>
          <w:lang w:val="en-US"/>
        </w:rPr>
        <w:t>sekali tidak memiliki sangkut-paut genealogis dengan wahyu suci</w:t>
      </w:r>
    </w:p>
    <w:p>
      <w:pPr>
        <w:pStyle w:val="BookText"/>
        <w:bidi w:val="0"/>
        <w:jc w:val="both"/>
        <w:rPr/>
      </w:pPr>
      <w:r>
        <w:rPr>
          <w:rFonts w:eastAsia="Times New Roman" w:cs="Times New Roman" w:ascii="Times New Roman" w:hAnsi="Times New Roman"/>
          <w:color w:val="111111"/>
          <w:sz w:val="28"/>
          <w:szCs w:val="28"/>
          <w:lang w:val="en-US"/>
        </w:rPr>
        <w:t>Algquran. Karenanya, dapat dibedakan: mana ajaran-ajaran suci</w:t>
      </w:r>
    </w:p>
    <w:p>
      <w:pPr>
        <w:pStyle w:val="BookText"/>
        <w:bidi w:val="0"/>
        <w:jc w:val="both"/>
        <w:rPr/>
      </w:pPr>
      <w:r>
        <w:rPr>
          <w:rFonts w:eastAsia="Times New Roman" w:cs="Times New Roman" w:ascii="Times New Roman" w:hAnsi="Times New Roman"/>
          <w:color w:val="111111"/>
          <w:sz w:val="28"/>
          <w:szCs w:val="28"/>
          <w:lang w:val="en-US"/>
        </w:rPr>
        <w:t>samawi dan mana ajaran-ajaran manusiawi yang bersifat profan;</w:t>
      </w:r>
    </w:p>
    <w:p>
      <w:pPr>
        <w:pStyle w:val="BookText"/>
        <w:bidi w:val="0"/>
        <w:jc w:val="both"/>
        <w:rPr/>
      </w:pPr>
      <w:r>
        <w:rPr>
          <w:rFonts w:eastAsia="Times New Roman" w:cs="Times New Roman" w:ascii="Times New Roman" w:hAnsi="Times New Roman"/>
          <w:color w:val="111111"/>
          <w:sz w:val="28"/>
          <w:szCs w:val="28"/>
          <w:lang w:val="en-US"/>
        </w:rPr>
        <w:t>juga mana yang berlandas asas Tauhid dan mana yang berdasar</w:t>
      </w:r>
    </w:p>
    <w:p>
      <w:pPr>
        <w:pStyle w:val="BookText"/>
        <w:bidi w:val="0"/>
        <w:jc w:val="both"/>
        <w:rPr/>
      </w:pPr>
      <w:r>
        <w:rPr>
          <w:rFonts w:eastAsia="Times New Roman" w:cs="Times New Roman" w:ascii="Times New Roman" w:hAnsi="Times New Roman"/>
          <w:color w:val="111111"/>
          <w:sz w:val="28"/>
          <w:szCs w:val="28"/>
          <w:lang w:val="en-US"/>
        </w:rPr>
        <w:t>doktrin Trinitas. Atau, mana agama yang mengajarkan, “Siapa yang</w:t>
      </w:r>
    </w:p>
    <w:p>
      <w:pPr>
        <w:pStyle w:val="BookText"/>
        <w:bidi w:val="0"/>
        <w:jc w:val="both"/>
        <w:rPr/>
      </w:pPr>
      <w:r>
        <w:rPr>
          <w:rFonts w:eastAsia="Times New Roman" w:cs="Times New Roman" w:ascii="Times New Roman" w:hAnsi="Times New Roman"/>
          <w:color w:val="111111"/>
          <w:sz w:val="28"/>
          <w:szCs w:val="28"/>
          <w:lang w:val="en-US"/>
        </w:rPr>
        <w:t>lebih giat menggunakan akalnya, tentu lebih banyak ibadahnya,”</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dan mana agama yang meyakinkan, “Iman yakni tersalibnya akal.”</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Secara prinsip, Islam adalah agama kontemplasi dan pemikiran.</w:t>
      </w:r>
    </w:p>
    <w:p>
      <w:pPr>
        <w:pStyle w:val="BookText"/>
        <w:bidi w:val="0"/>
        <w:jc w:val="both"/>
        <w:rPr/>
      </w:pPr>
      <w:r>
        <w:rPr>
          <w:rFonts w:eastAsia="Times New Roman" w:cs="Times New Roman" w:ascii="Times New Roman" w:hAnsi="Times New Roman"/>
          <w:color w:val="111111"/>
          <w:sz w:val="28"/>
          <w:szCs w:val="28"/>
          <w:lang w:val="en-US"/>
        </w:rPr>
        <w:t>Polemik akal dan wahyu ini terus berlanjut di dunia kontemporer,</w:t>
      </w:r>
    </w:p>
    <w:p>
      <w:pPr>
        <w:pStyle w:val="BookText"/>
        <w:bidi w:val="0"/>
        <w:jc w:val="both"/>
        <w:rPr/>
      </w:pPr>
      <w:r>
        <w:rPr>
          <w:rFonts w:eastAsia="Times New Roman" w:cs="Times New Roman" w:ascii="Times New Roman" w:hAnsi="Times New Roman"/>
          <w:color w:val="111111"/>
          <w:sz w:val="28"/>
          <w:szCs w:val="28"/>
          <w:lang w:val="en-US"/>
        </w:rPr>
        <w:t>dan kali ini berlangsung antara sains versus agama. Sebagian</w:t>
      </w:r>
    </w:p>
    <w:p>
      <w:pPr>
        <w:pStyle w:val="BookText"/>
        <w:bidi w:val="0"/>
        <w:jc w:val="both"/>
        <w:rPr/>
      </w:pPr>
      <w:r>
        <w:rPr>
          <w:rFonts w:eastAsia="Times New Roman" w:cs="Times New Roman" w:ascii="Times New Roman" w:hAnsi="Times New Roman"/>
          <w:color w:val="111111"/>
          <w:sz w:val="28"/>
          <w:szCs w:val="28"/>
          <w:lang w:val="en-US"/>
        </w:rPr>
        <w:t>data yang disodorkan oleh sains dan ilmu-ilmu empiris dianggap</w:t>
      </w:r>
    </w:p>
    <w:p>
      <w:pPr>
        <w:pStyle w:val="BookText"/>
        <w:bidi w:val="0"/>
        <w:jc w:val="both"/>
        <w:rPr/>
      </w:pPr>
      <w:r>
        <w:rPr>
          <w:rFonts w:eastAsia="Times New Roman" w:cs="Times New Roman" w:ascii="Times New Roman" w:hAnsi="Times New Roman"/>
          <w:color w:val="111111"/>
          <w:sz w:val="28"/>
          <w:szCs w:val="28"/>
          <w:lang w:val="en-US"/>
        </w:rPr>
        <w:t>melawan pengetahuan wahyuni. Akibatnya, muncul perdebatan</w:t>
      </w:r>
    </w:p>
    <w:p>
      <w:pPr>
        <w:pStyle w:val="BookText"/>
        <w:bidi w:val="0"/>
        <w:jc w:val="both"/>
        <w:rPr/>
      </w:pPr>
      <w:r>
        <w:rPr>
          <w:rFonts w:eastAsia="Times New Roman" w:cs="Times New Roman" w:ascii="Times New Roman" w:hAnsi="Times New Roman"/>
          <w:color w:val="111111"/>
          <w:sz w:val="28"/>
          <w:szCs w:val="28"/>
          <w:lang w:val="en-US"/>
        </w:rPr>
        <w:t>sengit di kalangan agamawan, baik di Timur maupun di Barat.</w:t>
      </w:r>
    </w:p>
    <w:p>
      <w:pPr>
        <w:pStyle w:val="BookText"/>
        <w:bidi w:val="0"/>
        <w:jc w:val="both"/>
        <w:rPr/>
      </w:pPr>
      <w:r>
        <w:rPr>
          <w:rFonts w:eastAsia="Times New Roman" w:cs="Times New Roman" w:ascii="Times New Roman" w:hAnsi="Times New Roman"/>
          <w:color w:val="111111"/>
          <w:sz w:val="28"/>
          <w:szCs w:val="28"/>
          <w:lang w:val="en-US"/>
        </w:rPr>
        <w:t>Namun, yang paling bermasalah dengan oposisi biner sains-agama</w:t>
      </w:r>
    </w:p>
    <w:p>
      <w:pPr>
        <w:pStyle w:val="BookText"/>
        <w:bidi w:val="0"/>
        <w:jc w:val="both"/>
        <w:rPr/>
      </w:pPr>
      <w:r>
        <w:rPr>
          <w:rFonts w:eastAsia="Times New Roman" w:cs="Times New Roman" w:ascii="Times New Roman" w:hAnsi="Times New Roman"/>
          <w:color w:val="111111"/>
          <w:sz w:val="28"/>
          <w:szCs w:val="28"/>
          <w:lang w:val="en-US"/>
        </w:rPr>
        <w:t>ini justru kalangan agamawan di Barat. Sepanjang Abad Pertengahan,</w:t>
      </w:r>
    </w:p>
    <w:p>
      <w:pPr>
        <w:pStyle w:val="BookText"/>
        <w:bidi w:val="0"/>
        <w:jc w:val="both"/>
        <w:rPr/>
      </w:pPr>
      <w:r>
        <w:rPr>
          <w:rFonts w:eastAsia="Times New Roman" w:cs="Times New Roman" w:ascii="Times New Roman" w:hAnsi="Times New Roman"/>
          <w:color w:val="111111"/>
          <w:sz w:val="28"/>
          <w:szCs w:val="28"/>
          <w:lang w:val="en-US"/>
        </w:rPr>
        <w:t>pengetahuan nonwahyu sudah banyak dihasilkan. Namun,</w:t>
      </w:r>
    </w:p>
    <w:p>
      <w:pPr>
        <w:pStyle w:val="BookText"/>
        <w:bidi w:val="0"/>
        <w:jc w:val="both"/>
        <w:rPr/>
      </w:pPr>
      <w:r>
        <w:rPr>
          <w:rFonts w:eastAsia="Times New Roman" w:cs="Times New Roman" w:ascii="Times New Roman" w:hAnsi="Times New Roman"/>
          <w:color w:val="111111"/>
          <w:sz w:val="28"/>
          <w:szCs w:val="28"/>
          <w:lang w:val="en-US"/>
        </w:rPr>
        <w:t>menjamurnya pengetahuan nonwahyu ini kontan mengganggu</w:t>
      </w:r>
    </w:p>
    <w:p>
      <w:pPr>
        <w:pStyle w:val="BookText"/>
        <w:bidi w:val="0"/>
        <w:jc w:val="both"/>
        <w:rPr/>
      </w:pPr>
      <w:r>
        <w:rPr>
          <w:rFonts w:eastAsia="Times New Roman" w:cs="Times New Roman" w:ascii="Times New Roman" w:hAnsi="Times New Roman"/>
          <w:color w:val="111111"/>
          <w:sz w:val="28"/>
          <w:szCs w:val="28"/>
          <w:lang w:val="en-US"/>
        </w:rPr>
        <w:t>lingkungan gereja karena apa yang selama ini mereka anggap sebagai</w:t>
      </w:r>
    </w:p>
    <w:p>
      <w:pPr>
        <w:pStyle w:val="BookText"/>
        <w:bidi w:val="0"/>
        <w:jc w:val="both"/>
        <w:rPr/>
      </w:pPr>
      <w:r>
        <w:rPr>
          <w:rFonts w:eastAsia="Times New Roman" w:cs="Times New Roman" w:ascii="Times New Roman" w:hAnsi="Times New Roman"/>
          <w:color w:val="111111"/>
          <w:sz w:val="28"/>
          <w:szCs w:val="28"/>
          <w:lang w:val="en-US"/>
        </w:rPr>
        <w:t>bagian dari agama ternyata tidak relevan dengan data yang diajukan</w:t>
      </w:r>
    </w:p>
    <w:p>
      <w:pPr>
        <w:pStyle w:val="BookText"/>
        <w:bidi w:val="0"/>
        <w:jc w:val="both"/>
        <w:rPr/>
      </w:pPr>
      <w:r>
        <w:rPr>
          <w:rFonts w:eastAsia="Times New Roman" w:cs="Times New Roman" w:ascii="Times New Roman" w:hAnsi="Times New Roman"/>
          <w:color w:val="111111"/>
          <w:sz w:val="28"/>
          <w:szCs w:val="28"/>
          <w:lang w:val="en-US"/>
        </w:rPr>
        <w:t>sains modern. Pada masa berikutnya, yakni abad pasca-Renaisans,</w:t>
      </w:r>
    </w:p>
    <w:p>
      <w:pPr>
        <w:pStyle w:val="BookText"/>
        <w:bidi w:val="0"/>
        <w:jc w:val="both"/>
        <w:rPr/>
      </w:pPr>
      <w:r>
        <w:rPr>
          <w:rFonts w:eastAsia="Times New Roman" w:cs="Times New Roman" w:ascii="Times New Roman" w:hAnsi="Times New Roman"/>
          <w:color w:val="111111"/>
          <w:sz w:val="28"/>
          <w:szCs w:val="28"/>
          <w:lang w:val="en-US"/>
        </w:rPr>
        <w:t>Rasionalisme menggejala dan melawan gereja yang antiakal. Puncak</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kebangkitan itu ditandai dengan kelahiran sejumlah isme, seperti </w:t>
      </w:r>
    </w:p>
    <w:p>
      <w:pPr>
        <w:pStyle w:val="BookText"/>
        <w:bidi w:val="0"/>
        <w:rPr/>
      </w:pPr>
      <w:r>
        <w:rPr>
          <w:rFonts w:eastAsia="Times New Roman" w:cs="Times New Roman" w:ascii="Times New Roman" w:hAnsi="Times New Roman"/>
          <w:color w:val="111111"/>
          <w:sz w:val="28"/>
          <w:szCs w:val="28"/>
          <w:lang w:val="en-US"/>
        </w:rPr>
        <w:t>Evidensialisme. Mereka begitu jauh memuja akal, sampai-sampai</w:t>
      </w:r>
    </w:p>
    <w:p>
      <w:pPr>
        <w:pStyle w:val="BookText"/>
        <w:bidi w:val="0"/>
        <w:jc w:val="both"/>
        <w:rPr/>
      </w:pPr>
      <w:r>
        <w:rPr>
          <w:rFonts w:eastAsia="Times New Roman" w:cs="Times New Roman" w:ascii="Times New Roman" w:hAnsi="Times New Roman"/>
          <w:color w:val="111111"/>
          <w:sz w:val="28"/>
          <w:szCs w:val="28"/>
          <w:lang w:val="en-US"/>
        </w:rPr>
        <w:t>memosisikannya di tampuk ketuhanan:</w:t>
      </w:r>
    </w:p>
    <w:p>
      <w:pPr>
        <w:pStyle w:val="BookText"/>
        <w:bidi w:val="0"/>
        <w:jc w:val="both"/>
        <w:rPr/>
      </w:pPr>
      <w:r>
        <w:rPr>
          <w:rFonts w:eastAsia="Times New Roman" w:cs="Times New Roman" w:ascii="Times New Roman" w:hAnsi="Times New Roman"/>
          <w:color w:val="111111"/>
          <w:sz w:val="28"/>
          <w:szCs w:val="28"/>
          <w:lang w:val="en-US"/>
        </w:rPr>
        <w:t>Wahai alam! Wahai raja alam semesta! Dan engkau, wahai</w:t>
      </w:r>
    </w:p>
    <w:p>
      <w:pPr>
        <w:pStyle w:val="BookText"/>
        <w:bidi w:val="0"/>
        <w:jc w:val="both"/>
        <w:rPr/>
      </w:pPr>
      <w:r>
        <w:rPr>
          <w:rFonts w:eastAsia="Times New Roman" w:cs="Times New Roman" w:ascii="Times New Roman" w:hAnsi="Times New Roman"/>
          <w:color w:val="111111"/>
          <w:sz w:val="28"/>
          <w:szCs w:val="28"/>
          <w:lang w:val="en-US"/>
        </w:rPr>
        <w:t>Keutamaan dan Akal serta Hakikat sebagai tuhan termulia ...</w:t>
      </w:r>
    </w:p>
    <w:p>
      <w:pPr>
        <w:pStyle w:val="BookText"/>
        <w:bidi w:val="0"/>
        <w:jc w:val="both"/>
        <w:rPr/>
      </w:pPr>
      <w:r>
        <w:rPr>
          <w:rFonts w:eastAsia="Times New Roman" w:cs="Times New Roman" w:ascii="Times New Roman" w:hAnsi="Times New Roman"/>
          <w:color w:val="111111"/>
          <w:sz w:val="28"/>
          <w:szCs w:val="28"/>
          <w:lang w:val="en-US"/>
        </w:rPr>
        <w:t>jadilah tuhan kami selama-lamanya.</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Keberpihakan pada akal yang terlalu rigid dan berlebihan ini</w:t>
      </w:r>
    </w:p>
    <w:p>
      <w:pPr>
        <w:pStyle w:val="BookText"/>
        <w:bidi w:val="0"/>
        <w:jc w:val="both"/>
        <w:rPr/>
      </w:pPr>
      <w:r>
        <w:rPr>
          <w:rFonts w:eastAsia="Times New Roman" w:cs="Times New Roman" w:ascii="Times New Roman" w:hAnsi="Times New Roman"/>
          <w:color w:val="111111"/>
          <w:sz w:val="28"/>
          <w:szCs w:val="28"/>
          <w:lang w:val="en-US"/>
        </w:rPr>
        <w:t>bukan hanya mengusik tokoh-tokoh gereja, tetapi juga para pujangga</w:t>
      </w:r>
    </w:p>
    <w:p>
      <w:pPr>
        <w:pStyle w:val="BookText"/>
        <w:bidi w:val="0"/>
        <w:jc w:val="both"/>
        <w:rPr/>
      </w:pPr>
      <w:r>
        <w:rPr>
          <w:rFonts w:eastAsia="Times New Roman" w:cs="Times New Roman" w:ascii="Times New Roman" w:hAnsi="Times New Roman"/>
          <w:color w:val="111111"/>
          <w:sz w:val="28"/>
          <w:szCs w:val="28"/>
          <w:lang w:val="en-US"/>
        </w:rPr>
        <w:t>dan seniman Barat. Mereka menuntut jatah ruang untuk hati yang</w:t>
      </w:r>
    </w:p>
    <w:p>
      <w:pPr>
        <w:pStyle w:val="BookText"/>
        <w:bidi w:val="0"/>
        <w:jc w:val="both"/>
        <w:rPr/>
      </w:pPr>
      <w:r>
        <w:rPr>
          <w:rFonts w:eastAsia="Times New Roman" w:cs="Times New Roman" w:ascii="Times New Roman" w:hAnsi="Times New Roman"/>
          <w:color w:val="111111"/>
          <w:sz w:val="28"/>
          <w:szCs w:val="28"/>
          <w:lang w:val="en-US"/>
        </w:rPr>
        <w:t>diabaikan dan memandang akal sebagai tamu tak diundang; bahkan</w:t>
      </w:r>
    </w:p>
    <w:p>
      <w:pPr>
        <w:pStyle w:val="BookText"/>
        <w:bidi w:val="0"/>
        <w:jc w:val="both"/>
        <w:rPr/>
      </w:pPr>
      <w:r>
        <w:rPr>
          <w:rFonts w:eastAsia="Times New Roman" w:cs="Times New Roman" w:ascii="Times New Roman" w:hAnsi="Times New Roman"/>
          <w:color w:val="111111"/>
          <w:sz w:val="28"/>
          <w:szCs w:val="28"/>
          <w:lang w:val="en-US"/>
        </w:rPr>
        <w:t>mengecam akal yang disebut-sebut hanya punya keterampilan satu-</w:t>
      </w:r>
    </w:p>
    <w:p>
      <w:pPr>
        <w:pStyle w:val="BookText"/>
        <w:bidi w:val="0"/>
        <w:jc w:val="both"/>
        <w:rPr/>
      </w:pPr>
      <w:r>
        <w:rPr>
          <w:rFonts w:eastAsia="Times New Roman" w:cs="Times New Roman" w:ascii="Times New Roman" w:hAnsi="Times New Roman"/>
          <w:color w:val="111111"/>
          <w:sz w:val="28"/>
          <w:szCs w:val="28"/>
          <w:lang w:val="en-US"/>
        </w:rPr>
        <w:t>satunya, yakni mencoreng keindahan dan kebaikan:</w:t>
      </w:r>
    </w:p>
    <w:p>
      <w:pPr>
        <w:pStyle w:val="BookText"/>
        <w:bidi w:val="0"/>
        <w:jc w:val="both"/>
        <w:rPr/>
      </w:pPr>
      <w:r>
        <w:rPr>
          <w:rFonts w:eastAsia="Times New Roman" w:cs="Times New Roman" w:ascii="Times New Roman" w:hAnsi="Times New Roman"/>
          <w:color w:val="111111"/>
          <w:sz w:val="28"/>
          <w:szCs w:val="28"/>
          <w:lang w:val="en-US"/>
        </w:rPr>
        <w:t>Akal, tamu tak ditundang dan tak teratur kita ini</w:t>
      </w:r>
    </w:p>
    <w:p>
      <w:pPr>
        <w:pStyle w:val="BookText"/>
        <w:bidi w:val="0"/>
        <w:jc w:val="both"/>
        <w:rPr/>
      </w:pPr>
      <w:r>
        <w:rPr>
          <w:rFonts w:eastAsia="Times New Roman" w:cs="Times New Roman" w:ascii="Times New Roman" w:hAnsi="Times New Roman"/>
          <w:color w:val="111111"/>
          <w:sz w:val="28"/>
          <w:szCs w:val="28"/>
          <w:lang w:val="en-US"/>
        </w:rPr>
        <w:t>acapkali melihat keindahan, dia mencorengnya</w:t>
      </w:r>
    </w:p>
    <w:p>
      <w:pPr>
        <w:pStyle w:val="BookText"/>
        <w:bidi w:val="0"/>
        <w:jc w:val="both"/>
        <w:rPr/>
      </w:pPr>
      <w:r>
        <w:rPr>
          <w:rFonts w:eastAsia="Times New Roman" w:cs="Times New Roman" w:ascii="Times New Roman" w:hAnsi="Times New Roman"/>
          <w:color w:val="111111"/>
          <w:sz w:val="28"/>
          <w:szCs w:val="28"/>
          <w:lang w:val="en-US"/>
        </w:rPr>
        <w:t>Maksud hati menghias alis, malah membuatnya buta.</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Sekarang ini, kita dipusakai sejarah agung pemikiran manusia.</w:t>
      </w:r>
    </w:p>
    <w:p>
      <w:pPr>
        <w:pStyle w:val="BookText"/>
        <w:bidi w:val="0"/>
        <w:jc w:val="both"/>
        <w:rPr/>
      </w:pPr>
      <w:r>
        <w:rPr>
          <w:rFonts w:eastAsia="Times New Roman" w:cs="Times New Roman" w:ascii="Times New Roman" w:hAnsi="Times New Roman"/>
          <w:color w:val="111111"/>
          <w:sz w:val="28"/>
          <w:szCs w:val="28"/>
          <w:lang w:val="en-US"/>
        </w:rPr>
        <w:t>Dan, tak ada yang lebih mendesak kita selain berusaha sekuat</w:t>
      </w:r>
    </w:p>
    <w:p>
      <w:pPr>
        <w:pStyle w:val="BookText"/>
        <w:bidi w:val="0"/>
        <w:jc w:val="both"/>
        <w:rPr/>
      </w:pPr>
      <w:r>
        <w:rPr>
          <w:rFonts w:eastAsia="Times New Roman" w:cs="Times New Roman" w:ascii="Times New Roman" w:hAnsi="Times New Roman"/>
          <w:color w:val="111111"/>
          <w:sz w:val="28"/>
          <w:szCs w:val="28"/>
          <w:lang w:val="en-US"/>
        </w:rPr>
        <w:t>tenaga untuk terjun ke medan ini seraya mencari terang di sudut-</w:t>
      </w:r>
    </w:p>
    <w:p>
      <w:pPr>
        <w:pStyle w:val="BookText"/>
        <w:bidi w:val="0"/>
        <w:jc w:val="both"/>
        <w:rPr/>
      </w:pPr>
      <w:r>
        <w:rPr>
          <w:rFonts w:eastAsia="Times New Roman" w:cs="Times New Roman" w:ascii="Times New Roman" w:hAnsi="Times New Roman"/>
          <w:color w:val="111111"/>
          <w:sz w:val="28"/>
          <w:szCs w:val="28"/>
          <w:lang w:val="en-US"/>
        </w:rPr>
        <w:t>sudut pembahasan yang masih gelap. Sebelum segala sesuatunya,</w:t>
      </w:r>
    </w:p>
    <w:p>
      <w:pPr>
        <w:pStyle w:val="BookText"/>
        <w:bidi w:val="0"/>
        <w:jc w:val="both"/>
        <w:rPr/>
      </w:pPr>
      <w:r>
        <w:rPr>
          <w:rFonts w:eastAsia="Times New Roman" w:cs="Times New Roman" w:ascii="Times New Roman" w:hAnsi="Times New Roman"/>
          <w:color w:val="111111"/>
          <w:sz w:val="28"/>
          <w:szCs w:val="28"/>
          <w:lang w:val="en-US"/>
        </w:rPr>
        <w:t>kami memohon bantuan dari Pencipta akal dan wahyu. Dengan</w:t>
      </w:r>
    </w:p>
    <w:p>
      <w:pPr>
        <w:pStyle w:val="BookText"/>
        <w:bidi w:val="0"/>
        <w:jc w:val="both"/>
        <w:rPr/>
      </w:pPr>
      <w:r>
        <w:rPr>
          <w:rFonts w:eastAsia="Times New Roman" w:cs="Times New Roman" w:ascii="Times New Roman" w:hAnsi="Times New Roman"/>
          <w:color w:val="111111"/>
          <w:sz w:val="28"/>
          <w:szCs w:val="28"/>
          <w:lang w:val="en-US"/>
        </w:rPr>
        <w:t>mengakui segenap kelemahan dan kerendahan diri, kami menyeru-</w:t>
      </w:r>
    </w:p>
    <w:p>
      <w:pPr>
        <w:pStyle w:val="BookText"/>
        <w:bidi w:val="0"/>
        <w:jc w:val="both"/>
        <w:rPr/>
      </w:pPr>
      <w:r>
        <w:rPr>
          <w:rFonts w:eastAsia="Times New Roman" w:cs="Times New Roman" w:ascii="Times New Roman" w:hAnsi="Times New Roman"/>
          <w:color w:val="111111"/>
          <w:sz w:val="28"/>
          <w:szCs w:val="28"/>
          <w:lang w:val="en-US"/>
        </w:rPr>
        <w:t>Nya, “Anugerahilah kami kemudahan, tunjukkanlah kami jalan</w:t>
      </w:r>
    </w:p>
    <w:p>
      <w:pPr>
        <w:pStyle w:val="BookText"/>
        <w:bidi w:val="0"/>
        <w:jc w:val="both"/>
        <w:rPr/>
      </w:pPr>
      <w:r>
        <w:rPr>
          <w:rFonts w:eastAsia="Times New Roman" w:cs="Times New Roman" w:ascii="Times New Roman" w:hAnsi="Times New Roman"/>
          <w:color w:val="111111"/>
          <w:sz w:val="28"/>
          <w:szCs w:val="28"/>
          <w:lang w:val="en-US"/>
        </w:rPr>
        <w:t>dan keberhasilan. Hindarkan kami dari kesalahan yang tampak dan</w:t>
      </w:r>
    </w:p>
    <w:p>
      <w:pPr>
        <w:pStyle w:val="BookText"/>
        <w:bidi w:val="0"/>
        <w:jc w:val="both"/>
        <w:rPr/>
      </w:pPr>
      <w:r>
        <w:rPr>
          <w:rFonts w:eastAsia="Times New Roman" w:cs="Times New Roman" w:ascii="Times New Roman" w:hAnsi="Times New Roman"/>
          <w:color w:val="111111"/>
          <w:sz w:val="28"/>
          <w:szCs w:val="28"/>
          <w:lang w:val="en-US"/>
        </w:rPr>
        <w:t>tersembunyi agar terhindar dari sikap ‘berkurangan’ atau ‘berlebihan’</w:t>
      </w:r>
    </w:p>
    <w:p>
      <w:pPr>
        <w:pStyle w:val="BookText"/>
        <w:bidi w:val="0"/>
        <w:jc w:val="both"/>
        <w:rPr/>
      </w:pPr>
      <w:r>
        <w:rPr>
          <w:rFonts w:eastAsia="Times New Roman" w:cs="Times New Roman" w:ascii="Times New Roman" w:hAnsi="Times New Roman"/>
          <w:color w:val="111111"/>
          <w:sz w:val="28"/>
          <w:szCs w:val="28"/>
          <w:lang w:val="en-US"/>
        </w:rPr>
        <w:t>dalam mengenali posisi riil akal dan wahyu, serta meletakkannya</w:t>
      </w:r>
    </w:p>
    <w:p>
      <w:pPr>
        <w:pStyle w:val="BookText"/>
        <w:bidi w:val="0"/>
        <w:jc w:val="both"/>
        <w:rPr/>
      </w:pPr>
      <w:r>
        <w:rPr>
          <w:rFonts w:eastAsia="Times New Roman" w:cs="Times New Roman" w:ascii="Times New Roman" w:hAnsi="Times New Roman"/>
          <w:color w:val="111111"/>
          <w:sz w:val="28"/>
          <w:szCs w:val="28"/>
          <w:lang w:val="en-US"/>
        </w:rPr>
        <w:t>secara adil.”</w:t>
      </w:r>
    </w:p>
    <w:p>
      <w:pPr>
        <w:pStyle w:val="BookText"/>
        <w:bidi w:val="0"/>
        <w:jc w:val="both"/>
        <w:rPr/>
      </w:pPr>
      <w:r>
        <w:rPr>
          <w:rFonts w:eastAsia="Times New Roman" w:cs="Times New Roman" w:ascii="Times New Roman" w:hAnsi="Times New Roman"/>
          <w:color w:val="111111"/>
          <w:sz w:val="28"/>
          <w:szCs w:val="28"/>
          <w:lang w:val="en-US"/>
        </w:rPr>
        <w:t>Di sini, kami merasa wajib untuk menghaturkan terima kasih yang</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sebesar-besarnya atas seluruh jerih payah para staf dosen fakultas </w:t>
      </w:r>
    </w:p>
    <w:p>
      <w:pPr>
        <w:pStyle w:val="BookText"/>
        <w:bidi w:val="0"/>
        <w:rPr/>
      </w:pPr>
      <w:r>
        <w:rPr>
          <w:rFonts w:eastAsia="Times New Roman" w:cs="Times New Roman" w:ascii="Times New Roman" w:hAnsi="Times New Roman"/>
          <w:color w:val="111111"/>
          <w:sz w:val="28"/>
          <w:szCs w:val="28"/>
          <w:lang w:val="en-US"/>
        </w:rPr>
        <w:t>filsafat dan teologi di LKPI, dan secara khusus, pemikir yang sangat</w:t>
      </w:r>
    </w:p>
    <w:p>
      <w:pPr>
        <w:pStyle w:val="BookText"/>
        <w:bidi w:val="0"/>
        <w:jc w:val="both"/>
        <w:rPr/>
      </w:pPr>
      <w:r>
        <w:rPr>
          <w:rFonts w:eastAsia="Times New Roman" w:cs="Times New Roman" w:ascii="Times New Roman" w:hAnsi="Times New Roman"/>
          <w:color w:val="111111"/>
          <w:sz w:val="28"/>
          <w:szCs w:val="28"/>
          <w:lang w:val="en-US"/>
        </w:rPr>
        <w:t>berharga, Hujjatul Islam Fayyadhi, yang senantiasa memeriksa karya</w:t>
      </w:r>
    </w:p>
    <w:p>
      <w:pPr>
        <w:pStyle w:val="BookText"/>
        <w:bidi w:val="0"/>
        <w:jc w:val="both"/>
        <w:rPr/>
      </w:pPr>
      <w:r>
        <w:rPr>
          <w:rFonts w:eastAsia="Times New Roman" w:cs="Times New Roman" w:ascii="Times New Roman" w:hAnsi="Times New Roman"/>
          <w:color w:val="111111"/>
          <w:sz w:val="28"/>
          <w:szCs w:val="28"/>
          <w:lang w:val="en-US"/>
        </w:rPr>
        <w:t>tulis ini sejak awal hingga akhir, serta memberi kontribusi yang tak</w:t>
      </w:r>
    </w:p>
    <w:p>
      <w:pPr>
        <w:pStyle w:val="BookText"/>
        <w:bidi w:val="0"/>
        <w:jc w:val="both"/>
        <w:rPr/>
      </w:pPr>
      <w:r>
        <w:rPr>
          <w:rFonts w:eastAsia="Times New Roman" w:cs="Times New Roman" w:ascii="Times New Roman" w:hAnsi="Times New Roman"/>
          <w:color w:val="111111"/>
          <w:sz w:val="28"/>
          <w:szCs w:val="28"/>
          <w:lang w:val="en-US"/>
        </w:rPr>
        <w:t>ternilai kepada kami berupa serangkaian bimbingan. Semoga Allah</w:t>
      </w:r>
    </w:p>
    <w:p>
      <w:pPr>
        <w:pStyle w:val="BookText"/>
        <w:bidi w:val="0"/>
        <w:jc w:val="both"/>
        <w:rPr/>
      </w:pPr>
      <w:r>
        <w:rPr>
          <w:rFonts w:eastAsia="Times New Roman" w:cs="Times New Roman" w:ascii="Times New Roman" w:hAnsi="Times New Roman"/>
          <w:color w:val="111111"/>
          <w:sz w:val="28"/>
          <w:szCs w:val="28"/>
          <w:lang w:val="en-US"/>
        </w:rPr>
        <w:t>Swt selalu menganugerahkan kesuksesan kepada beliau pada hari ini;</w:t>
      </w:r>
    </w:p>
    <w:p>
      <w:pPr>
        <w:pStyle w:val="BookText"/>
        <w:bidi w:val="0"/>
        <w:jc w:val="both"/>
        <w:rPr/>
      </w:pPr>
      <w:r>
        <w:rPr>
          <w:rFonts w:eastAsia="Times New Roman" w:cs="Times New Roman" w:ascii="Times New Roman" w:hAnsi="Times New Roman"/>
          <w:color w:val="111111"/>
          <w:sz w:val="28"/>
          <w:szCs w:val="28"/>
          <w:lang w:val="en-US"/>
        </w:rPr>
        <w:t>lebih dari hari kemarin. Demi menuntaskan kesalahan-kesalahan</w:t>
      </w:r>
    </w:p>
    <w:p>
      <w:pPr>
        <w:pStyle w:val="BookText"/>
        <w:bidi w:val="0"/>
        <w:jc w:val="both"/>
        <w:rPr/>
      </w:pPr>
      <w:r>
        <w:rPr>
          <w:rFonts w:eastAsia="Times New Roman" w:cs="Times New Roman" w:ascii="Times New Roman" w:hAnsi="Times New Roman"/>
          <w:color w:val="111111"/>
          <w:sz w:val="28"/>
          <w:szCs w:val="28"/>
          <w:lang w:val="en-US"/>
        </w:rPr>
        <w:t>yang barangkali masih tersisa dalam buku ini, kami kembali mohon</w:t>
      </w:r>
    </w:p>
    <w:p>
      <w:pPr>
        <w:pStyle w:val="BookText"/>
        <w:bidi w:val="0"/>
        <w:jc w:val="both"/>
        <w:rPr/>
      </w:pPr>
      <w:r>
        <w:rPr>
          <w:rFonts w:eastAsia="Times New Roman" w:cs="Times New Roman" w:ascii="Times New Roman" w:hAnsi="Times New Roman"/>
          <w:color w:val="111111"/>
          <w:sz w:val="28"/>
          <w:szCs w:val="28"/>
          <w:lang w:val="en-US"/>
        </w:rPr>
        <w:t>bantuan Allah Swt. Kami juga menyambut hangat bimbingan dan</w:t>
      </w:r>
    </w:p>
    <w:p>
      <w:pPr>
        <w:pStyle w:val="BookText"/>
        <w:bidi w:val="0"/>
        <w:jc w:val="both"/>
        <w:rPr/>
      </w:pPr>
      <w:r>
        <w:rPr>
          <w:rFonts w:eastAsia="Times New Roman" w:cs="Times New Roman" w:ascii="Times New Roman" w:hAnsi="Times New Roman"/>
          <w:color w:val="111111"/>
          <w:sz w:val="28"/>
          <w:szCs w:val="28"/>
          <w:lang w:val="en-US"/>
        </w:rPr>
        <w:t>kritik membangun dari pembaca budiman.</w:t>
      </w:r>
    </w:p>
    <w:p>
      <w:pPr>
        <w:pStyle w:val="BookText"/>
        <w:bidi w:val="0"/>
        <w:jc w:val="both"/>
        <w:rPr/>
      </w:pPr>
      <w:r>
        <w:rPr>
          <w:rFonts w:eastAsia="Times New Roman" w:cs="Times New Roman" w:ascii="Times New Roman" w:hAnsi="Times New Roman"/>
          <w:color w:val="111111"/>
          <w:sz w:val="28"/>
          <w:szCs w:val="28"/>
          <w:lang w:val="en-US"/>
        </w:rPr>
        <w:t>Perlu diketahui, hampir seluruh bab dalam karya tulis ini disusun</w:t>
      </w:r>
    </w:p>
    <w:p>
      <w:pPr>
        <w:pStyle w:val="BookText"/>
        <w:bidi w:val="0"/>
        <w:jc w:val="both"/>
        <w:rPr/>
      </w:pPr>
      <w:r>
        <w:rPr>
          <w:rFonts w:eastAsia="Times New Roman" w:cs="Times New Roman" w:ascii="Times New Roman" w:hAnsi="Times New Roman"/>
          <w:color w:val="111111"/>
          <w:sz w:val="28"/>
          <w:szCs w:val="28"/>
          <w:lang w:val="en-US"/>
        </w:rPr>
        <w:t>secara bersama, kecuali Bas VI (tulisan eksklusif Bapak Sharifi) dan</w:t>
      </w:r>
    </w:p>
    <w:p>
      <w:pPr>
        <w:pStyle w:val="BookText"/>
        <w:bidi w:val="0"/>
        <w:jc w:val="both"/>
        <w:rPr/>
      </w:pPr>
      <w:r>
        <w:rPr>
          <w:rFonts w:eastAsia="Times New Roman" w:cs="Times New Roman" w:ascii="Times New Roman" w:hAnsi="Times New Roman"/>
          <w:color w:val="111111"/>
          <w:sz w:val="28"/>
          <w:szCs w:val="28"/>
          <w:lang w:val="en-US"/>
        </w:rPr>
        <w:t>Bas VII (tulisan eksklusif Bapak Yusufian), kendati tentunya dengan</w:t>
      </w:r>
    </w:p>
    <w:p>
      <w:pPr>
        <w:pStyle w:val="BookText"/>
        <w:bidi w:val="0"/>
        <w:jc w:val="both"/>
        <w:rPr/>
      </w:pPr>
      <w:r>
        <w:rPr>
          <w:rFonts w:eastAsia="Times New Roman" w:cs="Times New Roman" w:ascii="Times New Roman" w:hAnsi="Times New Roman"/>
          <w:color w:val="111111"/>
          <w:sz w:val="28"/>
          <w:szCs w:val="28"/>
          <w:lang w:val="en-US"/>
        </w:rPr>
        <w:t>beberapa input dari tim penyusun. Poin berikutnya, proposal awal</w:t>
      </w:r>
    </w:p>
    <w:p>
      <w:pPr>
        <w:pStyle w:val="BookText"/>
        <w:bidi w:val="0"/>
        <w:jc w:val="both"/>
        <w:rPr/>
      </w:pPr>
      <w:r>
        <w:rPr>
          <w:rFonts w:eastAsia="Times New Roman" w:cs="Times New Roman" w:ascii="Times New Roman" w:hAnsi="Times New Roman"/>
          <w:color w:val="111111"/>
          <w:sz w:val="28"/>
          <w:szCs w:val="28"/>
          <w:lang w:val="en-US"/>
        </w:rPr>
        <w:t>karya penelitian ini sebenarnya jauh lebih luas dari yang berhasil</w:t>
      </w:r>
    </w:p>
    <w:p>
      <w:pPr>
        <w:pStyle w:val="BookText"/>
        <w:bidi w:val="0"/>
        <w:jc w:val="both"/>
        <w:rPr/>
      </w:pPr>
      <w:r>
        <w:rPr>
          <w:rFonts w:eastAsia="Times New Roman" w:cs="Times New Roman" w:ascii="Times New Roman" w:hAnsi="Times New Roman"/>
          <w:color w:val="111111"/>
          <w:sz w:val="28"/>
          <w:szCs w:val="28"/>
          <w:lang w:val="en-US"/>
        </w:rPr>
        <w:t>kami susun pada kesempatan kali ini. Namun begitu, kami telah</w:t>
      </w:r>
    </w:p>
    <w:p>
      <w:pPr>
        <w:pStyle w:val="BookText"/>
        <w:bidi w:val="0"/>
        <w:jc w:val="both"/>
        <w:rPr/>
      </w:pPr>
      <w:r>
        <w:rPr>
          <w:rFonts w:eastAsia="Times New Roman" w:cs="Times New Roman" w:ascii="Times New Roman" w:hAnsi="Times New Roman"/>
          <w:color w:val="111111"/>
          <w:sz w:val="28"/>
          <w:szCs w:val="28"/>
          <w:lang w:val="en-US"/>
        </w:rPr>
        <w:t>merujuk dan mengutip sekitar lima ratusan buku rujukan berbahasa</w:t>
      </w:r>
    </w:p>
    <w:p>
      <w:pPr>
        <w:pStyle w:val="BookText"/>
        <w:bidi w:val="0"/>
        <w:jc w:val="both"/>
        <w:rPr/>
      </w:pPr>
      <w:r>
        <w:rPr>
          <w:rFonts w:eastAsia="Times New Roman" w:cs="Times New Roman" w:ascii="Times New Roman" w:hAnsi="Times New Roman"/>
          <w:color w:val="111111"/>
          <w:sz w:val="28"/>
          <w:szCs w:val="28"/>
          <w:lang w:val="en-US"/>
        </w:rPr>
        <w:t>Persia, Arab, dan Inggris. Kami benar-benar bersyukur kepada Allah</w:t>
      </w:r>
    </w:p>
    <w:p>
      <w:pPr>
        <w:pStyle w:val="BookText"/>
        <w:bidi w:val="0"/>
        <w:jc w:val="both"/>
        <w:rPr/>
      </w:pPr>
      <w:r>
        <w:rPr>
          <w:rFonts w:eastAsia="Times New Roman" w:cs="Times New Roman" w:ascii="Times New Roman" w:hAnsi="Times New Roman"/>
          <w:color w:val="111111"/>
          <w:sz w:val="28"/>
          <w:szCs w:val="28"/>
          <w:lang w:val="en-US"/>
        </w:rPr>
        <w:t>Swt karena kendati begitu banyak problema yang harus dihadapi,</w:t>
      </w:r>
    </w:p>
    <w:p>
      <w:pPr>
        <w:pStyle w:val="BookText"/>
        <w:bidi w:val="0"/>
        <w:jc w:val="both"/>
        <w:rPr/>
      </w:pPr>
      <w:r>
        <w:rPr>
          <w:rFonts w:eastAsia="Times New Roman" w:cs="Times New Roman" w:ascii="Times New Roman" w:hAnsi="Times New Roman"/>
          <w:color w:val="111111"/>
          <w:sz w:val="28"/>
          <w:szCs w:val="28"/>
          <w:lang w:val="en-US"/>
        </w:rPr>
        <w:t>kami akhirnya dapat mempersembahkan karya ini kepada para</w:t>
      </w:r>
    </w:p>
    <w:p>
      <w:pPr>
        <w:pStyle w:val="BookText"/>
        <w:bidi w:val="0"/>
        <w:jc w:val="both"/>
        <w:rPr/>
      </w:pPr>
      <w:r>
        <w:rPr>
          <w:rFonts w:eastAsia="Times New Roman" w:cs="Times New Roman" w:ascii="Times New Roman" w:hAnsi="Times New Roman"/>
          <w:color w:val="111111"/>
          <w:sz w:val="28"/>
          <w:szCs w:val="28"/>
          <w:lang w:val="en-US"/>
        </w:rPr>
        <w:t>cendekia yang religius.</w:t>
      </w:r>
    </w:p>
    <w:p>
      <w:pPr>
        <w:pStyle w:val="BookText"/>
        <w:bidi w:val="0"/>
        <w:jc w:val="both"/>
        <w:rPr/>
      </w:pPr>
      <w:r>
        <w:rPr>
          <w:rFonts w:eastAsia="Times New Roman" w:cs="Times New Roman" w:ascii="Times New Roman" w:hAnsi="Times New Roman"/>
          <w:color w:val="111111"/>
          <w:sz w:val="28"/>
          <w:szCs w:val="28"/>
          <w:lang w:val="en-US"/>
        </w:rPr>
        <w:t>Alhamduli-Allah alladzi hadana lihadza</w:t>
      </w:r>
    </w:p>
    <w:p>
      <w:pPr>
        <w:pStyle w:val="BookText"/>
        <w:bidi w:val="0"/>
        <w:jc w:val="both"/>
        <w:rPr/>
      </w:pPr>
      <w:r>
        <w:rPr>
          <w:rFonts w:eastAsia="Times New Roman" w:cs="Times New Roman" w:ascii="Times New Roman" w:hAnsi="Times New Roman"/>
          <w:color w:val="111111"/>
          <w:sz w:val="28"/>
          <w:szCs w:val="28"/>
          <w:lang w:val="en-US"/>
        </w:rPr>
        <w:t>wa ma kunna linahtadiya lawla an hadana-Allah</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HASAN YUSUFIYAN &amp; AHMAD HUSAIN SHARIFI </w:t>
      </w:r>
      <w:bookmarkStart w:id="16" w:name="pg5378_50399"/>
    </w:p>
    <w:p>
      <w:pPr>
        <w:pStyle w:val="Heading2"/>
        <w:numPr>
          <w:ilvl w:val="1"/>
          <w:numId w:val="1"/>
        </w:numPr>
        <w:bidi w:val="0"/>
        <w:jc w:val="left"/>
        <w:rPr/>
      </w:pPr>
      <w:bookmarkStart w:id="17" w:name="__RefHeading___Toc1351054_581953129"/>
      <w:bookmarkStart w:id="18" w:name="_Toc6"/>
      <w:bookmarkEnd w:id="16"/>
      <w:bookmarkEnd w:id="17"/>
      <w:r>
        <w:rPr/>
        <w:t>BAB 1 DEFINISI AKAL DAN WAHYU</w:t>
      </w:r>
      <w:bookmarkEnd w:id="1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9" w:name="__RefHeading___Toc1351056_581953129"/>
      <w:bookmarkStart w:id="20" w:name="_Toc7"/>
      <w:bookmarkEnd w:id="19"/>
      <w:r>
        <w:rPr/>
        <w:t>Point</w:t>
      </w:r>
      <w:bookmarkStart w:id="21" w:name="pg5378_50401"/>
      <w:bookmarkEnd w:id="20"/>
    </w:p>
    <w:p>
      <w:pPr>
        <w:pStyle w:val="BookText"/>
        <w:bidi w:val="0"/>
        <w:rPr/>
      </w:pPr>
      <w:bookmarkEnd w:id="21"/>
      <w:r>
        <w:rPr>
          <w:rFonts w:eastAsia="Times New Roman" w:cs="Times New Roman" w:ascii="Times New Roman" w:hAnsi="Times New Roman"/>
          <w:color w:val="111111"/>
          <w:sz w:val="28"/>
          <w:szCs w:val="28"/>
          <w:lang w:val="en-US"/>
        </w:rPr>
        <w:t>Terminologi akal, baik dalam konteks filsafat maupun bidang ilmu</w:t>
      </w:r>
    </w:p>
    <w:p>
      <w:pPr>
        <w:pStyle w:val="BookText"/>
        <w:bidi w:val="0"/>
        <w:jc w:val="both"/>
        <w:rPr/>
      </w:pPr>
      <w:r>
        <w:rPr>
          <w:rFonts w:eastAsia="Times New Roman" w:cs="Times New Roman" w:ascii="Times New Roman" w:hAnsi="Times New Roman"/>
          <w:color w:val="111111"/>
          <w:sz w:val="28"/>
          <w:szCs w:val="28"/>
          <w:lang w:val="en-US"/>
        </w:rPr>
        <w:t>lain memiliki fungsi dan makna yang beragam. Paling populer</w:t>
      </w:r>
    </w:p>
    <w:p>
      <w:pPr>
        <w:pStyle w:val="BookText"/>
        <w:bidi w:val="0"/>
        <w:jc w:val="both"/>
        <w:rPr/>
      </w:pPr>
      <w:r>
        <w:rPr>
          <w:rFonts w:eastAsia="Times New Roman" w:cs="Times New Roman" w:ascii="Times New Roman" w:hAnsi="Times New Roman"/>
          <w:color w:val="111111"/>
          <w:sz w:val="28"/>
          <w:szCs w:val="28"/>
          <w:lang w:val="en-US"/>
        </w:rPr>
        <w:t>di antaranya adalah “kemampuan khas manusia dalam membedakan</w:t>
      </w:r>
    </w:p>
    <w:p>
      <w:pPr>
        <w:pStyle w:val="BookText"/>
        <w:bidi w:val="0"/>
        <w:jc w:val="both"/>
        <w:rPr/>
      </w:pPr>
      <w:r>
        <w:rPr>
          <w:rFonts w:eastAsia="Times New Roman" w:cs="Times New Roman" w:ascii="Times New Roman" w:hAnsi="Times New Roman"/>
          <w:color w:val="111111"/>
          <w:sz w:val="28"/>
          <w:szCs w:val="28"/>
          <w:lang w:val="en-US"/>
        </w:rPr>
        <w:t>baik dan buruk; mana jalan dan mana jurang”. Shadrul Muta’allihin</w:t>
      </w:r>
    </w:p>
    <w:p>
      <w:pPr>
        <w:pStyle w:val="BookText"/>
        <w:bidi w:val="0"/>
        <w:jc w:val="both"/>
        <w:rPr/>
      </w:pPr>
      <w:r>
        <w:rPr>
          <w:rFonts w:eastAsia="Times New Roman" w:cs="Times New Roman" w:ascii="Times New Roman" w:hAnsi="Times New Roman"/>
          <w:color w:val="111111"/>
          <w:sz w:val="28"/>
          <w:szCs w:val="28"/>
          <w:lang w:val="en-US"/>
        </w:rPr>
        <w:t>Syirazi (Mulla Shadra: 979-1050 H)</w:t>
      </w:r>
      <w:r>
        <w:rPr>
          <w:rStyle w:val="FootnoteAnchor"/>
        </w:rPr>
        <w:footnoteReference w:id="10"/>
      </w:r>
      <w:r>
        <w:rPr>
          <w:rFonts w:eastAsia="Times New Roman" w:cs="Times New Roman" w:ascii="Times New Roman" w:hAnsi="Times New Roman"/>
          <w:color w:val="111111"/>
          <w:sz w:val="28"/>
          <w:szCs w:val="28"/>
          <w:lang w:val="en-US"/>
        </w:rPr>
        <w:t>mengemukakan enam makna</w:t>
      </w:r>
    </w:p>
    <w:p>
      <w:pPr>
        <w:pStyle w:val="BookText"/>
        <w:bidi w:val="0"/>
        <w:jc w:val="both"/>
        <w:rPr/>
      </w:pPr>
      <w:r>
        <w:rPr>
          <w:rFonts w:eastAsia="Times New Roman" w:cs="Times New Roman" w:ascii="Times New Roman" w:hAnsi="Times New Roman"/>
          <w:color w:val="111111"/>
          <w:sz w:val="28"/>
          <w:szCs w:val="28"/>
          <w:lang w:val="en-US"/>
        </w:rPr>
        <w:t>akal yang, menurutnya, bersifat ekuivokal (isytirak lafdzi)</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Bila seluruh makna itu ditambahkan dengan makna yang</w:t>
      </w:r>
    </w:p>
    <w:p>
      <w:pPr>
        <w:pStyle w:val="BookText"/>
        <w:bidi w:val="0"/>
        <w:jc w:val="both"/>
        <w:rPr/>
      </w:pPr>
      <w:r>
        <w:rPr>
          <w:rFonts w:eastAsia="Times New Roman" w:cs="Times New Roman" w:ascii="Times New Roman" w:hAnsi="Times New Roman"/>
          <w:color w:val="111111"/>
          <w:sz w:val="28"/>
          <w:szCs w:val="28"/>
          <w:lang w:val="en-US"/>
        </w:rPr>
        <w:t>tercantum dalam kamus pemikiran Barat, jumlahnya tentu akan</w:t>
      </w:r>
    </w:p>
    <w:p>
      <w:pPr>
        <w:pStyle w:val="BookText"/>
        <w:bidi w:val="0"/>
        <w:jc w:val="both"/>
        <w:rPr/>
      </w:pPr>
      <w:r>
        <w:rPr>
          <w:rFonts w:eastAsia="Times New Roman" w:cs="Times New Roman" w:ascii="Times New Roman" w:hAnsi="Times New Roman"/>
          <w:color w:val="111111"/>
          <w:sz w:val="28"/>
          <w:szCs w:val="28"/>
          <w:lang w:val="en-US"/>
        </w:rPr>
        <w:t>berlipat ganda.</w:t>
      </w:r>
      <w:r>
        <w:rPr>
          <w:rStyle w:val="FootnoteAnchor"/>
        </w:rPr>
        <w:footnoteReference w:id="12"/>
      </w:r>
      <w:r>
        <w:rPr>
          <w:rFonts w:eastAsia="Times New Roman" w:cs="Times New Roman" w:ascii="Times New Roman" w:hAnsi="Times New Roman"/>
          <w:color w:val="111111"/>
          <w:sz w:val="28"/>
          <w:szCs w:val="28"/>
          <w:lang w:val="en-US"/>
        </w:rPr>
        <w:t>Sebagai contoh, di masa sekarang, khususnya</w:t>
      </w:r>
    </w:p>
    <w:p>
      <w:pPr>
        <w:pStyle w:val="BookText"/>
        <w:bidi w:val="0"/>
        <w:jc w:val="both"/>
        <w:rPr/>
      </w:pPr>
      <w:r>
        <w:rPr>
          <w:rFonts w:eastAsia="Times New Roman" w:cs="Times New Roman" w:ascii="Times New Roman" w:hAnsi="Times New Roman"/>
          <w:color w:val="111111"/>
          <w:sz w:val="28"/>
          <w:szCs w:val="28"/>
          <w:lang w:val="en-US"/>
        </w:rPr>
        <w:t>dalam bidang sosiologi, ada istilah populer “rasionalitas teknis”,</w:t>
      </w:r>
    </w:p>
    <w:p>
      <w:pPr>
        <w:pStyle w:val="BookText"/>
        <w:bidi w:val="0"/>
        <w:jc w:val="both"/>
        <w:rPr/>
      </w:pPr>
      <w:r>
        <w:rPr>
          <w:rFonts w:eastAsia="Times New Roman" w:cs="Times New Roman" w:ascii="Times New Roman" w:hAnsi="Times New Roman"/>
          <w:color w:val="111111"/>
          <w:sz w:val="28"/>
          <w:szCs w:val="28"/>
          <w:lang w:val="en-US"/>
        </w:rPr>
        <w:t>atau keharusan memilih sarana terbaik untuk meraih tujuan.</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Jelas, penggunaan istilah ini bernuansa pragmatis. Adapun dalam</w:t>
      </w:r>
    </w:p>
    <w:p>
      <w:pPr>
        <w:pStyle w:val="BookText"/>
        <w:bidi w:val="0"/>
        <w:jc w:val="both"/>
        <w:rPr/>
      </w:pPr>
      <w:r>
        <w:rPr>
          <w:rFonts w:eastAsia="Times New Roman" w:cs="Times New Roman" w:ascii="Times New Roman" w:hAnsi="Times New Roman"/>
          <w:color w:val="111111"/>
          <w:sz w:val="28"/>
          <w:szCs w:val="28"/>
          <w:lang w:val="en-US"/>
        </w:rPr>
        <w:t>pembahasan ini, persoalan akal dan wahyu lebih difokuskan pada</w:t>
      </w:r>
    </w:p>
    <w:p>
      <w:pPr>
        <w:pStyle w:val="BookText"/>
        <w:bidi w:val="0"/>
        <w:jc w:val="both"/>
        <w:rPr/>
      </w:pPr>
      <w:r>
        <w:rPr>
          <w:rFonts w:eastAsia="Times New Roman" w:cs="Times New Roman" w:ascii="Times New Roman" w:hAnsi="Times New Roman"/>
          <w:color w:val="111111"/>
          <w:sz w:val="28"/>
          <w:szCs w:val="28"/>
          <w:lang w:val="en-US"/>
        </w:rPr>
        <w:t>tingkat kemampuan dan kelemahan epistemologis akal dalam ranah</w:t>
      </w:r>
    </w:p>
    <w:p>
      <w:pPr>
        <w:pStyle w:val="BookText"/>
        <w:bidi w:val="0"/>
        <w:jc w:val="both"/>
        <w:rPr/>
      </w:pPr>
      <w:r>
        <w:rPr>
          <w:rFonts w:eastAsia="Times New Roman" w:cs="Times New Roman" w:ascii="Times New Roman" w:hAnsi="Times New Roman"/>
          <w:color w:val="111111"/>
          <w:sz w:val="28"/>
          <w:szCs w:val="28"/>
          <w:lang w:val="en-US"/>
        </w:rPr>
        <w:t>agama.</w:t>
      </w:r>
    </w:p>
    <w:p>
      <w:pPr>
        <w:pStyle w:val="BookText"/>
        <w:bidi w:val="0"/>
        <w:jc w:val="both"/>
        <w:rPr/>
      </w:pPr>
      <w:r>
        <w:rPr>
          <w:rFonts w:eastAsia="Times New Roman" w:cs="Times New Roman" w:ascii="Times New Roman" w:hAnsi="Times New Roman"/>
          <w:color w:val="111111"/>
          <w:sz w:val="28"/>
          <w:szCs w:val="28"/>
          <w:lang w:val="en-US"/>
        </w:rPr>
        <w:t>Baik akal maupun wahyu merupakan sumber pengetahuan.</w:t>
      </w:r>
    </w:p>
    <w:p>
      <w:pPr>
        <w:pStyle w:val="BookText"/>
        <w:bidi w:val="0"/>
        <w:jc w:val="both"/>
        <w:rPr/>
      </w:pPr>
      <w:r>
        <w:rPr>
          <w:rFonts w:eastAsia="Times New Roman" w:cs="Times New Roman" w:ascii="Times New Roman" w:hAnsi="Times New Roman"/>
          <w:color w:val="111111"/>
          <w:sz w:val="28"/>
          <w:szCs w:val="28"/>
          <w:lang w:val="en-US"/>
        </w:rPr>
        <w:t>Bedanya, akal bersifat umum, sementara wahyu bersifat khusus;</w:t>
      </w:r>
    </w:p>
    <w:p>
      <w:pPr>
        <w:pStyle w:val="BookText"/>
        <w:bidi w:val="0"/>
        <w:jc w:val="both"/>
        <w:rPr/>
      </w:pPr>
      <w:r>
        <w:rPr>
          <w:rFonts w:eastAsia="Times New Roman" w:cs="Times New Roman" w:ascii="Times New Roman" w:hAnsi="Times New Roman"/>
          <w:color w:val="111111"/>
          <w:sz w:val="28"/>
          <w:szCs w:val="28"/>
          <w:lang w:val="en-US"/>
        </w:rPr>
        <w:t>untuk kalangan tertentu. Oleh karena itu, sebelum melangkah lebih</w:t>
      </w:r>
    </w:p>
    <w:p>
      <w:pPr>
        <w:pStyle w:val="BookText"/>
        <w:bidi w:val="0"/>
        <w:jc w:val="both"/>
        <w:rPr/>
      </w:pPr>
      <w:r>
        <w:rPr>
          <w:rFonts w:eastAsia="Times New Roman" w:cs="Times New Roman" w:ascii="Times New Roman" w:hAnsi="Times New Roman"/>
          <w:color w:val="111111"/>
          <w:sz w:val="28"/>
          <w:szCs w:val="28"/>
          <w:lang w:val="en-US"/>
        </w:rPr>
        <w:t>jauh, kita akan menelaah sejumlah jalan memperoleh pengetahuan</w:t>
      </w:r>
    </w:p>
    <w:p>
      <w:pPr>
        <w:pStyle w:val="BookText"/>
        <w:bidi w:val="0"/>
        <w:jc w:val="both"/>
        <w:rPr/>
      </w:pPr>
      <w:r>
        <w:rPr>
          <w:rFonts w:eastAsia="Times New Roman" w:cs="Times New Roman" w:ascii="Times New Roman" w:hAnsi="Times New Roman"/>
          <w:color w:val="111111"/>
          <w:sz w:val="28"/>
          <w:szCs w:val="28"/>
          <w:lang w:val="en-US"/>
        </w:rPr>
        <w:t>dan mengklasifikasinya ke dalam dua kategori: umum dan khusus.</w:t>
      </w:r>
    </w:p>
    <w:p>
      <w:pPr>
        <w:pStyle w:val="BookText"/>
        <w:bidi w:val="0"/>
        <w:jc w:val="both"/>
        <w:rPr/>
      </w:pPr>
      <w:r>
        <w:rPr>
          <w:rFonts w:eastAsia="Times New Roman" w:cs="Times New Roman" w:ascii="Times New Roman" w:hAnsi="Times New Roman"/>
          <w:color w:val="111111"/>
          <w:sz w:val="28"/>
          <w:szCs w:val="28"/>
          <w:lang w:val="en-US"/>
        </w:rPr>
        <w:t>Baru setelah itu, makna akal dan wahyu akan dijelaskan secara</w:t>
      </w:r>
    </w:p>
    <w:p>
      <w:pPr>
        <w:pStyle w:val="BookText"/>
        <w:bidi w:val="0"/>
        <w:jc w:val="both"/>
        <w:rPr/>
      </w:pPr>
      <w:r>
        <w:rPr>
          <w:rFonts w:eastAsia="Times New Roman" w:cs="Times New Roman" w:ascii="Times New Roman" w:hAnsi="Times New Roman"/>
          <w:color w:val="111111"/>
          <w:sz w:val="28"/>
          <w:szCs w:val="28"/>
          <w:lang w:val="en-US"/>
        </w:rPr>
        <w:t>panjang lebar.</w:t>
      </w:r>
    </w:p>
    <w:p>
      <w:pPr>
        <w:pStyle w:val="Heading3"/>
        <w:numPr>
          <w:ilvl w:val="2"/>
          <w:numId w:val="1"/>
        </w:numPr>
        <w:bidi w:val="0"/>
        <w:jc w:val="left"/>
        <w:rPr/>
      </w:pPr>
      <w:bookmarkStart w:id="22" w:name="__RefHeading___Toc1351058_581953129"/>
      <w:bookmarkStart w:id="23" w:name="_Toc8"/>
      <w:bookmarkEnd w:id="22"/>
      <w:r>
        <w:rPr/>
        <w:t>Jalan Memperoleh Pengetahuan</w:t>
      </w:r>
      <w:bookmarkEnd w:id="23"/>
    </w:p>
    <w:p>
      <w:pPr>
        <w:pStyle w:val="BookText"/>
        <w:bidi w:val="0"/>
        <w:jc w:val="both"/>
        <w:rPr/>
      </w:pPr>
      <w:r>
        <w:rPr>
          <w:rFonts w:eastAsia="Times New Roman" w:cs="Times New Roman" w:ascii="Times New Roman" w:hAnsi="Times New Roman"/>
          <w:color w:val="111111"/>
          <w:sz w:val="28"/>
          <w:szCs w:val="28"/>
          <w:lang w:val="en-US"/>
        </w:rPr>
        <w:t>Terbentang sejumlah jalan yang dapat ditempuh manusia untuk</w:t>
      </w:r>
    </w:p>
    <w:p>
      <w:pPr>
        <w:pStyle w:val="BookText"/>
        <w:bidi w:val="0"/>
        <w:jc w:val="both"/>
        <w:rPr/>
      </w:pPr>
      <w:r>
        <w:rPr>
          <w:rFonts w:eastAsia="Times New Roman" w:cs="Times New Roman" w:ascii="Times New Roman" w:hAnsi="Times New Roman"/>
          <w:color w:val="111111"/>
          <w:sz w:val="28"/>
          <w:szCs w:val="28"/>
          <w:lang w:val="en-US"/>
        </w:rPr>
        <w:t>memperoleh pengetahuan: ada jalan yang umum untuk semua</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sedikit-banyak bisa diakses oleh setiap orang; ada pula jalan </w:t>
      </w:r>
      <w:bookmarkStart w:id="24" w:name="pg5378_50403"/>
    </w:p>
    <w:p>
      <w:pPr>
        <w:pStyle w:val="BookText"/>
        <w:bidi w:val="0"/>
        <w:rPr/>
      </w:pPr>
      <w:bookmarkEnd w:id="24"/>
      <w:r>
        <w:rPr>
          <w:rFonts w:eastAsia="Times New Roman" w:cs="Times New Roman" w:ascii="Times New Roman" w:hAnsi="Times New Roman"/>
          <w:color w:val="111111"/>
          <w:sz w:val="28"/>
          <w:szCs w:val="28"/>
          <w:lang w:val="en-US"/>
        </w:rPr>
        <w:t>khusus yang hanya ditempuh sebagian orang, sementara sebagian</w:t>
      </w:r>
    </w:p>
    <w:p>
      <w:pPr>
        <w:pStyle w:val="BookText"/>
        <w:bidi w:val="0"/>
        <w:jc w:val="both"/>
        <w:rPr/>
      </w:pPr>
      <w:r>
        <w:rPr>
          <w:rFonts w:eastAsia="Times New Roman" w:cs="Times New Roman" w:ascii="Times New Roman" w:hAnsi="Times New Roman"/>
          <w:color w:val="111111"/>
          <w:sz w:val="28"/>
          <w:szCs w:val="28"/>
          <w:lang w:val="en-US"/>
        </w:rPr>
        <w:t>lain tidak dapat menempuhnya secara langsung. Dalam karya ini,</w:t>
      </w:r>
    </w:p>
    <w:p>
      <w:pPr>
        <w:pStyle w:val="BookText"/>
        <w:bidi w:val="0"/>
        <w:jc w:val="both"/>
        <w:rPr/>
      </w:pPr>
      <w:r>
        <w:rPr>
          <w:rFonts w:eastAsia="Times New Roman" w:cs="Times New Roman" w:ascii="Times New Roman" w:hAnsi="Times New Roman"/>
          <w:color w:val="111111"/>
          <w:sz w:val="28"/>
          <w:szCs w:val="28"/>
          <w:lang w:val="en-US"/>
        </w:rPr>
        <w:t>istilah akal yang dimaksud adalah keseluruhan pengetahuan yang</w:t>
      </w:r>
    </w:p>
    <w:p>
      <w:pPr>
        <w:pStyle w:val="BookText"/>
        <w:bidi w:val="0"/>
        <w:jc w:val="both"/>
        <w:rPr/>
      </w:pPr>
      <w:r>
        <w:rPr>
          <w:rFonts w:eastAsia="Times New Roman" w:cs="Times New Roman" w:ascii="Times New Roman" w:hAnsi="Times New Roman"/>
          <w:color w:val="111111"/>
          <w:sz w:val="28"/>
          <w:szCs w:val="28"/>
          <w:lang w:val="en-US"/>
        </w:rPr>
        <w:t>diperoleh via jalan umum’</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beragumentasi dan melalui penyingkapan dan penyaksian ‘irfani. Dia menyatakan keserasian antara pengetahuan yang dipelajarinya sendiri dengan ajaran para nabi, seraya mengatakan, “Ma‘qul (pengetahuan rasional) dan manqu/ (pengetahuan literal), pada hemat Hay, pasti berkesesuaian.”</w:t>
      </w:r>
    </w:p>
    <w:p>
      <w:pPr>
        <w:pStyle w:val="BookText"/>
        <w:bidi w:val="0"/>
        <w:jc w:val="both"/>
        <w:rPr/>
      </w:pPr>
      <w:r>
        <w:rPr>
          <w:rFonts w:eastAsia="Times New Roman" w:cs="Times New Roman" w:ascii="Times New Roman" w:hAnsi="Times New Roman"/>
          <w:color w:val="111111"/>
          <w:sz w:val="28"/>
          <w:szCs w:val="28"/>
          <w:lang w:val="en-US"/>
        </w:rPr>
        <w:t>(Hayy bin Yaqzdén, hlm. 93). Alhasil, kalaupun penggunaan kata akal dalam konteks yang luas ini belum pernah ada, tetap saja dapat diterima sebagai istilah baru. Poin lain yang juga perlu diperhatikan, banyak istilah yang adakalanya bertentangan satu sama lain, namun pada penggunaan yang berbeda,</w:t>
      </w:r>
    </w:p>
    <w:p>
      <w:pPr>
        <w:pStyle w:val="BookText"/>
        <w:bidi w:val="0"/>
        <w:jc w:val="both"/>
        <w:rPr/>
      </w:pPr>
      <w:r>
        <w:rPr>
          <w:rFonts w:eastAsia="Times New Roman" w:cs="Times New Roman" w:ascii="Times New Roman" w:hAnsi="Times New Roman"/>
          <w:color w:val="111111"/>
          <w:sz w:val="28"/>
          <w:szCs w:val="28"/>
          <w:lang w:val="en-US"/>
        </w:rPr>
        <w:t>ternyata keluasan jangkauan makna yang satu mencakup makna yang lain.</w:t>
      </w:r>
    </w:p>
    <w:p>
      <w:pPr>
        <w:pStyle w:val="BookText"/>
        <w:bidi w:val="0"/>
        <w:jc w:val="both"/>
        <w:rPr/>
      </w:pPr>
      <w:r>
        <w:rPr>
          <w:rFonts w:eastAsia="Times New Roman" w:cs="Times New Roman" w:ascii="Times New Roman" w:hAnsi="Times New Roman"/>
          <w:color w:val="111111"/>
          <w:sz w:val="28"/>
          <w:szCs w:val="28"/>
          <w:lang w:val="en-US"/>
        </w:rPr>
        <w:t>sementara wahyu adalah pengetahuan</w:t>
      </w:r>
    </w:p>
    <w:p>
      <w:pPr>
        <w:pStyle w:val="BookText"/>
        <w:bidi w:val="0"/>
        <w:jc w:val="both"/>
        <w:rPr/>
      </w:pPr>
      <w:r>
        <w:rPr>
          <w:rFonts w:eastAsia="Times New Roman" w:cs="Times New Roman" w:ascii="Times New Roman" w:hAnsi="Times New Roman"/>
          <w:color w:val="111111"/>
          <w:sz w:val="28"/>
          <w:szCs w:val="28"/>
          <w:lang w:val="en-US"/>
        </w:rPr>
        <w:t>yang diperoleh via jalan khusus yang hanya ditempuh sekelompok</w:t>
      </w:r>
    </w:p>
    <w:p>
      <w:pPr>
        <w:pStyle w:val="BookText"/>
        <w:bidi w:val="0"/>
        <w:jc w:val="both"/>
        <w:rPr/>
      </w:pPr>
      <w:r>
        <w:rPr>
          <w:rFonts w:eastAsia="Times New Roman" w:cs="Times New Roman" w:ascii="Times New Roman" w:hAnsi="Times New Roman"/>
          <w:color w:val="111111"/>
          <w:sz w:val="28"/>
          <w:szCs w:val="28"/>
          <w:lang w:val="en-US"/>
        </w:rPr>
        <w:t>manusia tertentu.</w:t>
      </w:r>
    </w:p>
    <w:p>
      <w:pPr>
        <w:pStyle w:val="Heading3"/>
        <w:numPr>
          <w:ilvl w:val="2"/>
          <w:numId w:val="1"/>
        </w:numPr>
        <w:bidi w:val="0"/>
        <w:jc w:val="left"/>
        <w:rPr/>
      </w:pPr>
      <w:bookmarkStart w:id="25" w:name="__RefHeading___Toc1351060_581953129"/>
      <w:bookmarkStart w:id="26" w:name="_Toc9"/>
      <w:bookmarkEnd w:id="25"/>
      <w:r>
        <w:rPr/>
        <w:t>Jalan Umum</w:t>
      </w:r>
      <w:bookmarkEnd w:id="26"/>
    </w:p>
    <w:p>
      <w:pPr>
        <w:pStyle w:val="Heading4"/>
        <w:numPr>
          <w:ilvl w:val="3"/>
          <w:numId w:val="1"/>
        </w:numPr>
        <w:bidi w:val="0"/>
        <w:jc w:val="left"/>
        <w:rPr/>
      </w:pPr>
      <w:bookmarkStart w:id="27" w:name="__RefHeading___Toc1351062_581953129"/>
      <w:bookmarkStart w:id="28" w:name="_Toc10"/>
      <w:bookmarkEnd w:id="27"/>
      <w:r>
        <w:rPr/>
        <w:t>Indra dan Eksperimen</w:t>
      </w:r>
      <w:bookmarkEnd w:id="28"/>
    </w:p>
    <w:p>
      <w:pPr>
        <w:pStyle w:val="BookText"/>
        <w:bidi w:val="0"/>
        <w:jc w:val="both"/>
        <w:rPr/>
      </w:pPr>
      <w:r>
        <w:rPr>
          <w:rFonts w:eastAsia="Times New Roman" w:cs="Times New Roman" w:ascii="Times New Roman" w:hAnsi="Times New Roman"/>
          <w:color w:val="111111"/>
          <w:sz w:val="28"/>
          <w:szCs w:val="28"/>
          <w:lang w:val="en-US"/>
        </w:rPr>
        <w:t>Pengetahuan yang dihasilkan indra luar (eksoteris: lahiriah)</w:t>
      </w:r>
    </w:p>
    <w:p>
      <w:pPr>
        <w:pStyle w:val="BookText"/>
        <w:bidi w:val="0"/>
        <w:jc w:val="both"/>
        <w:rPr/>
      </w:pPr>
      <w:r>
        <w:rPr>
          <w:rFonts w:eastAsia="Times New Roman" w:cs="Times New Roman" w:ascii="Times New Roman" w:hAnsi="Times New Roman"/>
          <w:color w:val="111111"/>
          <w:sz w:val="28"/>
          <w:szCs w:val="28"/>
          <w:lang w:val="en-US"/>
        </w:rPr>
        <w:t>sangat beragam. Sebagiannya bersifat sangat sederhana dan diperoleh</w:t>
      </w:r>
    </w:p>
    <w:p>
      <w:pPr>
        <w:pStyle w:val="BookText"/>
        <w:bidi w:val="0"/>
        <w:jc w:val="both"/>
        <w:rPr/>
      </w:pPr>
      <w:r>
        <w:rPr>
          <w:rFonts w:eastAsia="Times New Roman" w:cs="Times New Roman" w:ascii="Times New Roman" w:hAnsi="Times New Roman"/>
          <w:color w:val="111111"/>
          <w:sz w:val="28"/>
          <w:szCs w:val="28"/>
          <w:lang w:val="en-US"/>
        </w:rPr>
        <w:t>manusia dalam kehidupan sehari-hari. Umpama, “ makanan ini lezat”</w:t>
      </w:r>
    </w:p>
    <w:p>
      <w:pPr>
        <w:pStyle w:val="BookText"/>
        <w:bidi w:val="0"/>
        <w:jc w:val="both"/>
        <w:rPr/>
      </w:pPr>
      <w:r>
        <w:rPr>
          <w:rFonts w:eastAsia="Times New Roman" w:cs="Times New Roman" w:ascii="Times New Roman" w:hAnsi="Times New Roman"/>
          <w:color w:val="111111"/>
          <w:sz w:val="28"/>
          <w:szCs w:val="28"/>
          <w:lang w:val="en-US"/>
        </w:rPr>
        <w:t>atau “panorama alam ini menyenangkan”. Sedangkan sebagian lain</w:t>
      </w:r>
    </w:p>
    <w:p>
      <w:pPr>
        <w:pStyle w:val="BookText"/>
        <w:bidi w:val="0"/>
        <w:jc w:val="both"/>
        <w:rPr/>
      </w:pPr>
      <w:r>
        <w:rPr>
          <w:rFonts w:eastAsia="Times New Roman" w:cs="Times New Roman" w:ascii="Times New Roman" w:hAnsi="Times New Roman"/>
          <w:color w:val="111111"/>
          <w:sz w:val="28"/>
          <w:szCs w:val="28"/>
          <w:lang w:val="en-US"/>
        </w:rPr>
        <w:t>mesti diperoleh dengan penuh ketelitian dan kontemplasi. Bila kita</w:t>
      </w:r>
    </w:p>
    <w:p>
      <w:pPr>
        <w:pStyle w:val="BookText"/>
        <w:bidi w:val="0"/>
        <w:jc w:val="both"/>
        <w:rPr/>
      </w:pPr>
      <w:r>
        <w:rPr>
          <w:rFonts w:eastAsia="Times New Roman" w:cs="Times New Roman" w:ascii="Times New Roman" w:hAnsi="Times New Roman"/>
          <w:color w:val="111111"/>
          <w:sz w:val="28"/>
          <w:szCs w:val="28"/>
          <w:lang w:val="en-US"/>
        </w:rPr>
        <w:t>melakukan generalisasi (ta‘mim) terhadap beberapa pengetahuan</w:t>
      </w:r>
    </w:p>
    <w:p>
      <w:pPr>
        <w:pStyle w:val="BookText"/>
        <w:bidi w:val="0"/>
        <w:jc w:val="both"/>
        <w:rPr/>
      </w:pPr>
      <w:r>
        <w:rPr>
          <w:rFonts w:eastAsia="Times New Roman" w:cs="Times New Roman" w:ascii="Times New Roman" w:hAnsi="Times New Roman"/>
          <w:color w:val="111111"/>
          <w:sz w:val="28"/>
          <w:szCs w:val="28"/>
          <w:lang w:val="en-US"/>
        </w:rPr>
        <w:t>partikular dengan dukungan hukum rasional, seperti hukum</w:t>
      </w:r>
    </w:p>
    <w:p>
      <w:pPr>
        <w:pStyle w:val="BookText"/>
        <w:bidi w:val="0"/>
        <w:jc w:val="both"/>
        <w:rPr/>
      </w:pPr>
      <w:r>
        <w:rPr>
          <w:rFonts w:eastAsia="Times New Roman" w:cs="Times New Roman" w:ascii="Times New Roman" w:hAnsi="Times New Roman"/>
          <w:color w:val="111111"/>
          <w:sz w:val="28"/>
          <w:szCs w:val="28"/>
          <w:lang w:val="en-US"/>
        </w:rPr>
        <w:t>kausalitas, lalu kita membuat kesimpulan general (kulli) bahwa,</w:t>
      </w:r>
    </w:p>
    <w:p>
      <w:pPr>
        <w:pStyle w:val="BookText"/>
        <w:bidi w:val="0"/>
        <w:jc w:val="both"/>
        <w:rPr/>
      </w:pPr>
      <w:r>
        <w:rPr>
          <w:rFonts w:eastAsia="Times New Roman" w:cs="Times New Roman" w:ascii="Times New Roman" w:hAnsi="Times New Roman"/>
          <w:color w:val="111111"/>
          <w:sz w:val="28"/>
          <w:szCs w:val="28"/>
          <w:lang w:val="en-US"/>
        </w:rPr>
        <w:t>misalnya, setiap air pasti mendidih pada suhu seratus derajat celsius,</w:t>
      </w:r>
    </w:p>
    <w:p>
      <w:pPr>
        <w:pStyle w:val="BookText"/>
        <w:bidi w:val="0"/>
        <w:jc w:val="both"/>
        <w:rPr/>
      </w:pPr>
      <w:r>
        <w:rPr>
          <w:rFonts w:eastAsia="Times New Roman" w:cs="Times New Roman" w:ascii="Times New Roman" w:hAnsi="Times New Roman"/>
          <w:color w:val="111111"/>
          <w:sz w:val="28"/>
          <w:szCs w:val="28"/>
          <w:lang w:val="en-US"/>
        </w:rPr>
        <w:t>maka saat itulah kita telah berhasil menemukan satu hukum empirik.</w:t>
      </w:r>
    </w:p>
    <w:p>
      <w:pPr>
        <w:pStyle w:val="BookText"/>
        <w:bidi w:val="0"/>
        <w:jc w:val="both"/>
        <w:rPr/>
      </w:pPr>
      <w:r>
        <w:rPr>
          <w:rFonts w:eastAsia="Times New Roman" w:cs="Times New Roman" w:ascii="Times New Roman" w:hAnsi="Times New Roman"/>
          <w:color w:val="111111"/>
          <w:sz w:val="28"/>
          <w:szCs w:val="28"/>
          <w:lang w:val="en-US"/>
        </w:rPr>
        <w:t>Himpunan hukum empirik yang didominasi satu subjek dan satu</w:t>
      </w:r>
    </w:p>
    <w:p>
      <w:pPr>
        <w:pStyle w:val="BookText"/>
        <w:bidi w:val="0"/>
        <w:jc w:val="both"/>
        <w:rPr/>
      </w:pPr>
      <w:r>
        <w:rPr>
          <w:rFonts w:eastAsia="Times New Roman" w:cs="Times New Roman" w:ascii="Times New Roman" w:hAnsi="Times New Roman"/>
          <w:color w:val="111111"/>
          <w:sz w:val="28"/>
          <w:szCs w:val="28"/>
          <w:lang w:val="en-US"/>
        </w:rPr>
        <w:t>tujuan membentuk disiplin ilmu empiris yang, dalam sebuah istilah,</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meliputi dua bagian ilmu, yaitu ilmu alam dan ilmu humaniora. </w:t>
      </w:r>
      <w:bookmarkStart w:id="29" w:name="pg5378_50405"/>
    </w:p>
    <w:p>
      <w:pPr>
        <w:pStyle w:val="BookText"/>
        <w:bidi w:val="0"/>
        <w:rPr/>
      </w:pPr>
      <w:bookmarkEnd w:id="29"/>
      <w:r>
        <w:rPr>
          <w:rFonts w:eastAsia="Times New Roman" w:cs="Times New Roman" w:ascii="Times New Roman" w:hAnsi="Times New Roman"/>
          <w:color w:val="111111"/>
          <w:sz w:val="28"/>
          <w:szCs w:val="28"/>
          <w:lang w:val="en-US"/>
        </w:rPr>
        <w:t>Dampak krusial dari rangkaian ilmu ini tidak diragukan lagi.</w:t>
      </w:r>
    </w:p>
    <w:p>
      <w:pPr>
        <w:pStyle w:val="BookText"/>
        <w:bidi w:val="0"/>
        <w:jc w:val="both"/>
        <w:rPr/>
      </w:pPr>
      <w:r>
        <w:rPr>
          <w:rFonts w:eastAsia="Times New Roman" w:cs="Times New Roman" w:ascii="Times New Roman" w:hAnsi="Times New Roman"/>
          <w:color w:val="111111"/>
          <w:sz w:val="28"/>
          <w:szCs w:val="28"/>
          <w:lang w:val="en-US"/>
        </w:rPr>
        <w:t>Namun, membatasi sarana pengetahuan hanya pada indra luar</w:t>
      </w:r>
    </w:p>
    <w:p>
      <w:pPr>
        <w:pStyle w:val="BookText"/>
        <w:bidi w:val="0"/>
        <w:jc w:val="both"/>
        <w:rPr/>
      </w:pPr>
      <w:r>
        <w:rPr>
          <w:rFonts w:eastAsia="Times New Roman" w:cs="Times New Roman" w:ascii="Times New Roman" w:hAnsi="Times New Roman"/>
          <w:color w:val="111111"/>
          <w:sz w:val="28"/>
          <w:szCs w:val="28"/>
          <w:lang w:val="en-US"/>
        </w:rPr>
        <w:t>dan pengalaman empirik, atau menyangkal seluruh proposisi yang</w:t>
      </w:r>
    </w:p>
    <w:p>
      <w:pPr>
        <w:pStyle w:val="BookText"/>
        <w:bidi w:val="0"/>
        <w:jc w:val="both"/>
        <w:rPr/>
      </w:pPr>
      <w:r>
        <w:rPr>
          <w:rFonts w:eastAsia="Times New Roman" w:cs="Times New Roman" w:ascii="Times New Roman" w:hAnsi="Times New Roman"/>
          <w:color w:val="111111"/>
          <w:sz w:val="28"/>
          <w:szCs w:val="28"/>
          <w:lang w:val="en-US"/>
        </w:rPr>
        <w:t>tak terverifikasi atau ditolak pengalaman empirik, merupakan</w:t>
      </w:r>
    </w:p>
    <w:p>
      <w:pPr>
        <w:pStyle w:val="BookText"/>
        <w:bidi w:val="0"/>
        <w:jc w:val="both"/>
        <w:rPr/>
      </w:pPr>
      <w:r>
        <w:rPr>
          <w:rFonts w:eastAsia="Times New Roman" w:cs="Times New Roman" w:ascii="Times New Roman" w:hAnsi="Times New Roman"/>
          <w:color w:val="111111"/>
          <w:sz w:val="28"/>
          <w:szCs w:val="28"/>
          <w:lang w:val="en-US"/>
        </w:rPr>
        <w:t>pengabaian terhadap dimensi-dimensi lain dari eksistensi manusia.</w:t>
      </w:r>
    </w:p>
    <w:p>
      <w:pPr>
        <w:pStyle w:val="Heading4"/>
        <w:numPr>
          <w:ilvl w:val="3"/>
          <w:numId w:val="1"/>
        </w:numPr>
        <w:bidi w:val="0"/>
        <w:jc w:val="left"/>
        <w:rPr/>
      </w:pPr>
      <w:bookmarkStart w:id="30" w:name="__RefHeading___Toc1351064_581953129"/>
      <w:bookmarkStart w:id="31" w:name="_Toc11"/>
      <w:bookmarkEnd w:id="30"/>
      <w:r>
        <w:rPr/>
        <w:t>Pemikiran dan Pembuktian</w:t>
      </w:r>
      <w:bookmarkEnd w:id="31"/>
    </w:p>
    <w:p>
      <w:pPr>
        <w:pStyle w:val="BookText"/>
        <w:bidi w:val="0"/>
        <w:jc w:val="both"/>
        <w:rPr/>
      </w:pPr>
      <w:r>
        <w:rPr>
          <w:rFonts w:eastAsia="Times New Roman" w:cs="Times New Roman" w:ascii="Times New Roman" w:hAnsi="Times New Roman"/>
          <w:color w:val="111111"/>
          <w:sz w:val="28"/>
          <w:szCs w:val="28"/>
          <w:lang w:val="en-US"/>
        </w:rPr>
        <w:t>Jalan umum memperoleh pengetahuan berikutnya ialah pemikiran</w:t>
      </w:r>
    </w:p>
    <w:p>
      <w:pPr>
        <w:pStyle w:val="BookText"/>
        <w:bidi w:val="0"/>
        <w:jc w:val="both"/>
        <w:rPr/>
      </w:pPr>
      <w:r>
        <w:rPr>
          <w:rFonts w:eastAsia="Times New Roman" w:cs="Times New Roman" w:ascii="Times New Roman" w:hAnsi="Times New Roman"/>
          <w:color w:val="111111"/>
          <w:sz w:val="28"/>
          <w:szCs w:val="28"/>
          <w:lang w:val="en-US"/>
        </w:rPr>
        <w:t>dan pembuktian. Disiplin-disiplin ilmu, seperti Logika, Matematika,</w:t>
      </w:r>
    </w:p>
    <w:p>
      <w:pPr>
        <w:pStyle w:val="BookText"/>
        <w:bidi w:val="0"/>
        <w:jc w:val="both"/>
        <w:rPr/>
      </w:pPr>
      <w:r>
        <w:rPr>
          <w:rFonts w:eastAsia="Times New Roman" w:cs="Times New Roman" w:ascii="Times New Roman" w:hAnsi="Times New Roman"/>
          <w:color w:val="111111"/>
          <w:sz w:val="28"/>
          <w:szCs w:val="28"/>
          <w:lang w:val="en-US"/>
        </w:rPr>
        <w:t>dan Filsafat, menempuh jalan ini. Berdasarkan pola apriori dan pra-</w:t>
      </w:r>
    </w:p>
    <w:p>
      <w:pPr>
        <w:pStyle w:val="BookText"/>
        <w:bidi w:val="0"/>
        <w:jc w:val="both"/>
        <w:rPr/>
      </w:pPr>
      <w:r>
        <w:rPr>
          <w:rFonts w:eastAsia="Times New Roman" w:cs="Times New Roman" w:ascii="Times New Roman" w:hAnsi="Times New Roman"/>
          <w:color w:val="111111"/>
          <w:sz w:val="28"/>
          <w:szCs w:val="28"/>
          <w:lang w:val="en-US"/>
        </w:rPr>
        <w:t>empirik ini, kalangan matematikus tidak membutuhkan pengalaman</w:t>
      </w:r>
    </w:p>
    <w:p>
      <w:pPr>
        <w:pStyle w:val="BookText"/>
        <w:bidi w:val="0"/>
        <w:jc w:val="both"/>
        <w:rPr/>
      </w:pPr>
      <w:r>
        <w:rPr>
          <w:rFonts w:eastAsia="Times New Roman" w:cs="Times New Roman" w:ascii="Times New Roman" w:hAnsi="Times New Roman"/>
          <w:color w:val="111111"/>
          <w:sz w:val="28"/>
          <w:szCs w:val="28"/>
          <w:lang w:val="en-US"/>
        </w:rPr>
        <w:t>dan penggunaan indra luar untuk menetapkan hukum, “Jika kita</w:t>
      </w:r>
    </w:p>
    <w:p>
      <w:pPr>
        <w:pStyle w:val="BookText"/>
        <w:bidi w:val="0"/>
        <w:jc w:val="both"/>
        <w:rPr/>
      </w:pPr>
      <w:r>
        <w:rPr>
          <w:rFonts w:eastAsia="Times New Roman" w:cs="Times New Roman" w:ascii="Times New Roman" w:hAnsi="Times New Roman"/>
          <w:color w:val="111111"/>
          <w:sz w:val="28"/>
          <w:szCs w:val="28"/>
          <w:lang w:val="en-US"/>
        </w:rPr>
        <w:t>menambahkan kadar yang sama pada dua kuantitas yang sama,</w:t>
      </w:r>
    </w:p>
    <w:p>
      <w:pPr>
        <w:pStyle w:val="BookText"/>
        <w:bidi w:val="0"/>
        <w:jc w:val="both"/>
        <w:rPr/>
      </w:pPr>
      <w:r>
        <w:rPr>
          <w:rFonts w:eastAsia="Times New Roman" w:cs="Times New Roman" w:ascii="Times New Roman" w:hAnsi="Times New Roman"/>
          <w:color w:val="111111"/>
          <w:sz w:val="28"/>
          <w:szCs w:val="28"/>
          <w:lang w:val="en-US"/>
        </w:rPr>
        <w:t>niscaya hasil salah satunya sama dengan yang lain”. Di sini, mereka</w:t>
      </w:r>
    </w:p>
    <w:p>
      <w:pPr>
        <w:pStyle w:val="BookText"/>
        <w:bidi w:val="0"/>
        <w:jc w:val="both"/>
        <w:rPr/>
      </w:pPr>
      <w:r>
        <w:rPr>
          <w:rFonts w:eastAsia="Times New Roman" w:cs="Times New Roman" w:ascii="Times New Roman" w:hAnsi="Times New Roman"/>
          <w:color w:val="111111"/>
          <w:sz w:val="28"/>
          <w:szCs w:val="28"/>
          <w:lang w:val="en-US"/>
        </w:rPr>
        <w:t>membuat kesimpulan itu dengan cara membangun fondasi yang</w:t>
      </w:r>
    </w:p>
    <w:p>
      <w:pPr>
        <w:pStyle w:val="BookText"/>
        <w:bidi w:val="0"/>
        <w:jc w:val="both"/>
        <w:rPr/>
      </w:pPr>
      <w:r>
        <w:rPr>
          <w:rFonts w:eastAsia="Times New Roman" w:cs="Times New Roman" w:ascii="Times New Roman" w:hAnsi="Times New Roman"/>
          <w:color w:val="111111"/>
          <w:sz w:val="28"/>
          <w:szCs w:val="28"/>
          <w:lang w:val="en-US"/>
        </w:rPr>
        <w:t>terdiri dari data-data rasional yang bersifat nyata dan aksioma-</w:t>
      </w:r>
    </w:p>
    <w:p>
      <w:pPr>
        <w:pStyle w:val="BookText"/>
        <w:bidi w:val="0"/>
        <w:jc w:val="both"/>
        <w:rPr/>
      </w:pPr>
      <w:r>
        <w:rPr>
          <w:rFonts w:eastAsia="Times New Roman" w:cs="Times New Roman" w:ascii="Times New Roman" w:hAnsi="Times New Roman"/>
          <w:color w:val="111111"/>
          <w:sz w:val="28"/>
          <w:szCs w:val="28"/>
          <w:lang w:val="en-US"/>
        </w:rPr>
        <w:t>aksioma teoretis.</w:t>
      </w:r>
    </w:p>
    <w:p>
      <w:pPr>
        <w:pStyle w:val="BookText"/>
        <w:bidi w:val="0"/>
        <w:jc w:val="both"/>
        <w:rPr/>
      </w:pPr>
      <w:r>
        <w:rPr>
          <w:rFonts w:eastAsia="Times New Roman" w:cs="Times New Roman" w:ascii="Times New Roman" w:hAnsi="Times New Roman"/>
          <w:color w:val="111111"/>
          <w:sz w:val="28"/>
          <w:szCs w:val="28"/>
          <w:lang w:val="en-US"/>
        </w:rPr>
        <w:t>Metode rasional, dalam terminologi yang populer, hanya berlaku</w:t>
      </w:r>
    </w:p>
    <w:p>
      <w:pPr>
        <w:pStyle w:val="BookText"/>
        <w:bidi w:val="0"/>
        <w:jc w:val="both"/>
        <w:rPr/>
      </w:pPr>
      <w:r>
        <w:rPr>
          <w:rFonts w:eastAsia="Times New Roman" w:cs="Times New Roman" w:ascii="Times New Roman" w:hAnsi="Times New Roman"/>
          <w:color w:val="111111"/>
          <w:sz w:val="28"/>
          <w:szCs w:val="28"/>
          <w:lang w:val="en-US"/>
        </w:rPr>
        <w:t>pada bagian ini, namun dalam pembahasan buku ini—sebagaimana</w:t>
      </w:r>
    </w:p>
    <w:p>
      <w:pPr>
        <w:pStyle w:val="BookText"/>
        <w:bidi w:val="0"/>
        <w:jc w:val="both"/>
        <w:rPr/>
      </w:pPr>
      <w:r>
        <w:rPr>
          <w:rFonts w:eastAsia="Times New Roman" w:cs="Times New Roman" w:ascii="Times New Roman" w:hAnsi="Times New Roman"/>
          <w:color w:val="111111"/>
          <w:sz w:val="28"/>
          <w:szCs w:val="28"/>
          <w:lang w:val="en-US"/>
        </w:rPr>
        <w:t>telah disinggung—maknanya jauh lebih luas. Kendati dalam</w:t>
      </w:r>
    </w:p>
    <w:p>
      <w:pPr>
        <w:pStyle w:val="BookText"/>
        <w:bidi w:val="0"/>
        <w:jc w:val="both"/>
        <w:rPr/>
      </w:pPr>
      <w:r>
        <w:rPr>
          <w:rFonts w:eastAsia="Times New Roman" w:cs="Times New Roman" w:ascii="Times New Roman" w:hAnsi="Times New Roman"/>
          <w:color w:val="111111"/>
          <w:sz w:val="28"/>
          <w:szCs w:val="28"/>
          <w:lang w:val="en-US"/>
        </w:rPr>
        <w:t>beberapa kesempatan kita juga menggunakan istilah “akal” dalam</w:t>
      </w:r>
    </w:p>
    <w:p>
      <w:pPr>
        <w:pStyle w:val="BookText"/>
        <w:bidi w:val="0"/>
        <w:jc w:val="both"/>
        <w:rPr/>
      </w:pPr>
      <w:r>
        <w:rPr>
          <w:rFonts w:eastAsia="Times New Roman" w:cs="Times New Roman" w:ascii="Times New Roman" w:hAnsi="Times New Roman"/>
          <w:color w:val="111111"/>
          <w:sz w:val="28"/>
          <w:szCs w:val="28"/>
          <w:lang w:val="en-US"/>
        </w:rPr>
        <w:t>makna yang khusus dan sempit ini, namun dalam keseluruhan</w:t>
      </w:r>
    </w:p>
    <w:p>
      <w:pPr>
        <w:pStyle w:val="BookText"/>
        <w:bidi w:val="0"/>
        <w:jc w:val="both"/>
        <w:rPr/>
      </w:pPr>
      <w:r>
        <w:rPr>
          <w:rFonts w:eastAsia="Times New Roman" w:cs="Times New Roman" w:ascii="Times New Roman" w:hAnsi="Times New Roman"/>
          <w:color w:val="111111"/>
          <w:sz w:val="28"/>
          <w:szCs w:val="28"/>
          <w:lang w:val="en-US"/>
        </w:rPr>
        <w:t>pembahasan ini, makna “akal” yang dimaksud akan menjadi jelas</w:t>
      </w:r>
    </w:p>
    <w:p>
      <w:pPr>
        <w:pStyle w:val="BookText"/>
        <w:bidi w:val="0"/>
        <w:jc w:val="both"/>
        <w:rPr/>
      </w:pPr>
      <w:r>
        <w:rPr>
          <w:rFonts w:eastAsia="Times New Roman" w:cs="Times New Roman" w:ascii="Times New Roman" w:hAnsi="Times New Roman"/>
          <w:color w:val="111111"/>
          <w:sz w:val="28"/>
          <w:szCs w:val="28"/>
          <w:lang w:val="en-US"/>
        </w:rPr>
        <w:t>seiring dengan orientasi semantik dan konteksnya. Contohnya,</w:t>
      </w:r>
    </w:p>
    <w:p>
      <w:pPr>
        <w:pStyle w:val="BookText"/>
        <w:bidi w:val="0"/>
        <w:jc w:val="both"/>
        <w:rPr/>
      </w:pPr>
      <w:r>
        <w:rPr>
          <w:rFonts w:eastAsia="Times New Roman" w:cs="Times New Roman" w:ascii="Times New Roman" w:hAnsi="Times New Roman"/>
          <w:color w:val="111111"/>
          <w:sz w:val="28"/>
          <w:szCs w:val="28"/>
          <w:lang w:val="en-US"/>
        </w:rPr>
        <w:t>akal yang digugat kaum arif (sufi)—setidaknya dianggap mereka</w:t>
      </w:r>
    </w:p>
    <w:p>
      <w:pPr>
        <w:pStyle w:val="BookText"/>
        <w:bidi w:val="0"/>
        <w:jc w:val="both"/>
        <w:rPr/>
      </w:pPr>
      <w:r>
        <w:rPr>
          <w:rFonts w:eastAsia="Times New Roman" w:cs="Times New Roman" w:ascii="Times New Roman" w:hAnsi="Times New Roman"/>
          <w:color w:val="111111"/>
          <w:sz w:val="28"/>
          <w:szCs w:val="28"/>
          <w:lang w:val="en-US"/>
        </w:rPr>
        <w:t>demikian—bermakna pemikiran dan pembuktian rasional dalam</w:t>
      </w:r>
    </w:p>
    <w:p>
      <w:pPr>
        <w:pStyle w:val="BookText"/>
        <w:bidi w:val="0"/>
        <w:jc w:val="both"/>
        <w:rPr/>
      </w:pPr>
      <w:r>
        <w:rPr>
          <w:rFonts w:eastAsia="Times New Roman" w:cs="Times New Roman" w:ascii="Times New Roman" w:hAnsi="Times New Roman"/>
          <w:color w:val="111111"/>
          <w:sz w:val="28"/>
          <w:szCs w:val="28"/>
          <w:lang w:val="en-US"/>
        </w:rPr>
        <w:t>lingkup teologi dan segenap persoalan yang terkait dengannya; bukan</w:t>
      </w:r>
    </w:p>
    <w:p>
      <w:pPr>
        <w:pStyle w:val="BookText"/>
        <w:bidi w:val="0"/>
        <w:jc w:val="both"/>
        <w:rPr/>
      </w:pPr>
      <w:r>
        <w:rPr>
          <w:rFonts w:eastAsia="Times New Roman" w:cs="Times New Roman" w:ascii="Times New Roman" w:hAnsi="Times New Roman"/>
          <w:color w:val="111111"/>
          <w:sz w:val="28"/>
          <w:szCs w:val="28"/>
          <w:lang w:val="en-US"/>
        </w:rPr>
        <w:t>mutlak pengetahuan nonwahyu yang juga meliputi pengetahuan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dihasilkan melalui hati dan penyaksian batin. </w:t>
      </w:r>
      <w:bookmarkStart w:id="32" w:name="pg5378_50407"/>
    </w:p>
    <w:p>
      <w:pPr>
        <w:pStyle w:val="Heading4"/>
        <w:numPr>
          <w:ilvl w:val="3"/>
          <w:numId w:val="1"/>
        </w:numPr>
        <w:bidi w:val="0"/>
        <w:jc w:val="left"/>
        <w:rPr/>
      </w:pPr>
      <w:bookmarkStart w:id="33" w:name="__RefHeading___Toc1351066_581953129"/>
      <w:bookmarkStart w:id="34" w:name="_Toc12"/>
      <w:bookmarkEnd w:id="32"/>
      <w:bookmarkEnd w:id="33"/>
      <w:r>
        <w:rPr/>
        <w:t>Teks (Naql)</w:t>
      </w:r>
      <w:bookmarkEnd w:id="34"/>
    </w:p>
    <w:p>
      <w:pPr>
        <w:pStyle w:val="BookText"/>
        <w:bidi w:val="0"/>
        <w:jc w:val="both"/>
        <w:rPr/>
      </w:pPr>
      <w:r>
        <w:rPr>
          <w:rFonts w:eastAsia="Times New Roman" w:cs="Times New Roman" w:ascii="Times New Roman" w:hAnsi="Times New Roman"/>
          <w:color w:val="111111"/>
          <w:sz w:val="28"/>
          <w:szCs w:val="28"/>
          <w:lang w:val="en-US"/>
        </w:rPr>
        <w:t>Sejumlah pengetahuan diperoleh tidak melalui pemikiran,</w:t>
      </w:r>
    </w:p>
    <w:p>
      <w:pPr>
        <w:pStyle w:val="BookText"/>
        <w:bidi w:val="0"/>
        <w:jc w:val="both"/>
        <w:rPr/>
      </w:pPr>
      <w:r>
        <w:rPr>
          <w:rFonts w:eastAsia="Times New Roman" w:cs="Times New Roman" w:ascii="Times New Roman" w:hAnsi="Times New Roman"/>
          <w:color w:val="111111"/>
          <w:sz w:val="28"/>
          <w:szCs w:val="28"/>
          <w:lang w:val="en-US"/>
        </w:rPr>
        <w:t>pembuktian, pengindraan, atau pengalaman pribadi, melainkan</w:t>
      </w:r>
    </w:p>
    <w:p>
      <w:pPr>
        <w:pStyle w:val="BookText"/>
        <w:bidi w:val="0"/>
        <w:jc w:val="both"/>
        <w:rPr/>
      </w:pPr>
      <w:r>
        <w:rPr>
          <w:rFonts w:eastAsia="Times New Roman" w:cs="Times New Roman" w:ascii="Times New Roman" w:hAnsi="Times New Roman"/>
          <w:color w:val="111111"/>
          <w:sz w:val="28"/>
          <w:szCs w:val="28"/>
          <w:lang w:val="en-US"/>
        </w:rPr>
        <w:t>lewat jalur teks yang otentik dan metodik. Pengetahuan tentang</w:t>
      </w:r>
    </w:p>
    <w:p>
      <w:pPr>
        <w:pStyle w:val="BookText"/>
        <w:bidi w:val="0"/>
        <w:jc w:val="both"/>
        <w:rPr/>
      </w:pPr>
      <w:r>
        <w:rPr>
          <w:rFonts w:eastAsia="Times New Roman" w:cs="Times New Roman" w:ascii="Times New Roman" w:hAnsi="Times New Roman"/>
          <w:color w:val="111111"/>
          <w:sz w:val="28"/>
          <w:szCs w:val="28"/>
          <w:lang w:val="en-US"/>
        </w:rPr>
        <w:t>pelbagai kejadian di masa lalu, tokoh-tokoh masa silam, negeri-negeri</w:t>
      </w:r>
    </w:p>
    <w:p>
      <w:pPr>
        <w:pStyle w:val="BookText"/>
        <w:bidi w:val="0"/>
        <w:jc w:val="both"/>
        <w:rPr/>
      </w:pPr>
      <w:r>
        <w:rPr>
          <w:rFonts w:eastAsia="Times New Roman" w:cs="Times New Roman" w:ascii="Times New Roman" w:hAnsi="Times New Roman"/>
          <w:color w:val="111111"/>
          <w:sz w:val="28"/>
          <w:szCs w:val="28"/>
          <w:lang w:val="en-US"/>
        </w:rPr>
        <w:t>dan kota-kota yang sampai sekarang belum pernah kita kunjungi,</w:t>
      </w:r>
    </w:p>
    <w:p>
      <w:pPr>
        <w:pStyle w:val="BookText"/>
        <w:bidi w:val="0"/>
        <w:jc w:val="both"/>
        <w:rPr/>
      </w:pPr>
      <w:r>
        <w:rPr>
          <w:rFonts w:eastAsia="Times New Roman" w:cs="Times New Roman" w:ascii="Times New Roman" w:hAnsi="Times New Roman"/>
          <w:color w:val="111111"/>
          <w:sz w:val="28"/>
          <w:szCs w:val="28"/>
          <w:lang w:val="en-US"/>
        </w:rPr>
        <w:t>pada dasarnya dilandasi metode tekstual. Manakala teks diposisikan</w:t>
      </w:r>
    </w:p>
    <w:p>
      <w:pPr>
        <w:pStyle w:val="BookText"/>
        <w:bidi w:val="0"/>
        <w:jc w:val="both"/>
        <w:rPr/>
      </w:pPr>
      <w:r>
        <w:rPr>
          <w:rFonts w:eastAsia="Times New Roman" w:cs="Times New Roman" w:ascii="Times New Roman" w:hAnsi="Times New Roman"/>
          <w:color w:val="111111"/>
          <w:sz w:val="28"/>
          <w:szCs w:val="28"/>
          <w:lang w:val="en-US"/>
        </w:rPr>
        <w:t>secara diametris dengan akal, sebagaimana menjadi gejala umum</w:t>
      </w:r>
    </w:p>
    <w:p>
      <w:pPr>
        <w:pStyle w:val="BookText"/>
        <w:bidi w:val="0"/>
        <w:jc w:val="both"/>
        <w:rPr/>
      </w:pPr>
      <w:r>
        <w:rPr>
          <w:rFonts w:eastAsia="Times New Roman" w:cs="Times New Roman" w:ascii="Times New Roman" w:hAnsi="Times New Roman"/>
          <w:color w:val="111111"/>
          <w:sz w:val="28"/>
          <w:szCs w:val="28"/>
          <w:lang w:val="en-US"/>
        </w:rPr>
        <w:t>dalam tulisan-tulisan para pemikir agamis, maka yang dimaksud</w:t>
      </w:r>
    </w:p>
    <w:p>
      <w:pPr>
        <w:pStyle w:val="BookText"/>
        <w:bidi w:val="0"/>
        <w:jc w:val="both"/>
        <w:rPr/>
      </w:pPr>
      <w:r>
        <w:rPr>
          <w:rFonts w:eastAsia="Times New Roman" w:cs="Times New Roman" w:ascii="Times New Roman" w:hAnsi="Times New Roman"/>
          <w:color w:val="111111"/>
          <w:sz w:val="28"/>
          <w:szCs w:val="28"/>
          <w:lang w:val="en-US"/>
        </w:rPr>
        <w:t>dengan teks sebenarnya adalah tutur dan perilaku manusia-manusia</w:t>
      </w:r>
    </w:p>
    <w:p>
      <w:pPr>
        <w:pStyle w:val="BookText"/>
        <w:bidi w:val="0"/>
        <w:jc w:val="both"/>
        <w:rPr/>
      </w:pPr>
      <w:r>
        <w:rPr>
          <w:rFonts w:eastAsia="Times New Roman" w:cs="Times New Roman" w:ascii="Times New Roman" w:hAnsi="Times New Roman"/>
          <w:color w:val="111111"/>
          <w:sz w:val="28"/>
          <w:szCs w:val="28"/>
          <w:lang w:val="en-US"/>
        </w:rPr>
        <w:t>maksum sebagaimana diriwayatkan para penukil dan periwayat.</w:t>
      </w:r>
    </w:p>
    <w:p>
      <w:pPr>
        <w:pStyle w:val="Heading4"/>
        <w:numPr>
          <w:ilvl w:val="3"/>
          <w:numId w:val="1"/>
        </w:numPr>
        <w:bidi w:val="0"/>
        <w:jc w:val="left"/>
        <w:rPr/>
      </w:pPr>
      <w:bookmarkStart w:id="35" w:name="__RefHeading___Toc1351068_581953129"/>
      <w:bookmarkStart w:id="36" w:name="_Toc13"/>
      <w:bookmarkEnd w:id="35"/>
      <w:r>
        <w:rPr/>
        <w:t>Penyaksian Batin (Syuhud Bathini)</w:t>
      </w:r>
      <w:bookmarkEnd w:id="36"/>
    </w:p>
    <w:p>
      <w:pPr>
        <w:pStyle w:val="BookText"/>
        <w:bidi w:val="0"/>
        <w:jc w:val="both"/>
        <w:rPr/>
      </w:pPr>
      <w:r>
        <w:rPr>
          <w:rFonts w:eastAsia="Times New Roman" w:cs="Times New Roman" w:ascii="Times New Roman" w:hAnsi="Times New Roman"/>
          <w:color w:val="111111"/>
          <w:sz w:val="28"/>
          <w:szCs w:val="28"/>
          <w:lang w:val="en-US"/>
        </w:rPr>
        <w:t>Selain indra luar (lahiriah), manusia juga memiliki indra dalam (batin)</w:t>
      </w:r>
    </w:p>
    <w:p>
      <w:pPr>
        <w:pStyle w:val="BookText"/>
        <w:bidi w:val="0"/>
        <w:jc w:val="both"/>
        <w:rPr/>
      </w:pPr>
      <w:r>
        <w:rPr>
          <w:rFonts w:eastAsia="Times New Roman" w:cs="Times New Roman" w:ascii="Times New Roman" w:hAnsi="Times New Roman"/>
          <w:color w:val="111111"/>
          <w:sz w:val="28"/>
          <w:szCs w:val="28"/>
          <w:lang w:val="en-US"/>
        </w:rPr>
        <w:t>yang membuatnya mampu mengetahui dan bersentuhan langsung</w:t>
      </w:r>
    </w:p>
    <w:p>
      <w:pPr>
        <w:pStyle w:val="BookText"/>
        <w:bidi w:val="0"/>
        <w:jc w:val="both"/>
        <w:rPr/>
      </w:pPr>
      <w:r>
        <w:rPr>
          <w:rFonts w:eastAsia="Times New Roman" w:cs="Times New Roman" w:ascii="Times New Roman" w:hAnsi="Times New Roman"/>
          <w:color w:val="111111"/>
          <w:sz w:val="28"/>
          <w:szCs w:val="28"/>
          <w:lang w:val="en-US"/>
        </w:rPr>
        <w:t>dengan realitas. Pengetahuan yang diperoleh lewat penyaksian batin</w:t>
      </w:r>
    </w:p>
    <w:p>
      <w:pPr>
        <w:pStyle w:val="BookText"/>
        <w:bidi w:val="0"/>
        <w:jc w:val="both"/>
        <w:rPr/>
      </w:pPr>
      <w:r>
        <w:rPr>
          <w:rFonts w:eastAsia="Times New Roman" w:cs="Times New Roman" w:ascii="Times New Roman" w:hAnsi="Times New Roman"/>
          <w:color w:val="111111"/>
          <w:sz w:val="28"/>
          <w:szCs w:val="28"/>
          <w:lang w:val="en-US"/>
        </w:rPr>
        <w:t>dan, dalam konteks filsafat, disebut ilmu huduri bercirikan ‘mustahil</w:t>
      </w:r>
    </w:p>
    <w:p>
      <w:pPr>
        <w:pStyle w:val="BookText"/>
        <w:bidi w:val="0"/>
        <w:jc w:val="both"/>
        <w:rPr/>
      </w:pPr>
      <w:r>
        <w:rPr>
          <w:rFonts w:eastAsia="Times New Roman" w:cs="Times New Roman" w:ascii="Times New Roman" w:hAnsi="Times New Roman"/>
          <w:color w:val="111111"/>
          <w:sz w:val="28"/>
          <w:szCs w:val="28"/>
          <w:lang w:val="en-US"/>
        </w:rPr>
        <w:t>keliru’. Contoh sederhananya, rasa lapar. Boleh jadi kenyataannya,</w:t>
      </w:r>
    </w:p>
    <w:p>
      <w:pPr>
        <w:pStyle w:val="BookText"/>
        <w:bidi w:val="0"/>
        <w:jc w:val="both"/>
        <w:rPr/>
      </w:pPr>
      <w:r>
        <w:rPr>
          <w:rFonts w:eastAsia="Times New Roman" w:cs="Times New Roman" w:ascii="Times New Roman" w:hAnsi="Times New Roman"/>
          <w:color w:val="111111"/>
          <w:sz w:val="28"/>
          <w:szCs w:val="28"/>
          <w:lang w:val="en-US"/>
        </w:rPr>
        <w:t>anggota-anggota tubuh seseorang tidak butuh makanan sehingga</w:t>
      </w:r>
    </w:p>
    <w:p>
      <w:pPr>
        <w:pStyle w:val="BookText"/>
        <w:bidi w:val="0"/>
        <w:jc w:val="both"/>
        <w:rPr/>
      </w:pPr>
      <w:r>
        <w:rPr>
          <w:rFonts w:eastAsia="Times New Roman" w:cs="Times New Roman" w:ascii="Times New Roman" w:hAnsi="Times New Roman"/>
          <w:color w:val="111111"/>
          <w:sz w:val="28"/>
          <w:szCs w:val="28"/>
          <w:lang w:val="en-US"/>
        </w:rPr>
        <w:t>keliru menganggap dirinya lapar; namun kenyataan bahwa dia</w:t>
      </w:r>
    </w:p>
    <w:p>
      <w:pPr>
        <w:pStyle w:val="BookText"/>
        <w:bidi w:val="0"/>
        <w:jc w:val="both"/>
        <w:rPr/>
      </w:pPr>
      <w:r>
        <w:rPr>
          <w:rFonts w:eastAsia="Times New Roman" w:cs="Times New Roman" w:ascii="Times New Roman" w:hAnsi="Times New Roman"/>
          <w:color w:val="111111"/>
          <w:sz w:val="28"/>
          <w:szCs w:val="28"/>
          <w:lang w:val="en-US"/>
        </w:rPr>
        <w:t>merasakan lapar dalam dirinya sendiri merupakan fakta yang sama</w:t>
      </w:r>
    </w:p>
    <w:p>
      <w:pPr>
        <w:pStyle w:val="BookText"/>
        <w:bidi w:val="0"/>
        <w:jc w:val="both"/>
        <w:rPr/>
      </w:pPr>
      <w:r>
        <w:rPr>
          <w:rFonts w:eastAsia="Times New Roman" w:cs="Times New Roman" w:ascii="Times New Roman" w:hAnsi="Times New Roman"/>
          <w:color w:val="111111"/>
          <w:sz w:val="28"/>
          <w:szCs w:val="28"/>
          <w:lang w:val="en-US"/>
        </w:rPr>
        <w:t>sekali tidak dapat diragukan.</w:t>
      </w:r>
    </w:p>
    <w:p>
      <w:pPr>
        <w:pStyle w:val="BookText"/>
        <w:bidi w:val="0"/>
        <w:jc w:val="both"/>
        <w:rPr/>
      </w:pPr>
      <w:r>
        <w:rPr>
          <w:rFonts w:eastAsia="Times New Roman" w:cs="Times New Roman" w:ascii="Times New Roman" w:hAnsi="Times New Roman"/>
          <w:color w:val="111111"/>
          <w:sz w:val="28"/>
          <w:szCs w:val="28"/>
          <w:lang w:val="en-US"/>
        </w:rPr>
        <w:t>Penyingkapan ruhani (kasyf) dan penyaksian batin (syuhud)</w:t>
      </w:r>
    </w:p>
    <w:p>
      <w:pPr>
        <w:pStyle w:val="BookText"/>
        <w:bidi w:val="0"/>
        <w:jc w:val="both"/>
        <w:rPr/>
      </w:pPr>
      <w:r>
        <w:rPr>
          <w:rFonts w:eastAsia="Times New Roman" w:cs="Times New Roman" w:ascii="Times New Roman" w:hAnsi="Times New Roman"/>
          <w:color w:val="111111"/>
          <w:sz w:val="28"/>
          <w:szCs w:val="28"/>
          <w:lang w:val="en-US"/>
        </w:rPr>
        <w:t>tingkat tinggi hanya mungkin diraih lewat latihan-latihan tertentu</w:t>
      </w:r>
    </w:p>
    <w:p>
      <w:pPr>
        <w:pStyle w:val="BookText"/>
        <w:bidi w:val="0"/>
        <w:jc w:val="both"/>
        <w:rPr/>
      </w:pPr>
      <w:r>
        <w:rPr>
          <w:rFonts w:eastAsia="Times New Roman" w:cs="Times New Roman" w:ascii="Times New Roman" w:hAnsi="Times New Roman"/>
          <w:color w:val="111111"/>
          <w:sz w:val="28"/>
          <w:szCs w:val="28"/>
          <w:lang w:val="en-US"/>
        </w:rPr>
        <w:t>dan dalam keadaan tertentu pula. Kalangan arif mengklaim, seluruh</w:t>
      </w:r>
    </w:p>
    <w:p>
      <w:pPr>
        <w:pStyle w:val="BookText"/>
        <w:bidi w:val="0"/>
        <w:jc w:val="both"/>
        <w:rPr/>
      </w:pPr>
      <w:r>
        <w:rPr>
          <w:rFonts w:eastAsia="Times New Roman" w:cs="Times New Roman" w:ascii="Times New Roman" w:hAnsi="Times New Roman"/>
          <w:color w:val="111111"/>
          <w:sz w:val="28"/>
          <w:szCs w:val="28"/>
          <w:lang w:val="en-US"/>
        </w:rPr>
        <w:t>yang diperoleh kaum filsuf dengan jerih payah, pemikiran serius</w:t>
      </w:r>
    </w:p>
    <w:p>
      <w:pPr>
        <w:pStyle w:val="BookText"/>
        <w:bidi w:val="0"/>
        <w:jc w:val="both"/>
        <w:rPr/>
      </w:pPr>
      <w:r>
        <w:rPr>
          <w:rFonts w:eastAsia="Times New Roman" w:cs="Times New Roman" w:ascii="Times New Roman" w:hAnsi="Times New Roman"/>
          <w:color w:val="111111"/>
          <w:sz w:val="28"/>
          <w:szCs w:val="28"/>
          <w:lang w:val="en-US"/>
        </w:rPr>
        <w:t>dan pembuktian rasional, justru direngkuh melalui penyaksian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batin: </w:t>
      </w:r>
    </w:p>
    <w:p>
      <w:pPr>
        <w:pStyle w:val="BookText"/>
        <w:bidi w:val="0"/>
        <w:rPr/>
      </w:pPr>
      <w:r>
        <w:rPr>
          <w:rFonts w:eastAsia="Times New Roman" w:cs="Times New Roman" w:ascii="Times New Roman" w:hAnsi="Times New Roman"/>
          <w:color w:val="111111"/>
          <w:sz w:val="28"/>
          <w:szCs w:val="28"/>
          <w:lang w:val="en-US"/>
        </w:rPr>
        <w:t>Dia menambah banyak media falsafi</w:t>
      </w:r>
    </w:p>
    <w:p>
      <w:pPr>
        <w:pStyle w:val="BookText"/>
        <w:bidi w:val="0"/>
        <w:jc w:val="both"/>
        <w:rPr/>
      </w:pPr>
      <w:r>
        <w:rPr>
          <w:rFonts w:eastAsia="Times New Roman" w:cs="Times New Roman" w:ascii="Times New Roman" w:hAnsi="Times New Roman"/>
          <w:color w:val="111111"/>
          <w:sz w:val="28"/>
          <w:szCs w:val="28"/>
          <w:lang w:val="en-US"/>
        </w:rPr>
        <w:t>sederet bukti yang terbalik, lagi-lagi.</w:t>
      </w:r>
    </w:p>
    <w:p>
      <w:pPr>
        <w:pStyle w:val="BookText"/>
        <w:bidi w:val="0"/>
        <w:jc w:val="both"/>
        <w:rPr/>
      </w:pPr>
      <w:r>
        <w:rPr>
          <w:rFonts w:eastAsia="Times New Roman" w:cs="Times New Roman" w:ascii="Times New Roman" w:hAnsi="Times New Roman"/>
          <w:color w:val="111111"/>
          <w:sz w:val="28"/>
          <w:szCs w:val="28"/>
          <w:lang w:val="en-US"/>
        </w:rPr>
        <w:t>Jika asap bagi dia bukti api</w:t>
      </w:r>
    </w:p>
    <w:p>
      <w:pPr>
        <w:pStyle w:val="BookText"/>
        <w:bidi w:val="0"/>
        <w:jc w:val="both"/>
        <w:rPr/>
      </w:pPr>
      <w:r>
        <w:rPr>
          <w:rFonts w:eastAsia="Times New Roman" w:cs="Times New Roman" w:ascii="Times New Roman" w:hAnsi="Times New Roman"/>
          <w:color w:val="111111"/>
          <w:sz w:val="28"/>
          <w:szCs w:val="28"/>
          <w:lang w:val="en-US"/>
        </w:rPr>
        <w:t>biar tanpa asap, kami puas di dalam api.</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Dibandingkan dengan jalur indra dan akal, orang yang</w:t>
      </w:r>
    </w:p>
    <w:p>
      <w:pPr>
        <w:pStyle w:val="BookText"/>
        <w:bidi w:val="0"/>
        <w:jc w:val="both"/>
        <w:rPr/>
      </w:pPr>
      <w:r>
        <w:rPr>
          <w:rFonts w:eastAsia="Times New Roman" w:cs="Times New Roman" w:ascii="Times New Roman" w:hAnsi="Times New Roman"/>
          <w:color w:val="111111"/>
          <w:sz w:val="28"/>
          <w:szCs w:val="28"/>
          <w:lang w:val="en-US"/>
        </w:rPr>
        <w:t>menempuh jalur penyingkapan dan penyaksian ini jauh lebih sedikit</w:t>
      </w:r>
    </w:p>
    <w:p>
      <w:pPr>
        <w:pStyle w:val="BookText"/>
        <w:bidi w:val="0"/>
        <w:jc w:val="both"/>
        <w:rPr/>
      </w:pPr>
      <w:r>
        <w:rPr>
          <w:rFonts w:eastAsia="Times New Roman" w:cs="Times New Roman" w:ascii="Times New Roman" w:hAnsi="Times New Roman"/>
          <w:color w:val="111111"/>
          <w:sz w:val="28"/>
          <w:szCs w:val="28"/>
          <w:lang w:val="en-US"/>
        </w:rPr>
        <w:t>jumlahnya. Namun, bagaimanapun juga, ujung jalan ini berada di</w:t>
      </w:r>
    </w:p>
    <w:p>
      <w:pPr>
        <w:pStyle w:val="BookText"/>
        <w:bidi w:val="0"/>
        <w:jc w:val="both"/>
        <w:rPr/>
      </w:pPr>
      <w:r>
        <w:rPr>
          <w:rFonts w:eastAsia="Times New Roman" w:cs="Times New Roman" w:ascii="Times New Roman" w:hAnsi="Times New Roman"/>
          <w:color w:val="111111"/>
          <w:sz w:val="28"/>
          <w:szCs w:val="28"/>
          <w:lang w:val="en-US"/>
        </w:rPr>
        <w:t>hadapan setiap orang. Itulah sebabnya ia masih digolongkan sebagai</w:t>
      </w:r>
    </w:p>
    <w:p>
      <w:pPr>
        <w:pStyle w:val="BookText"/>
        <w:bidi w:val="0"/>
        <w:jc w:val="both"/>
        <w:rPr/>
      </w:pPr>
      <w:r>
        <w:rPr>
          <w:rFonts w:eastAsia="Times New Roman" w:cs="Times New Roman" w:ascii="Times New Roman" w:hAnsi="Times New Roman"/>
          <w:color w:val="111111"/>
          <w:sz w:val="28"/>
          <w:szCs w:val="28"/>
          <w:lang w:val="en-US"/>
        </w:rPr>
        <w:t>jalan umum untuk memperoleh pengetahuan. Siapa pun yang tekun</w:t>
      </w:r>
    </w:p>
    <w:p>
      <w:pPr>
        <w:pStyle w:val="BookText"/>
        <w:bidi w:val="0"/>
        <w:jc w:val="both"/>
        <w:rPr/>
      </w:pPr>
      <w:r>
        <w:rPr>
          <w:rFonts w:eastAsia="Times New Roman" w:cs="Times New Roman" w:ascii="Times New Roman" w:hAnsi="Times New Roman"/>
          <w:color w:val="111111"/>
          <w:sz w:val="28"/>
          <w:szCs w:val="28"/>
          <w:lang w:val="en-US"/>
        </w:rPr>
        <w:t>berlatih dan menempuh sair-suluk dengan segenap persyaratannya,</w:t>
      </w:r>
    </w:p>
    <w:p>
      <w:pPr>
        <w:pStyle w:val="BookText"/>
        <w:bidi w:val="0"/>
        <w:jc w:val="both"/>
        <w:rPr/>
      </w:pPr>
      <w:r>
        <w:rPr>
          <w:rFonts w:eastAsia="Times New Roman" w:cs="Times New Roman" w:ascii="Times New Roman" w:hAnsi="Times New Roman"/>
          <w:color w:val="111111"/>
          <w:sz w:val="28"/>
          <w:szCs w:val="28"/>
          <w:lang w:val="en-US"/>
        </w:rPr>
        <w:t>sedikit-banyak akan ‘mereguk’ hasil yang diharapkan.</w:t>
      </w:r>
    </w:p>
    <w:p>
      <w:pPr>
        <w:pStyle w:val="BookText"/>
        <w:bidi w:val="0"/>
        <w:jc w:val="both"/>
        <w:rPr/>
      </w:pPr>
      <w:r>
        <w:rPr>
          <w:rFonts w:eastAsia="Times New Roman" w:cs="Times New Roman" w:ascii="Times New Roman" w:hAnsi="Times New Roman"/>
          <w:color w:val="111111"/>
          <w:sz w:val="28"/>
          <w:szCs w:val="28"/>
          <w:lang w:val="en-US"/>
        </w:rPr>
        <w:t>Berbeda halnya dengan celah-celah menuju sumber istimewa</w:t>
      </w:r>
    </w:p>
    <w:p>
      <w:pPr>
        <w:pStyle w:val="BookText"/>
        <w:bidi w:val="0"/>
        <w:jc w:val="both"/>
        <w:rPr/>
      </w:pPr>
      <w:r>
        <w:rPr>
          <w:rFonts w:eastAsia="Times New Roman" w:cs="Times New Roman" w:ascii="Times New Roman" w:hAnsi="Times New Roman"/>
          <w:color w:val="111111"/>
          <w:sz w:val="28"/>
          <w:szCs w:val="28"/>
          <w:lang w:val="en-US"/>
        </w:rPr>
        <w:t>perolehan ilmu, yakni wahyu: mustahil terbuka kecuali dengan</w:t>
      </w:r>
    </w:p>
    <w:p>
      <w:pPr>
        <w:pStyle w:val="BookText"/>
        <w:bidi w:val="0"/>
        <w:jc w:val="both"/>
        <w:rPr/>
      </w:pPr>
      <w:r>
        <w:rPr>
          <w:rFonts w:eastAsia="Times New Roman" w:cs="Times New Roman" w:ascii="Times New Roman" w:hAnsi="Times New Roman"/>
          <w:color w:val="111111"/>
          <w:sz w:val="28"/>
          <w:szCs w:val="28"/>
          <w:lang w:val="en-US"/>
        </w:rPr>
        <w:t>kehendak khusus Ilahi. Sejauh manapun manusia_ menanjak</w:t>
      </w:r>
    </w:p>
    <w:p>
      <w:pPr>
        <w:pStyle w:val="BookText"/>
        <w:bidi w:val="0"/>
        <w:jc w:val="both"/>
        <w:rPr/>
      </w:pPr>
      <w:r>
        <w:rPr>
          <w:rFonts w:eastAsia="Times New Roman" w:cs="Times New Roman" w:ascii="Times New Roman" w:hAnsi="Times New Roman"/>
          <w:color w:val="111111"/>
          <w:sz w:val="28"/>
          <w:szCs w:val="28"/>
          <w:lang w:val="en-US"/>
        </w:rPr>
        <w:t>dan menapaki jenjang-jenjang kedekatan dengan Tuhannya,</w:t>
      </w:r>
    </w:p>
    <w:p>
      <w:pPr>
        <w:pStyle w:val="BookText"/>
        <w:bidi w:val="0"/>
        <w:jc w:val="both"/>
        <w:rPr/>
      </w:pPr>
      <w:r>
        <w:rPr>
          <w:rFonts w:eastAsia="Times New Roman" w:cs="Times New Roman" w:ascii="Times New Roman" w:hAnsi="Times New Roman"/>
          <w:color w:val="111111"/>
          <w:sz w:val="28"/>
          <w:szCs w:val="28"/>
          <w:lang w:val="en-US"/>
        </w:rPr>
        <w:t>serta menyandang kelayakan tertentu, tetap saja semua itu tidak</w:t>
      </w:r>
    </w:p>
    <w:p>
      <w:pPr>
        <w:pStyle w:val="BookText"/>
        <w:bidi w:val="0"/>
        <w:jc w:val="both"/>
        <w:rPr/>
      </w:pPr>
      <w:r>
        <w:rPr>
          <w:rFonts w:eastAsia="Times New Roman" w:cs="Times New Roman" w:ascii="Times New Roman" w:hAnsi="Times New Roman"/>
          <w:color w:val="111111"/>
          <w:sz w:val="28"/>
          <w:szCs w:val="28"/>
          <w:lang w:val="en-US"/>
        </w:rPr>
        <w:t>meniscayakan turunnya wahyu. Bagaimanapun kondisinya, prinsip</w:t>
      </w:r>
    </w:p>
    <w:p>
      <w:pPr>
        <w:pStyle w:val="BookText"/>
        <w:bidi w:val="0"/>
        <w:jc w:val="both"/>
        <w:rPr/>
      </w:pPr>
      <w:r>
        <w:rPr>
          <w:rFonts w:eastAsia="Times New Roman" w:cs="Times New Roman" w:ascii="Times New Roman" w:hAnsi="Times New Roman"/>
          <w:color w:val="111111"/>
          <w:sz w:val="28"/>
          <w:szCs w:val="28"/>
          <w:lang w:val="en-US"/>
        </w:rPr>
        <w:t>Keadilan menuntut orang-orang yang tidak memperoleh wahyu—</w:t>
      </w:r>
    </w:p>
    <w:p>
      <w:pPr>
        <w:pStyle w:val="BookText"/>
        <w:bidi w:val="0"/>
        <w:jc w:val="both"/>
        <w:rPr/>
      </w:pPr>
      <w:r>
        <w:rPr>
          <w:rFonts w:eastAsia="Times New Roman" w:cs="Times New Roman" w:ascii="Times New Roman" w:hAnsi="Times New Roman"/>
          <w:color w:val="111111"/>
          <w:sz w:val="28"/>
          <w:szCs w:val="28"/>
          <w:lang w:val="en-US"/>
        </w:rPr>
        <w:t>secara langsung—untuk tidak menutup kemungkinan turunnya</w:t>
      </w:r>
    </w:p>
    <w:p>
      <w:pPr>
        <w:pStyle w:val="BookText"/>
        <w:bidi w:val="0"/>
        <w:jc w:val="both"/>
        <w:rPr/>
      </w:pPr>
      <w:r>
        <w:rPr>
          <w:rFonts w:eastAsia="Times New Roman" w:cs="Times New Roman" w:ascii="Times New Roman" w:hAnsi="Times New Roman"/>
          <w:color w:val="111111"/>
          <w:sz w:val="28"/>
          <w:szCs w:val="28"/>
          <w:lang w:val="en-US"/>
        </w:rPr>
        <w:t>wahyu, atau tidak bersikeras menyangkalnya.</w:t>
      </w:r>
    </w:p>
    <w:p>
      <w:pPr>
        <w:pStyle w:val="BookText"/>
        <w:bidi w:val="0"/>
        <w:jc w:val="both"/>
        <w:rPr/>
      </w:pPr>
      <w:r>
        <w:rPr>
          <w:rFonts w:eastAsia="Times New Roman" w:cs="Times New Roman" w:ascii="Times New Roman" w:hAnsi="Times New Roman"/>
          <w:color w:val="111111"/>
          <w:sz w:val="28"/>
          <w:szCs w:val="28"/>
          <w:lang w:val="en-US"/>
        </w:rPr>
        <w:t>Perlu diketahui, apabila kita perluas makna indra pada faktor</w:t>
      </w:r>
    </w:p>
    <w:p>
      <w:pPr>
        <w:pStyle w:val="BookText"/>
        <w:bidi w:val="0"/>
        <w:jc w:val="both"/>
        <w:rPr/>
      </w:pPr>
      <w:r>
        <w:rPr>
          <w:rFonts w:eastAsia="Times New Roman" w:cs="Times New Roman" w:ascii="Times New Roman" w:hAnsi="Times New Roman"/>
          <w:color w:val="111111"/>
          <w:sz w:val="28"/>
          <w:szCs w:val="28"/>
          <w:lang w:val="en-US"/>
        </w:rPr>
        <w:t>pertama sehingga mencakup indra luar sekaligus indra dalam, maka</w:t>
      </w:r>
    </w:p>
    <w:p>
      <w:pPr>
        <w:pStyle w:val="BookText"/>
        <w:bidi w:val="0"/>
        <w:jc w:val="both"/>
        <w:rPr/>
      </w:pPr>
      <w:r>
        <w:rPr>
          <w:rFonts w:eastAsia="Times New Roman" w:cs="Times New Roman" w:ascii="Times New Roman" w:hAnsi="Times New Roman"/>
          <w:color w:val="111111"/>
          <w:sz w:val="28"/>
          <w:szCs w:val="28"/>
          <w:lang w:val="en-US"/>
        </w:rPr>
        <w:t>jalan keempat juga akan kembali pada jalan pertama; seperti juga</w:t>
      </w:r>
    </w:p>
    <w:p>
      <w:pPr>
        <w:pStyle w:val="BookText"/>
        <w:bidi w:val="0"/>
        <w:jc w:val="both"/>
        <w:rPr/>
      </w:pPr>
      <w:r>
        <w:rPr>
          <w:rFonts w:eastAsia="Times New Roman" w:cs="Times New Roman" w:ascii="Times New Roman" w:hAnsi="Times New Roman"/>
          <w:color w:val="111111"/>
          <w:sz w:val="28"/>
          <w:szCs w:val="28"/>
          <w:lang w:val="en-US"/>
        </w:rPr>
        <w:t>jalan teks dapat dikembalikan pada jalan indra. Sebab, pada akhirnya,</w:t>
      </w:r>
    </w:p>
    <w:p>
      <w:pPr>
        <w:pStyle w:val="BookText"/>
        <w:bidi w:val="0"/>
        <w:jc w:val="both"/>
        <w:rPr/>
      </w:pPr>
      <w:r>
        <w:rPr>
          <w:rFonts w:eastAsia="Times New Roman" w:cs="Times New Roman" w:ascii="Times New Roman" w:hAnsi="Times New Roman"/>
          <w:color w:val="111111"/>
          <w:sz w:val="28"/>
          <w:szCs w:val="28"/>
          <w:lang w:val="en-US"/>
        </w:rPr>
        <w:t>rangkaian penukil akan berujung pada sosok yang mengetahui</w:t>
      </w:r>
    </w:p>
    <w:p>
      <w:pPr>
        <w:pStyle w:val="BookText"/>
        <w:bidi w:val="0"/>
        <w:jc w:val="both"/>
        <w:rPr/>
      </w:pPr>
      <w:r>
        <w:rPr>
          <w:rFonts w:eastAsia="Times New Roman" w:cs="Times New Roman" w:ascii="Times New Roman" w:hAnsi="Times New Roman"/>
          <w:color w:val="111111"/>
          <w:sz w:val="28"/>
          <w:szCs w:val="28"/>
          <w:lang w:val="en-US"/>
        </w:rPr>
        <w:t>subjek yang diriwayatkan melalui indranya.</w:t>
      </w:r>
    </w:p>
    <w:p>
      <w:pPr>
        <w:pStyle w:val="BookText"/>
        <w:bidi w:val="0"/>
        <w:jc w:val="both"/>
        <w:rPr/>
      </w:pPr>
      <w:r>
        <w:rPr>
          <w:rFonts w:eastAsia="Times New Roman" w:cs="Times New Roman" w:ascii="Times New Roman" w:hAnsi="Times New Roman"/>
          <w:color w:val="111111"/>
          <w:sz w:val="28"/>
          <w:szCs w:val="28"/>
          <w:lang w:val="en-US"/>
        </w:rPr>
        <w:t>Bagaimanapun, terminologi akal dalam pembahasan buku ini</w:t>
      </w:r>
    </w:p>
    <w:p>
      <w:pPr>
        <w:pStyle w:val="BookText"/>
        <w:bidi w:val="0"/>
        <w:jc w:val="both"/>
        <w:rPr/>
      </w:pPr>
      <w:r>
        <w:rPr>
          <w:rFonts w:eastAsia="Times New Roman" w:cs="Times New Roman" w:ascii="Times New Roman" w:hAnsi="Times New Roman"/>
          <w:color w:val="111111"/>
          <w:sz w:val="28"/>
          <w:szCs w:val="28"/>
          <w:lang w:val="en-US"/>
        </w:rPr>
        <w:t>bermakna seluruh pengetahuan yang diperoleh melalui empat atau</w:t>
      </w:r>
    </w:p>
    <w:p>
      <w:pPr>
        <w:pStyle w:val="BookText"/>
        <w:bidi w:val="0"/>
        <w:jc w:val="both"/>
        <w:rPr/>
      </w:pPr>
      <w:r>
        <w:rPr>
          <w:rFonts w:eastAsia="Times New Roman" w:cs="Times New Roman" w:ascii="Times New Roman" w:hAnsi="Times New Roman"/>
          <w:color w:val="111111"/>
          <w:sz w:val="28"/>
          <w:szCs w:val="28"/>
          <w:lang w:val="en-US"/>
        </w:rPr>
        <w:t>dua jalan tersebut. Poin yang perlu ditambahkan di sini, adakalanya</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akal didefinisikan sebagai daya yang darinya pengetahuan- </w:t>
      </w:r>
      <w:bookmarkStart w:id="37" w:name="pg5378_50411"/>
    </w:p>
    <w:p>
      <w:pPr>
        <w:pStyle w:val="BookText"/>
        <w:bidi w:val="0"/>
        <w:rPr/>
      </w:pPr>
      <w:bookmarkEnd w:id="37"/>
      <w:r>
        <w:rPr>
          <w:rFonts w:eastAsia="Times New Roman" w:cs="Times New Roman" w:ascii="Times New Roman" w:hAnsi="Times New Roman"/>
          <w:color w:val="111111"/>
          <w:sz w:val="28"/>
          <w:szCs w:val="28"/>
          <w:lang w:val="en-US"/>
        </w:rPr>
        <w:t>pengetahuan itu berasal, dan adakalanya—terutama dalam bahasa</w:t>
      </w:r>
    </w:p>
    <w:p>
      <w:pPr>
        <w:pStyle w:val="BookText"/>
        <w:bidi w:val="0"/>
        <w:jc w:val="both"/>
        <w:rPr/>
      </w:pPr>
      <w:r>
        <w:rPr>
          <w:rFonts w:eastAsia="Times New Roman" w:cs="Times New Roman" w:ascii="Times New Roman" w:hAnsi="Times New Roman"/>
          <w:color w:val="111111"/>
          <w:sz w:val="28"/>
          <w:szCs w:val="28"/>
          <w:lang w:val="en-US"/>
        </w:rPr>
        <w:t>Arab—dipandang dalam bentuk masdarya (asal kata), yakni kegiatan</w:t>
      </w:r>
    </w:p>
    <w:p>
      <w:pPr>
        <w:pStyle w:val="BookText"/>
        <w:bidi w:val="0"/>
        <w:jc w:val="both"/>
        <w:rPr/>
      </w:pPr>
      <w:r>
        <w:rPr>
          <w:rFonts w:eastAsia="Times New Roman" w:cs="Times New Roman" w:ascii="Times New Roman" w:hAnsi="Times New Roman"/>
          <w:color w:val="111111"/>
          <w:sz w:val="28"/>
          <w:szCs w:val="28"/>
          <w:lang w:val="en-US"/>
        </w:rPr>
        <w:t>berpikir dan menggunakan akal. Kata akal juga terkadang diartikan</w:t>
      </w:r>
    </w:p>
    <w:p>
      <w:pPr>
        <w:pStyle w:val="BookText"/>
        <w:bidi w:val="0"/>
        <w:jc w:val="both"/>
        <w:rPr/>
      </w:pPr>
      <w:r>
        <w:rPr>
          <w:rFonts w:eastAsia="Times New Roman" w:cs="Times New Roman" w:ascii="Times New Roman" w:hAnsi="Times New Roman"/>
          <w:color w:val="111111"/>
          <w:sz w:val="28"/>
          <w:szCs w:val="28"/>
          <w:lang w:val="en-US"/>
        </w:rPr>
        <w:t>dalam bentuk masdar akusatif (mafuli, objek), yakni pengetahuan-</w:t>
      </w:r>
    </w:p>
    <w:p>
      <w:pPr>
        <w:pStyle w:val="BookText"/>
        <w:bidi w:val="0"/>
        <w:jc w:val="both"/>
        <w:rPr/>
      </w:pPr>
      <w:r>
        <w:rPr>
          <w:rFonts w:eastAsia="Times New Roman" w:cs="Times New Roman" w:ascii="Times New Roman" w:hAnsi="Times New Roman"/>
          <w:color w:val="111111"/>
          <w:sz w:val="28"/>
          <w:szCs w:val="28"/>
          <w:lang w:val="en-US"/>
        </w:rPr>
        <w:t>pengetahuan yang diserap dan dipikirkan.</w:t>
      </w:r>
      <w:r>
        <w:rPr>
          <w:rStyle w:val="FootnoteAnchor"/>
        </w:rPr>
        <w:footnoteReference w:id="16"/>
      </w:r>
      <w:r>
        <w:rPr>
          <w:rFonts w:eastAsia="Times New Roman" w:cs="Times New Roman" w:ascii="Times New Roman" w:hAnsi="Times New Roman"/>
          <w:color w:val="111111"/>
          <w:sz w:val="28"/>
          <w:szCs w:val="28"/>
          <w:lang w:val="en-US"/>
        </w:rPr>
        <w:t>Dengan demikian,</w:t>
      </w:r>
    </w:p>
    <w:p>
      <w:pPr>
        <w:pStyle w:val="BookText"/>
        <w:bidi w:val="0"/>
        <w:jc w:val="both"/>
        <w:rPr/>
      </w:pPr>
      <w:r>
        <w:rPr>
          <w:rFonts w:eastAsia="Times New Roman" w:cs="Times New Roman" w:ascii="Times New Roman" w:hAnsi="Times New Roman"/>
          <w:color w:val="111111"/>
          <w:sz w:val="28"/>
          <w:szCs w:val="28"/>
          <w:lang w:val="en-US"/>
        </w:rPr>
        <w:t>hubungan antara akal dan wahyu ditafsirkan sebagai relasi antara</w:t>
      </w:r>
    </w:p>
    <w:p>
      <w:pPr>
        <w:pStyle w:val="BookText"/>
        <w:bidi w:val="0"/>
        <w:jc w:val="both"/>
        <w:rPr/>
      </w:pPr>
      <w:r>
        <w:rPr>
          <w:rFonts w:eastAsia="Times New Roman" w:cs="Times New Roman" w:ascii="Times New Roman" w:hAnsi="Times New Roman"/>
          <w:color w:val="111111"/>
          <w:sz w:val="28"/>
          <w:szCs w:val="28"/>
          <w:lang w:val="en-US"/>
        </w:rPr>
        <w:t>pengetahuan aklani dan pengetahuan wahyuni.</w:t>
      </w:r>
    </w:p>
    <w:p>
      <w:pPr>
        <w:pStyle w:val="Heading3"/>
        <w:numPr>
          <w:ilvl w:val="2"/>
          <w:numId w:val="1"/>
        </w:numPr>
        <w:bidi w:val="0"/>
        <w:jc w:val="left"/>
        <w:rPr/>
      </w:pPr>
      <w:bookmarkStart w:id="38" w:name="__RefHeading___Toc1351070_581953129"/>
      <w:bookmarkStart w:id="39" w:name="_Toc14"/>
      <w:bookmarkEnd w:id="38"/>
      <w:r>
        <w:rPr/>
        <w:t>Jalan Khusus</w:t>
      </w:r>
      <w:bookmarkEnd w:id="39"/>
    </w:p>
    <w:p>
      <w:pPr>
        <w:pStyle w:val="Heading4"/>
        <w:numPr>
          <w:ilvl w:val="3"/>
          <w:numId w:val="1"/>
        </w:numPr>
        <w:bidi w:val="0"/>
        <w:jc w:val="left"/>
        <w:rPr/>
      </w:pPr>
      <w:bookmarkStart w:id="40" w:name="__RefHeading___Toc1351072_581953129"/>
      <w:bookmarkStart w:id="41" w:name="_Toc15"/>
      <w:bookmarkEnd w:id="40"/>
      <w:r>
        <w:rPr/>
        <w:t>Point</w:t>
      </w:r>
      <w:bookmarkEnd w:id="41"/>
    </w:p>
    <w:p>
      <w:pPr>
        <w:pStyle w:val="BookText"/>
        <w:bidi w:val="0"/>
        <w:jc w:val="both"/>
        <w:rPr/>
      </w:pPr>
      <w:r>
        <w:rPr>
          <w:rFonts w:eastAsia="Times New Roman" w:cs="Times New Roman" w:ascii="Times New Roman" w:hAnsi="Times New Roman"/>
          <w:color w:val="111111"/>
          <w:sz w:val="28"/>
          <w:szCs w:val="28"/>
          <w:lang w:val="en-US"/>
        </w:rPr>
        <w:t>Jalan khusus memperoleh pengetahuan berbeda dengan empat jalan</w:t>
      </w:r>
    </w:p>
    <w:p>
      <w:pPr>
        <w:pStyle w:val="BookText"/>
        <w:bidi w:val="0"/>
        <w:jc w:val="both"/>
        <w:rPr/>
      </w:pPr>
      <w:r>
        <w:rPr>
          <w:rFonts w:eastAsia="Times New Roman" w:cs="Times New Roman" w:ascii="Times New Roman" w:hAnsi="Times New Roman"/>
          <w:color w:val="111111"/>
          <w:sz w:val="28"/>
          <w:szCs w:val="28"/>
          <w:lang w:val="en-US"/>
        </w:rPr>
        <w:t>sebelumnya; jalan ini melampaui (beyond) kehendak manusia dan</w:t>
      </w:r>
    </w:p>
    <w:p>
      <w:pPr>
        <w:pStyle w:val="BookText"/>
        <w:bidi w:val="0"/>
        <w:jc w:val="both"/>
        <w:rPr/>
      </w:pPr>
      <w:r>
        <w:rPr>
          <w:rFonts w:eastAsia="Times New Roman" w:cs="Times New Roman" w:ascii="Times New Roman" w:hAnsi="Times New Roman"/>
          <w:color w:val="111111"/>
          <w:sz w:val="28"/>
          <w:szCs w:val="28"/>
          <w:lang w:val="en-US"/>
        </w:rPr>
        <w:t>harus dibuka dari arah lain. Inilah jalan wahyu. Hanya para nabi</w:t>
      </w:r>
    </w:p>
    <w:p>
      <w:pPr>
        <w:pStyle w:val="BookText"/>
        <w:bidi w:val="0"/>
        <w:jc w:val="both"/>
        <w:rPr/>
      </w:pPr>
      <w:r>
        <w:rPr>
          <w:rFonts w:eastAsia="Times New Roman" w:cs="Times New Roman" w:ascii="Times New Roman" w:hAnsi="Times New Roman"/>
          <w:color w:val="111111"/>
          <w:sz w:val="28"/>
          <w:szCs w:val="28"/>
          <w:lang w:val="en-US"/>
        </w:rPr>
        <w:t>yang mengalaminya secara langsung, adapun selain mereka dapat</w:t>
      </w:r>
    </w:p>
    <w:p>
      <w:pPr>
        <w:pStyle w:val="BookText"/>
        <w:bidi w:val="0"/>
        <w:jc w:val="both"/>
        <w:rPr/>
      </w:pPr>
      <w:r>
        <w:rPr>
          <w:rFonts w:eastAsia="Times New Roman" w:cs="Times New Roman" w:ascii="Times New Roman" w:hAnsi="Times New Roman"/>
          <w:color w:val="111111"/>
          <w:sz w:val="28"/>
          <w:szCs w:val="28"/>
          <w:lang w:val="en-US"/>
        </w:rPr>
        <w:t>mengecap hidangan wahyu melalui mediasi mereka (para nabi).</w:t>
      </w:r>
    </w:p>
    <w:p>
      <w:pPr>
        <w:pStyle w:val="BookText"/>
        <w:bidi w:val="0"/>
        <w:jc w:val="both"/>
        <w:rPr/>
      </w:pPr>
      <w:r>
        <w:rPr>
          <w:rFonts w:eastAsia="Times New Roman" w:cs="Times New Roman" w:ascii="Times New Roman" w:hAnsi="Times New Roman"/>
          <w:color w:val="111111"/>
          <w:sz w:val="28"/>
          <w:szCs w:val="28"/>
          <w:lang w:val="en-US"/>
        </w:rPr>
        <w:t>Dalam pandangan kaum teolog, wahyu adalah “pengajaran ilmu</w:t>
      </w:r>
    </w:p>
    <w:p>
      <w:pPr>
        <w:pStyle w:val="BookText"/>
        <w:bidi w:val="0"/>
        <w:jc w:val="both"/>
        <w:rPr/>
      </w:pPr>
      <w:r>
        <w:rPr>
          <w:rFonts w:eastAsia="Times New Roman" w:cs="Times New Roman" w:ascii="Times New Roman" w:hAnsi="Times New Roman"/>
          <w:color w:val="111111"/>
          <w:sz w:val="28"/>
          <w:szCs w:val="28"/>
          <w:lang w:val="en-US"/>
        </w:rPr>
        <w:t>secara khusus dari Allah Swt kepada hamba-Nya yang terpilih yang</w:t>
      </w:r>
    </w:p>
    <w:p>
      <w:pPr>
        <w:pStyle w:val="BookText"/>
        <w:bidi w:val="0"/>
        <w:jc w:val="both"/>
        <w:rPr/>
      </w:pPr>
      <w:r>
        <w:rPr>
          <w:rFonts w:eastAsia="Times New Roman" w:cs="Times New Roman" w:ascii="Times New Roman" w:hAnsi="Times New Roman"/>
          <w:color w:val="111111"/>
          <w:sz w:val="28"/>
          <w:szCs w:val="28"/>
          <w:lang w:val="en-US"/>
        </w:rPr>
        <w:t xml:space="preserve">ditugasi untuk memberi petunjuk kepada umat manusia”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Namun, hakikat wahyu itu sendiri sangat sulit—kalau bukan</w:t>
      </w:r>
    </w:p>
    <w:p>
      <w:pPr>
        <w:pStyle w:val="BookText"/>
        <w:bidi w:val="0"/>
        <w:jc w:val="both"/>
        <w:rPr/>
      </w:pPr>
      <w:r>
        <w:rPr>
          <w:rFonts w:eastAsia="Times New Roman" w:cs="Times New Roman" w:ascii="Times New Roman" w:hAnsi="Times New Roman"/>
          <w:color w:val="111111"/>
          <w:sz w:val="28"/>
          <w:szCs w:val="28"/>
          <w:lang w:val="en-US"/>
        </w:rPr>
        <w:t>malah mustahil—diketahui, kecuali oleh orang yang mencapai</w:t>
      </w:r>
    </w:p>
    <w:p>
      <w:pPr>
        <w:pStyle w:val="BookText"/>
        <w:bidi w:val="0"/>
        <w:jc w:val="both"/>
        <w:rPr/>
      </w:pPr>
      <w:r>
        <w:rPr>
          <w:rFonts w:eastAsia="Times New Roman" w:cs="Times New Roman" w:ascii="Times New Roman" w:hAnsi="Times New Roman"/>
          <w:color w:val="111111"/>
          <w:sz w:val="28"/>
          <w:szCs w:val="28"/>
          <w:lang w:val="en-US"/>
        </w:rPr>
        <w:t>kedudukan wahyu itu sendiri. Ini seperti pengetahuan seseorang</w:t>
      </w:r>
    </w:p>
    <w:p>
      <w:pPr>
        <w:pStyle w:val="BookText"/>
        <w:bidi w:val="0"/>
        <w:jc w:val="both"/>
        <w:rPr/>
      </w:pPr>
      <w:r>
        <w:rPr>
          <w:rFonts w:eastAsia="Times New Roman" w:cs="Times New Roman" w:ascii="Times New Roman" w:hAnsi="Times New Roman"/>
          <w:color w:val="111111"/>
          <w:sz w:val="28"/>
          <w:szCs w:val="28"/>
          <w:lang w:val="en-US"/>
        </w:rPr>
        <w:t>yang terlahir tunanetra tentang bunga-bunga dan segenap warna-</w:t>
      </w:r>
    </w:p>
    <w:p>
      <w:pPr>
        <w:pStyle w:val="BookText"/>
        <w:bidi w:val="0"/>
        <w:jc w:val="both"/>
        <w:rPr/>
      </w:pPr>
      <w:r>
        <w:rPr>
          <w:rFonts w:eastAsia="Times New Roman" w:cs="Times New Roman" w:ascii="Times New Roman" w:hAnsi="Times New Roman"/>
          <w:color w:val="111111"/>
          <w:sz w:val="28"/>
          <w:szCs w:val="28"/>
          <w:lang w:val="en-US"/>
        </w:rPr>
        <w:t>warni serta kenikmatan yang bisa diperoleh dari panoramanya. Jelas,</w:t>
      </w:r>
    </w:p>
    <w:p>
      <w:pPr>
        <w:pStyle w:val="BookText"/>
        <w:bidi w:val="0"/>
        <w:jc w:val="both"/>
        <w:rPr/>
      </w:pPr>
      <w:r>
        <w:rPr>
          <w:rFonts w:eastAsia="Times New Roman" w:cs="Times New Roman" w:ascii="Times New Roman" w:hAnsi="Times New Roman"/>
          <w:color w:val="111111"/>
          <w:sz w:val="28"/>
          <w:szCs w:val="28"/>
          <w:lang w:val="en-US"/>
        </w:rPr>
        <w:t>pengetahuannya itu akan sangat jauh dari kenyataan.</w:t>
      </w:r>
    </w:p>
    <w:p>
      <w:pPr>
        <w:pStyle w:val="BookText"/>
        <w:bidi w:val="0"/>
        <w:jc w:val="both"/>
        <w:rPr/>
      </w:pPr>
      <w:r>
        <w:rPr>
          <w:rFonts w:eastAsia="Times New Roman" w:cs="Times New Roman" w:ascii="Times New Roman" w:hAnsi="Times New Roman"/>
          <w:color w:val="111111"/>
          <w:sz w:val="28"/>
          <w:szCs w:val="28"/>
          <w:lang w:val="en-US"/>
        </w:rPr>
        <w:t>Kendati begitu, kita dapat mengenali beberapa ciri wahyu</w:t>
      </w:r>
    </w:p>
    <w:p>
      <w:pPr>
        <w:pStyle w:val="BookText"/>
        <w:bidi w:val="0"/>
        <w:jc w:val="both"/>
        <w:rPr/>
      </w:pPr>
      <w:r>
        <w:rPr>
          <w:rFonts w:eastAsia="Times New Roman" w:cs="Times New Roman" w:ascii="Times New Roman" w:hAnsi="Times New Roman"/>
          <w:color w:val="111111"/>
          <w:sz w:val="28"/>
          <w:szCs w:val="28"/>
          <w:lang w:val="en-US"/>
        </w:rPr>
        <w:t>melalui bukti-bukti rasional serta sejumlah kesaksian dari Alquran</w:t>
      </w:r>
    </w:p>
    <w:p>
      <w:pPr>
        <w:pStyle w:val="BookText"/>
        <w:bidi w:val="0"/>
        <w:jc w:val="both"/>
        <w:rPr/>
      </w:pPr>
      <w:r>
        <w:rPr>
          <w:rFonts w:eastAsia="Times New Roman" w:cs="Times New Roman" w:ascii="Times New Roman" w:hAnsi="Times New Roman"/>
          <w:color w:val="111111"/>
          <w:sz w:val="28"/>
          <w:szCs w:val="28"/>
          <w:lang w:val="en-US"/>
        </w:rPr>
        <w:t>dan Hadis. Berkat semua itu, selubung fenomena gaib dan metafisik</w:t>
      </w:r>
    </w:p>
    <w:p>
      <w:pPr>
        <w:pStyle w:val="BookText"/>
        <w:bidi w:val="0"/>
        <w:jc w:val="both"/>
        <w:rPr/>
      </w:pPr>
      <w:r>
        <w:rPr>
          <w:rFonts w:eastAsia="Times New Roman" w:cs="Times New Roman" w:ascii="Times New Roman" w:hAnsi="Times New Roman"/>
          <w:color w:val="111111"/>
          <w:sz w:val="28"/>
          <w:szCs w:val="28"/>
          <w:lang w:val="en-US"/>
        </w:rPr>
        <w:t>ini dapat tersibak sampai batas-batas tertentu, dan benak-benak kita</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berdebu dapat mengenal secuil anugerah samawi ini. </w:t>
      </w:r>
      <w:bookmarkStart w:id="42" w:name="pg5378_50413"/>
    </w:p>
    <w:p>
      <w:pPr>
        <w:pStyle w:val="Heading4"/>
        <w:numPr>
          <w:ilvl w:val="3"/>
          <w:numId w:val="1"/>
        </w:numPr>
        <w:bidi w:val="0"/>
        <w:jc w:val="left"/>
        <w:rPr/>
      </w:pPr>
      <w:bookmarkStart w:id="43" w:name="__RefHeading___Toc1351074_581953129"/>
      <w:bookmarkStart w:id="44" w:name="_Toc16"/>
      <w:bookmarkEnd w:id="42"/>
      <w:bookmarkEnd w:id="43"/>
      <w:r>
        <w:rPr/>
        <w:t>Huduri</w:t>
      </w:r>
      <w:bookmarkEnd w:id="44"/>
    </w:p>
    <w:p>
      <w:pPr>
        <w:pStyle w:val="BookText"/>
        <w:bidi w:val="0"/>
        <w:jc w:val="both"/>
        <w:rPr/>
      </w:pPr>
      <w:r>
        <w:rPr>
          <w:rFonts w:eastAsia="Times New Roman" w:cs="Times New Roman" w:ascii="Times New Roman" w:hAnsi="Times New Roman"/>
          <w:color w:val="111111"/>
          <w:sz w:val="28"/>
          <w:szCs w:val="28"/>
          <w:lang w:val="en-US"/>
        </w:rPr>
        <w:t>Pengetahuan manusia diklasifikasikan dalam dua kategori umum:</w:t>
      </w:r>
    </w:p>
    <w:p>
      <w:pPr>
        <w:pStyle w:val="BookText"/>
        <w:bidi w:val="0"/>
        <w:jc w:val="both"/>
        <w:rPr/>
      </w:pPr>
      <w:r>
        <w:rPr>
          <w:rFonts w:eastAsia="Times New Roman" w:cs="Times New Roman" w:ascii="Times New Roman" w:hAnsi="Times New Roman"/>
          <w:color w:val="111111"/>
          <w:sz w:val="28"/>
          <w:szCs w:val="28"/>
          <w:lang w:val="en-US"/>
        </w:rPr>
        <w:t>husuli (representasional) dan huduri (presentasional). Pengetahuan</w:t>
      </w:r>
    </w:p>
    <w:p>
      <w:pPr>
        <w:pStyle w:val="BookText"/>
        <w:bidi w:val="0"/>
        <w:jc w:val="both"/>
        <w:rPr/>
      </w:pPr>
      <w:r>
        <w:rPr>
          <w:rFonts w:eastAsia="Times New Roman" w:cs="Times New Roman" w:ascii="Times New Roman" w:hAnsi="Times New Roman"/>
          <w:color w:val="111111"/>
          <w:sz w:val="28"/>
          <w:szCs w:val="28"/>
          <w:lang w:val="en-US"/>
        </w:rPr>
        <w:t>husuli memerlukan gambaran konseptual yang memediasi subjek</w:t>
      </w:r>
    </w:p>
    <w:p>
      <w:pPr>
        <w:pStyle w:val="BookText"/>
        <w:bidi w:val="0"/>
        <w:jc w:val="both"/>
        <w:rPr/>
      </w:pPr>
      <w:r>
        <w:rPr>
          <w:rFonts w:eastAsia="Times New Roman" w:cs="Times New Roman" w:ascii="Times New Roman" w:hAnsi="Times New Roman"/>
          <w:color w:val="111111"/>
          <w:sz w:val="28"/>
          <w:szCs w:val="28"/>
          <w:lang w:val="en-US"/>
        </w:rPr>
        <w:t>pengetahuan (mudrik) dan objeknya (mudrak). Umpama, buku di atas</w:t>
      </w:r>
    </w:p>
    <w:p>
      <w:pPr>
        <w:pStyle w:val="BookText"/>
        <w:bidi w:val="0"/>
        <w:jc w:val="both"/>
        <w:rPr/>
      </w:pPr>
      <w:r>
        <w:rPr>
          <w:rFonts w:eastAsia="Times New Roman" w:cs="Times New Roman" w:ascii="Times New Roman" w:hAnsi="Times New Roman"/>
          <w:color w:val="111111"/>
          <w:sz w:val="28"/>
          <w:szCs w:val="28"/>
          <w:lang w:val="en-US"/>
        </w:rPr>
        <w:t>meja yang dengan dirinya tidak eksis dalam benak subjek; yang eksis</w:t>
      </w:r>
    </w:p>
    <w:p>
      <w:pPr>
        <w:pStyle w:val="BookText"/>
        <w:bidi w:val="0"/>
        <w:jc w:val="both"/>
        <w:rPr/>
      </w:pPr>
      <w:r>
        <w:rPr>
          <w:rFonts w:eastAsia="Times New Roman" w:cs="Times New Roman" w:ascii="Times New Roman" w:hAnsi="Times New Roman"/>
          <w:color w:val="111111"/>
          <w:sz w:val="28"/>
          <w:szCs w:val="28"/>
          <w:lang w:val="en-US"/>
        </w:rPr>
        <w:t>dalam benak hanyalah representasi konseptual dari buku tersebut.</w:t>
      </w:r>
    </w:p>
    <w:p>
      <w:pPr>
        <w:pStyle w:val="BookText"/>
        <w:bidi w:val="0"/>
        <w:jc w:val="both"/>
        <w:rPr/>
      </w:pPr>
      <w:r>
        <w:rPr>
          <w:rFonts w:eastAsia="Times New Roman" w:cs="Times New Roman" w:ascii="Times New Roman" w:hAnsi="Times New Roman"/>
          <w:color w:val="111111"/>
          <w:sz w:val="28"/>
          <w:szCs w:val="28"/>
          <w:lang w:val="en-US"/>
        </w:rPr>
        <w:t>Akan halnya dalam konteks ilmu huduri, subjek pengetahuan</w:t>
      </w:r>
    </w:p>
    <w:p>
      <w:pPr>
        <w:pStyle w:val="BookText"/>
        <w:bidi w:val="0"/>
        <w:jc w:val="both"/>
        <w:rPr/>
      </w:pPr>
      <w:r>
        <w:rPr>
          <w:rFonts w:eastAsia="Times New Roman" w:cs="Times New Roman" w:ascii="Times New Roman" w:hAnsi="Times New Roman"/>
          <w:color w:val="111111"/>
          <w:sz w:val="28"/>
          <w:szCs w:val="28"/>
          <w:lang w:val="en-US"/>
        </w:rPr>
        <w:t>mengakses langsung objeknya; tanpa dimediasi konsep. Rasa sakit,</w:t>
      </w:r>
    </w:p>
    <w:p>
      <w:pPr>
        <w:pStyle w:val="BookText"/>
        <w:bidi w:val="0"/>
        <w:jc w:val="both"/>
        <w:rPr/>
      </w:pPr>
      <w:r>
        <w:rPr>
          <w:rFonts w:eastAsia="Times New Roman" w:cs="Times New Roman" w:ascii="Times New Roman" w:hAnsi="Times New Roman"/>
          <w:color w:val="111111"/>
          <w:sz w:val="28"/>
          <w:szCs w:val="28"/>
          <w:lang w:val="en-US"/>
        </w:rPr>
        <w:t>lapar dan, secara umum, keadaan-keadaan jiwa: semua ini tergolong</w:t>
      </w:r>
    </w:p>
    <w:p>
      <w:pPr>
        <w:pStyle w:val="BookText"/>
        <w:bidi w:val="0"/>
        <w:jc w:val="both"/>
        <w:rPr/>
      </w:pPr>
      <w:r>
        <w:rPr>
          <w:rFonts w:eastAsia="Times New Roman" w:cs="Times New Roman" w:ascii="Times New Roman" w:hAnsi="Times New Roman"/>
          <w:color w:val="111111"/>
          <w:sz w:val="28"/>
          <w:szCs w:val="28"/>
          <w:lang w:val="en-US"/>
        </w:rPr>
        <w:t>ilmu huduri. Pengetahuan wahyuni—minimal pada _ beberapa</w:t>
      </w:r>
    </w:p>
    <w:p>
      <w:pPr>
        <w:pStyle w:val="BookText"/>
        <w:bidi w:val="0"/>
        <w:jc w:val="both"/>
        <w:rPr/>
      </w:pPr>
      <w:r>
        <w:rPr>
          <w:rFonts w:eastAsia="Times New Roman" w:cs="Times New Roman" w:ascii="Times New Roman" w:hAnsi="Times New Roman"/>
          <w:color w:val="111111"/>
          <w:sz w:val="28"/>
          <w:szCs w:val="28"/>
          <w:lang w:val="en-US"/>
        </w:rPr>
        <w:t>tingkatnya, khususnya di awal kenabian atau pengutusan—juga</w:t>
      </w:r>
    </w:p>
    <w:p>
      <w:pPr>
        <w:pStyle w:val="BookText"/>
        <w:bidi w:val="0"/>
        <w:jc w:val="both"/>
        <w:rPr/>
      </w:pPr>
      <w:r>
        <w:rPr>
          <w:rFonts w:eastAsia="Times New Roman" w:cs="Times New Roman" w:ascii="Times New Roman" w:hAnsi="Times New Roman"/>
          <w:color w:val="111111"/>
          <w:sz w:val="28"/>
          <w:szCs w:val="28"/>
          <w:lang w:val="en-US"/>
        </w:rPr>
        <w:t>tergolong dalam ilmu huduri.</w:t>
      </w:r>
      <w:r>
        <w:rPr>
          <w:rStyle w:val="FootnoteAnchor"/>
        </w:rPr>
        <w:footnoteReference w:id="18"/>
      </w:r>
      <w:r>
        <w:rPr>
          <w:rFonts w:eastAsia="Times New Roman" w:cs="Times New Roman" w:ascii="Times New Roman" w:hAnsi="Times New Roman"/>
          <w:color w:val="111111"/>
          <w:sz w:val="28"/>
          <w:szCs w:val="28"/>
          <w:lang w:val="en-US"/>
        </w:rPr>
        <w:t>Ini sebagaimana jawaban Imam</w:t>
      </w:r>
    </w:p>
    <w:p>
      <w:pPr>
        <w:pStyle w:val="BookText"/>
        <w:bidi w:val="0"/>
        <w:jc w:val="both"/>
        <w:rPr/>
      </w:pPr>
      <w:r>
        <w:rPr>
          <w:rFonts w:eastAsia="Times New Roman" w:cs="Times New Roman" w:ascii="Times New Roman" w:hAnsi="Times New Roman"/>
          <w:color w:val="111111"/>
          <w:sz w:val="28"/>
          <w:szCs w:val="28"/>
          <w:lang w:val="en-US"/>
        </w:rPr>
        <w:t>Ja‘far Shadigq, saat ditanya tentang bagaimana para nabi menyadari</w:t>
      </w:r>
    </w:p>
    <w:p>
      <w:pPr>
        <w:pStyle w:val="BookText"/>
        <w:bidi w:val="0"/>
        <w:jc w:val="both"/>
        <w:rPr/>
      </w:pPr>
      <w:r>
        <w:rPr>
          <w:rFonts w:eastAsia="Times New Roman" w:cs="Times New Roman" w:ascii="Times New Roman" w:hAnsi="Times New Roman"/>
          <w:color w:val="111111"/>
          <w:sz w:val="28"/>
          <w:szCs w:val="28"/>
          <w:lang w:val="en-US"/>
        </w:rPr>
        <w:t>kenabiannya, “Tabir telah tersibak di hadapan mereka.”</w:t>
      </w:r>
      <w:r>
        <w:rPr>
          <w:rStyle w:val="FootnoteAnchor"/>
        </w:rPr>
        <w:footnoteReference w:id="19"/>
      </w:r>
    </w:p>
    <w:p>
      <w:pPr>
        <w:pStyle w:val="Heading4"/>
        <w:numPr>
          <w:ilvl w:val="3"/>
          <w:numId w:val="1"/>
        </w:numPr>
        <w:bidi w:val="0"/>
        <w:jc w:val="left"/>
        <w:rPr/>
      </w:pPr>
      <w:bookmarkStart w:id="45" w:name="__RefHeading___Toc1351076_581953129"/>
      <w:bookmarkStart w:id="46" w:name="_Toc17"/>
      <w:bookmarkEnd w:id="45"/>
      <w:r>
        <w:rPr/>
        <w:t>Mustahil Keliru</w:t>
      </w:r>
      <w:bookmarkEnd w:id="46"/>
    </w:p>
    <w:p>
      <w:pPr>
        <w:pStyle w:val="BookText"/>
        <w:bidi w:val="0"/>
        <w:jc w:val="both"/>
        <w:rPr/>
      </w:pPr>
      <w:r>
        <w:rPr>
          <w:rFonts w:eastAsia="Times New Roman" w:cs="Times New Roman" w:ascii="Times New Roman" w:hAnsi="Times New Roman"/>
          <w:color w:val="111111"/>
          <w:sz w:val="28"/>
          <w:szCs w:val="28"/>
          <w:lang w:val="en-US"/>
        </w:rPr>
        <w:t>Ini adalah ciri khas kedua sebagai implikasi dari ciri khas pertama</w:t>
      </w:r>
    </w:p>
    <w:p>
      <w:pPr>
        <w:pStyle w:val="BookText"/>
        <w:bidi w:val="0"/>
        <w:jc w:val="both"/>
        <w:rPr/>
      </w:pPr>
      <w:r>
        <w:rPr>
          <w:rFonts w:eastAsia="Times New Roman" w:cs="Times New Roman" w:ascii="Times New Roman" w:hAnsi="Times New Roman"/>
          <w:color w:val="111111"/>
          <w:sz w:val="28"/>
          <w:szCs w:val="28"/>
          <w:lang w:val="en-US"/>
        </w:rPr>
        <w:t>wahyu. Kekeliruan terjadi jika ada medium yang memediasi objek</w:t>
      </w:r>
    </w:p>
    <w:p>
      <w:pPr>
        <w:pStyle w:val="BookText"/>
        <w:bidi w:val="0"/>
        <w:jc w:val="both"/>
        <w:rPr/>
      </w:pPr>
      <w:r>
        <w:rPr>
          <w:rFonts w:eastAsia="Times New Roman" w:cs="Times New Roman" w:ascii="Times New Roman" w:hAnsi="Times New Roman"/>
          <w:color w:val="111111"/>
          <w:sz w:val="28"/>
          <w:szCs w:val="28"/>
          <w:lang w:val="en-US"/>
        </w:rPr>
        <w:t>pengetahuan dan subjeknya, lantas ia (medium) tidak menyajikan</w:t>
      </w:r>
    </w:p>
    <w:p>
      <w:pPr>
        <w:pStyle w:val="BookText"/>
        <w:bidi w:val="0"/>
        <w:jc w:val="both"/>
        <w:rPr/>
      </w:pPr>
      <w:r>
        <w:rPr>
          <w:rFonts w:eastAsia="Times New Roman" w:cs="Times New Roman" w:ascii="Times New Roman" w:hAnsi="Times New Roman"/>
          <w:color w:val="111111"/>
          <w:sz w:val="28"/>
          <w:szCs w:val="28"/>
          <w:lang w:val="en-US"/>
        </w:rPr>
        <w:t>fakta [objek] sebagaimana adanya kepada subjek. Sementara dalam</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ilmu huduri, di antara keduanya tidak ada medium apa pun.</w:t>
      </w:r>
      <w:r>
        <w:rPr>
          <w:rStyle w:val="FootnoteAnchor"/>
        </w:rPr>
        <w:footnoteReference w:id="20"/>
      </w:r>
      <w:bookmarkStart w:id="47" w:name="pg5378_50415"/>
    </w:p>
    <w:p>
      <w:pPr>
        <w:pStyle w:val="Heading3"/>
        <w:numPr>
          <w:ilvl w:val="2"/>
          <w:numId w:val="1"/>
        </w:numPr>
        <w:bidi w:val="0"/>
        <w:jc w:val="left"/>
        <w:rPr/>
      </w:pPr>
      <w:bookmarkStart w:id="48" w:name="__RefHeading___Toc1351078_581953129"/>
      <w:bookmarkStart w:id="49" w:name="_Toc18"/>
      <w:bookmarkEnd w:id="47"/>
      <w:bookmarkEnd w:id="48"/>
      <w:r>
        <w:rPr/>
        <w:t>Terma-terma Alternatif</w:t>
      </w:r>
      <w:bookmarkEnd w:id="49"/>
    </w:p>
    <w:p>
      <w:pPr>
        <w:pStyle w:val="Heading4"/>
        <w:numPr>
          <w:ilvl w:val="3"/>
          <w:numId w:val="1"/>
        </w:numPr>
        <w:bidi w:val="0"/>
        <w:jc w:val="left"/>
        <w:rPr/>
      </w:pPr>
      <w:bookmarkStart w:id="50" w:name="__RefHeading___Toc1351080_581953129"/>
      <w:bookmarkStart w:id="51" w:name="_Toc19"/>
      <w:bookmarkEnd w:id="50"/>
      <w:r>
        <w:rPr/>
        <w:t>Point</w:t>
      </w:r>
      <w:bookmarkEnd w:id="51"/>
    </w:p>
    <w:p>
      <w:pPr>
        <w:pStyle w:val="Heading5"/>
        <w:numPr>
          <w:ilvl w:val="4"/>
          <w:numId w:val="1"/>
        </w:numPr>
        <w:bidi w:val="0"/>
        <w:jc w:val="left"/>
        <w:rPr/>
      </w:pPr>
      <w:bookmarkStart w:id="52" w:name="__RefHeading___Toc1351082_581953129"/>
      <w:bookmarkStart w:id="53" w:name="_Toc20"/>
      <w:bookmarkEnd w:id="52"/>
      <w:r>
        <w:rPr/>
        <w:t>Point</w:t>
      </w:r>
      <w:bookmarkEnd w:id="53"/>
    </w:p>
    <w:p>
      <w:pPr>
        <w:pStyle w:val="BookText"/>
        <w:bidi w:val="0"/>
        <w:jc w:val="both"/>
        <w:rPr/>
      </w:pPr>
      <w:r>
        <w:rPr>
          <w:rFonts w:eastAsia="Times New Roman" w:cs="Times New Roman" w:ascii="Times New Roman" w:hAnsi="Times New Roman"/>
          <w:color w:val="111111"/>
          <w:sz w:val="28"/>
          <w:szCs w:val="28"/>
          <w:lang w:val="en-US"/>
        </w:rPr>
        <w:t>Setelah membatasi makna akal dan wahyu yang dimaksud dalam</w:t>
      </w:r>
    </w:p>
    <w:p>
      <w:pPr>
        <w:pStyle w:val="BookText"/>
        <w:bidi w:val="0"/>
        <w:jc w:val="both"/>
        <w:rPr/>
      </w:pPr>
      <w:r>
        <w:rPr>
          <w:rFonts w:eastAsia="Times New Roman" w:cs="Times New Roman" w:ascii="Times New Roman" w:hAnsi="Times New Roman"/>
          <w:color w:val="111111"/>
          <w:sz w:val="28"/>
          <w:szCs w:val="28"/>
          <w:lang w:val="en-US"/>
        </w:rPr>
        <w:t>buku ini, ada baiknya—kendati hanya sekilas—menengok terma-</w:t>
      </w:r>
    </w:p>
    <w:p>
      <w:pPr>
        <w:pStyle w:val="BookText"/>
        <w:bidi w:val="0"/>
        <w:jc w:val="both"/>
        <w:rPr/>
      </w:pPr>
      <w:r>
        <w:rPr>
          <w:rFonts w:eastAsia="Times New Roman" w:cs="Times New Roman" w:ascii="Times New Roman" w:hAnsi="Times New Roman"/>
          <w:color w:val="111111"/>
          <w:sz w:val="28"/>
          <w:szCs w:val="28"/>
          <w:lang w:val="en-US"/>
        </w:rPr>
        <w:t>terma alternatif yang erat kaitannya dengan terma pembahasan kali</w:t>
      </w:r>
    </w:p>
    <w:p>
      <w:pPr>
        <w:pStyle w:val="BookText"/>
        <w:bidi w:val="0"/>
        <w:jc w:val="both"/>
        <w:rPr/>
      </w:pPr>
      <w:r>
        <w:rPr>
          <w:rFonts w:eastAsia="Times New Roman" w:cs="Times New Roman" w:ascii="Times New Roman" w:hAnsi="Times New Roman"/>
          <w:color w:val="111111"/>
          <w:sz w:val="28"/>
          <w:szCs w:val="28"/>
          <w:lang w:val="en-US"/>
        </w:rPr>
        <w:t>ini; yang terkadang juga menjadi sinonimnya.</w:t>
      </w:r>
    </w:p>
    <w:p>
      <w:pPr>
        <w:pStyle w:val="Heading5"/>
        <w:numPr>
          <w:ilvl w:val="4"/>
          <w:numId w:val="1"/>
        </w:numPr>
        <w:bidi w:val="0"/>
        <w:jc w:val="left"/>
        <w:rPr/>
      </w:pPr>
      <w:bookmarkStart w:id="54" w:name="__RefHeading___Toc1351084_581953129"/>
      <w:bookmarkStart w:id="55" w:name="_Toc21"/>
      <w:bookmarkEnd w:id="54"/>
      <w:r>
        <w:rPr/>
        <w:t>Point</w:t>
      </w:r>
      <w:bookmarkEnd w:id="55"/>
    </w:p>
    <w:p>
      <w:pPr>
        <w:pStyle w:val="BookText"/>
        <w:bidi w:val="0"/>
        <w:jc w:val="both"/>
        <w:rPr/>
      </w:pPr>
      <w:r>
        <w:rPr>
          <w:rFonts w:eastAsia="Times New Roman" w:cs="Times New Roman" w:ascii="Times New Roman" w:hAnsi="Times New Roman"/>
          <w:color w:val="111111"/>
          <w:sz w:val="28"/>
          <w:szCs w:val="28"/>
          <w:lang w:val="en-US"/>
        </w:rPr>
        <w:t>Akal dan Agama</w:t>
      </w:r>
    </w:p>
    <w:p>
      <w:pPr>
        <w:pStyle w:val="BookText"/>
        <w:bidi w:val="0"/>
        <w:jc w:val="both"/>
        <w:rPr/>
      </w:pPr>
      <w:r>
        <w:rPr>
          <w:rFonts w:eastAsia="Times New Roman" w:cs="Times New Roman" w:ascii="Times New Roman" w:hAnsi="Times New Roman"/>
          <w:color w:val="111111"/>
          <w:sz w:val="28"/>
          <w:szCs w:val="28"/>
          <w:lang w:val="en-US"/>
        </w:rPr>
        <w:t>Akal dan agama (reason and religion) menjadi terma yang dapat</w:t>
      </w:r>
    </w:p>
    <w:p>
      <w:pPr>
        <w:pStyle w:val="BookText"/>
        <w:bidi w:val="0"/>
        <w:jc w:val="both"/>
        <w:rPr/>
      </w:pPr>
      <w:r>
        <w:rPr>
          <w:rFonts w:eastAsia="Times New Roman" w:cs="Times New Roman" w:ascii="Times New Roman" w:hAnsi="Times New Roman"/>
          <w:color w:val="111111"/>
          <w:sz w:val="28"/>
          <w:szCs w:val="28"/>
          <w:lang w:val="en-US"/>
        </w:rPr>
        <w:t>mengakomodasi ulasan-ulasan seputar akal dan wahyu. Semua itu</w:t>
      </w:r>
    </w:p>
    <w:p>
      <w:pPr>
        <w:pStyle w:val="BookText"/>
        <w:bidi w:val="0"/>
        <w:jc w:val="both"/>
        <w:rPr/>
      </w:pPr>
      <w:r>
        <w:rPr>
          <w:rFonts w:eastAsia="Times New Roman" w:cs="Times New Roman" w:ascii="Times New Roman" w:hAnsi="Times New Roman"/>
          <w:color w:val="111111"/>
          <w:sz w:val="28"/>
          <w:szCs w:val="28"/>
          <w:lang w:val="en-US"/>
        </w:rPr>
        <w:t>terdapat dalam berbagai karya pemikir Timur maupun Barat, kendati</w:t>
      </w:r>
    </w:p>
    <w:p>
      <w:pPr>
        <w:pStyle w:val="BookText"/>
        <w:bidi w:val="0"/>
        <w:jc w:val="both"/>
        <w:rPr/>
      </w:pPr>
      <w:r>
        <w:rPr>
          <w:rFonts w:eastAsia="Times New Roman" w:cs="Times New Roman" w:ascii="Times New Roman" w:hAnsi="Times New Roman"/>
          <w:color w:val="111111"/>
          <w:sz w:val="28"/>
          <w:szCs w:val="28"/>
          <w:lang w:val="en-US"/>
        </w:rPr>
        <w:t>ada pula sekelompok pemikir yang berkeberatan menggunakan</w:t>
      </w:r>
    </w:p>
    <w:p>
      <w:pPr>
        <w:pStyle w:val="BookText"/>
        <w:bidi w:val="0"/>
        <w:jc w:val="both"/>
        <w:rPr/>
      </w:pPr>
      <w:r>
        <w:rPr>
          <w:rFonts w:eastAsia="Times New Roman" w:cs="Times New Roman" w:ascii="Times New Roman" w:hAnsi="Times New Roman"/>
          <w:color w:val="111111"/>
          <w:sz w:val="28"/>
          <w:szCs w:val="28"/>
          <w:lang w:val="en-US"/>
        </w:rPr>
        <w:t>terma ini karena beberapa alasan, di antaranya:</w:t>
      </w:r>
    </w:p>
    <w:p>
      <w:pPr>
        <w:pStyle w:val="Heading5"/>
        <w:numPr>
          <w:ilvl w:val="4"/>
          <w:numId w:val="1"/>
        </w:numPr>
        <w:bidi w:val="0"/>
        <w:jc w:val="left"/>
        <w:rPr/>
      </w:pPr>
      <w:bookmarkStart w:id="56" w:name="__RefHeading___Toc1351086_581953129"/>
      <w:bookmarkStart w:id="57" w:name="_Toc22"/>
      <w:bookmarkEnd w:id="56"/>
      <w:r>
        <w:rPr/>
        <w:t>Kendala Pendefinisian Agama</w:t>
      </w:r>
      <w:bookmarkEnd w:id="57"/>
    </w:p>
    <w:p>
      <w:pPr>
        <w:pStyle w:val="BookText"/>
        <w:bidi w:val="0"/>
        <w:jc w:val="both"/>
        <w:rPr/>
      </w:pPr>
      <w:r>
        <w:rPr>
          <w:rFonts w:eastAsia="Times New Roman" w:cs="Times New Roman" w:ascii="Times New Roman" w:hAnsi="Times New Roman"/>
          <w:color w:val="111111"/>
          <w:sz w:val="28"/>
          <w:szCs w:val="28"/>
          <w:lang w:val="en-US"/>
        </w:rPr>
        <w:t>Di tengah masyarakat, makna agama sudah cukup jelas. Karena</w:t>
      </w:r>
    </w:p>
    <w:p>
      <w:pPr>
        <w:pStyle w:val="BookText"/>
        <w:bidi w:val="0"/>
        <w:jc w:val="both"/>
        <w:rPr/>
      </w:pPr>
      <w:r>
        <w:rPr>
          <w:rFonts w:eastAsia="Times New Roman" w:cs="Times New Roman" w:ascii="Times New Roman" w:hAnsi="Times New Roman"/>
          <w:color w:val="111111"/>
          <w:sz w:val="28"/>
          <w:szCs w:val="28"/>
          <w:lang w:val="en-US"/>
        </w:rPr>
        <w:t>itulah setiap usaha mendefinisikannya hanya dipandang sebagai</w:t>
      </w:r>
    </w:p>
    <w:p>
      <w:pPr>
        <w:pStyle w:val="BookText"/>
        <w:bidi w:val="0"/>
        <w:jc w:val="both"/>
        <w:rPr/>
      </w:pPr>
      <w:r>
        <w:rPr>
          <w:rFonts w:eastAsia="Times New Roman" w:cs="Times New Roman" w:ascii="Times New Roman" w:hAnsi="Times New Roman"/>
          <w:color w:val="111111"/>
          <w:sz w:val="28"/>
          <w:szCs w:val="28"/>
          <w:lang w:val="en-US"/>
        </w:rPr>
        <w:t>penjelasan yang menjenuhkan atas sesuatu yang sudah jelas. Meski</w:t>
      </w:r>
    </w:p>
    <w:p>
      <w:pPr>
        <w:pStyle w:val="BookText"/>
        <w:bidi w:val="0"/>
        <w:jc w:val="both"/>
        <w:rPr/>
      </w:pPr>
      <w:r>
        <w:rPr>
          <w:rFonts w:eastAsia="Times New Roman" w:cs="Times New Roman" w:ascii="Times New Roman" w:hAnsi="Times New Roman"/>
          <w:color w:val="111111"/>
          <w:sz w:val="28"/>
          <w:szCs w:val="28"/>
          <w:lang w:val="en-US"/>
        </w:rPr>
        <w:t>begitu, makna yang tampaknya gamblang ini ternyata cukup</w:t>
      </w:r>
    </w:p>
    <w:p>
      <w:pPr>
        <w:pStyle w:val="BookText"/>
        <w:bidi w:val="0"/>
        <w:jc w:val="both"/>
        <w:rPr/>
      </w:pPr>
      <w:r>
        <w:rPr>
          <w:rFonts w:eastAsia="Times New Roman" w:cs="Times New Roman" w:ascii="Times New Roman" w:hAnsi="Times New Roman"/>
          <w:color w:val="111111"/>
          <w:sz w:val="28"/>
          <w:szCs w:val="28"/>
          <w:lang w:val="en-US"/>
        </w:rPr>
        <w:t>menyulitkan para pemikir; bahkan memicu perdebatan, khususnya</w:t>
      </w:r>
    </w:p>
    <w:p>
      <w:pPr>
        <w:pStyle w:val="BookText"/>
        <w:bidi w:val="0"/>
        <w:jc w:val="both"/>
        <w:rPr/>
      </w:pPr>
      <w:r>
        <w:rPr>
          <w:rFonts w:eastAsia="Times New Roman" w:cs="Times New Roman" w:ascii="Times New Roman" w:hAnsi="Times New Roman"/>
          <w:color w:val="111111"/>
          <w:sz w:val="28"/>
          <w:szCs w:val="28"/>
          <w:lang w:val="en-US"/>
        </w:rPr>
        <w:t>bila berkenaan dengan definisi inklusif (ta‘rif jam’) yang meliputi</w:t>
      </w:r>
    </w:p>
    <w:p>
      <w:pPr>
        <w:pStyle w:val="BookText"/>
        <w:bidi w:val="0"/>
        <w:jc w:val="both"/>
        <w:rPr/>
      </w:pPr>
      <w:r>
        <w:rPr>
          <w:rFonts w:eastAsia="Times New Roman" w:cs="Times New Roman" w:ascii="Times New Roman" w:hAnsi="Times New Roman"/>
          <w:color w:val="111111"/>
          <w:sz w:val="28"/>
          <w:szCs w:val="28"/>
          <w:lang w:val="en-US"/>
        </w:rPr>
        <w:t>semua ragam agama: tauhid (monoteisme), nontauhid (politeisme),</w:t>
      </w:r>
    </w:p>
    <w:p>
      <w:pPr>
        <w:pStyle w:val="BookText"/>
        <w:bidi w:val="0"/>
        <w:jc w:val="both"/>
        <w:rPr/>
      </w:pPr>
      <w:r>
        <w:rPr>
          <w:rFonts w:eastAsia="Times New Roman" w:cs="Times New Roman" w:ascii="Times New Roman" w:hAnsi="Times New Roman"/>
          <w:color w:val="111111"/>
          <w:sz w:val="28"/>
          <w:szCs w:val="28"/>
          <w:lang w:val="en-US"/>
        </w:rPr>
        <w:t>dan ateisme. Seorang peneliti agama menulis:</w:t>
      </w:r>
    </w:p>
    <w:p>
      <w:pPr>
        <w:pStyle w:val="BookText"/>
        <w:bidi w:val="0"/>
        <w:jc w:val="both"/>
        <w:rPr/>
      </w:pPr>
      <w:r>
        <w:rPr>
          <w:rFonts w:eastAsia="Times New Roman" w:cs="Times New Roman" w:ascii="Times New Roman" w:hAnsi="Times New Roman"/>
          <w:color w:val="111111"/>
          <w:sz w:val="28"/>
          <w:szCs w:val="28"/>
          <w:lang w:val="en-US"/>
        </w:rPr>
        <w:t>Barangkali, tak ada kata selain ‘agama’ yang _ senantiasa</w:t>
      </w:r>
    </w:p>
    <w:p>
      <w:pPr>
        <w:pStyle w:val="BookText"/>
        <w:bidi w:val="0"/>
        <w:jc w:val="both"/>
        <w:rPr/>
      </w:pPr>
      <w:r>
        <w:rPr>
          <w:rFonts w:eastAsia="Times New Roman" w:cs="Times New Roman" w:ascii="Times New Roman" w:hAnsi="Times New Roman"/>
          <w:color w:val="111111"/>
          <w:sz w:val="28"/>
          <w:szCs w:val="28"/>
          <w:lang w:val="en-US"/>
        </w:rPr>
        <w:t>dipergunakan secara gamblang dan _ sederhana. Namun</w:t>
      </w:r>
    </w:p>
    <w:p>
      <w:pPr>
        <w:pStyle w:val="BookText"/>
        <w:bidi w:val="0"/>
        <w:jc w:val="both"/>
        <w:rPr/>
      </w:pPr>
      <w:r>
        <w:rPr>
          <w:rFonts w:eastAsia="Times New Roman" w:cs="Times New Roman" w:ascii="Times New Roman" w:hAnsi="Times New Roman"/>
          <w:color w:val="111111"/>
          <w:sz w:val="28"/>
          <w:szCs w:val="28"/>
          <w:lang w:val="en-US"/>
        </w:rPr>
        <w:t>kenyataannya, kata ini justru. merefleksikan pandangan-</w:t>
      </w:r>
    </w:p>
    <w:p>
      <w:pPr>
        <w:pStyle w:val="BookText"/>
        <w:bidi w:val="0"/>
        <w:jc w:val="both"/>
        <w:rPr/>
      </w:pPr>
      <w:r>
        <w:rPr>
          <w:rFonts w:eastAsia="Times New Roman" w:cs="Times New Roman" w:ascii="Times New Roman" w:hAnsi="Times New Roman"/>
          <w:color w:val="111111"/>
          <w:sz w:val="28"/>
          <w:szCs w:val="28"/>
          <w:lang w:val="en-US"/>
        </w:rPr>
        <w:t>pandangan yang, bukan saja berbeda-beda, bahkan terkadang</w:t>
      </w:r>
    </w:p>
    <w:p>
      <w:pPr>
        <w:pStyle w:val="BookText"/>
        <w:bidi w:val="0"/>
        <w:jc w:val="both"/>
        <w:rPr/>
      </w:pPr>
      <w:r>
        <w:rPr>
          <w:rFonts w:eastAsia="Times New Roman" w:cs="Times New Roman" w:ascii="Times New Roman" w:hAnsi="Times New Roman"/>
          <w:color w:val="111111"/>
          <w:sz w:val="28"/>
          <w:szCs w:val="28"/>
          <w:lang w:val="en-US"/>
        </w:rPr>
        <w:t xml:space="preserve">mustahil disatukan (mani‘ah al-jam').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Ragam perspektif terhadap agama sangat menentukan metode</w:t>
      </w:r>
    </w:p>
    <w:p>
      <w:pPr>
        <w:pStyle w:val="BookText"/>
        <w:bidi w:val="0"/>
        <w:jc w:val="both"/>
        <w:rPr/>
      </w:pPr>
      <w:r>
        <w:rPr>
          <w:rFonts w:eastAsia="Times New Roman" w:cs="Times New Roman" w:ascii="Times New Roman" w:hAnsi="Times New Roman"/>
          <w:color w:val="111111"/>
          <w:sz w:val="28"/>
          <w:szCs w:val="28"/>
          <w:lang w:val="en-US"/>
        </w:rPr>
        <w:t>penelitian seputar diskursus akal dan wahyu. Kami yakin, semua</w:t>
      </w:r>
    </w:p>
    <w:p>
      <w:pPr>
        <w:pStyle w:val="BookText"/>
        <w:bidi w:val="0"/>
        <w:jc w:val="both"/>
        <w:rPr/>
      </w:pPr>
      <w:r>
        <w:rPr>
          <w:rFonts w:eastAsia="Times New Roman" w:cs="Times New Roman" w:ascii="Times New Roman" w:hAnsi="Times New Roman"/>
          <w:color w:val="111111"/>
          <w:sz w:val="28"/>
          <w:szCs w:val="28"/>
          <w:lang w:val="en-US"/>
        </w:rPr>
        <w:t>pandangan yang berseberangan, atau bertentangan satu sama lain,</w:t>
      </w:r>
    </w:p>
    <w:p>
      <w:pPr>
        <w:pStyle w:val="BookText"/>
        <w:bidi w:val="0"/>
        <w:jc w:val="both"/>
        <w:rPr/>
      </w:pPr>
      <w:r>
        <w:rPr>
          <w:rFonts w:eastAsia="Times New Roman" w:cs="Times New Roman" w:ascii="Times New Roman" w:hAnsi="Times New Roman"/>
          <w:color w:val="111111"/>
          <w:sz w:val="28"/>
          <w:szCs w:val="28"/>
          <w:lang w:val="en-US"/>
        </w:rPr>
        <w:t>seputar agama tak mungkin dianggap sebagai hakikat agama itu</w:t>
      </w:r>
    </w:p>
    <w:p>
      <w:pPr>
        <w:pStyle w:val="BookText"/>
        <w:bidi w:val="0"/>
        <w:jc w:val="both"/>
        <w:rPr/>
      </w:pPr>
      <w:r>
        <w:rPr>
          <w:rFonts w:eastAsia="Times New Roman" w:cs="Times New Roman" w:ascii="Times New Roman" w:hAnsi="Times New Roman"/>
          <w:color w:val="111111"/>
          <w:sz w:val="28"/>
          <w:szCs w:val="28"/>
          <w:lang w:val="en-US"/>
        </w:rPr>
        <w:t>sendiri. Agama—terlepas dari perspektif para pengamat—memuat</w:t>
      </w:r>
    </w:p>
    <w:p>
      <w:pPr>
        <w:pStyle w:val="BookText"/>
        <w:bidi w:val="0"/>
        <w:jc w:val="both"/>
        <w:rPr/>
      </w:pPr>
      <w:r>
        <w:rPr>
          <w:rFonts w:eastAsia="Times New Roman" w:cs="Times New Roman" w:ascii="Times New Roman" w:hAnsi="Times New Roman"/>
          <w:color w:val="111111"/>
          <w:sz w:val="28"/>
          <w:szCs w:val="28"/>
          <w:lang w:val="en-US"/>
        </w:rPr>
        <w:t>perkara nyata dan hakikat permanen.</w:t>
      </w:r>
    </w:p>
    <w:p>
      <w:pPr>
        <w:pStyle w:val="BookText"/>
        <w:bidi w:val="0"/>
        <w:jc w:val="both"/>
        <w:rPr/>
      </w:pPr>
      <w:r>
        <w:rPr>
          <w:rFonts w:eastAsia="Times New Roman" w:cs="Times New Roman" w:ascii="Times New Roman" w:hAnsi="Times New Roman"/>
          <w:color w:val="111111"/>
          <w:sz w:val="28"/>
          <w:szCs w:val="28"/>
          <w:lang w:val="en-US"/>
        </w:rPr>
        <w:t>Puncak dari persilangan pendapat dua kubu tentang ajaran agama</w:t>
      </w:r>
    </w:p>
    <w:p>
      <w:pPr>
        <w:pStyle w:val="BookText"/>
        <w:bidi w:val="0"/>
        <w:jc w:val="both"/>
        <w:rPr/>
      </w:pPr>
      <w:r>
        <w:rPr>
          <w:rFonts w:eastAsia="Times New Roman" w:cs="Times New Roman" w:ascii="Times New Roman" w:hAnsi="Times New Roman"/>
          <w:color w:val="111111"/>
          <w:sz w:val="28"/>
          <w:szCs w:val="28"/>
          <w:lang w:val="en-US"/>
        </w:rPr>
        <w:t>adalah yang satu benar, yang lain keliru. Atau, boleh jadi kedua-</w:t>
      </w:r>
    </w:p>
    <w:p>
      <w:pPr>
        <w:pStyle w:val="BookText"/>
        <w:bidi w:val="0"/>
        <w:jc w:val="both"/>
        <w:rPr/>
      </w:pPr>
      <w:r>
        <w:rPr>
          <w:rFonts w:eastAsia="Times New Roman" w:cs="Times New Roman" w:ascii="Times New Roman" w:hAnsi="Times New Roman"/>
          <w:color w:val="111111"/>
          <w:sz w:val="28"/>
          <w:szCs w:val="28"/>
          <w:lang w:val="en-US"/>
        </w:rPr>
        <w:t>duanya keliru, maka ada perspektif lain yang benar. Berdasarkan</w:t>
      </w:r>
    </w:p>
    <w:p>
      <w:pPr>
        <w:pStyle w:val="BookText"/>
        <w:bidi w:val="0"/>
        <w:jc w:val="both"/>
        <w:rPr/>
      </w:pPr>
      <w:r>
        <w:rPr>
          <w:rFonts w:eastAsia="Times New Roman" w:cs="Times New Roman" w:ascii="Times New Roman" w:hAnsi="Times New Roman"/>
          <w:color w:val="111111"/>
          <w:sz w:val="28"/>
          <w:szCs w:val="28"/>
          <w:lang w:val="en-US"/>
        </w:rPr>
        <w:t>perspektif [terakhir] ini, agama tidak kompatibel dengan transformasi</w:t>
      </w:r>
    </w:p>
    <w:p>
      <w:pPr>
        <w:pStyle w:val="BookText"/>
        <w:bidi w:val="0"/>
        <w:jc w:val="both"/>
        <w:rPr/>
      </w:pPr>
      <w:r>
        <w:rPr>
          <w:rFonts w:eastAsia="Times New Roman" w:cs="Times New Roman" w:ascii="Times New Roman" w:hAnsi="Times New Roman"/>
          <w:color w:val="111111"/>
          <w:sz w:val="28"/>
          <w:szCs w:val="28"/>
          <w:lang w:val="en-US"/>
        </w:rPr>
        <w:t>ilmu pengetahuan manusia. Namun, kendati memiliki serangkaian</w:t>
      </w:r>
    </w:p>
    <w:p>
      <w:pPr>
        <w:pStyle w:val="BookText"/>
        <w:bidi w:val="0"/>
        <w:jc w:val="both"/>
        <w:rPr/>
      </w:pPr>
      <w:r>
        <w:rPr>
          <w:rFonts w:eastAsia="Times New Roman" w:cs="Times New Roman" w:ascii="Times New Roman" w:hAnsi="Times New Roman"/>
          <w:color w:val="111111"/>
          <w:sz w:val="28"/>
          <w:szCs w:val="28"/>
          <w:lang w:val="en-US"/>
        </w:rPr>
        <w:t>hukum tetap dan abadi, agama yang benar dan terpelihara utuh juga</w:t>
      </w:r>
    </w:p>
    <w:p>
      <w:pPr>
        <w:pStyle w:val="BookText"/>
        <w:bidi w:val="0"/>
        <w:jc w:val="both"/>
        <w:rPr/>
      </w:pPr>
      <w:r>
        <w:rPr>
          <w:rFonts w:eastAsia="Times New Roman" w:cs="Times New Roman" w:ascii="Times New Roman" w:hAnsi="Times New Roman"/>
          <w:color w:val="111111"/>
          <w:sz w:val="28"/>
          <w:szCs w:val="28"/>
          <w:lang w:val="en-US"/>
        </w:rPr>
        <w:t>menyediakan undang-undang temporer yang menjamin relevansinya</w:t>
      </w:r>
    </w:p>
    <w:p>
      <w:pPr>
        <w:pStyle w:val="BookText"/>
        <w:bidi w:val="0"/>
        <w:jc w:val="both"/>
        <w:rPr/>
      </w:pPr>
      <w:r>
        <w:rPr>
          <w:rFonts w:eastAsia="Times New Roman" w:cs="Times New Roman" w:ascii="Times New Roman" w:hAnsi="Times New Roman"/>
          <w:color w:val="111111"/>
          <w:sz w:val="28"/>
          <w:szCs w:val="28"/>
          <w:lang w:val="en-US"/>
        </w:rPr>
        <w:t>dengan tuntutan ruang-waktu. Karena itu, sekaitan dengan adanya</w:t>
      </w:r>
    </w:p>
    <w:p>
      <w:pPr>
        <w:pStyle w:val="BookText"/>
        <w:bidi w:val="0"/>
        <w:jc w:val="both"/>
        <w:rPr/>
      </w:pPr>
      <w:r>
        <w:rPr>
          <w:rFonts w:eastAsia="Times New Roman" w:cs="Times New Roman" w:ascii="Times New Roman" w:hAnsi="Times New Roman"/>
          <w:color w:val="111111"/>
          <w:sz w:val="28"/>
          <w:szCs w:val="28"/>
          <w:lang w:val="en-US"/>
        </w:rPr>
        <w:t>kesan awal (zhahir) kontradiksi antara agama dan sains, pertama-</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p:18 </w:t>
      </w:r>
      <w:bookmarkStart w:id="58" w:name="pg5378_50417"/>
    </w:p>
    <w:p>
      <w:pPr>
        <w:pStyle w:val="BookText"/>
        <w:bidi w:val="0"/>
        <w:rPr/>
      </w:pPr>
      <w:bookmarkEnd w:id="58"/>
      <w:r>
        <w:rPr>
          <w:rFonts w:eastAsia="Times New Roman" w:cs="Times New Roman" w:ascii="Times New Roman" w:hAnsi="Times New Roman"/>
          <w:color w:val="111111"/>
          <w:sz w:val="28"/>
          <w:szCs w:val="28"/>
          <w:lang w:val="en-US"/>
        </w:rPr>
        <w:t>tama yang harus dilakukan adalah memisahkan komentar dan</w:t>
      </w:r>
    </w:p>
    <w:p>
      <w:pPr>
        <w:pStyle w:val="BookText"/>
        <w:bidi w:val="0"/>
        <w:jc w:val="both"/>
        <w:rPr/>
      </w:pPr>
      <w:r>
        <w:rPr>
          <w:rFonts w:eastAsia="Times New Roman" w:cs="Times New Roman" w:ascii="Times New Roman" w:hAnsi="Times New Roman"/>
          <w:color w:val="111111"/>
          <w:sz w:val="28"/>
          <w:szCs w:val="28"/>
          <w:lang w:val="en-US"/>
        </w:rPr>
        <w:t>perilaku kalangan agamawan itu sendiri, baru kemudian melakukan</w:t>
      </w:r>
    </w:p>
    <w:p>
      <w:pPr>
        <w:pStyle w:val="BookText"/>
        <w:bidi w:val="0"/>
        <w:jc w:val="both"/>
        <w:rPr/>
      </w:pPr>
      <w:r>
        <w:rPr>
          <w:rFonts w:eastAsia="Times New Roman" w:cs="Times New Roman" w:ascii="Times New Roman" w:hAnsi="Times New Roman"/>
          <w:color w:val="111111"/>
          <w:sz w:val="28"/>
          <w:szCs w:val="28"/>
          <w:lang w:val="en-US"/>
        </w:rPr>
        <w:t>penelitian metodik dalam rangka merekonstruksi proposisi-proposisi</w:t>
      </w:r>
    </w:p>
    <w:p>
      <w:pPr>
        <w:pStyle w:val="BookText"/>
        <w:bidi w:val="0"/>
        <w:jc w:val="both"/>
        <w:rPr/>
      </w:pPr>
      <w:r>
        <w:rPr>
          <w:rFonts w:eastAsia="Times New Roman" w:cs="Times New Roman" w:ascii="Times New Roman" w:hAnsi="Times New Roman"/>
          <w:color w:val="111111"/>
          <w:sz w:val="28"/>
          <w:szCs w:val="28"/>
          <w:lang w:val="en-US"/>
        </w:rPr>
        <w:t>agama yang sesungguhnya.</w:t>
      </w:r>
    </w:p>
    <w:p>
      <w:pPr>
        <w:pStyle w:val="BookText"/>
        <w:bidi w:val="0"/>
        <w:jc w:val="both"/>
        <w:rPr/>
      </w:pPr>
      <w:r>
        <w:rPr>
          <w:rFonts w:eastAsia="Times New Roman" w:cs="Times New Roman" w:ascii="Times New Roman" w:hAnsi="Times New Roman"/>
          <w:color w:val="111111"/>
          <w:sz w:val="28"/>
          <w:szCs w:val="28"/>
          <w:lang w:val="en-US"/>
        </w:rPr>
        <w:t>Akan halnya jika seseorang menganggap agama itu identik</w:t>
      </w:r>
    </w:p>
    <w:p>
      <w:pPr>
        <w:pStyle w:val="BookText"/>
        <w:bidi w:val="0"/>
        <w:jc w:val="both"/>
        <w:rPr/>
      </w:pPr>
      <w:r>
        <w:rPr>
          <w:rFonts w:eastAsia="Times New Roman" w:cs="Times New Roman" w:ascii="Times New Roman" w:hAnsi="Times New Roman"/>
          <w:color w:val="111111"/>
          <w:sz w:val="28"/>
          <w:szCs w:val="28"/>
          <w:lang w:val="en-US"/>
        </w:rPr>
        <w:t>dengan pemahaman akan syariat, atau “agama adalah pemahaman</w:t>
      </w:r>
    </w:p>
    <w:p>
      <w:pPr>
        <w:pStyle w:val="BookText"/>
        <w:bidi w:val="0"/>
        <w:jc w:val="both"/>
        <w:rPr/>
      </w:pPr>
      <w:r>
        <w:rPr>
          <w:rFonts w:eastAsia="Times New Roman" w:cs="Times New Roman" w:ascii="Times New Roman" w:hAnsi="Times New Roman"/>
          <w:color w:val="111111"/>
          <w:sz w:val="28"/>
          <w:szCs w:val="28"/>
          <w:lang w:val="en-US"/>
        </w:rPr>
        <w:t>terhadap syariat”</w:t>
      </w:r>
      <w:r>
        <w:rPr>
          <w:rStyle w:val="FootnoteAnchor"/>
        </w:rPr>
        <w:footnoteReference w:id="22"/>
      </w:r>
      <w:r>
        <w:rPr>
          <w:rFonts w:eastAsia="Times New Roman" w:cs="Times New Roman" w:ascii="Times New Roman" w:hAnsi="Times New Roman"/>
          <w:color w:val="111111"/>
          <w:sz w:val="28"/>
          <w:szCs w:val="28"/>
          <w:lang w:val="en-US"/>
        </w:rPr>
        <w:t>, maka orientasinya pasti berbeda total dengan</w:t>
      </w:r>
    </w:p>
    <w:p>
      <w:pPr>
        <w:pStyle w:val="BookText"/>
        <w:bidi w:val="0"/>
        <w:jc w:val="both"/>
        <w:rPr/>
      </w:pPr>
      <w:r>
        <w:rPr>
          <w:rFonts w:eastAsia="Times New Roman" w:cs="Times New Roman" w:ascii="Times New Roman" w:hAnsi="Times New Roman"/>
          <w:color w:val="111111"/>
          <w:sz w:val="28"/>
          <w:szCs w:val="28"/>
          <w:lang w:val="en-US"/>
        </w:rPr>
        <w:t>uraian dalam buku ini. Sebab, dari perspektif semacam ini, agama</w:t>
      </w:r>
    </w:p>
    <w:p>
      <w:pPr>
        <w:pStyle w:val="BookText"/>
        <w:bidi w:val="0"/>
        <w:jc w:val="both"/>
        <w:rPr/>
      </w:pPr>
      <w:r>
        <w:rPr>
          <w:rFonts w:eastAsia="Times New Roman" w:cs="Times New Roman" w:ascii="Times New Roman" w:hAnsi="Times New Roman"/>
          <w:color w:val="111111"/>
          <w:sz w:val="28"/>
          <w:szCs w:val="28"/>
          <w:lang w:val="en-US"/>
        </w:rPr>
        <w:t>dipandang bukan lagi sebagai perkara yang permanen dan</w:t>
      </w:r>
    </w:p>
    <w:p>
      <w:pPr>
        <w:pStyle w:val="BookText"/>
        <w:bidi w:val="0"/>
        <w:jc w:val="both"/>
        <w:rPr/>
      </w:pPr>
      <w:r>
        <w:rPr>
          <w:rFonts w:eastAsia="Times New Roman" w:cs="Times New Roman" w:ascii="Times New Roman" w:hAnsi="Times New Roman"/>
          <w:color w:val="111111"/>
          <w:sz w:val="28"/>
          <w:szCs w:val="28"/>
          <w:lang w:val="en-US"/>
        </w:rPr>
        <w:t>tak berubah, bahkan boleh jadi bertentangan dengan pelbagai</w:t>
      </w:r>
    </w:p>
    <w:p>
      <w:pPr>
        <w:pStyle w:val="BookText"/>
        <w:bidi w:val="0"/>
        <w:jc w:val="both"/>
        <w:rPr/>
      </w:pPr>
      <w:r>
        <w:rPr>
          <w:rFonts w:eastAsia="Times New Roman" w:cs="Times New Roman" w:ascii="Times New Roman" w:hAnsi="Times New Roman"/>
          <w:color w:val="111111"/>
          <w:sz w:val="28"/>
          <w:szCs w:val="28"/>
          <w:lang w:val="en-US"/>
        </w:rPr>
        <w:t>pengetahuan akal manusia, belum lagi data-data rasionalnya</w:t>
      </w:r>
    </w:p>
    <w:p>
      <w:pPr>
        <w:pStyle w:val="BookText"/>
        <w:bidi w:val="0"/>
        <w:jc w:val="both"/>
        <w:rPr/>
      </w:pPr>
      <w:r>
        <w:rPr>
          <w:rFonts w:eastAsia="Times New Roman" w:cs="Times New Roman" w:ascii="Times New Roman" w:hAnsi="Times New Roman"/>
          <w:color w:val="111111"/>
          <w:sz w:val="28"/>
          <w:szCs w:val="28"/>
          <w:lang w:val="en-US"/>
        </w:rPr>
        <w:t>senantiasa berubah. Dalam pandangannya, agama setiap orang</w:t>
      </w:r>
    </w:p>
    <w:p>
      <w:pPr>
        <w:pStyle w:val="BookText"/>
        <w:bidi w:val="0"/>
        <w:jc w:val="both"/>
        <w:rPr/>
      </w:pPr>
      <w:r>
        <w:rPr>
          <w:rFonts w:eastAsia="Times New Roman" w:cs="Times New Roman" w:ascii="Times New Roman" w:hAnsi="Times New Roman"/>
          <w:color w:val="111111"/>
          <w:sz w:val="28"/>
          <w:szCs w:val="28"/>
          <w:lang w:val="en-US"/>
        </w:rPr>
        <w:t>akan selaras dengan variasi praduga dan data rasionalnya sendiri.</w:t>
      </w:r>
    </w:p>
    <w:p>
      <w:pPr>
        <w:pStyle w:val="BookText"/>
        <w:bidi w:val="0"/>
        <w:jc w:val="both"/>
        <w:rPr/>
      </w:pPr>
      <w:r>
        <w:rPr>
          <w:rFonts w:eastAsia="Times New Roman" w:cs="Times New Roman" w:ascii="Times New Roman" w:hAnsi="Times New Roman"/>
          <w:color w:val="111111"/>
          <w:sz w:val="28"/>
          <w:szCs w:val="28"/>
          <w:lang w:val="en-US"/>
        </w:rPr>
        <w:t>Seandainya cara pandang ini diterima, niscaya kebanyakan masalah</w:t>
      </w:r>
    </w:p>
    <w:p>
      <w:pPr>
        <w:pStyle w:val="BookText"/>
        <w:bidi w:val="0"/>
        <w:jc w:val="both"/>
        <w:rPr/>
      </w:pPr>
      <w:r>
        <w:rPr>
          <w:rFonts w:eastAsia="Times New Roman" w:cs="Times New Roman" w:ascii="Times New Roman" w:hAnsi="Times New Roman"/>
          <w:color w:val="111111"/>
          <w:sz w:val="28"/>
          <w:szCs w:val="28"/>
          <w:lang w:val="en-US"/>
        </w:rPr>
        <w:t>akal dan wahyu dapat dikaji dengan metode yang berbeda. Hanya</w:t>
      </w:r>
    </w:p>
    <w:p>
      <w:pPr>
        <w:pStyle w:val="BookText"/>
        <w:bidi w:val="0"/>
        <w:jc w:val="both"/>
        <w:rPr/>
      </w:pPr>
      <w:r>
        <w:rPr>
          <w:rFonts w:eastAsia="Times New Roman" w:cs="Times New Roman" w:ascii="Times New Roman" w:hAnsi="Times New Roman"/>
          <w:color w:val="111111"/>
          <w:sz w:val="28"/>
          <w:szCs w:val="28"/>
          <w:lang w:val="en-US"/>
        </w:rPr>
        <w:t>penting dicatat, basis pemikiran ini tidak begitu kokoh dan rentan</w:t>
      </w:r>
    </w:p>
    <w:p>
      <w:pPr>
        <w:pStyle w:val="BookText"/>
        <w:bidi w:val="0"/>
        <w:jc w:val="both"/>
        <w:rPr/>
      </w:pPr>
      <w:r>
        <w:rPr>
          <w:rFonts w:eastAsia="Times New Roman" w:cs="Times New Roman" w:ascii="Times New Roman" w:hAnsi="Times New Roman"/>
          <w:color w:val="111111"/>
          <w:sz w:val="28"/>
          <w:szCs w:val="28"/>
          <w:lang w:val="en-US"/>
        </w:rPr>
        <w:t>kritik mematikan.</w:t>
      </w:r>
    </w:p>
    <w:p>
      <w:pPr>
        <w:pStyle w:val="Heading5"/>
        <w:numPr>
          <w:ilvl w:val="4"/>
          <w:numId w:val="1"/>
        </w:numPr>
        <w:bidi w:val="0"/>
        <w:jc w:val="left"/>
        <w:rPr/>
      </w:pPr>
      <w:bookmarkStart w:id="59" w:name="__RefHeading___Toc1351088_581953129"/>
      <w:bookmarkStart w:id="60" w:name="_Toc23"/>
      <w:bookmarkEnd w:id="59"/>
      <w:r>
        <w:rPr/>
        <w:t>Kesalahpahaman Akibat Melawankan Akal dengan Agama</w:t>
      </w:r>
      <w:bookmarkEnd w:id="60"/>
    </w:p>
    <w:p>
      <w:pPr>
        <w:pStyle w:val="BookText"/>
        <w:bidi w:val="0"/>
        <w:jc w:val="both"/>
        <w:rPr/>
      </w:pPr>
      <w:r>
        <w:rPr>
          <w:rFonts w:eastAsia="Times New Roman" w:cs="Times New Roman" w:ascii="Times New Roman" w:hAnsi="Times New Roman"/>
          <w:color w:val="111111"/>
          <w:sz w:val="28"/>
          <w:szCs w:val="28"/>
          <w:lang w:val="en-US"/>
        </w:rPr>
        <w:t>Yakni, memisahkan antara agama dan akal; mengandaikan bahwa</w:t>
      </w:r>
    </w:p>
    <w:p>
      <w:pPr>
        <w:pStyle w:val="BookText"/>
        <w:bidi w:val="0"/>
        <w:jc w:val="both"/>
        <w:rPr/>
      </w:pPr>
      <w:r>
        <w:rPr>
          <w:rFonts w:eastAsia="Times New Roman" w:cs="Times New Roman" w:ascii="Times New Roman" w:hAnsi="Times New Roman"/>
          <w:color w:val="111111"/>
          <w:sz w:val="28"/>
          <w:szCs w:val="28"/>
          <w:lang w:val="en-US"/>
        </w:rPr>
        <w:t>sejak awal, posisi keduanya saling bertentangan. Padahal, dalam</w:t>
      </w:r>
    </w:p>
    <w:p>
      <w:pPr>
        <w:pStyle w:val="BookText"/>
        <w:bidi w:val="0"/>
        <w:jc w:val="both"/>
        <w:rPr/>
      </w:pPr>
      <w:r>
        <w:rPr>
          <w:rFonts w:eastAsia="Times New Roman" w:cs="Times New Roman" w:ascii="Times New Roman" w:hAnsi="Times New Roman"/>
          <w:color w:val="111111"/>
          <w:sz w:val="28"/>
          <w:szCs w:val="28"/>
          <w:lang w:val="en-US"/>
        </w:rPr>
        <w:t>pemikiran Islam, akal punya nilai-bukti (hujjiyat) dan diangkat</w:t>
      </w:r>
    </w:p>
    <w:p>
      <w:pPr>
        <w:pStyle w:val="BookText"/>
        <w:bidi w:val="0"/>
        <w:jc w:val="both"/>
        <w:rPr/>
      </w:pPr>
      <w:r>
        <w:rPr>
          <w:rFonts w:eastAsia="Times New Roman" w:cs="Times New Roman" w:ascii="Times New Roman" w:hAnsi="Times New Roman"/>
          <w:color w:val="111111"/>
          <w:sz w:val="28"/>
          <w:szCs w:val="28"/>
          <w:lang w:val="en-US"/>
        </w:rPr>
        <w:t>sebagai nabi internal. Karena itu, tidak sebagaimana yang umum</w:t>
      </w:r>
    </w:p>
    <w:p>
      <w:pPr>
        <w:pStyle w:val="BookText"/>
        <w:bidi w:val="0"/>
        <w:jc w:val="both"/>
        <w:rPr/>
      </w:pPr>
      <w:r>
        <w:rPr>
          <w:rFonts w:eastAsia="Times New Roman" w:cs="Times New Roman" w:ascii="Times New Roman" w:hAnsi="Times New Roman"/>
          <w:color w:val="111111"/>
          <w:sz w:val="28"/>
          <w:szCs w:val="28"/>
          <w:lang w:val="en-US"/>
        </w:rPr>
        <w:t>dipahami sekaitan dengan terma ‘akal dan agama’, ‘rasional’ tidak</w:t>
      </w:r>
    </w:p>
    <w:p>
      <w:pPr>
        <w:pStyle w:val="BookText"/>
        <w:bidi w:val="0"/>
        <w:jc w:val="both"/>
        <w:rPr/>
      </w:pPr>
      <w:r>
        <w:rPr>
          <w:rFonts w:eastAsia="Times New Roman" w:cs="Times New Roman" w:ascii="Times New Roman" w:hAnsi="Times New Roman"/>
          <w:color w:val="111111"/>
          <w:sz w:val="28"/>
          <w:szCs w:val="28"/>
          <w:lang w:val="en-US"/>
        </w:rPr>
        <w:t>berarti sesuatu yang nonagama. Itulah sebabnya, yang dihadapkan</w:t>
      </w:r>
    </w:p>
    <w:p>
      <w:pPr>
        <w:pStyle w:val="BookText"/>
        <w:bidi w:val="0"/>
        <w:jc w:val="both"/>
        <w:rPr/>
      </w:pPr>
      <w:r>
        <w:rPr>
          <w:rFonts w:eastAsia="Times New Roman" w:cs="Times New Roman" w:ascii="Times New Roman" w:hAnsi="Times New Roman"/>
          <w:color w:val="111111"/>
          <w:sz w:val="28"/>
          <w:szCs w:val="28"/>
          <w:lang w:val="en-US"/>
        </w:rPr>
        <w:t>dengan akal semestinya teks (naql), bukan agama. Seorang cendekia</w:t>
      </w:r>
    </w:p>
    <w:p>
      <w:pPr>
        <w:pStyle w:val="BookText"/>
        <w:bidi w:val="0"/>
        <w:jc w:val="both"/>
        <w:rPr/>
      </w:pPr>
      <w:r>
        <w:rPr>
          <w:rFonts w:eastAsia="Times New Roman" w:cs="Times New Roman" w:ascii="Times New Roman" w:hAnsi="Times New Roman"/>
          <w:color w:val="111111"/>
          <w:sz w:val="28"/>
          <w:szCs w:val="28"/>
          <w:lang w:val="en-US"/>
        </w:rPr>
        <w:t>mengatakan:</w:t>
      </w:r>
    </w:p>
    <w:p>
      <w:pPr>
        <w:pStyle w:val="BookText"/>
        <w:bidi w:val="0"/>
        <w:jc w:val="both"/>
        <w:rPr/>
      </w:pPr>
      <w:r>
        <w:rPr>
          <w:rFonts w:eastAsia="Times New Roman" w:cs="Times New Roman" w:ascii="Times New Roman" w:hAnsi="Times New Roman"/>
          <w:color w:val="111111"/>
          <w:sz w:val="28"/>
          <w:szCs w:val="28"/>
          <w:lang w:val="en-US"/>
        </w:rPr>
        <w:t>Akal bukan lawan atau oposisi (qasi) agama sehingga orang</w:t>
      </w:r>
    </w:p>
    <w:p>
      <w:pPr>
        <w:pStyle w:val="BookText"/>
        <w:bidi w:val="0"/>
        <w:jc w:val="both"/>
        <w:rPr/>
      </w:pPr>
      <w:r>
        <w:rPr>
          <w:rFonts w:eastAsia="Times New Roman" w:cs="Times New Roman" w:ascii="Times New Roman" w:hAnsi="Times New Roman"/>
          <w:color w:val="111111"/>
          <w:sz w:val="28"/>
          <w:szCs w:val="28"/>
          <w:lang w:val="en-US"/>
        </w:rPr>
        <w:t>bisa mempertanyakan: apakah persoalan ini rasional atau agamis</w:t>
      </w:r>
    </w:p>
    <w:p>
      <w:pPr>
        <w:pStyle w:val="BookText"/>
        <w:bidi w:val="0"/>
        <w:jc w:val="both"/>
        <w:rPr/>
      </w:pPr>
      <w:r>
        <w:rPr>
          <w:rFonts w:eastAsia="Times New Roman" w:cs="Times New Roman" w:ascii="Times New Roman" w:hAnsi="Times New Roman"/>
          <w:color w:val="111111"/>
          <w:sz w:val="28"/>
          <w:szCs w:val="28"/>
          <w:lang w:val="en-US"/>
        </w:rPr>
        <w:t>(dini), rasional atau religius (syar’i). Oposisi akal adalah teks</w:t>
      </w:r>
    </w:p>
    <w:p>
      <w:pPr>
        <w:pStyle w:val="BookText"/>
        <w:bidi w:val="0"/>
        <w:jc w:val="both"/>
        <w:rPr/>
      </w:pPr>
      <w:r>
        <w:rPr>
          <w:rFonts w:eastAsia="Times New Roman" w:cs="Times New Roman" w:ascii="Times New Roman" w:hAnsi="Times New Roman"/>
          <w:color w:val="111111"/>
          <w:sz w:val="28"/>
          <w:szCs w:val="28"/>
          <w:lang w:val="en-US"/>
        </w:rPr>
        <w:t>(naql); keduanya merupakan sumber penyimpulan agama serta</w:t>
      </w:r>
    </w:p>
    <w:p>
      <w:pPr>
        <w:pStyle w:val="BookText"/>
        <w:bidi w:val="0"/>
        <w:jc w:val="both"/>
        <w:rPr/>
      </w:pPr>
      <w:r>
        <w:rPr>
          <w:rFonts w:eastAsia="Times New Roman" w:cs="Times New Roman" w:ascii="Times New Roman" w:hAnsi="Times New Roman"/>
          <w:color w:val="111111"/>
          <w:sz w:val="28"/>
          <w:szCs w:val="28"/>
          <w:lang w:val="en-US"/>
        </w:rPr>
        <w:t>syariat. Terbang ke atmosfir ijtihad hanya mungkin dengan dua</w:t>
      </w:r>
    </w:p>
    <w:p>
      <w:pPr>
        <w:pStyle w:val="BookText"/>
        <w:bidi w:val="0"/>
        <w:jc w:val="both"/>
        <w:rPr/>
      </w:pPr>
      <w:r>
        <w:rPr>
          <w:rFonts w:eastAsia="Times New Roman" w:cs="Times New Roman" w:ascii="Times New Roman" w:hAnsi="Times New Roman"/>
          <w:color w:val="111111"/>
          <w:sz w:val="28"/>
          <w:szCs w:val="28"/>
          <w:lang w:val="en-US"/>
        </w:rPr>
        <w:t>sayap; akal dan teks.</w:t>
      </w:r>
      <w:r>
        <w:rPr>
          <w:rStyle w:val="FootnoteAnchor"/>
        </w:rPr>
        <w:footnoteReference w:id="2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p:17 </w:t>
      </w:r>
      <w:bookmarkStart w:id="61" w:name="pg5378_50419"/>
    </w:p>
    <w:p>
      <w:pPr>
        <w:pStyle w:val="Heading4"/>
        <w:numPr>
          <w:ilvl w:val="3"/>
          <w:numId w:val="1"/>
        </w:numPr>
        <w:bidi w:val="0"/>
        <w:jc w:val="left"/>
        <w:rPr/>
      </w:pPr>
      <w:bookmarkStart w:id="62" w:name="__RefHeading___Toc1351090_581953129"/>
      <w:bookmarkStart w:id="63" w:name="_Toc24"/>
      <w:bookmarkEnd w:id="61"/>
      <w:bookmarkEnd w:id="62"/>
      <w:r>
        <w:rPr/>
        <w:t>Point</w:t>
      </w:r>
      <w:bookmarkEnd w:id="63"/>
    </w:p>
    <w:p>
      <w:pPr>
        <w:pStyle w:val="BookText"/>
        <w:bidi w:val="0"/>
        <w:jc w:val="both"/>
        <w:rPr/>
      </w:pPr>
      <w:r>
        <w:rPr>
          <w:rFonts w:eastAsia="Times New Roman" w:cs="Times New Roman" w:ascii="Times New Roman" w:hAnsi="Times New Roman"/>
          <w:color w:val="111111"/>
          <w:sz w:val="28"/>
          <w:szCs w:val="28"/>
          <w:lang w:val="en-US"/>
        </w:rPr>
        <w:t>Agama dan Filsafat</w:t>
      </w:r>
    </w:p>
    <w:p>
      <w:pPr>
        <w:pStyle w:val="BookText"/>
        <w:bidi w:val="0"/>
        <w:jc w:val="both"/>
        <w:rPr/>
      </w:pPr>
      <w:r>
        <w:rPr>
          <w:rFonts w:eastAsia="Times New Roman" w:cs="Times New Roman" w:ascii="Times New Roman" w:hAnsi="Times New Roman"/>
          <w:color w:val="111111"/>
          <w:sz w:val="28"/>
          <w:szCs w:val="28"/>
          <w:lang w:val="en-US"/>
        </w:rPr>
        <w:t>Sejak munculnya gagasan filosofis, hubungan akal dan wahyu</w:t>
      </w:r>
    </w:p>
    <w:p>
      <w:pPr>
        <w:pStyle w:val="BookText"/>
        <w:bidi w:val="0"/>
        <w:jc w:val="both"/>
        <w:rPr/>
      </w:pPr>
      <w:r>
        <w:rPr>
          <w:rFonts w:eastAsia="Times New Roman" w:cs="Times New Roman" w:ascii="Times New Roman" w:hAnsi="Times New Roman"/>
          <w:color w:val="111111"/>
          <w:sz w:val="28"/>
          <w:szCs w:val="28"/>
          <w:lang w:val="en-US"/>
        </w:rPr>
        <w:t>dibingkai dalam relasi filsafat dan agama. Banyak agamawan</w:t>
      </w:r>
    </w:p>
    <w:p>
      <w:pPr>
        <w:pStyle w:val="BookText"/>
        <w:bidi w:val="0"/>
        <w:jc w:val="both"/>
        <w:rPr/>
      </w:pPr>
      <w:r>
        <w:rPr>
          <w:rFonts w:eastAsia="Times New Roman" w:cs="Times New Roman" w:ascii="Times New Roman" w:hAnsi="Times New Roman"/>
          <w:color w:val="111111"/>
          <w:sz w:val="28"/>
          <w:szCs w:val="28"/>
          <w:lang w:val="en-US"/>
        </w:rPr>
        <w:t>menilai ajaran-ajaran filsafat bertentangan dengan ajaran para</w:t>
      </w:r>
    </w:p>
    <w:p>
      <w:pPr>
        <w:pStyle w:val="BookText"/>
        <w:bidi w:val="0"/>
        <w:jc w:val="both"/>
        <w:rPr/>
      </w:pPr>
      <w:r>
        <w:rPr>
          <w:rFonts w:eastAsia="Times New Roman" w:cs="Times New Roman" w:ascii="Times New Roman" w:hAnsi="Times New Roman"/>
          <w:color w:val="111111"/>
          <w:sz w:val="28"/>
          <w:szCs w:val="28"/>
          <w:lang w:val="en-US"/>
        </w:rPr>
        <w:t>nabi. Segala cara mereka kerahkan untuk mengecam kaum filsuf.</w:t>
      </w:r>
    </w:p>
    <w:p>
      <w:pPr>
        <w:pStyle w:val="BookText"/>
        <w:bidi w:val="0"/>
        <w:jc w:val="both"/>
        <w:rPr/>
      </w:pPr>
      <w:r>
        <w:rPr>
          <w:rFonts w:eastAsia="Times New Roman" w:cs="Times New Roman" w:ascii="Times New Roman" w:hAnsi="Times New Roman"/>
          <w:color w:val="111111"/>
          <w:sz w:val="28"/>
          <w:szCs w:val="28"/>
          <w:lang w:val="en-US"/>
        </w:rPr>
        <w:t>Contoh menonjol di dunia Islam adalah Abu Hamid Muhammad</w:t>
      </w:r>
    </w:p>
    <w:p>
      <w:pPr>
        <w:pStyle w:val="BookText"/>
        <w:bidi w:val="0"/>
        <w:jc w:val="both"/>
        <w:rPr/>
      </w:pPr>
      <w:r>
        <w:rPr>
          <w:rFonts w:eastAsia="Times New Roman" w:cs="Times New Roman" w:ascii="Times New Roman" w:hAnsi="Times New Roman"/>
          <w:color w:val="111111"/>
          <w:sz w:val="28"/>
          <w:szCs w:val="28"/>
          <w:lang w:val="en-US"/>
        </w:rPr>
        <w:t>Ghazali (450-505 H). Teolog beraliran Asy’ariyah ini menyulut</w:t>
      </w:r>
    </w:p>
    <w:p>
      <w:pPr>
        <w:pStyle w:val="BookText"/>
        <w:bidi w:val="0"/>
        <w:jc w:val="both"/>
        <w:rPr/>
      </w:pPr>
      <w:r>
        <w:rPr>
          <w:rFonts w:eastAsia="Times New Roman" w:cs="Times New Roman" w:ascii="Times New Roman" w:hAnsi="Times New Roman"/>
          <w:color w:val="111111"/>
          <w:sz w:val="28"/>
          <w:szCs w:val="28"/>
          <w:lang w:val="en-US"/>
        </w:rPr>
        <w:t>kembali perseteruan itu lewat karya tulisnya, Tahafut Al-Falasifah. Ini</w:t>
      </w:r>
    </w:p>
    <w:p>
      <w:pPr>
        <w:pStyle w:val="BookText"/>
        <w:bidi w:val="0"/>
        <w:jc w:val="both"/>
        <w:rPr/>
      </w:pPr>
      <w:r>
        <w:rPr>
          <w:rFonts w:eastAsia="Times New Roman" w:cs="Times New Roman" w:ascii="Times New Roman" w:hAnsi="Times New Roman"/>
          <w:color w:val="111111"/>
          <w:sz w:val="28"/>
          <w:szCs w:val="28"/>
          <w:lang w:val="en-US"/>
        </w:rPr>
        <w:t>membangkitkan kembali ruh perselisihan antara konklusi filosofis</w:t>
      </w:r>
    </w:p>
    <w:p>
      <w:pPr>
        <w:pStyle w:val="BookText"/>
        <w:bidi w:val="0"/>
        <w:jc w:val="both"/>
        <w:rPr/>
      </w:pPr>
      <w:r>
        <w:rPr>
          <w:rFonts w:eastAsia="Times New Roman" w:cs="Times New Roman" w:ascii="Times New Roman" w:hAnsi="Times New Roman"/>
          <w:color w:val="111111"/>
          <w:sz w:val="28"/>
          <w:szCs w:val="28"/>
          <w:lang w:val="en-US"/>
        </w:rPr>
        <w:t>versus ajaran agama.</w:t>
      </w:r>
    </w:p>
    <w:p>
      <w:pPr>
        <w:pStyle w:val="BookText"/>
        <w:bidi w:val="0"/>
        <w:jc w:val="both"/>
        <w:rPr/>
      </w:pPr>
      <w:r>
        <w:rPr>
          <w:rFonts w:eastAsia="Times New Roman" w:cs="Times New Roman" w:ascii="Times New Roman" w:hAnsi="Times New Roman"/>
          <w:color w:val="111111"/>
          <w:sz w:val="28"/>
          <w:szCs w:val="28"/>
          <w:lang w:val="en-US"/>
        </w:rPr>
        <w:t>Sebagian filsuf Muslim tidak tahan mendengar tuduhan itu.</w:t>
      </w:r>
    </w:p>
    <w:p>
      <w:pPr>
        <w:pStyle w:val="BookText"/>
        <w:bidi w:val="0"/>
        <w:jc w:val="both"/>
        <w:rPr/>
      </w:pPr>
      <w:r>
        <w:rPr>
          <w:rFonts w:eastAsia="Times New Roman" w:cs="Times New Roman" w:ascii="Times New Roman" w:hAnsi="Times New Roman"/>
          <w:color w:val="111111"/>
          <w:sz w:val="28"/>
          <w:szCs w:val="28"/>
          <w:lang w:val="en-US"/>
        </w:rPr>
        <w:t>Mereka segera menyodorkan pemecahan konflik yang bergulir. Ibnu</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Rusyd (520-595 H), filsuf Muslim asal Andalusia, lalu menulis buku </w:t>
      </w:r>
    </w:p>
    <w:p>
      <w:pPr>
        <w:pStyle w:val="BookText"/>
        <w:bidi w:val="0"/>
        <w:rPr/>
      </w:pPr>
      <w:r>
        <w:rPr>
          <w:rFonts w:eastAsia="Times New Roman" w:cs="Times New Roman" w:ascii="Times New Roman" w:hAnsi="Times New Roman"/>
          <w:color w:val="111111"/>
          <w:sz w:val="28"/>
          <w:szCs w:val="28"/>
          <w:lang w:val="en-US"/>
        </w:rPr>
        <w:t>Tahafut Al-Tahafut sebagai jawaban atas Ghazali. Dalam karya ini,</w:t>
      </w:r>
    </w:p>
    <w:p>
      <w:pPr>
        <w:pStyle w:val="BookText"/>
        <w:bidi w:val="0"/>
        <w:jc w:val="both"/>
        <w:rPr/>
      </w:pPr>
      <w:r>
        <w:rPr>
          <w:rFonts w:eastAsia="Times New Roman" w:cs="Times New Roman" w:ascii="Times New Roman" w:hAnsi="Times New Roman"/>
          <w:color w:val="111111"/>
          <w:sz w:val="28"/>
          <w:szCs w:val="28"/>
          <w:lang w:val="en-US"/>
        </w:rPr>
        <w:t>juga dalam Fashl Al-Maqal fi ma bain Al-Syart'ah wa Al-Hikmah min Al-</w:t>
      </w:r>
    </w:p>
    <w:p>
      <w:pPr>
        <w:pStyle w:val="BookText"/>
        <w:bidi w:val="0"/>
        <w:jc w:val="both"/>
        <w:rPr/>
      </w:pPr>
      <w:r>
        <w:rPr>
          <w:rFonts w:eastAsia="Times New Roman" w:cs="Times New Roman" w:ascii="Times New Roman" w:hAnsi="Times New Roman"/>
          <w:color w:val="111111"/>
          <w:sz w:val="28"/>
          <w:szCs w:val="28"/>
          <w:lang w:val="en-US"/>
        </w:rPr>
        <w:t>Ittishal, dia mendemonstrasikan pembelaannya terhadap pandangan-</w:t>
      </w:r>
    </w:p>
    <w:p>
      <w:pPr>
        <w:pStyle w:val="BookText"/>
        <w:bidi w:val="0"/>
        <w:jc w:val="both"/>
        <w:rPr/>
      </w:pPr>
      <w:r>
        <w:rPr>
          <w:rFonts w:eastAsia="Times New Roman" w:cs="Times New Roman" w:ascii="Times New Roman" w:hAnsi="Times New Roman"/>
          <w:color w:val="111111"/>
          <w:sz w:val="28"/>
          <w:szCs w:val="28"/>
          <w:lang w:val="en-US"/>
        </w:rPr>
        <w:t>pandangan filosofis dan menjelaskan keseutuhannya dengan ajaran</w:t>
      </w:r>
    </w:p>
    <w:p>
      <w:pPr>
        <w:pStyle w:val="BookText"/>
        <w:bidi w:val="0"/>
        <w:jc w:val="both"/>
        <w:rPr/>
      </w:pPr>
      <w:r>
        <w:rPr>
          <w:rFonts w:eastAsia="Times New Roman" w:cs="Times New Roman" w:ascii="Times New Roman" w:hAnsi="Times New Roman"/>
          <w:color w:val="111111"/>
          <w:sz w:val="28"/>
          <w:szCs w:val="28"/>
          <w:lang w:val="en-US"/>
        </w:rPr>
        <w:t>agama:</w:t>
      </w:r>
    </w:p>
    <w:p>
      <w:pPr>
        <w:pStyle w:val="BookText"/>
        <w:bidi w:val="0"/>
        <w:jc w:val="both"/>
        <w:rPr/>
      </w:pPr>
      <w:r>
        <w:rPr>
          <w:rFonts w:eastAsia="Times New Roman" w:cs="Times New Roman" w:ascii="Times New Roman" w:hAnsi="Times New Roman"/>
          <w:color w:val="111111"/>
          <w:sz w:val="28"/>
          <w:szCs w:val="28"/>
          <w:lang w:val="en-US"/>
        </w:rPr>
        <w:t>Kami, orang-orang Muslim, tahu pasti bahwa berpikir secara</w:t>
      </w:r>
    </w:p>
    <w:p>
      <w:pPr>
        <w:pStyle w:val="BookText"/>
        <w:bidi w:val="0"/>
        <w:jc w:val="both"/>
        <w:rPr/>
      </w:pPr>
      <w:r>
        <w:rPr>
          <w:rFonts w:eastAsia="Times New Roman" w:cs="Times New Roman" w:ascii="Times New Roman" w:hAnsi="Times New Roman"/>
          <w:color w:val="111111"/>
          <w:sz w:val="28"/>
          <w:szCs w:val="28"/>
          <w:lang w:val="en-US"/>
        </w:rPr>
        <w:t>burhani ‘logis’ tidak akan sampai menentang apa yang telah</w:t>
      </w:r>
    </w:p>
    <w:p>
      <w:pPr>
        <w:pStyle w:val="BookText"/>
        <w:bidi w:val="0"/>
        <w:jc w:val="both"/>
        <w:rPr/>
      </w:pPr>
      <w:r>
        <w:rPr>
          <w:rFonts w:eastAsia="Times New Roman" w:cs="Times New Roman" w:ascii="Times New Roman" w:hAnsi="Times New Roman"/>
          <w:color w:val="111111"/>
          <w:sz w:val="28"/>
          <w:szCs w:val="28"/>
          <w:lang w:val="en-US"/>
        </w:rPr>
        <w:t>disampaikan agama, karena kebenaran tidak akan menentang</w:t>
      </w:r>
    </w:p>
    <w:p>
      <w:pPr>
        <w:pStyle w:val="BookText"/>
        <w:bidi w:val="0"/>
        <w:jc w:val="both"/>
        <w:rPr/>
      </w:pPr>
      <w:r>
        <w:rPr>
          <w:rFonts w:eastAsia="Times New Roman" w:cs="Times New Roman" w:ascii="Times New Roman" w:hAnsi="Times New Roman"/>
          <w:color w:val="111111"/>
          <w:sz w:val="28"/>
          <w:szCs w:val="28"/>
          <w:lang w:val="en-US"/>
        </w:rPr>
        <w:t>kebenaran; justru ia menyepakati dan mendukungnya.</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Perseteruan di antara filsuf dan sekelompok teolog, fakih, dan</w:t>
      </w:r>
    </w:p>
    <w:p>
      <w:pPr>
        <w:pStyle w:val="BookText"/>
        <w:bidi w:val="0"/>
        <w:jc w:val="both"/>
        <w:rPr/>
      </w:pPr>
      <w:r>
        <w:rPr>
          <w:rFonts w:eastAsia="Times New Roman" w:cs="Times New Roman" w:ascii="Times New Roman" w:hAnsi="Times New Roman"/>
          <w:color w:val="111111"/>
          <w:sz w:val="28"/>
          <w:szCs w:val="28"/>
          <w:lang w:val="en-US"/>
        </w:rPr>
        <w:t>arif terus berlangsung, meski pasang-surut:</w:t>
      </w:r>
    </w:p>
    <w:p>
      <w:pPr>
        <w:pStyle w:val="BookText"/>
        <w:bidi w:val="0"/>
        <w:jc w:val="both"/>
        <w:rPr/>
      </w:pPr>
      <w:r>
        <w:rPr>
          <w:rFonts w:eastAsia="Times New Roman" w:cs="Times New Roman" w:ascii="Times New Roman" w:hAnsi="Times New Roman"/>
          <w:color w:val="111111"/>
          <w:sz w:val="28"/>
          <w:szCs w:val="28"/>
          <w:lang w:val="en-US"/>
        </w:rPr>
        <w:t>Bukan ilmu selain ilmu merindu</w:t>
      </w:r>
    </w:p>
    <w:p>
      <w:pPr>
        <w:pStyle w:val="BookText"/>
        <w:bidi w:val="0"/>
        <w:jc w:val="both"/>
        <w:rPr/>
      </w:pPr>
      <w:r>
        <w:rPr>
          <w:rFonts w:eastAsia="Times New Roman" w:cs="Times New Roman" w:ascii="Times New Roman" w:hAnsi="Times New Roman"/>
          <w:color w:val="111111"/>
          <w:sz w:val="28"/>
          <w:szCs w:val="28"/>
          <w:lang w:val="en-US"/>
        </w:rPr>
        <w:t>selain itu hanyalah tipu iblis celaka.</w:t>
      </w:r>
    </w:p>
    <w:p>
      <w:pPr>
        <w:pStyle w:val="BookText"/>
        <w:bidi w:val="0"/>
        <w:jc w:val="both"/>
        <w:rPr/>
      </w:pPr>
      <w:r>
        <w:rPr>
          <w:rFonts w:eastAsia="Times New Roman" w:cs="Times New Roman" w:ascii="Times New Roman" w:hAnsi="Times New Roman"/>
          <w:color w:val="111111"/>
          <w:sz w:val="28"/>
          <w:szCs w:val="28"/>
          <w:lang w:val="en-US"/>
        </w:rPr>
        <w:t>Bukan ilmu selain tafsir dan sabda</w:t>
      </w:r>
    </w:p>
    <w:p>
      <w:pPr>
        <w:pStyle w:val="BookText"/>
        <w:bidi w:val="0"/>
        <w:jc w:val="both"/>
        <w:rPr/>
      </w:pPr>
      <w:r>
        <w:rPr>
          <w:rFonts w:eastAsia="Times New Roman" w:cs="Times New Roman" w:ascii="Times New Roman" w:hAnsi="Times New Roman"/>
          <w:color w:val="111111"/>
          <w:sz w:val="28"/>
          <w:szCs w:val="28"/>
          <w:lang w:val="en-US"/>
        </w:rPr>
        <w:t>selain itu hanyalah tipu iblis tercela.</w:t>
      </w:r>
    </w:p>
    <w:p>
      <w:pPr>
        <w:pStyle w:val="BookText"/>
        <w:bidi w:val="0"/>
        <w:jc w:val="both"/>
        <w:rPr/>
      </w:pPr>
      <w:r>
        <w:rPr>
          <w:rFonts w:eastAsia="Times New Roman" w:cs="Times New Roman" w:ascii="Times New Roman" w:hAnsi="Times New Roman"/>
          <w:color w:val="111111"/>
          <w:sz w:val="28"/>
          <w:szCs w:val="28"/>
          <w:lang w:val="en-US"/>
        </w:rPr>
        <w:t>Berapa dan berapa dari filsafat Yunan</w:t>
      </w:r>
    </w:p>
    <w:p>
      <w:pPr>
        <w:pStyle w:val="BookText"/>
        <w:bidi w:val="0"/>
        <w:jc w:val="both"/>
        <w:rPr/>
      </w:pPr>
      <w:r>
        <w:rPr>
          <w:rFonts w:eastAsia="Times New Roman" w:cs="Times New Roman" w:ascii="Times New Roman" w:hAnsi="Times New Roman"/>
          <w:color w:val="111111"/>
          <w:sz w:val="28"/>
          <w:szCs w:val="28"/>
          <w:lang w:val="en-US"/>
        </w:rPr>
        <w:t>ketahuilah hikmah kaum Mukminin.</w:t>
      </w:r>
    </w:p>
    <w:p>
      <w:pPr>
        <w:pStyle w:val="BookText"/>
        <w:bidi w:val="0"/>
        <w:jc w:val="both"/>
        <w:rPr/>
      </w:pPr>
      <w:r>
        <w:rPr>
          <w:rFonts w:eastAsia="Times New Roman" w:cs="Times New Roman" w:ascii="Times New Roman" w:hAnsi="Times New Roman"/>
          <w:color w:val="111111"/>
          <w:sz w:val="28"/>
          <w:szCs w:val="28"/>
          <w:lang w:val="en-US"/>
        </w:rPr>
        <w:t>Tuan alam, diraja dunia, dan agama</w:t>
      </w:r>
    </w:p>
    <w:p>
      <w:pPr>
        <w:pStyle w:val="BookText"/>
        <w:bidi w:val="0"/>
        <w:jc w:val="both"/>
        <w:rPr/>
      </w:pPr>
      <w:r>
        <w:rPr>
          <w:rFonts w:eastAsia="Times New Roman" w:cs="Times New Roman" w:ascii="Times New Roman" w:hAnsi="Times New Roman"/>
          <w:color w:val="111111"/>
          <w:sz w:val="28"/>
          <w:szCs w:val="28"/>
          <w:lang w:val="en-US"/>
        </w:rPr>
        <w:t>sisa mukmin berkali kesembuhan, hai sang peduka.</w:t>
      </w:r>
    </w:p>
    <w:p>
      <w:pPr>
        <w:pStyle w:val="BookText"/>
        <w:bidi w:val="0"/>
        <w:jc w:val="both"/>
        <w:rPr/>
      </w:pPr>
      <w:r>
        <w:rPr>
          <w:rFonts w:eastAsia="Times New Roman" w:cs="Times New Roman" w:ascii="Times New Roman" w:hAnsi="Times New Roman"/>
          <w:color w:val="111111"/>
          <w:sz w:val="28"/>
          <w:szCs w:val="28"/>
          <w:lang w:val="en-US"/>
        </w:rPr>
        <w:t>Kapan nabi pernah bersabda</w:t>
      </w:r>
    </w:p>
    <w:p>
      <w:pPr>
        <w:pStyle w:val="BookText"/>
        <w:bidi w:val="0"/>
        <w:jc w:val="both"/>
        <w:rPr/>
      </w:pPr>
      <w:r>
        <w:rPr>
          <w:rFonts w:eastAsia="Times New Roman" w:cs="Times New Roman" w:ascii="Times New Roman" w:hAnsi="Times New Roman"/>
          <w:color w:val="111111"/>
          <w:sz w:val="28"/>
          <w:szCs w:val="28"/>
          <w:lang w:val="en-US"/>
        </w:rPr>
        <w:t>sisa-sisa Aristoteles dan Ibnu Sina itu panecia.</w:t>
      </w:r>
    </w:p>
    <w:p>
      <w:pPr>
        <w:pStyle w:val="BookText"/>
        <w:bidi w:val="0"/>
        <w:jc w:val="both"/>
        <w:rPr/>
      </w:pPr>
      <w:r>
        <w:rPr>
          <w:rFonts w:eastAsia="Times New Roman" w:cs="Times New Roman" w:ascii="Times New Roman" w:hAnsi="Times New Roman"/>
          <w:color w:val="111111"/>
          <w:sz w:val="28"/>
          <w:szCs w:val="28"/>
          <w:lang w:val="en-US"/>
        </w:rPr>
        <w:t>Bedahilah seratus kali dadamu</w:t>
      </w:r>
    </w:p>
    <w:p>
      <w:pPr>
        <w:pStyle w:val="BookText"/>
        <w:bidi w:val="0"/>
        <w:jc w:val="both"/>
        <w:rPr/>
      </w:pPr>
      <w:r>
        <w:rPr>
          <w:rFonts w:eastAsia="Times New Roman" w:cs="Times New Roman" w:ascii="Times New Roman" w:hAnsi="Times New Roman"/>
          <w:color w:val="111111"/>
          <w:sz w:val="28"/>
          <w:szCs w:val="28"/>
          <w:lang w:val="en-US"/>
        </w:rPr>
        <w:t>dari noda-noda itu bersihikan hatimu.</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Pertentangan atau keserasian antara filsafat Aristotelian dan</w:t>
      </w:r>
    </w:p>
    <w:p>
      <w:pPr>
        <w:pStyle w:val="BookText"/>
        <w:bidi w:val="0"/>
        <w:jc w:val="both"/>
        <w:rPr/>
      </w:pPr>
      <w:r>
        <w:rPr>
          <w:rFonts w:eastAsia="Times New Roman" w:cs="Times New Roman" w:ascii="Times New Roman" w:hAnsi="Times New Roman"/>
          <w:color w:val="111111"/>
          <w:sz w:val="28"/>
          <w:szCs w:val="28"/>
          <w:lang w:val="en-US"/>
        </w:rPr>
        <w:t>iman Kristen juga telah memicu perdebatan berkepanjangan di dunia</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Barat. Sepanjang Abad Pertengahan, para pemikir seperti Thomas </w:t>
      </w:r>
    </w:p>
    <w:p>
      <w:pPr>
        <w:pStyle w:val="BookText"/>
        <w:bidi w:val="0"/>
        <w:rPr/>
      </w:pPr>
      <w:r>
        <w:rPr>
          <w:rFonts w:eastAsia="Times New Roman" w:cs="Times New Roman" w:ascii="Times New Roman" w:hAnsi="Times New Roman"/>
          <w:color w:val="111111"/>
          <w:sz w:val="28"/>
          <w:szCs w:val="28"/>
          <w:lang w:val="en-US"/>
        </w:rPr>
        <w:t>Aquinas (1225-1274 M) berusaha mendamaikan agama dan filsafat.</w:t>
      </w:r>
    </w:p>
    <w:p>
      <w:pPr>
        <w:pStyle w:val="BookText"/>
        <w:bidi w:val="0"/>
        <w:jc w:val="both"/>
        <w:rPr/>
      </w:pPr>
      <w:r>
        <w:rPr>
          <w:rFonts w:eastAsia="Times New Roman" w:cs="Times New Roman" w:ascii="Times New Roman" w:hAnsi="Times New Roman"/>
          <w:color w:val="111111"/>
          <w:sz w:val="28"/>
          <w:szCs w:val="28"/>
          <w:lang w:val="en-US"/>
        </w:rPr>
        <w:t>Namun, ikhtiar ini divonis sekelompok agamawan sebagai bid’ah</w:t>
      </w:r>
    </w:p>
    <w:p>
      <w:pPr>
        <w:pStyle w:val="BookText"/>
        <w:bidi w:val="0"/>
        <w:jc w:val="both"/>
        <w:rPr/>
      </w:pPr>
      <w:r>
        <w:rPr>
          <w:rFonts w:eastAsia="Times New Roman" w:cs="Times New Roman" w:ascii="Times New Roman" w:hAnsi="Times New Roman"/>
          <w:color w:val="111111"/>
          <w:sz w:val="28"/>
          <w:szCs w:val="28"/>
          <w:lang w:val="en-US"/>
        </w:rPr>
        <w:t>dan sesat."</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Buku-buku Ibnu Rusyd yang telah ditranslasikan juga ikut</w:t>
      </w:r>
    </w:p>
    <w:p>
      <w:pPr>
        <w:pStyle w:val="BookText"/>
        <w:bidi w:val="0"/>
        <w:jc w:val="both"/>
        <w:rPr/>
      </w:pPr>
      <w:r>
        <w:rPr>
          <w:rFonts w:eastAsia="Times New Roman" w:cs="Times New Roman" w:ascii="Times New Roman" w:hAnsi="Times New Roman"/>
          <w:color w:val="111111"/>
          <w:sz w:val="28"/>
          <w:szCs w:val="28"/>
          <w:lang w:val="en-US"/>
        </w:rPr>
        <w:t>menyemarakkan perdebatan ini, hingga melahirkan sebuah</w:t>
      </w:r>
    </w:p>
    <w:p>
      <w:pPr>
        <w:pStyle w:val="BookText"/>
        <w:bidi w:val="0"/>
        <w:jc w:val="both"/>
        <w:rPr/>
      </w:pPr>
      <w:r>
        <w:rPr>
          <w:rFonts w:eastAsia="Times New Roman" w:cs="Times New Roman" w:ascii="Times New Roman" w:hAnsi="Times New Roman"/>
          <w:color w:val="111111"/>
          <w:sz w:val="28"/>
          <w:szCs w:val="28"/>
          <w:lang w:val="en-US"/>
        </w:rPr>
        <w:t>aliran filsafat bernama Rusydian. Anehnya, sebagian Rusydian</w:t>
      </w:r>
    </w:p>
    <w:p>
      <w:pPr>
        <w:pStyle w:val="BookText"/>
        <w:bidi w:val="0"/>
        <w:jc w:val="both"/>
        <w:rPr/>
      </w:pPr>
      <w:r>
        <w:rPr>
          <w:rFonts w:eastAsia="Times New Roman" w:cs="Times New Roman" w:ascii="Times New Roman" w:hAnsi="Times New Roman"/>
          <w:color w:val="111111"/>
          <w:sz w:val="28"/>
          <w:szCs w:val="28"/>
          <w:lang w:val="en-US"/>
        </w:rPr>
        <w:t>yang beragama Kristen mempercayai pertentangan itu; hal yang</w:t>
      </w:r>
    </w:p>
    <w:p>
      <w:pPr>
        <w:pStyle w:val="BookText"/>
        <w:bidi w:val="0"/>
        <w:jc w:val="both"/>
        <w:rPr/>
      </w:pPr>
      <w:r>
        <w:rPr>
          <w:rFonts w:eastAsia="Times New Roman" w:cs="Times New Roman" w:ascii="Times New Roman" w:hAnsi="Times New Roman"/>
          <w:color w:val="111111"/>
          <w:sz w:val="28"/>
          <w:szCs w:val="28"/>
          <w:lang w:val="en-US"/>
        </w:rPr>
        <w:t>justru sudah dinafikan Ibnu Rusyd sendiri dengan menegaskan</w:t>
      </w:r>
    </w:p>
    <w:p>
      <w:pPr>
        <w:pStyle w:val="BookText"/>
        <w:bidi w:val="0"/>
        <w:jc w:val="both"/>
        <w:rPr/>
      </w:pPr>
      <w:r>
        <w:rPr>
          <w:rFonts w:eastAsia="Times New Roman" w:cs="Times New Roman" w:ascii="Times New Roman" w:hAnsi="Times New Roman"/>
          <w:color w:val="111111"/>
          <w:sz w:val="28"/>
          <w:szCs w:val="28"/>
          <w:lang w:val="en-US"/>
        </w:rPr>
        <w:t>keharmonisan filsafat dan agama, “Berpikir secara burhdani ‘logis’</w:t>
      </w:r>
    </w:p>
    <w:p>
      <w:pPr>
        <w:pStyle w:val="BookText"/>
        <w:bidi w:val="0"/>
        <w:jc w:val="both"/>
        <w:rPr/>
      </w:pPr>
      <w:r>
        <w:rPr>
          <w:rFonts w:eastAsia="Times New Roman" w:cs="Times New Roman" w:ascii="Times New Roman" w:hAnsi="Times New Roman"/>
          <w:color w:val="111111"/>
          <w:sz w:val="28"/>
          <w:szCs w:val="28"/>
          <w:lang w:val="en-US"/>
        </w:rPr>
        <w:t>tidak akan sampai menentang apa yang disampaikan agama.” Untuk</w:t>
      </w:r>
    </w:p>
    <w:p>
      <w:pPr>
        <w:pStyle w:val="BookText"/>
        <w:bidi w:val="0"/>
        <w:jc w:val="both"/>
        <w:rPr/>
      </w:pPr>
      <w:r>
        <w:rPr>
          <w:rFonts w:eastAsia="Times New Roman" w:cs="Times New Roman" w:ascii="Times New Roman" w:hAnsi="Times New Roman"/>
          <w:color w:val="111111"/>
          <w:sz w:val="28"/>
          <w:szCs w:val="28"/>
          <w:lang w:val="en-US"/>
        </w:rPr>
        <w:t>mengatasinya, mereka menga-jukan gagasan dualisme hakikat,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Mereka melantunkan senandung bahwa tidak ada hubungan apa</w:t>
      </w:r>
    </w:p>
    <w:p>
      <w:pPr>
        <w:pStyle w:val="BookText"/>
        <w:bidi w:val="0"/>
        <w:jc w:val="both"/>
        <w:rPr/>
      </w:pPr>
      <w:r>
        <w:rPr>
          <w:rFonts w:eastAsia="Times New Roman" w:cs="Times New Roman" w:ascii="Times New Roman" w:hAnsi="Times New Roman"/>
          <w:color w:val="111111"/>
          <w:sz w:val="28"/>
          <w:szCs w:val="28"/>
          <w:lang w:val="en-US"/>
        </w:rPr>
        <w:t>pun antara kebenaran menurut filsafat dan kebenaran menurut ilmu-</w:t>
      </w:r>
    </w:p>
    <w:p>
      <w:pPr>
        <w:pStyle w:val="BookText"/>
        <w:bidi w:val="0"/>
        <w:jc w:val="both"/>
        <w:rPr/>
      </w:pPr>
      <w:r>
        <w:rPr>
          <w:rFonts w:eastAsia="Times New Roman" w:cs="Times New Roman" w:ascii="Times New Roman" w:hAnsi="Times New Roman"/>
          <w:color w:val="111111"/>
          <w:sz w:val="28"/>
          <w:szCs w:val="28"/>
          <w:lang w:val="en-US"/>
        </w:rPr>
        <w:t>ilmu Ilahi. Untuk masing-masing objek kajian, terdapat kebenaran</w:t>
      </w:r>
    </w:p>
    <w:p>
      <w:pPr>
        <w:pStyle w:val="BookText"/>
        <w:bidi w:val="0"/>
        <w:jc w:val="both"/>
        <w:rPr/>
      </w:pPr>
      <w:r>
        <w:rPr>
          <w:rFonts w:eastAsia="Times New Roman" w:cs="Times New Roman" w:ascii="Times New Roman" w:hAnsi="Times New Roman"/>
          <w:color w:val="111111"/>
          <w:sz w:val="28"/>
          <w:szCs w:val="28"/>
          <w:lang w:val="en-US"/>
        </w:rPr>
        <w:t>yang berbeda-beda.”</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Seorang penulis Barat menuliskan:</w:t>
      </w:r>
    </w:p>
    <w:p>
      <w:pPr>
        <w:pStyle w:val="BookText"/>
        <w:bidi w:val="0"/>
        <w:jc w:val="both"/>
        <w:rPr/>
      </w:pPr>
      <w:r>
        <w:rPr>
          <w:rFonts w:eastAsia="Times New Roman" w:cs="Times New Roman" w:ascii="Times New Roman" w:hAnsi="Times New Roman"/>
          <w:color w:val="111111"/>
          <w:sz w:val="28"/>
          <w:szCs w:val="28"/>
          <w:lang w:val="en-US"/>
        </w:rPr>
        <w:t>Demi kepuasaan hati aparat berwenang dalam _ investigasi</w:t>
      </w:r>
    </w:p>
    <w:p>
      <w:pPr>
        <w:pStyle w:val="BookText"/>
        <w:bidi w:val="0"/>
        <w:jc w:val="both"/>
        <w:rPr/>
      </w:pPr>
      <w:r>
        <w:rPr>
          <w:rFonts w:eastAsia="Times New Roman" w:cs="Times New Roman" w:ascii="Times New Roman" w:hAnsi="Times New Roman"/>
          <w:color w:val="111111"/>
          <w:sz w:val="28"/>
          <w:szCs w:val="28"/>
          <w:lang w:val="en-US"/>
        </w:rPr>
        <w:t>pemikiran (inkuisisi), sebagian pendukung Ibnu Rusyd bertopang</w:t>
      </w:r>
    </w:p>
    <w:p>
      <w:pPr>
        <w:pStyle w:val="BookText"/>
        <w:bidi w:val="0"/>
        <w:jc w:val="both"/>
        <w:rPr/>
      </w:pPr>
      <w:r>
        <w:rPr>
          <w:rFonts w:eastAsia="Times New Roman" w:cs="Times New Roman" w:ascii="Times New Roman" w:hAnsi="Times New Roman"/>
          <w:color w:val="111111"/>
          <w:sz w:val="28"/>
          <w:szCs w:val="28"/>
          <w:lang w:val="en-US"/>
        </w:rPr>
        <w:t>pada gagasan dikotomi hakikat. Maksudnya, mungkin saja satu</w:t>
      </w:r>
    </w:p>
    <w:p>
      <w:pPr>
        <w:pStyle w:val="BookText"/>
        <w:bidi w:val="0"/>
        <w:jc w:val="both"/>
        <w:rPr/>
      </w:pPr>
      <w:r>
        <w:rPr>
          <w:rFonts w:eastAsia="Times New Roman" w:cs="Times New Roman" w:ascii="Times New Roman" w:hAnsi="Times New Roman"/>
          <w:color w:val="111111"/>
          <w:sz w:val="28"/>
          <w:szCs w:val="28"/>
          <w:lang w:val="en-US"/>
        </w:rPr>
        <w:t>proposisi dinilai benar menurut kriteria filosofis atau berdasarkan</w:t>
      </w:r>
    </w:p>
    <w:p>
      <w:pPr>
        <w:pStyle w:val="BookText"/>
        <w:bidi w:val="0"/>
        <w:jc w:val="both"/>
        <w:rPr/>
      </w:pPr>
      <w:r>
        <w:rPr>
          <w:rFonts w:eastAsia="Times New Roman" w:cs="Times New Roman" w:ascii="Times New Roman" w:hAnsi="Times New Roman"/>
          <w:color w:val="111111"/>
          <w:sz w:val="28"/>
          <w:szCs w:val="28"/>
          <w:lang w:val="en-US"/>
        </w:rPr>
        <w:t>relasi natural. Namun pada saat yang sama, proposisi itu keliru</w:t>
      </w:r>
    </w:p>
    <w:p>
      <w:pPr>
        <w:pStyle w:val="BookText"/>
        <w:bidi w:val="0"/>
        <w:jc w:val="both"/>
        <w:rPr/>
      </w:pPr>
      <w:r>
        <w:rPr>
          <w:rFonts w:eastAsia="Times New Roman" w:cs="Times New Roman" w:ascii="Times New Roman" w:hAnsi="Times New Roman"/>
          <w:color w:val="111111"/>
          <w:sz w:val="28"/>
          <w:szCs w:val="28"/>
          <w:lang w:val="en-US"/>
        </w:rPr>
        <w:t>menurut kitab suci dan agama Kristen. Mereka mengaku, ‘Dalam</w:t>
      </w:r>
    </w:p>
    <w:p>
      <w:pPr>
        <w:pStyle w:val="BookText"/>
        <w:bidi w:val="0"/>
        <w:jc w:val="both"/>
        <w:rPr/>
      </w:pPr>
      <w:r>
        <w:rPr>
          <w:rFonts w:eastAsia="Times New Roman" w:cs="Times New Roman" w:ascii="Times New Roman" w:hAnsi="Times New Roman"/>
          <w:color w:val="111111"/>
          <w:sz w:val="28"/>
          <w:szCs w:val="28"/>
          <w:lang w:val="en-US"/>
        </w:rPr>
        <w:t>keadaan apa pun, kami meyakini keberadaan sesuatu karena</w:t>
      </w:r>
    </w:p>
    <w:p>
      <w:pPr>
        <w:pStyle w:val="BookText"/>
        <w:bidi w:val="0"/>
        <w:jc w:val="both"/>
        <w:rPr/>
      </w:pPr>
      <w:r>
        <w:rPr>
          <w:rFonts w:eastAsia="Times New Roman" w:cs="Times New Roman" w:ascii="Times New Roman" w:hAnsi="Times New Roman"/>
          <w:color w:val="111111"/>
          <w:sz w:val="28"/>
          <w:szCs w:val="28"/>
          <w:lang w:val="en-US"/>
        </w:rPr>
        <w:t>hukum iman kami, dan kami meragukannya karena hukum</w:t>
      </w:r>
    </w:p>
    <w:p>
      <w:pPr>
        <w:pStyle w:val="BookText"/>
        <w:bidi w:val="0"/>
        <w:jc w:val="both"/>
        <w:rPr/>
      </w:pPr>
      <w:r>
        <w:rPr>
          <w:rFonts w:eastAsia="Times New Roman" w:cs="Times New Roman" w:ascii="Times New Roman" w:hAnsi="Times New Roman"/>
          <w:color w:val="111111"/>
          <w:sz w:val="28"/>
          <w:szCs w:val="28"/>
          <w:lang w:val="en-US"/>
        </w:rPr>
        <w:t>akal.’ Teori ini menolak prinsip yang disepakati kaum renaisans</w:t>
      </w:r>
    </w:p>
    <w:p>
      <w:pPr>
        <w:pStyle w:val="BookText"/>
        <w:bidi w:val="0"/>
        <w:jc w:val="both"/>
        <w:rPr/>
      </w:pPr>
      <w:r>
        <w:rPr>
          <w:rFonts w:eastAsia="Times New Roman" w:cs="Times New Roman" w:ascii="Times New Roman" w:hAnsi="Times New Roman"/>
          <w:color w:val="111111"/>
          <w:sz w:val="28"/>
          <w:szCs w:val="28"/>
          <w:lang w:val="en-US"/>
        </w:rPr>
        <w:t>beraliran sekolastik yang menyatakan bahwa harmoni akal dan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iman itu mungkin."</w:t>
      </w:r>
      <w:r>
        <w:rPr>
          <w:rStyle w:val="FootnoteAnchor"/>
        </w:rPr>
        <w:footnoteReference w:id="28"/>
      </w:r>
    </w:p>
    <w:p>
      <w:pPr>
        <w:pStyle w:val="BookText"/>
        <w:bidi w:val="0"/>
        <w:rPr/>
      </w:pPr>
      <w:r>
        <w:rPr>
          <w:rFonts w:eastAsia="Times New Roman" w:cs="Times New Roman" w:ascii="Times New Roman" w:hAnsi="Times New Roman"/>
          <w:color w:val="111111"/>
          <w:sz w:val="28"/>
          <w:szCs w:val="28"/>
          <w:lang w:val="en-US"/>
        </w:rPr>
        <w:t>Mengenai aliran Rusydian dan seberapa jauh para pengikutnya</w:t>
      </w:r>
    </w:p>
    <w:p>
      <w:pPr>
        <w:pStyle w:val="BookText"/>
        <w:bidi w:val="0"/>
        <w:jc w:val="both"/>
        <w:rPr/>
      </w:pPr>
      <w:r>
        <w:rPr>
          <w:rFonts w:eastAsia="Times New Roman" w:cs="Times New Roman" w:ascii="Times New Roman" w:hAnsi="Times New Roman"/>
          <w:color w:val="111111"/>
          <w:sz w:val="28"/>
          <w:szCs w:val="28"/>
          <w:lang w:val="en-US"/>
        </w:rPr>
        <w:t>loyal pada doktrin dan pandangan Ibnu Rusyd, kiranya perlu</w:t>
      </w:r>
    </w:p>
    <w:p>
      <w:pPr>
        <w:pStyle w:val="BookText"/>
        <w:bidi w:val="0"/>
        <w:jc w:val="both"/>
        <w:rPr/>
      </w:pPr>
      <w:r>
        <w:rPr>
          <w:rFonts w:eastAsia="Times New Roman" w:cs="Times New Roman" w:ascii="Times New Roman" w:hAnsi="Times New Roman"/>
          <w:color w:val="111111"/>
          <w:sz w:val="28"/>
          <w:szCs w:val="28"/>
          <w:lang w:val="en-US"/>
        </w:rPr>
        <w:t>dilakukan penelitian secara terpisah. Yang jelas, pandangan Ibnu</w:t>
      </w:r>
    </w:p>
    <w:p>
      <w:pPr>
        <w:pStyle w:val="BookText"/>
        <w:bidi w:val="0"/>
        <w:jc w:val="both"/>
        <w:rPr/>
      </w:pPr>
      <w:r>
        <w:rPr>
          <w:rFonts w:eastAsia="Times New Roman" w:cs="Times New Roman" w:ascii="Times New Roman" w:hAnsi="Times New Roman"/>
          <w:color w:val="111111"/>
          <w:sz w:val="28"/>
          <w:szCs w:val="28"/>
          <w:lang w:val="en-US"/>
        </w:rPr>
        <w:t>Rusyd seputar harmoni akal dan wahyu bertolak belakang dengan</w:t>
      </w:r>
    </w:p>
    <w:p>
      <w:pPr>
        <w:pStyle w:val="BookText"/>
        <w:bidi w:val="0"/>
        <w:jc w:val="both"/>
        <w:rPr/>
      </w:pPr>
      <w:r>
        <w:rPr>
          <w:rFonts w:eastAsia="Times New Roman" w:cs="Times New Roman" w:ascii="Times New Roman" w:hAnsi="Times New Roman"/>
          <w:color w:val="111111"/>
          <w:sz w:val="28"/>
          <w:szCs w:val="28"/>
          <w:lang w:val="en-US"/>
        </w:rPr>
        <w:t>yang diusung para pendukung Kristiannya.</w:t>
      </w:r>
    </w:p>
    <w:p>
      <w:pPr>
        <w:pStyle w:val="BookText"/>
        <w:bidi w:val="0"/>
        <w:jc w:val="both"/>
        <w:rPr/>
      </w:pPr>
      <w:r>
        <w:rPr>
          <w:rFonts w:eastAsia="Times New Roman" w:cs="Times New Roman" w:ascii="Times New Roman" w:hAnsi="Times New Roman"/>
          <w:color w:val="111111"/>
          <w:sz w:val="28"/>
          <w:szCs w:val="28"/>
          <w:lang w:val="en-US"/>
        </w:rPr>
        <w:t>Sejumlah agamawan Kristen lebih tegas menolak interpretasi Ibnu</w:t>
      </w:r>
    </w:p>
    <w:p>
      <w:pPr>
        <w:pStyle w:val="BookText"/>
        <w:bidi w:val="0"/>
        <w:jc w:val="both"/>
        <w:rPr/>
      </w:pPr>
      <w:r>
        <w:rPr>
          <w:rFonts w:eastAsia="Times New Roman" w:cs="Times New Roman" w:ascii="Times New Roman" w:hAnsi="Times New Roman"/>
          <w:color w:val="111111"/>
          <w:sz w:val="28"/>
          <w:szCs w:val="28"/>
          <w:lang w:val="en-US"/>
        </w:rPr>
        <w:t>Rusyd atas filsafat Aristoteles. Mereka menyikapi rasionalismenya</w:t>
      </w:r>
    </w:p>
    <w:p>
      <w:pPr>
        <w:pStyle w:val="BookText"/>
        <w:bidi w:val="0"/>
        <w:jc w:val="both"/>
        <w:rPr/>
      </w:pPr>
      <w:r>
        <w:rPr>
          <w:rFonts w:eastAsia="Times New Roman" w:cs="Times New Roman" w:ascii="Times New Roman" w:hAnsi="Times New Roman"/>
          <w:color w:val="111111"/>
          <w:sz w:val="28"/>
          <w:szCs w:val="28"/>
          <w:lang w:val="en-US"/>
        </w:rPr>
        <w:t>sebagai pembalasan dendam Islam terhadap Kristen. Dalam sebuah</w:t>
      </w:r>
    </w:p>
    <w:p>
      <w:pPr>
        <w:pStyle w:val="BookText"/>
        <w:bidi w:val="0"/>
        <w:jc w:val="both"/>
        <w:rPr/>
      </w:pPr>
      <w:r>
        <w:rPr>
          <w:rFonts w:eastAsia="Times New Roman" w:cs="Times New Roman" w:ascii="Times New Roman" w:hAnsi="Times New Roman"/>
          <w:color w:val="111111"/>
          <w:sz w:val="28"/>
          <w:szCs w:val="28"/>
          <w:lang w:val="en-US"/>
        </w:rPr>
        <w:t>analisis yang berat sebelah, mereka mengatakan:</w:t>
      </w:r>
    </w:p>
    <w:p>
      <w:pPr>
        <w:pStyle w:val="BookText"/>
        <w:bidi w:val="0"/>
        <w:jc w:val="both"/>
        <w:rPr/>
      </w:pPr>
      <w:r>
        <w:rPr>
          <w:rFonts w:eastAsia="Times New Roman" w:cs="Times New Roman" w:ascii="Times New Roman" w:hAnsi="Times New Roman"/>
          <w:color w:val="111111"/>
          <w:sz w:val="28"/>
          <w:szCs w:val="28"/>
          <w:lang w:val="en-US"/>
        </w:rPr>
        <w:t>Filsafat Aristoteles adalah cenderamata dari dunia Yunani</w:t>
      </w:r>
    </w:p>
    <w:p>
      <w:pPr>
        <w:pStyle w:val="BookText"/>
        <w:bidi w:val="0"/>
        <w:jc w:val="both"/>
        <w:rPr/>
      </w:pPr>
      <w:r>
        <w:rPr>
          <w:rFonts w:eastAsia="Times New Roman" w:cs="Times New Roman" w:ascii="Times New Roman" w:hAnsi="Times New Roman"/>
          <w:color w:val="111111"/>
          <w:sz w:val="28"/>
          <w:szCs w:val="28"/>
          <w:lang w:val="en-US"/>
        </w:rPr>
        <w:t xml:space="preserve">untuk dunia Kristen Latin; seibarat kuda kayu Troy </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kuda kayu raksasa itu keluar dari tempat persembunyian dan membuka gerbang-gerbang kota Troy agar dapat dimasuki balatentara Yunani. Akhlmya, mereka pun berhasi!l menduduki kota itu.</w:t>
      </w:r>
    </w:p>
    <w:p>
      <w:pPr>
        <w:pStyle w:val="BookText"/>
        <w:bidi w:val="0"/>
        <w:jc w:val="both"/>
        <w:rPr/>
      </w:pPr>
      <w:r>
        <w:rPr>
          <w:rFonts w:eastAsia="Times New Roman" w:cs="Times New Roman" w:ascii="Times New Roman" w:hAnsi="Times New Roman"/>
          <w:color w:val="111111"/>
          <w:sz w:val="28"/>
          <w:szCs w:val="28"/>
          <w:lang w:val="en-US"/>
        </w:rPr>
        <w:t>yang</w:t>
      </w:r>
    </w:p>
    <w:p>
      <w:pPr>
        <w:pStyle w:val="BookText"/>
        <w:bidi w:val="0"/>
        <w:jc w:val="both"/>
        <w:rPr/>
      </w:pPr>
      <w:r>
        <w:rPr>
          <w:rFonts w:eastAsia="Times New Roman" w:cs="Times New Roman" w:ascii="Times New Roman" w:hAnsi="Times New Roman"/>
          <w:color w:val="111111"/>
          <w:sz w:val="28"/>
          <w:szCs w:val="28"/>
          <w:lang w:val="en-US"/>
        </w:rPr>
        <w:t>menyembunyikan seribu unsur lawan di dalamnya. Benih-benih</w:t>
      </w:r>
    </w:p>
    <w:p>
      <w:pPr>
        <w:pStyle w:val="BookText"/>
        <w:bidi w:val="0"/>
        <w:jc w:val="both"/>
        <w:rPr/>
      </w:pPr>
      <w:r>
        <w:rPr>
          <w:rFonts w:eastAsia="Times New Roman" w:cs="Times New Roman" w:ascii="Times New Roman" w:hAnsi="Times New Roman"/>
          <w:color w:val="111111"/>
          <w:sz w:val="28"/>
          <w:szCs w:val="28"/>
          <w:lang w:val="en-US"/>
        </w:rPr>
        <w:t>Renaisans dan Abad Pencerahan (Enlightenment) ini bukan hanya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balas dendam kesyirikan” terhadap agama Kristen, secara tidak</w:t>
      </w:r>
    </w:p>
    <w:p>
      <w:pPr>
        <w:pStyle w:val="BookText"/>
        <w:bidi w:val="0"/>
        <w:jc w:val="both"/>
        <w:rPr/>
      </w:pPr>
      <w:r>
        <w:rPr>
          <w:rFonts w:eastAsia="Times New Roman" w:cs="Times New Roman" w:ascii="Times New Roman" w:hAnsi="Times New Roman"/>
          <w:color w:val="111111"/>
          <w:sz w:val="28"/>
          <w:szCs w:val="28"/>
          <w:lang w:val="en-US"/>
        </w:rPr>
        <w:t>disadari juga merupakan keluhan agama Islam. Kaum Muslim</w:t>
      </w:r>
    </w:p>
    <w:p>
      <w:pPr>
        <w:pStyle w:val="BookText"/>
        <w:bidi w:val="0"/>
        <w:jc w:val="both"/>
        <w:rPr/>
      </w:pPr>
      <w:r>
        <w:rPr>
          <w:rFonts w:eastAsia="Times New Roman" w:cs="Times New Roman" w:ascii="Times New Roman" w:hAnsi="Times New Roman"/>
          <w:color w:val="111111"/>
          <w:sz w:val="28"/>
          <w:szCs w:val="28"/>
          <w:lang w:val="en-US"/>
        </w:rPr>
        <w:t>yang jadi korban serangan di Palestina dan kira-kira terusir</w:t>
      </w:r>
    </w:p>
    <w:p>
      <w:pPr>
        <w:pStyle w:val="BookText"/>
        <w:bidi w:val="0"/>
        <w:jc w:val="both"/>
        <w:rPr/>
      </w:pPr>
      <w:r>
        <w:rPr>
          <w:rFonts w:eastAsia="Times New Roman" w:cs="Times New Roman" w:ascii="Times New Roman" w:hAnsi="Times New Roman"/>
          <w:color w:val="111111"/>
          <w:sz w:val="28"/>
          <w:szCs w:val="28"/>
          <w:lang w:val="en-US"/>
        </w:rPr>
        <w:t>dari seluruh belahan bumi Spanyol, menyelundupkan ilmu dan</w:t>
      </w:r>
    </w:p>
    <w:p>
      <w:pPr>
        <w:pStyle w:val="BookText"/>
        <w:bidi w:val="0"/>
        <w:jc w:val="both"/>
        <w:rPr/>
      </w:pPr>
      <w:r>
        <w:rPr>
          <w:rFonts w:eastAsia="Times New Roman" w:cs="Times New Roman" w:ascii="Times New Roman" w:hAnsi="Times New Roman"/>
          <w:color w:val="111111"/>
          <w:sz w:val="28"/>
          <w:szCs w:val="28"/>
          <w:lang w:val="en-US"/>
        </w:rPr>
        <w:t>filsafatnya ke Eropa Barat. Dan sejarah menunjukkan betapa ilmu</w:t>
      </w:r>
    </w:p>
    <w:p>
      <w:pPr>
        <w:pStyle w:val="BookText"/>
        <w:bidi w:val="0"/>
        <w:jc w:val="both"/>
        <w:rPr/>
      </w:pPr>
      <w:r>
        <w:rPr>
          <w:rFonts w:eastAsia="Times New Roman" w:cs="Times New Roman" w:ascii="Times New Roman" w:hAnsi="Times New Roman"/>
          <w:color w:val="111111"/>
          <w:sz w:val="28"/>
          <w:szCs w:val="28"/>
          <w:lang w:val="en-US"/>
        </w:rPr>
        <w:t>ini telah menjadi kekuatan penghancur. Kenyataannya, selain</w:t>
      </w:r>
    </w:p>
    <w:p>
      <w:pPr>
        <w:pStyle w:val="BookText"/>
        <w:bidi w:val="0"/>
        <w:jc w:val="both"/>
        <w:rPr/>
      </w:pPr>
      <w:r>
        <w:rPr>
          <w:rFonts w:eastAsia="Times New Roman" w:cs="Times New Roman" w:ascii="Times New Roman" w:hAnsi="Times New Roman"/>
          <w:color w:val="111111"/>
          <w:sz w:val="28"/>
          <w:szCs w:val="28"/>
          <w:lang w:val="en-US"/>
        </w:rPr>
        <w:t>Aristoteles, Ibnu Sina dan Ibnu Rusydlah yang merusak Kristen</w:t>
      </w:r>
    </w:p>
    <w:p>
      <w:pPr>
        <w:pStyle w:val="BookText"/>
        <w:bidi w:val="0"/>
        <w:jc w:val="both"/>
        <w:rPr/>
      </w:pPr>
      <w:r>
        <w:rPr>
          <w:rFonts w:eastAsia="Times New Roman" w:cs="Times New Roman" w:ascii="Times New Roman" w:hAnsi="Times New Roman"/>
          <w:color w:val="111111"/>
          <w:sz w:val="28"/>
          <w:szCs w:val="28"/>
          <w:lang w:val="en-US"/>
        </w:rPr>
        <w:t>dengan menyuntikkan Rasionalisme ke tubuhnya.’</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Bagaimanapun, selama kecaman terhadap filsafat dialamatkan</w:t>
      </w:r>
    </w:p>
    <w:p>
      <w:pPr>
        <w:pStyle w:val="BookText"/>
        <w:bidi w:val="0"/>
        <w:jc w:val="both"/>
        <w:rPr/>
      </w:pPr>
      <w:r>
        <w:rPr>
          <w:rFonts w:eastAsia="Times New Roman" w:cs="Times New Roman" w:ascii="Times New Roman" w:hAnsi="Times New Roman"/>
          <w:color w:val="111111"/>
          <w:sz w:val="28"/>
          <w:szCs w:val="28"/>
          <w:lang w:val="en-US"/>
        </w:rPr>
        <w:t>kepada beberapa hukum dan rumusannya, itu tidak terlalu penting</w:t>
      </w:r>
    </w:p>
    <w:p>
      <w:pPr>
        <w:pStyle w:val="BookText"/>
        <w:bidi w:val="0"/>
        <w:jc w:val="both"/>
        <w:rPr/>
      </w:pPr>
      <w:r>
        <w:rPr>
          <w:rFonts w:eastAsia="Times New Roman" w:cs="Times New Roman" w:ascii="Times New Roman" w:hAnsi="Times New Roman"/>
          <w:color w:val="111111"/>
          <w:sz w:val="28"/>
          <w:szCs w:val="28"/>
          <w:lang w:val="en-US"/>
        </w:rPr>
        <w:t>untuk buku ini. Umpamanya, jika di satu sisi, terbukti bahwa</w:t>
      </w:r>
    </w:p>
    <w:p>
      <w:pPr>
        <w:pStyle w:val="BookText"/>
        <w:bidi w:val="0"/>
        <w:jc w:val="both"/>
        <w:rPr/>
      </w:pPr>
      <w:r>
        <w:rPr>
          <w:rFonts w:eastAsia="Times New Roman" w:cs="Times New Roman" w:ascii="Times New Roman" w:hAnsi="Times New Roman"/>
          <w:color w:val="111111"/>
          <w:sz w:val="28"/>
          <w:szCs w:val="28"/>
          <w:lang w:val="en-US"/>
        </w:rPr>
        <w:t>hukum populer filsafat “Keniscayaan korelatif (dharuroh bi al-</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qiyas) objek pengetahuan dalam kaitannya dengan sebab memadai </w:t>
      </w:r>
    </w:p>
    <w:p>
      <w:pPr>
        <w:pStyle w:val="BookText"/>
        <w:bidi w:val="0"/>
        <w:rPr/>
      </w:pPr>
      <w:r>
        <w:rPr>
          <w:rFonts w:eastAsia="Times New Roman" w:cs="Times New Roman" w:ascii="Times New Roman" w:hAnsi="Times New Roman"/>
          <w:color w:val="111111"/>
          <w:sz w:val="28"/>
          <w:szCs w:val="28"/>
          <w:lang w:val="en-US"/>
        </w:rPr>
        <w:t>(‘illah tammah)” itu akan menghasilkan konklusi ketakberawalan</w:t>
      </w:r>
    </w:p>
    <w:p>
      <w:pPr>
        <w:pStyle w:val="BookText"/>
        <w:bidi w:val="0"/>
        <w:jc w:val="both"/>
        <w:rPr/>
      </w:pPr>
      <w:r>
        <w:rPr>
          <w:rFonts w:eastAsia="Times New Roman" w:cs="Times New Roman" w:ascii="Times New Roman" w:hAnsi="Times New Roman"/>
          <w:color w:val="111111"/>
          <w:sz w:val="28"/>
          <w:szCs w:val="28"/>
          <w:lang w:val="en-US"/>
        </w:rPr>
        <w:t>(qidam) alam, sementara di sisi lain, sumber-sumber otentik Islam</w:t>
      </w:r>
    </w:p>
    <w:p>
      <w:pPr>
        <w:pStyle w:val="BookText"/>
        <w:bidi w:val="0"/>
        <w:jc w:val="both"/>
        <w:rPr/>
      </w:pPr>
      <w:r>
        <w:rPr>
          <w:rFonts w:eastAsia="Times New Roman" w:cs="Times New Roman" w:ascii="Times New Roman" w:hAnsi="Times New Roman"/>
          <w:color w:val="111111"/>
          <w:sz w:val="28"/>
          <w:szCs w:val="28"/>
          <w:lang w:val="en-US"/>
        </w:rPr>
        <w:t>menegaskan sebaliknya (liudtts: ke-baru-an), maka upaya untuk</w:t>
      </w:r>
    </w:p>
    <w:p>
      <w:pPr>
        <w:pStyle w:val="BookText"/>
        <w:bidi w:val="0"/>
        <w:jc w:val="both"/>
        <w:rPr/>
      </w:pPr>
      <w:r>
        <w:rPr>
          <w:rFonts w:eastAsia="Times New Roman" w:cs="Times New Roman" w:ascii="Times New Roman" w:hAnsi="Times New Roman"/>
          <w:color w:val="111111"/>
          <w:sz w:val="28"/>
          <w:szCs w:val="28"/>
          <w:lang w:val="en-US"/>
        </w:rPr>
        <w:t>mengatasi perten-tangan laliuriali ini sudah semestinya ditanggung</w:t>
      </w:r>
    </w:p>
    <w:p>
      <w:pPr>
        <w:pStyle w:val="BookText"/>
        <w:bidi w:val="0"/>
        <w:jc w:val="both"/>
        <w:rPr/>
      </w:pPr>
      <w:r>
        <w:rPr>
          <w:rFonts w:eastAsia="Times New Roman" w:cs="Times New Roman" w:ascii="Times New Roman" w:hAnsi="Times New Roman"/>
          <w:color w:val="111111"/>
          <w:sz w:val="28"/>
          <w:szCs w:val="28"/>
          <w:lang w:val="en-US"/>
        </w:rPr>
        <w:t>filsuf yang menga-kui hukum filsafat itu.</w:t>
      </w:r>
    </w:p>
    <w:p>
      <w:pPr>
        <w:pStyle w:val="BookText"/>
        <w:bidi w:val="0"/>
        <w:jc w:val="both"/>
        <w:rPr/>
      </w:pPr>
      <w:r>
        <w:rPr>
          <w:rFonts w:eastAsia="Times New Roman" w:cs="Times New Roman" w:ascii="Times New Roman" w:hAnsi="Times New Roman"/>
          <w:color w:val="111111"/>
          <w:sz w:val="28"/>
          <w:szCs w:val="28"/>
          <w:lang w:val="en-US"/>
        </w:rPr>
        <w:t>Adapun jika yang dimaksud filsafat itu mutlak pengetahuan</w:t>
      </w:r>
    </w:p>
    <w:p>
      <w:pPr>
        <w:pStyle w:val="BookText"/>
        <w:bidi w:val="0"/>
        <w:jc w:val="both"/>
        <w:rPr/>
      </w:pPr>
      <w:r>
        <w:rPr>
          <w:rFonts w:eastAsia="Times New Roman" w:cs="Times New Roman" w:ascii="Times New Roman" w:hAnsi="Times New Roman"/>
          <w:color w:val="111111"/>
          <w:sz w:val="28"/>
          <w:szCs w:val="28"/>
          <w:lang w:val="en-US"/>
        </w:rPr>
        <w:t>rasional (yakni, selain pengetahuan wahyuni), maka secara seksama</w:t>
      </w:r>
    </w:p>
    <w:p>
      <w:pPr>
        <w:pStyle w:val="BookText"/>
        <w:bidi w:val="0"/>
        <w:jc w:val="both"/>
        <w:rPr/>
      </w:pPr>
      <w:r>
        <w:rPr>
          <w:rFonts w:eastAsia="Times New Roman" w:cs="Times New Roman" w:ascii="Times New Roman" w:hAnsi="Times New Roman"/>
          <w:color w:val="111111"/>
          <w:sz w:val="28"/>
          <w:szCs w:val="28"/>
          <w:lang w:val="en-US"/>
        </w:rPr>
        <w:t>dapat disimpulkan bahwa hubungan agama dan filsafat bermakna</w:t>
      </w:r>
    </w:p>
    <w:p>
      <w:pPr>
        <w:pStyle w:val="BookText"/>
        <w:bidi w:val="0"/>
        <w:jc w:val="both"/>
        <w:rPr/>
      </w:pPr>
      <w:r>
        <w:rPr>
          <w:rFonts w:eastAsia="Times New Roman" w:cs="Times New Roman" w:ascii="Times New Roman" w:hAnsi="Times New Roman"/>
          <w:color w:val="111111"/>
          <w:sz w:val="28"/>
          <w:szCs w:val="28"/>
          <w:lang w:val="en-US"/>
        </w:rPr>
        <w:t>hubungan wahyu dan akal—sehingga menjadi terma lain yang</w:t>
      </w:r>
    </w:p>
    <w:p>
      <w:pPr>
        <w:pStyle w:val="BookText"/>
        <w:bidi w:val="0"/>
        <w:jc w:val="both"/>
        <w:rPr/>
      </w:pPr>
      <w:r>
        <w:rPr>
          <w:rFonts w:eastAsia="Times New Roman" w:cs="Times New Roman" w:ascii="Times New Roman" w:hAnsi="Times New Roman"/>
          <w:color w:val="111111"/>
          <w:sz w:val="28"/>
          <w:szCs w:val="28"/>
          <w:lang w:val="en-US"/>
        </w:rPr>
        <w:t>sinonim dengan terma buku ini.</w:t>
      </w:r>
    </w:p>
    <w:p>
      <w:pPr>
        <w:pStyle w:val="BookText"/>
        <w:bidi w:val="0"/>
        <w:jc w:val="both"/>
        <w:rPr/>
      </w:pPr>
      <w:r>
        <w:rPr>
          <w:rFonts w:eastAsia="Times New Roman" w:cs="Times New Roman" w:ascii="Times New Roman" w:hAnsi="Times New Roman"/>
          <w:color w:val="111111"/>
          <w:sz w:val="28"/>
          <w:szCs w:val="28"/>
          <w:lang w:val="en-US"/>
        </w:rPr>
        <w:t>Bahkan, sangat mungkin untuk dinyatakan bahwa filsafat yang</w:t>
      </w:r>
    </w:p>
    <w:p>
      <w:pPr>
        <w:pStyle w:val="BookText"/>
        <w:bidi w:val="0"/>
        <w:jc w:val="both"/>
        <w:rPr/>
      </w:pPr>
      <w:r>
        <w:rPr>
          <w:rFonts w:eastAsia="Times New Roman" w:cs="Times New Roman" w:ascii="Times New Roman" w:hAnsi="Times New Roman"/>
          <w:color w:val="111111"/>
          <w:sz w:val="28"/>
          <w:szCs w:val="28"/>
          <w:lang w:val="en-US"/>
        </w:rPr>
        <w:t>diperdebatkan kubu pendukung dan penentang mencakup makna</w:t>
      </w:r>
    </w:p>
    <w:p>
      <w:pPr>
        <w:pStyle w:val="BookText"/>
        <w:bidi w:val="0"/>
        <w:jc w:val="both"/>
        <w:rPr/>
      </w:pPr>
      <w:r>
        <w:rPr>
          <w:rFonts w:eastAsia="Times New Roman" w:cs="Times New Roman" w:ascii="Times New Roman" w:hAnsi="Times New Roman"/>
          <w:color w:val="111111"/>
          <w:sz w:val="28"/>
          <w:szCs w:val="28"/>
          <w:lang w:val="en-US"/>
        </w:rPr>
        <w:t>terakhir tadi. Sebab, filsafat dalam maknanya yang umum, meliputi</w:t>
      </w:r>
    </w:p>
    <w:p>
      <w:pPr>
        <w:pStyle w:val="BookText"/>
        <w:bidi w:val="0"/>
        <w:jc w:val="both"/>
        <w:rPr/>
      </w:pPr>
      <w:r>
        <w:rPr>
          <w:rFonts w:eastAsia="Times New Roman" w:cs="Times New Roman" w:ascii="Times New Roman" w:hAnsi="Times New Roman"/>
          <w:color w:val="111111"/>
          <w:sz w:val="28"/>
          <w:szCs w:val="28"/>
          <w:lang w:val="en-US"/>
        </w:rPr>
        <w:t>seluruh pengetahuan hakiki manusia.</w:t>
      </w:r>
      <w:r>
        <w:rPr>
          <w:rStyle w:val="FootnoteAnchor"/>
        </w:rPr>
        <w:footnoteReference w:id="31"/>
      </w:r>
      <w:r>
        <w:rPr>
          <w:rFonts w:eastAsia="Times New Roman" w:cs="Times New Roman" w:ascii="Times New Roman" w:hAnsi="Times New Roman"/>
          <w:color w:val="111111"/>
          <w:sz w:val="28"/>
          <w:szCs w:val="28"/>
          <w:lang w:val="en-US"/>
        </w:rPr>
        <w:t>Di samping itu, dari sebagian</w:t>
      </w:r>
    </w:p>
    <w:p>
      <w:pPr>
        <w:pStyle w:val="BookText"/>
        <w:bidi w:val="0"/>
        <w:jc w:val="both"/>
        <w:rPr/>
      </w:pPr>
      <w:r>
        <w:rPr>
          <w:rFonts w:eastAsia="Times New Roman" w:cs="Times New Roman" w:ascii="Times New Roman" w:hAnsi="Times New Roman"/>
          <w:color w:val="111111"/>
          <w:sz w:val="28"/>
          <w:szCs w:val="28"/>
          <w:lang w:val="en-US"/>
        </w:rPr>
        <w:t>bukti yang diajukan kelompok penentang filsafat, dapat disimpulkan</w:t>
      </w:r>
    </w:p>
    <w:p>
      <w:pPr>
        <w:pStyle w:val="BookText"/>
        <w:bidi w:val="0"/>
        <w:jc w:val="both"/>
        <w:rPr/>
      </w:pPr>
      <w:r>
        <w:rPr>
          <w:rFonts w:eastAsia="Times New Roman" w:cs="Times New Roman" w:ascii="Times New Roman" w:hAnsi="Times New Roman"/>
          <w:color w:val="111111"/>
          <w:sz w:val="28"/>
          <w:szCs w:val="28"/>
          <w:lang w:val="en-US"/>
        </w:rPr>
        <w:t>bahwa mereka meyakini wilayah pengetahuan wahyuni bukan saja</w:t>
      </w:r>
    </w:p>
    <w:p>
      <w:pPr>
        <w:pStyle w:val="BookText"/>
        <w:bidi w:val="0"/>
        <w:jc w:val="both"/>
        <w:rPr/>
      </w:pPr>
      <w:r>
        <w:rPr>
          <w:rFonts w:eastAsia="Times New Roman" w:cs="Times New Roman" w:ascii="Times New Roman" w:hAnsi="Times New Roman"/>
          <w:color w:val="111111"/>
          <w:sz w:val="28"/>
          <w:szCs w:val="28"/>
          <w:lang w:val="en-US"/>
        </w:rPr>
        <w:t>harus disucikan dari filsafat-filsafat yang ada itu, melainkan juga</w:t>
      </w:r>
    </w:p>
    <w:p>
      <w:pPr>
        <w:pStyle w:val="BookText"/>
        <w:bidi w:val="0"/>
        <w:jc w:val="both"/>
        <w:rPr/>
      </w:pPr>
      <w:r>
        <w:rPr>
          <w:rFonts w:eastAsia="Times New Roman" w:cs="Times New Roman" w:ascii="Times New Roman" w:hAnsi="Times New Roman"/>
          <w:color w:val="111111"/>
          <w:sz w:val="28"/>
          <w:szCs w:val="28"/>
          <w:lang w:val="en-US"/>
        </w:rPr>
        <w:t>dari segala bentuk pemikiran insani. Berikut alasan penentangan</w:t>
      </w:r>
    </w:p>
    <w:p>
      <w:pPr>
        <w:pStyle w:val="BookText"/>
        <w:bidi w:val="0"/>
        <w:jc w:val="both"/>
        <w:rPr/>
      </w:pPr>
      <w:r>
        <w:rPr>
          <w:rFonts w:eastAsia="Times New Roman" w:cs="Times New Roman" w:ascii="Times New Roman" w:hAnsi="Times New Roman"/>
          <w:color w:val="111111"/>
          <w:sz w:val="28"/>
          <w:szCs w:val="28"/>
          <w:lang w:val="en-US"/>
        </w:rPr>
        <w:t>sejumlah tokoh gereja terhadap filsafat:</w:t>
      </w:r>
    </w:p>
    <w:p>
      <w:pPr>
        <w:pStyle w:val="BookText"/>
        <w:bidi w:val="0"/>
        <w:jc w:val="both"/>
        <w:rPr/>
      </w:pPr>
      <w:r>
        <w:rPr>
          <w:rFonts w:eastAsia="Times New Roman" w:cs="Times New Roman" w:ascii="Times New Roman" w:hAnsi="Times New Roman"/>
          <w:color w:val="111111"/>
          <w:sz w:val="28"/>
          <w:szCs w:val="28"/>
          <w:lang w:val="en-US"/>
        </w:rPr>
        <w:t>Mereka percaya bahwa masalah penggunaan akal untuk</w:t>
      </w:r>
    </w:p>
    <w:p>
      <w:pPr>
        <w:pStyle w:val="BookText"/>
        <w:bidi w:val="0"/>
        <w:jc w:val="both"/>
        <w:rPr/>
      </w:pPr>
      <w:r>
        <w:rPr>
          <w:rFonts w:eastAsia="Times New Roman" w:cs="Times New Roman" w:ascii="Times New Roman" w:hAnsi="Times New Roman"/>
          <w:color w:val="111111"/>
          <w:sz w:val="28"/>
          <w:szCs w:val="28"/>
          <w:lang w:val="en-US"/>
        </w:rPr>
        <w:t>sementara waktu dapat memproduksi kekuasaan dan wibawa</w:t>
      </w:r>
    </w:p>
    <w:p>
      <w:pPr>
        <w:pStyle w:val="BookText"/>
        <w:bidi w:val="0"/>
        <w:jc w:val="both"/>
        <w:rPr/>
      </w:pPr>
      <w:r>
        <w:rPr>
          <w:rFonts w:eastAsia="Times New Roman" w:cs="Times New Roman" w:ascii="Times New Roman" w:hAnsi="Times New Roman"/>
          <w:color w:val="111111"/>
          <w:sz w:val="28"/>
          <w:szCs w:val="28"/>
          <w:lang w:val="en-US"/>
        </w:rPr>
        <w:t>untuk gereja. Namun setelah itu, barangkali masalah itu jadi liar</w:t>
      </w:r>
    </w:p>
    <w:p>
      <w:pPr>
        <w:pStyle w:val="BookText"/>
        <w:bidi w:val="0"/>
        <w:jc w:val="both"/>
        <w:rPr/>
      </w:pPr>
      <w:r>
        <w:rPr>
          <w:rFonts w:eastAsia="Times New Roman" w:cs="Times New Roman" w:ascii="Times New Roman" w:hAnsi="Times New Roman"/>
          <w:color w:val="111111"/>
          <w:sz w:val="28"/>
          <w:szCs w:val="28"/>
          <w:lang w:val="en-US"/>
        </w:rPr>
        <w:t>dan menyesatkan umat manusia dari jalan iman sehingga agama</w:t>
      </w:r>
    </w:p>
    <w:p>
      <w:pPr>
        <w:pStyle w:val="BookText"/>
        <w:bidi w:val="0"/>
        <w:jc w:val="both"/>
        <w:rPr/>
      </w:pPr>
      <w:r>
        <w:rPr>
          <w:rFonts w:eastAsia="Times New Roman" w:cs="Times New Roman" w:ascii="Times New Roman" w:hAnsi="Times New Roman"/>
          <w:color w:val="111111"/>
          <w:sz w:val="28"/>
          <w:szCs w:val="28"/>
          <w:lang w:val="en-US"/>
        </w:rPr>
        <w:t>Kristen menjadi lemah dan terlantar di tengah dunia yang penuh</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kekafiran dan dosa.</w:t>
      </w:r>
      <w:r>
        <w:rPr>
          <w:rStyle w:val="FootnoteAnchor"/>
        </w:rPr>
        <w:footnoteReference w:id="32"/>
      </w:r>
      <w:bookmarkStart w:id="64" w:name="pg5378_50429"/>
    </w:p>
    <w:p>
      <w:pPr>
        <w:pStyle w:val="Heading4"/>
        <w:numPr>
          <w:ilvl w:val="3"/>
          <w:numId w:val="1"/>
        </w:numPr>
        <w:bidi w:val="0"/>
        <w:jc w:val="left"/>
        <w:rPr/>
      </w:pPr>
      <w:bookmarkStart w:id="65" w:name="__RefHeading___Toc1351092_581953129"/>
      <w:bookmarkStart w:id="66" w:name="_Toc25"/>
      <w:bookmarkEnd w:id="64"/>
      <w:bookmarkEnd w:id="65"/>
      <w:r>
        <w:rPr/>
        <w:t>llmu dan Agama</w:t>
      </w:r>
      <w:bookmarkEnd w:id="66"/>
    </w:p>
    <w:p>
      <w:pPr>
        <w:pStyle w:val="BookText"/>
        <w:bidi w:val="0"/>
        <w:jc w:val="both"/>
        <w:rPr/>
      </w:pPr>
      <w:r>
        <w:rPr>
          <w:rFonts w:eastAsia="Times New Roman" w:cs="Times New Roman" w:ascii="Times New Roman" w:hAnsi="Times New Roman"/>
          <w:color w:val="111111"/>
          <w:sz w:val="28"/>
          <w:szCs w:val="28"/>
          <w:lang w:val="en-US"/>
        </w:rPr>
        <w:t>Hubungan ilmu dan agama, serta pembatasan wilayah masing-</w:t>
      </w:r>
    </w:p>
    <w:p>
      <w:pPr>
        <w:pStyle w:val="BookText"/>
        <w:bidi w:val="0"/>
        <w:jc w:val="both"/>
        <w:rPr/>
      </w:pPr>
      <w:r>
        <w:rPr>
          <w:rFonts w:eastAsia="Times New Roman" w:cs="Times New Roman" w:ascii="Times New Roman" w:hAnsi="Times New Roman"/>
          <w:color w:val="111111"/>
          <w:sz w:val="28"/>
          <w:szCs w:val="28"/>
          <w:lang w:val="en-US"/>
        </w:rPr>
        <w:t>masing, merupakan salah satu topik kunci dalam filsafat agama</w:t>
      </w:r>
    </w:p>
    <w:p>
      <w:pPr>
        <w:pStyle w:val="BookText"/>
        <w:bidi w:val="0"/>
        <w:jc w:val="both"/>
        <w:rPr/>
      </w:pPr>
      <w:r>
        <w:rPr>
          <w:rFonts w:eastAsia="Times New Roman" w:cs="Times New Roman" w:ascii="Times New Roman" w:hAnsi="Times New Roman"/>
          <w:color w:val="111111"/>
          <w:sz w:val="28"/>
          <w:szCs w:val="28"/>
          <w:lang w:val="en-US"/>
        </w:rPr>
        <w:t>dan teologi di era modern. Kini, kemajuan sains telah membuka</w:t>
      </w:r>
    </w:p>
    <w:p>
      <w:pPr>
        <w:pStyle w:val="BookText"/>
        <w:bidi w:val="0"/>
        <w:jc w:val="both"/>
        <w:rPr/>
      </w:pPr>
      <w:r>
        <w:rPr>
          <w:rFonts w:eastAsia="Times New Roman" w:cs="Times New Roman" w:ascii="Times New Roman" w:hAnsi="Times New Roman"/>
          <w:color w:val="111111"/>
          <w:sz w:val="28"/>
          <w:szCs w:val="28"/>
          <w:lang w:val="en-US"/>
        </w:rPr>
        <w:t>cakrawala baru dan menganugerahkan pengenalan baru terhadap</w:t>
      </w:r>
    </w:p>
    <w:p>
      <w:pPr>
        <w:pStyle w:val="BookText"/>
        <w:bidi w:val="0"/>
        <w:jc w:val="both"/>
        <w:rPr/>
      </w:pPr>
      <w:r>
        <w:rPr>
          <w:rFonts w:eastAsia="Times New Roman" w:cs="Times New Roman" w:ascii="Times New Roman" w:hAnsi="Times New Roman"/>
          <w:color w:val="111111"/>
          <w:sz w:val="28"/>
          <w:szCs w:val="28"/>
          <w:lang w:val="en-US"/>
        </w:rPr>
        <w:t>dunia sekitar yang adakalanya tampak tak lagi selaras dengan ajaran</w:t>
      </w:r>
    </w:p>
    <w:p>
      <w:pPr>
        <w:pStyle w:val="BookText"/>
        <w:bidi w:val="0"/>
        <w:jc w:val="both"/>
        <w:rPr/>
      </w:pPr>
      <w:r>
        <w:rPr>
          <w:rFonts w:eastAsia="Times New Roman" w:cs="Times New Roman" w:ascii="Times New Roman" w:hAnsi="Times New Roman"/>
          <w:color w:val="111111"/>
          <w:sz w:val="28"/>
          <w:szCs w:val="28"/>
          <w:lang w:val="en-US"/>
        </w:rPr>
        <w:t>agama. Diperlukan karya tulis tersendiri untuk mengulas contoh-</w:t>
      </w:r>
    </w:p>
    <w:p>
      <w:pPr>
        <w:pStyle w:val="BookText"/>
        <w:bidi w:val="0"/>
        <w:jc w:val="both"/>
        <w:rPr/>
      </w:pPr>
      <w:r>
        <w:rPr>
          <w:rFonts w:eastAsia="Times New Roman" w:cs="Times New Roman" w:ascii="Times New Roman" w:hAnsi="Times New Roman"/>
          <w:color w:val="111111"/>
          <w:sz w:val="28"/>
          <w:szCs w:val="28"/>
          <w:lang w:val="en-US"/>
        </w:rPr>
        <w:t>contoh yang dikesankan sebagai pertentangan antara data sains dan</w:t>
      </w:r>
    </w:p>
    <w:p>
      <w:pPr>
        <w:pStyle w:val="BookText"/>
        <w:bidi w:val="0"/>
        <w:jc w:val="both"/>
        <w:rPr/>
      </w:pPr>
      <w:r>
        <w:rPr>
          <w:rFonts w:eastAsia="Times New Roman" w:cs="Times New Roman" w:ascii="Times New Roman" w:hAnsi="Times New Roman"/>
          <w:color w:val="111111"/>
          <w:sz w:val="28"/>
          <w:szCs w:val="28"/>
          <w:lang w:val="en-US"/>
        </w:rPr>
        <w:t>ajaran agama, berikut pemecahan yang diajukan.</w:t>
      </w:r>
    </w:p>
    <w:p>
      <w:pPr>
        <w:pStyle w:val="BookText"/>
        <w:bidi w:val="0"/>
        <w:jc w:val="both"/>
        <w:rPr/>
      </w:pPr>
      <w:r>
        <w:rPr>
          <w:rFonts w:eastAsia="Times New Roman" w:cs="Times New Roman" w:ascii="Times New Roman" w:hAnsi="Times New Roman"/>
          <w:color w:val="111111"/>
          <w:sz w:val="28"/>
          <w:szCs w:val="28"/>
          <w:lang w:val="en-US"/>
        </w:rPr>
        <w:t>Hanya saja, ada satu hal yang ingin kami ingatkan di sini; jika</w:t>
      </w:r>
    </w:p>
    <w:p>
      <w:pPr>
        <w:pStyle w:val="BookText"/>
        <w:bidi w:val="0"/>
        <w:jc w:val="both"/>
        <w:rPr/>
      </w:pPr>
      <w:r>
        <w:rPr>
          <w:rFonts w:eastAsia="Times New Roman" w:cs="Times New Roman" w:ascii="Times New Roman" w:hAnsi="Times New Roman"/>
          <w:color w:val="111111"/>
          <w:sz w:val="28"/>
          <w:szCs w:val="28"/>
          <w:lang w:val="en-US"/>
        </w:rPr>
        <w:t>yang dimaksud ilmu dalam terma ini hanyalah sains, maka kajian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ilmu dan agama’ dapat digolongkan sebagai subjudul ‘akal dan</w:t>
      </w:r>
    </w:p>
    <w:p>
      <w:pPr>
        <w:pStyle w:val="BookText"/>
        <w:bidi w:val="0"/>
        <w:jc w:val="both"/>
        <w:rPr/>
      </w:pPr>
      <w:r>
        <w:rPr>
          <w:rFonts w:eastAsia="Times New Roman" w:cs="Times New Roman" w:ascii="Times New Roman" w:hAnsi="Times New Roman"/>
          <w:color w:val="111111"/>
          <w:sz w:val="28"/>
          <w:szCs w:val="28"/>
          <w:lang w:val="en-US"/>
        </w:rPr>
        <w:t>wahyu’. Karena, sebagaimana telah disinggung, yang dimaksud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akal” dalam pembahasan ini adalah seluruh pengetahuan umum</w:t>
      </w:r>
    </w:p>
    <w:p>
      <w:pPr>
        <w:pStyle w:val="BookText"/>
        <w:bidi w:val="0"/>
        <w:jc w:val="both"/>
        <w:rPr/>
      </w:pPr>
      <w:r>
        <w:rPr>
          <w:rFonts w:eastAsia="Times New Roman" w:cs="Times New Roman" w:ascii="Times New Roman" w:hAnsi="Times New Roman"/>
          <w:color w:val="111111"/>
          <w:sz w:val="28"/>
          <w:szCs w:val="28"/>
          <w:lang w:val="en-US"/>
        </w:rPr>
        <w:t>manusia, termasuk pengetahuan empiris. Adapun bila yang dimaksud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ilmu” —sebagaimana dioposisikan dengan agama—adalah segala</w:t>
      </w:r>
    </w:p>
    <w:p>
      <w:pPr>
        <w:pStyle w:val="BookText"/>
        <w:bidi w:val="0"/>
        <w:jc w:val="both"/>
        <w:rPr/>
      </w:pPr>
      <w:r>
        <w:rPr>
          <w:rFonts w:eastAsia="Times New Roman" w:cs="Times New Roman" w:ascii="Times New Roman" w:hAnsi="Times New Roman"/>
          <w:color w:val="111111"/>
          <w:sz w:val="28"/>
          <w:szCs w:val="28"/>
          <w:lang w:val="en-US"/>
        </w:rPr>
        <w:t>pengetahuan yang diperoleh via jalan-jalan umum,</w:t>
      </w:r>
      <w:r>
        <w:rPr>
          <w:rStyle w:val="FootnoteAnchor"/>
        </w:rPr>
        <w:footnoteReference w:id="33"/>
      </w:r>
      <w:r>
        <w:rPr>
          <w:rFonts w:eastAsia="Times New Roman" w:cs="Times New Roman" w:ascii="Times New Roman" w:hAnsi="Times New Roman"/>
          <w:color w:val="111111"/>
          <w:sz w:val="28"/>
          <w:szCs w:val="28"/>
          <w:lang w:val="en-US"/>
        </w:rPr>
        <w:t>maka terma ‘ilmu</w:t>
      </w:r>
    </w:p>
    <w:p>
      <w:pPr>
        <w:pStyle w:val="BookText"/>
        <w:bidi w:val="0"/>
        <w:jc w:val="both"/>
        <w:rPr/>
      </w:pPr>
      <w:r>
        <w:rPr>
          <w:rFonts w:eastAsia="Times New Roman" w:cs="Times New Roman" w:ascii="Times New Roman" w:hAnsi="Times New Roman"/>
          <w:color w:val="111111"/>
          <w:sz w:val="28"/>
          <w:szCs w:val="28"/>
          <w:lang w:val="en-US"/>
        </w:rPr>
        <w:t>dan agama’ menjadi padanan tepat untuk terma ‘akal dan wahyu’.</w:t>
      </w:r>
    </w:p>
    <w:p>
      <w:pPr>
        <w:pStyle w:val="BookText"/>
        <w:bidi w:val="0"/>
        <w:jc w:val="both"/>
        <w:rPr/>
      </w:pPr>
      <w:r>
        <w:rPr>
          <w:rFonts w:eastAsia="Times New Roman" w:cs="Times New Roman" w:ascii="Times New Roman" w:hAnsi="Times New Roman"/>
          <w:color w:val="111111"/>
          <w:sz w:val="28"/>
          <w:szCs w:val="28"/>
          <w:lang w:val="en-US"/>
        </w:rPr>
        <w:t>Jelasnya, kendati “ilmu” sering dipahami sebagai pengetahuan</w:t>
      </w:r>
    </w:p>
    <w:p>
      <w:pPr>
        <w:pStyle w:val="BookText"/>
        <w:bidi w:val="0"/>
        <w:jc w:val="both"/>
        <w:rPr/>
      </w:pPr>
      <w:r>
        <w:rPr>
          <w:rFonts w:eastAsia="Times New Roman" w:cs="Times New Roman" w:ascii="Times New Roman" w:hAnsi="Times New Roman"/>
          <w:color w:val="111111"/>
          <w:sz w:val="28"/>
          <w:szCs w:val="28"/>
          <w:lang w:val="en-US"/>
        </w:rPr>
        <w:t>yang diperoleh secara empiris dan eksperimental, sementara akal</w:t>
      </w:r>
    </w:p>
    <w:p>
      <w:pPr>
        <w:pStyle w:val="BookText"/>
        <w:bidi w:val="0"/>
        <w:jc w:val="both"/>
        <w:rPr/>
      </w:pPr>
      <w:r>
        <w:rPr>
          <w:rFonts w:eastAsia="Times New Roman" w:cs="Times New Roman" w:ascii="Times New Roman" w:hAnsi="Times New Roman"/>
          <w:color w:val="111111"/>
          <w:sz w:val="28"/>
          <w:szCs w:val="28"/>
          <w:lang w:val="en-US"/>
        </w:rPr>
        <w:t>biasanya diartikan sebagai pengetahuan yang dihasilkan lewat</w:t>
      </w:r>
    </w:p>
    <w:p>
      <w:pPr>
        <w:pStyle w:val="BookText"/>
        <w:bidi w:val="0"/>
        <w:jc w:val="both"/>
        <w:rPr/>
      </w:pPr>
      <w:r>
        <w:rPr>
          <w:rFonts w:eastAsia="Times New Roman" w:cs="Times New Roman" w:ascii="Times New Roman" w:hAnsi="Times New Roman"/>
          <w:color w:val="111111"/>
          <w:sz w:val="28"/>
          <w:szCs w:val="28"/>
          <w:lang w:val="en-US"/>
        </w:rPr>
        <w:t>silogisme dan pembuktian demonstratif (burhdani), namun secara</w:t>
      </w:r>
    </w:p>
    <w:p>
      <w:pPr>
        <w:pStyle w:val="BookText"/>
        <w:bidi w:val="0"/>
        <w:jc w:val="both"/>
        <w:rPr/>
      </w:pPr>
      <w:r>
        <w:rPr>
          <w:rFonts w:eastAsia="Times New Roman" w:cs="Times New Roman" w:ascii="Times New Roman" w:hAnsi="Times New Roman"/>
          <w:color w:val="111111"/>
          <w:sz w:val="28"/>
          <w:szCs w:val="28"/>
          <w:lang w:val="en-US"/>
        </w:rPr>
        <w:t>umum, keduanya mencakup segala jenis pengetahuan manusia.</w:t>
      </w:r>
    </w:p>
    <w:p>
      <w:pPr>
        <w:pStyle w:val="Heading4"/>
        <w:numPr>
          <w:ilvl w:val="3"/>
          <w:numId w:val="1"/>
        </w:numPr>
        <w:bidi w:val="0"/>
        <w:jc w:val="left"/>
        <w:rPr/>
      </w:pPr>
      <w:bookmarkStart w:id="67" w:name="__RefHeading___Toc1351094_581953129"/>
      <w:bookmarkStart w:id="68" w:name="_Toc26"/>
      <w:bookmarkEnd w:id="67"/>
      <w:r>
        <w:rPr/>
        <w:t>Akal dan Iman</w:t>
      </w:r>
      <w:bookmarkEnd w:id="68"/>
    </w:p>
    <w:p>
      <w:pPr>
        <w:pStyle w:val="BookText"/>
        <w:bidi w:val="0"/>
        <w:jc w:val="both"/>
        <w:rPr/>
      </w:pPr>
      <w:r>
        <w:rPr>
          <w:rFonts w:eastAsia="Times New Roman" w:cs="Times New Roman" w:ascii="Times New Roman" w:hAnsi="Times New Roman"/>
          <w:color w:val="111111"/>
          <w:sz w:val="28"/>
          <w:szCs w:val="28"/>
          <w:lang w:val="en-US"/>
        </w:rPr>
        <w:t>Kebanyakan pemikir Kristiani lebih memilih berbicara tentang ‘akal</w:t>
      </w:r>
    </w:p>
    <w:p>
      <w:pPr>
        <w:pStyle w:val="BookText"/>
        <w:bidi w:val="0"/>
        <w:jc w:val="both"/>
        <w:rPr/>
      </w:pPr>
      <w:r>
        <w:rPr>
          <w:rFonts w:eastAsia="Times New Roman" w:cs="Times New Roman" w:ascii="Times New Roman" w:hAnsi="Times New Roman"/>
          <w:color w:val="111111"/>
          <w:sz w:val="28"/>
          <w:szCs w:val="28"/>
          <w:lang w:val="en-US"/>
        </w:rPr>
        <w:t>dan iman/’ (faith and reason) ketimbang ‘akal dan wahyu’. Mayoritas</w:t>
      </w:r>
    </w:p>
    <w:p>
      <w:pPr>
        <w:pStyle w:val="BookText"/>
        <w:bidi w:val="0"/>
        <w:jc w:val="both"/>
        <w:rPr/>
      </w:pPr>
      <w:r>
        <w:rPr>
          <w:rFonts w:eastAsia="Times New Roman" w:cs="Times New Roman" w:ascii="Times New Roman" w:hAnsi="Times New Roman"/>
          <w:color w:val="111111"/>
          <w:sz w:val="28"/>
          <w:szCs w:val="28"/>
          <w:lang w:val="en-US"/>
        </w:rPr>
        <w:t>mereka menganggap daya jangkau akal masih lebih pendek dari</w:t>
      </w:r>
    </w:p>
    <w:p>
      <w:pPr>
        <w:pStyle w:val="BookText"/>
        <w:bidi w:val="0"/>
        <w:jc w:val="both"/>
        <w:rPr/>
      </w:pPr>
      <w:r>
        <w:rPr>
          <w:rFonts w:eastAsia="Times New Roman" w:cs="Times New Roman" w:ascii="Times New Roman" w:hAnsi="Times New Roman"/>
          <w:color w:val="111111"/>
          <w:sz w:val="28"/>
          <w:szCs w:val="28"/>
          <w:lang w:val="en-US"/>
        </w:rPr>
        <w:t>sekadar memahami muatan-muatan wahyu. Mereka_ bersandar</w:t>
      </w:r>
    </w:p>
    <w:p>
      <w:pPr>
        <w:pStyle w:val="BookText"/>
        <w:bidi w:val="0"/>
        <w:jc w:val="both"/>
        <w:rPr/>
      </w:pPr>
      <w:r>
        <w:rPr>
          <w:rFonts w:eastAsia="Times New Roman" w:cs="Times New Roman" w:ascii="Times New Roman" w:hAnsi="Times New Roman"/>
          <w:color w:val="111111"/>
          <w:sz w:val="28"/>
          <w:szCs w:val="28"/>
          <w:lang w:val="en-US"/>
        </w:rPr>
        <w:t>pada kategori iman dan menghitungnya sebagai satu-satunya pintu</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masuk agama. </w:t>
      </w:r>
    </w:p>
    <w:p>
      <w:pPr>
        <w:pStyle w:val="BookText"/>
        <w:bidi w:val="0"/>
        <w:rPr/>
      </w:pPr>
      <w:r>
        <w:rPr>
          <w:rFonts w:eastAsia="Times New Roman" w:cs="Times New Roman" w:ascii="Times New Roman" w:hAnsi="Times New Roman"/>
          <w:color w:val="111111"/>
          <w:sz w:val="28"/>
          <w:szCs w:val="28"/>
          <w:lang w:val="en-US"/>
        </w:rPr>
        <w:t>Dalam budaya pemikiran Islam, ilmu dan iman memiliki</w:t>
      </w:r>
    </w:p>
    <w:p>
      <w:pPr>
        <w:pStyle w:val="BookText"/>
        <w:bidi w:val="0"/>
        <w:jc w:val="both"/>
        <w:rPr/>
      </w:pPr>
      <w:r>
        <w:rPr>
          <w:rFonts w:eastAsia="Times New Roman" w:cs="Times New Roman" w:ascii="Times New Roman" w:hAnsi="Times New Roman"/>
          <w:color w:val="111111"/>
          <w:sz w:val="28"/>
          <w:szCs w:val="28"/>
          <w:lang w:val="en-US"/>
        </w:rPr>
        <w:t>relasi yang sangat mendalam. Satu kelompok karenanya bahkan</w:t>
      </w:r>
    </w:p>
    <w:p>
      <w:pPr>
        <w:pStyle w:val="BookText"/>
        <w:bidi w:val="0"/>
        <w:jc w:val="both"/>
        <w:rPr/>
      </w:pPr>
      <w:r>
        <w:rPr>
          <w:rFonts w:eastAsia="Times New Roman" w:cs="Times New Roman" w:ascii="Times New Roman" w:hAnsi="Times New Roman"/>
          <w:color w:val="111111"/>
          <w:sz w:val="28"/>
          <w:szCs w:val="28"/>
          <w:lang w:val="en-US"/>
        </w:rPr>
        <w:t>mengidentikkan keduanya: tman tak lain hanyalah tlmu. Sementara</w:t>
      </w:r>
    </w:p>
    <w:p>
      <w:pPr>
        <w:pStyle w:val="BookText"/>
        <w:bidi w:val="0"/>
        <w:jc w:val="both"/>
        <w:rPr/>
      </w:pPr>
      <w:r>
        <w:rPr>
          <w:rFonts w:eastAsia="Times New Roman" w:cs="Times New Roman" w:ascii="Times New Roman" w:hAnsi="Times New Roman"/>
          <w:color w:val="111111"/>
          <w:sz w:val="28"/>
          <w:szCs w:val="28"/>
          <w:lang w:val="en-US"/>
        </w:rPr>
        <w:t>kelompok lain, walaupun menolak identifikasi ini, menekankan</w:t>
      </w:r>
    </w:p>
    <w:p>
      <w:pPr>
        <w:pStyle w:val="BookText"/>
        <w:bidi w:val="0"/>
        <w:jc w:val="both"/>
        <w:rPr/>
      </w:pPr>
      <w:r>
        <w:rPr>
          <w:rFonts w:eastAsia="Times New Roman" w:cs="Times New Roman" w:ascii="Times New Roman" w:hAnsi="Times New Roman"/>
          <w:color w:val="111111"/>
          <w:sz w:val="28"/>
          <w:szCs w:val="28"/>
          <w:lang w:val="en-US"/>
        </w:rPr>
        <w:t>bahwa tanpa ilmu, iman yang sempurna mustahil tercapai.</w:t>
      </w:r>
    </w:p>
    <w:p>
      <w:pPr>
        <w:pStyle w:val="BookText"/>
        <w:bidi w:val="0"/>
        <w:jc w:val="both"/>
        <w:rPr/>
      </w:pPr>
      <w:r>
        <w:rPr>
          <w:rFonts w:eastAsia="Times New Roman" w:cs="Times New Roman" w:ascii="Times New Roman" w:hAnsi="Times New Roman"/>
          <w:color w:val="111111"/>
          <w:sz w:val="28"/>
          <w:szCs w:val="28"/>
          <w:lang w:val="en-US"/>
        </w:rPr>
        <w:t>Keterikatan hati sangat bergantung pada pengetahuan.</w:t>
      </w:r>
      <w:r>
        <w:rPr>
          <w:rStyle w:val="FootnoteAnchor"/>
        </w:rPr>
        <w:footnoteReference w:id="34"/>
      </w:r>
      <w:r>
        <w:rPr>
          <w:rFonts w:eastAsia="Times New Roman" w:cs="Times New Roman" w:ascii="Times New Roman" w:hAnsi="Times New Roman"/>
          <w:color w:val="111111"/>
          <w:sz w:val="28"/>
          <w:szCs w:val="28"/>
          <w:lang w:val="en-US"/>
        </w:rPr>
        <w:t>Dalam</w:t>
      </w:r>
    </w:p>
    <w:p>
      <w:pPr>
        <w:pStyle w:val="BookText"/>
        <w:bidi w:val="0"/>
        <w:jc w:val="both"/>
        <w:rPr/>
      </w:pPr>
      <w:r>
        <w:rPr>
          <w:rFonts w:eastAsia="Times New Roman" w:cs="Times New Roman" w:ascii="Times New Roman" w:hAnsi="Times New Roman"/>
          <w:color w:val="111111"/>
          <w:sz w:val="28"/>
          <w:szCs w:val="28"/>
          <w:lang w:val="en-US"/>
        </w:rPr>
        <w:t>hadis-hadis keislaman juga ditegaskan bahwa ilmu adalah mitra</w:t>
      </w:r>
    </w:p>
    <w:p>
      <w:pPr>
        <w:pStyle w:val="BookText"/>
        <w:bidi w:val="0"/>
        <w:jc w:val="both"/>
        <w:rPr/>
      </w:pPr>
      <w:r>
        <w:rPr>
          <w:rFonts w:eastAsia="Times New Roman" w:cs="Times New Roman" w:ascii="Times New Roman" w:hAnsi="Times New Roman"/>
          <w:color w:val="111111"/>
          <w:sz w:val="28"/>
          <w:szCs w:val="28"/>
          <w:lang w:val="en-US"/>
        </w:rPr>
        <w:t xml:space="preserve">iman </w:t>
      </w:r>
      <w:r>
        <w:rPr>
          <w:rStyle w:val="FootnoteAnchor"/>
        </w:rPr>
        <w:footnoteReference w:id="35"/>
      </w:r>
      <w:r>
        <w:rPr>
          <w:rFonts w:eastAsia="Times New Roman" w:cs="Times New Roman" w:ascii="Times New Roman" w:hAnsi="Times New Roman"/>
          <w:color w:val="111111"/>
          <w:sz w:val="28"/>
          <w:szCs w:val="28"/>
          <w:lang w:val="en-US"/>
        </w:rPr>
        <w:t>; iman tanpa pikiran tidaklah mungkin.</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Di dunia Barat, perdebatan di kalangan pemikir dalam upaya</w:t>
      </w:r>
    </w:p>
    <w:p>
      <w:pPr>
        <w:pStyle w:val="BookText"/>
        <w:bidi w:val="0"/>
        <w:jc w:val="both"/>
        <w:rPr/>
      </w:pPr>
      <w:r>
        <w:rPr>
          <w:rFonts w:eastAsia="Times New Roman" w:cs="Times New Roman" w:ascii="Times New Roman" w:hAnsi="Times New Roman"/>
          <w:color w:val="111111"/>
          <w:sz w:val="28"/>
          <w:szCs w:val="28"/>
          <w:lang w:val="en-US"/>
        </w:rPr>
        <w:t>memaknai iman telah mengakibatkan ide-ide mereka sulit sekali</w:t>
      </w:r>
    </w:p>
    <w:p>
      <w:pPr>
        <w:pStyle w:val="BookText"/>
        <w:bidi w:val="0"/>
        <w:jc w:val="both"/>
        <w:rPr/>
      </w:pPr>
      <w:r>
        <w:rPr>
          <w:rFonts w:eastAsia="Times New Roman" w:cs="Times New Roman" w:ascii="Times New Roman" w:hAnsi="Times New Roman"/>
          <w:color w:val="111111"/>
          <w:sz w:val="28"/>
          <w:szCs w:val="28"/>
          <w:lang w:val="en-US"/>
        </w:rPr>
        <w:t>dicerna. Adakalanya istilah ‘iman’ dipergunakan dalam makna</w:t>
      </w:r>
    </w:p>
    <w:p>
      <w:pPr>
        <w:pStyle w:val="BookText"/>
        <w:bidi w:val="0"/>
        <w:jc w:val="both"/>
        <w:rPr/>
      </w:pPr>
      <w:r>
        <w:rPr>
          <w:rFonts w:eastAsia="Times New Roman" w:cs="Times New Roman" w:ascii="Times New Roman" w:hAnsi="Times New Roman"/>
          <w:color w:val="111111"/>
          <w:sz w:val="28"/>
          <w:szCs w:val="28"/>
          <w:lang w:val="en-US"/>
        </w:rPr>
        <w:t>yang sepadan dengan ‘agama’.</w:t>
      </w:r>
      <w:r>
        <w:rPr>
          <w:rStyle w:val="FootnoteAnchor"/>
        </w:rPr>
        <w:footnoteReference w:id="37"/>
      </w:r>
      <w:r>
        <w:rPr>
          <w:rFonts w:eastAsia="Times New Roman" w:cs="Times New Roman" w:ascii="Times New Roman" w:hAnsi="Times New Roman"/>
          <w:color w:val="111111"/>
          <w:sz w:val="28"/>
          <w:szCs w:val="28"/>
          <w:lang w:val="en-US"/>
        </w:rPr>
        <w:t>Dengan demikian, ungkapan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Iman masehi’ dan ‘iman islami’ bisa bermakna ‘agama Kristen’</w:t>
      </w:r>
    </w:p>
    <w:p>
      <w:pPr>
        <w:pStyle w:val="BookText"/>
        <w:bidi w:val="0"/>
        <w:jc w:val="both"/>
        <w:rPr/>
      </w:pPr>
      <w:r>
        <w:rPr>
          <w:rFonts w:eastAsia="Times New Roman" w:cs="Times New Roman" w:ascii="Times New Roman" w:hAnsi="Times New Roman"/>
          <w:color w:val="111111"/>
          <w:sz w:val="28"/>
          <w:szCs w:val="28"/>
          <w:lang w:val="en-US"/>
        </w:rPr>
        <w:t>dan ‘agama Islam’, seolah-olah menurut mereka, agama terbatas</w:t>
      </w:r>
    </w:p>
    <w:p>
      <w:pPr>
        <w:pStyle w:val="BookText"/>
        <w:bidi w:val="0"/>
        <w:jc w:val="both"/>
        <w:rPr/>
      </w:pPr>
      <w:r>
        <w:rPr>
          <w:rFonts w:eastAsia="Times New Roman" w:cs="Times New Roman" w:ascii="Times New Roman" w:hAnsi="Times New Roman"/>
          <w:color w:val="111111"/>
          <w:sz w:val="28"/>
          <w:szCs w:val="28"/>
          <w:lang w:val="en-US"/>
        </w:rPr>
        <w:t>hanya pada hlmpunan kepercayaan. Itulah sebabnya, istilah ‘iman’</w:t>
      </w:r>
    </w:p>
    <w:p>
      <w:pPr>
        <w:pStyle w:val="BookText"/>
        <w:bidi w:val="0"/>
        <w:jc w:val="both"/>
        <w:rPr/>
      </w:pPr>
      <w:r>
        <w:rPr>
          <w:rFonts w:eastAsia="Times New Roman" w:cs="Times New Roman" w:ascii="Times New Roman" w:hAnsi="Times New Roman"/>
          <w:color w:val="111111"/>
          <w:sz w:val="28"/>
          <w:szCs w:val="28"/>
          <w:lang w:val="en-US"/>
        </w:rPr>
        <w:t>yang bermakna ‘percaya’ dipergunakan secara metaforis sebagai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hlmpunan keyakinan dan kepercayaan’.</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Penggunaan istilah ‘iman’ yang lebih populer dan lebih sesuai</w:t>
      </w:r>
    </w:p>
    <w:p>
      <w:pPr>
        <w:pStyle w:val="BookText"/>
        <w:bidi w:val="0"/>
        <w:jc w:val="both"/>
        <w:rPr/>
      </w:pPr>
      <w:r>
        <w:rPr>
          <w:rFonts w:eastAsia="Times New Roman" w:cs="Times New Roman" w:ascii="Times New Roman" w:hAnsi="Times New Roman"/>
          <w:color w:val="111111"/>
          <w:sz w:val="28"/>
          <w:szCs w:val="28"/>
          <w:lang w:val="en-US"/>
        </w:rPr>
        <w:t>dengan makna konvensional sesungguhnya mencerminkan kondisi</w:t>
      </w:r>
    </w:p>
    <w:p>
      <w:pPr>
        <w:pStyle w:val="BookText"/>
        <w:bidi w:val="0"/>
        <w:jc w:val="both"/>
        <w:rPr/>
      </w:pPr>
      <w:r>
        <w:rPr>
          <w:rFonts w:eastAsia="Times New Roman" w:cs="Times New Roman" w:ascii="Times New Roman" w:hAnsi="Times New Roman"/>
          <w:color w:val="111111"/>
          <w:sz w:val="28"/>
          <w:szCs w:val="28"/>
          <w:lang w:val="en-US"/>
        </w:rPr>
        <w:t>internal kejiwaan seseorang. Kondisi internal ini, sebagaimana telah</w:t>
      </w:r>
    </w:p>
    <w:p>
      <w:pPr>
        <w:pStyle w:val="BookText"/>
        <w:bidi w:val="0"/>
        <w:jc w:val="both"/>
        <w:rPr/>
      </w:pPr>
      <w:r>
        <w:rPr>
          <w:rFonts w:eastAsia="Times New Roman" w:cs="Times New Roman" w:ascii="Times New Roman" w:hAnsi="Times New Roman"/>
          <w:color w:val="111111"/>
          <w:sz w:val="28"/>
          <w:szCs w:val="28"/>
          <w:lang w:val="en-US"/>
        </w:rPr>
        <w:t>disinggung, memiliki relasi tak terurai dengan ilmu atau pengetahuan.</w:t>
      </w:r>
    </w:p>
    <w:p>
      <w:pPr>
        <w:pStyle w:val="BookText"/>
        <w:bidi w:val="0"/>
        <w:jc w:val="both"/>
        <w:rPr/>
      </w:pPr>
      <w:r>
        <w:rPr>
          <w:rFonts w:eastAsia="Times New Roman" w:cs="Times New Roman" w:ascii="Times New Roman" w:hAnsi="Times New Roman"/>
          <w:color w:val="111111"/>
          <w:sz w:val="28"/>
          <w:szCs w:val="28"/>
          <w:lang w:val="en-US"/>
        </w:rPr>
        <w:t>Anehnya, tidak sedikit dari pemikir Kristiani menyangkal hubungan</w:t>
      </w:r>
    </w:p>
    <w:p>
      <w:pPr>
        <w:pStyle w:val="BookText"/>
        <w:bidi w:val="0"/>
        <w:jc w:val="both"/>
        <w:rPr/>
      </w:pPr>
      <w:r>
        <w:rPr>
          <w:rFonts w:eastAsia="Times New Roman" w:cs="Times New Roman" w:ascii="Times New Roman" w:hAnsi="Times New Roman"/>
          <w:color w:val="111111"/>
          <w:sz w:val="28"/>
          <w:szCs w:val="28"/>
          <w:lang w:val="en-US"/>
        </w:rPr>
        <w:t>ilmu dan iman secara total. Keputusan ini mereka ambil sebagai cara</w:t>
      </w:r>
    </w:p>
    <w:p>
      <w:pPr>
        <w:pStyle w:val="BookText"/>
        <w:bidi w:val="0"/>
        <w:jc w:val="both"/>
        <w:rPr/>
      </w:pPr>
      <w:r>
        <w:rPr>
          <w:rFonts w:eastAsia="Times New Roman" w:cs="Times New Roman" w:ascii="Times New Roman" w:hAnsi="Times New Roman"/>
          <w:color w:val="111111"/>
          <w:sz w:val="28"/>
          <w:szCs w:val="28"/>
          <w:lang w:val="en-US"/>
        </w:rPr>
        <w:t>menghindarkan diri dari penjelasan rasional terhadap kepercayaan-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kepercayaan agama. </w:t>
      </w:r>
    </w:p>
    <w:p>
      <w:pPr>
        <w:pStyle w:val="BookText"/>
        <w:bidi w:val="0"/>
        <w:rPr/>
      </w:pPr>
      <w:r>
        <w:rPr>
          <w:rFonts w:eastAsia="Times New Roman" w:cs="Times New Roman" w:ascii="Times New Roman" w:hAnsi="Times New Roman"/>
          <w:color w:val="111111"/>
          <w:sz w:val="28"/>
          <w:szCs w:val="28"/>
          <w:lang w:val="en-US"/>
        </w:rPr>
        <w:t>Adalah mustahil satu hal yang ... bagi seseorang ..., selain</w:t>
      </w:r>
    </w:p>
    <w:p>
      <w:pPr>
        <w:pStyle w:val="BookText"/>
        <w:bidi w:val="0"/>
        <w:jc w:val="both"/>
        <w:rPr/>
      </w:pPr>
      <w:r>
        <w:rPr>
          <w:rFonts w:eastAsia="Times New Roman" w:cs="Times New Roman" w:ascii="Times New Roman" w:hAnsi="Times New Roman"/>
          <w:color w:val="111111"/>
          <w:sz w:val="28"/>
          <w:szCs w:val="28"/>
          <w:lang w:val="en-US"/>
        </w:rPr>
        <w:t>merupakan subjek ilmu, juga merupakan subjek iman. Kendati</w:t>
      </w:r>
    </w:p>
    <w:p>
      <w:pPr>
        <w:pStyle w:val="BookText"/>
        <w:bidi w:val="0"/>
        <w:jc w:val="both"/>
        <w:rPr/>
      </w:pPr>
      <w:r>
        <w:rPr>
          <w:rFonts w:eastAsia="Times New Roman" w:cs="Times New Roman" w:ascii="Times New Roman" w:hAnsi="Times New Roman"/>
          <w:color w:val="111111"/>
          <w:sz w:val="28"/>
          <w:szCs w:val="28"/>
          <w:lang w:val="en-US"/>
        </w:rPr>
        <w:t>begitu, mungkin saja ... satu hal yang, bagi seseorang merupakan</w:t>
      </w:r>
    </w:p>
    <w:p>
      <w:pPr>
        <w:pStyle w:val="BookText"/>
        <w:bidi w:val="0"/>
        <w:jc w:val="both"/>
        <w:rPr/>
      </w:pPr>
      <w:r>
        <w:rPr>
          <w:rFonts w:eastAsia="Times New Roman" w:cs="Times New Roman" w:ascii="Times New Roman" w:hAnsi="Times New Roman"/>
          <w:color w:val="111111"/>
          <w:sz w:val="28"/>
          <w:szCs w:val="28"/>
          <w:lang w:val="en-US"/>
        </w:rPr>
        <w:t>subjek pengetahuan, bagi orang lain justru modal iman, karena</w:t>
      </w:r>
    </w:p>
    <w:p>
      <w:pPr>
        <w:pStyle w:val="BookText"/>
        <w:bidi w:val="0"/>
        <w:jc w:val="both"/>
        <w:rPr/>
      </w:pPr>
      <w:r>
        <w:rPr>
          <w:rFonts w:eastAsia="Times New Roman" w:cs="Times New Roman" w:ascii="Times New Roman" w:hAnsi="Times New Roman"/>
          <w:color w:val="111111"/>
          <w:sz w:val="28"/>
          <w:szCs w:val="28"/>
          <w:lang w:val="en-US"/>
        </w:rPr>
        <w:t>kami berharap, semoga apa yang sekarang kami imani berkenaan</w:t>
      </w:r>
    </w:p>
    <w:p>
      <w:pPr>
        <w:pStyle w:val="BookText"/>
        <w:bidi w:val="0"/>
        <w:jc w:val="both"/>
        <w:rPr/>
      </w:pPr>
      <w:r>
        <w:rPr>
          <w:rFonts w:eastAsia="Times New Roman" w:cs="Times New Roman" w:ascii="Times New Roman" w:hAnsi="Times New Roman"/>
          <w:color w:val="111111"/>
          <w:sz w:val="28"/>
          <w:szCs w:val="28"/>
          <w:lang w:val="en-US"/>
        </w:rPr>
        <w:t>dengan Trinitas, suatu saat kami saksikan dengan mata kepala</w:t>
      </w:r>
    </w:p>
    <w:p>
      <w:pPr>
        <w:pStyle w:val="BookText"/>
        <w:bidi w:val="0"/>
        <w:jc w:val="both"/>
        <w:rPr/>
      </w:pPr>
      <w:r>
        <w:rPr>
          <w:rFonts w:eastAsia="Times New Roman" w:cs="Times New Roman" w:ascii="Times New Roman" w:hAnsi="Times New Roman"/>
          <w:color w:val="111111"/>
          <w:sz w:val="28"/>
          <w:szCs w:val="28"/>
          <w:lang w:val="en-US"/>
        </w:rPr>
        <w:t>sendiri.</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percaya karena tidak masuk akal” adalah kata-kata</w:t>
      </w:r>
    </w:p>
    <w:p>
      <w:pPr>
        <w:pStyle w:val="BookText"/>
        <w:bidi w:val="0"/>
        <w:jc w:val="both"/>
        <w:rPr/>
      </w:pPr>
      <w:r>
        <w:rPr>
          <w:rFonts w:eastAsia="Times New Roman" w:cs="Times New Roman" w:ascii="Times New Roman" w:hAnsi="Times New Roman"/>
          <w:color w:val="111111"/>
          <w:sz w:val="28"/>
          <w:szCs w:val="28"/>
          <w:lang w:val="en-US"/>
        </w:rPr>
        <w:t>termasyhur Tertullian (160-225 M) yang — menurut sebagian penulis,</w:t>
      </w:r>
    </w:p>
    <w:p>
      <w:pPr>
        <w:pStyle w:val="BookText"/>
        <w:bidi w:val="0"/>
        <w:jc w:val="both"/>
        <w:rPr/>
      </w:pPr>
      <w:r>
        <w:rPr>
          <w:rFonts w:eastAsia="Times New Roman" w:cs="Times New Roman" w:ascii="Times New Roman" w:hAnsi="Times New Roman"/>
          <w:color w:val="111111"/>
          <w:sz w:val="28"/>
          <w:szCs w:val="28"/>
          <w:lang w:val="en-US"/>
        </w:rPr>
        <w:t>tak ada statemen lebih kontradiktif darinya</w:t>
      </w:r>
      <w:r>
        <w:rPr>
          <w:rStyle w:val="FootnoteAnchor"/>
        </w:rPr>
        <w:footnoteReference w:id="40"/>
      </w:r>
      <w:r>
        <w:rPr>
          <w:rFonts w:eastAsia="Times New Roman" w:cs="Times New Roman" w:ascii="Times New Roman" w:hAnsi="Times New Roman"/>
          <w:color w:val="111111"/>
          <w:sz w:val="28"/>
          <w:szCs w:val="28"/>
          <w:lang w:val="en-US"/>
        </w:rPr>
        <w:t>—dirumuskan di atas</w:t>
      </w:r>
    </w:p>
    <w:p>
      <w:pPr>
        <w:pStyle w:val="BookText"/>
        <w:bidi w:val="0"/>
        <w:jc w:val="both"/>
        <w:rPr/>
      </w:pPr>
      <w:r>
        <w:rPr>
          <w:rFonts w:eastAsia="Times New Roman" w:cs="Times New Roman" w:ascii="Times New Roman" w:hAnsi="Times New Roman"/>
          <w:color w:val="111111"/>
          <w:sz w:val="28"/>
          <w:szCs w:val="28"/>
          <w:lang w:val="en-US"/>
        </w:rPr>
        <w:t>prinsip tersebut.</w:t>
      </w:r>
    </w:p>
    <w:p>
      <w:pPr>
        <w:pStyle w:val="BookText"/>
        <w:bidi w:val="0"/>
        <w:jc w:val="both"/>
        <w:rPr/>
      </w:pPr>
      <w:r>
        <w:rPr>
          <w:rFonts w:eastAsia="Times New Roman" w:cs="Times New Roman" w:ascii="Times New Roman" w:hAnsi="Times New Roman"/>
          <w:color w:val="111111"/>
          <w:sz w:val="28"/>
          <w:szCs w:val="28"/>
          <w:lang w:val="en-US"/>
        </w:rPr>
        <w:t>Banyak sekali pemikir Kristiani yang menjadikan prinsip ini</w:t>
      </w:r>
    </w:p>
    <w:p>
      <w:pPr>
        <w:pStyle w:val="BookText"/>
        <w:bidi w:val="0"/>
        <w:jc w:val="both"/>
        <w:rPr/>
      </w:pPr>
      <w:r>
        <w:rPr>
          <w:rFonts w:eastAsia="Times New Roman" w:cs="Times New Roman" w:ascii="Times New Roman" w:hAnsi="Times New Roman"/>
          <w:color w:val="111111"/>
          <w:sz w:val="28"/>
          <w:szCs w:val="28"/>
          <w:lang w:val="en-US"/>
        </w:rPr>
        <w:t>sebagai basis untuk menerima setiap ajaran antiakal. Karena itulah</w:t>
      </w:r>
    </w:p>
    <w:p>
      <w:pPr>
        <w:pStyle w:val="BookText"/>
        <w:bidi w:val="0"/>
        <w:jc w:val="both"/>
        <w:rPr/>
      </w:pPr>
      <w:r>
        <w:rPr>
          <w:rFonts w:eastAsia="Times New Roman" w:cs="Times New Roman" w:ascii="Times New Roman" w:hAnsi="Times New Roman"/>
          <w:color w:val="111111"/>
          <w:sz w:val="28"/>
          <w:szCs w:val="28"/>
          <w:lang w:val="en-US"/>
        </w:rPr>
        <w:t>mereka mengira telah terbebas dari pertentangan akal dan wahyu.</w:t>
      </w:r>
    </w:p>
    <w:p>
      <w:pPr>
        <w:pStyle w:val="BookText"/>
        <w:bidi w:val="0"/>
        <w:jc w:val="both"/>
        <w:rPr/>
      </w:pPr>
      <w:r>
        <w:rPr>
          <w:rFonts w:eastAsia="Times New Roman" w:cs="Times New Roman" w:ascii="Times New Roman" w:hAnsi="Times New Roman"/>
          <w:color w:val="111111"/>
          <w:sz w:val="28"/>
          <w:szCs w:val="28"/>
          <w:lang w:val="en-US"/>
        </w:rPr>
        <w:t>Martin Luther mengatakan:</w:t>
      </w:r>
    </w:p>
    <w:p>
      <w:pPr>
        <w:pStyle w:val="BookText"/>
        <w:bidi w:val="0"/>
        <w:jc w:val="both"/>
        <w:rPr/>
      </w:pPr>
      <w:r>
        <w:rPr>
          <w:rFonts w:eastAsia="Times New Roman" w:cs="Times New Roman" w:ascii="Times New Roman" w:hAnsi="Times New Roman"/>
          <w:color w:val="111111"/>
          <w:sz w:val="28"/>
          <w:szCs w:val="28"/>
          <w:lang w:val="en-US"/>
        </w:rPr>
        <w:t>Kepercayaan terhadap kemurahan dan kasih sayang Tuhan</w:t>
      </w:r>
    </w:p>
    <w:p>
      <w:pPr>
        <w:pStyle w:val="BookText"/>
        <w:bidi w:val="0"/>
        <w:jc w:val="both"/>
        <w:rPr/>
      </w:pPr>
      <w:r>
        <w:rPr>
          <w:rFonts w:eastAsia="Times New Roman" w:cs="Times New Roman" w:ascii="Times New Roman" w:hAnsi="Times New Roman"/>
          <w:color w:val="111111"/>
          <w:sz w:val="28"/>
          <w:szCs w:val="28"/>
          <w:lang w:val="en-US"/>
        </w:rPr>
        <w:t>yang hanya membahagiakan segelintir orang dan sisanya Dia</w:t>
      </w:r>
    </w:p>
    <w:p>
      <w:pPr>
        <w:pStyle w:val="BookText"/>
        <w:bidi w:val="0"/>
        <w:jc w:val="both"/>
        <w:rPr/>
      </w:pPr>
      <w:r>
        <w:rPr>
          <w:rFonts w:eastAsia="Times New Roman" w:cs="Times New Roman" w:ascii="Times New Roman" w:hAnsi="Times New Roman"/>
          <w:color w:val="111111"/>
          <w:sz w:val="28"/>
          <w:szCs w:val="28"/>
          <w:lang w:val="en-US"/>
        </w:rPr>
        <w:t>sengsarakan dengan kutukan abadi, merupakan pamuncak</w:t>
      </w:r>
    </w:p>
    <w:p>
      <w:pPr>
        <w:pStyle w:val="BookText"/>
        <w:bidi w:val="0"/>
        <w:jc w:val="both"/>
        <w:rPr/>
      </w:pPr>
      <w:r>
        <w:rPr>
          <w:rFonts w:eastAsia="Times New Roman" w:cs="Times New Roman" w:ascii="Times New Roman" w:hAnsi="Times New Roman"/>
          <w:color w:val="111111"/>
          <w:sz w:val="28"/>
          <w:szCs w:val="28"/>
          <w:lang w:val="en-US"/>
        </w:rPr>
        <w:t>keimanan kita ... sepertinya Dia menikmati siksaan orang-orang</w:t>
      </w:r>
    </w:p>
    <w:p>
      <w:pPr>
        <w:pStyle w:val="BookText"/>
        <w:bidi w:val="0"/>
        <w:jc w:val="both"/>
        <w:rPr/>
      </w:pPr>
      <w:r>
        <w:rPr>
          <w:rFonts w:eastAsia="Times New Roman" w:cs="Times New Roman" w:ascii="Times New Roman" w:hAnsi="Times New Roman"/>
          <w:color w:val="111111"/>
          <w:sz w:val="28"/>
          <w:szCs w:val="28"/>
          <w:lang w:val="en-US"/>
        </w:rPr>
        <w:t>keras kepala yang memang lebih layak dibenci ketimbang</w:t>
      </w:r>
    </w:p>
    <w:p>
      <w:pPr>
        <w:pStyle w:val="BookText"/>
        <w:bidi w:val="0"/>
        <w:jc w:val="both"/>
        <w:rPr/>
      </w:pPr>
      <w:r>
        <w:rPr>
          <w:rFonts w:eastAsia="Times New Roman" w:cs="Times New Roman" w:ascii="Times New Roman" w:hAnsi="Times New Roman"/>
          <w:color w:val="111111"/>
          <w:sz w:val="28"/>
          <w:szCs w:val="28"/>
          <w:lang w:val="en-US"/>
        </w:rPr>
        <w:t>disayangi! Seandainya lewat bantuan akal (logika) aku bisa</w:t>
      </w:r>
    </w:p>
    <w:p>
      <w:pPr>
        <w:pStyle w:val="BookText"/>
        <w:bidi w:val="0"/>
        <w:jc w:val="both"/>
        <w:rPr/>
      </w:pPr>
      <w:r>
        <w:rPr>
          <w:rFonts w:eastAsia="Times New Roman" w:cs="Times New Roman" w:ascii="Times New Roman" w:hAnsi="Times New Roman"/>
          <w:color w:val="111111"/>
          <w:sz w:val="28"/>
          <w:szCs w:val="28"/>
          <w:lang w:val="en-US"/>
        </w:rPr>
        <w:t>mengerti bagaimana mungkin Tuhan Yang Maha Pemurah lagi</w:t>
      </w:r>
    </w:p>
    <w:p>
      <w:pPr>
        <w:pStyle w:val="BookText"/>
        <w:bidi w:val="0"/>
        <w:jc w:val="both"/>
        <w:rPr/>
      </w:pPr>
      <w:r>
        <w:rPr>
          <w:rFonts w:eastAsia="Times New Roman" w:cs="Times New Roman" w:ascii="Times New Roman" w:hAnsi="Times New Roman"/>
          <w:color w:val="111111"/>
          <w:sz w:val="28"/>
          <w:szCs w:val="28"/>
          <w:lang w:val="en-US"/>
        </w:rPr>
        <w:t>Maha Adil menjadi pemarah dan tidak adil, maka tidak diperlukan</w:t>
      </w:r>
    </w:p>
    <w:p>
      <w:pPr>
        <w:pStyle w:val="BookText"/>
        <w:bidi w:val="0"/>
        <w:jc w:val="both"/>
        <w:rPr/>
      </w:pPr>
      <w:r>
        <w:rPr>
          <w:rFonts w:eastAsia="Times New Roman" w:cs="Times New Roman" w:ascii="Times New Roman" w:hAnsi="Times New Roman"/>
          <w:color w:val="111111"/>
          <w:sz w:val="28"/>
          <w:szCs w:val="28"/>
          <w:lang w:val="en-US"/>
        </w:rPr>
        <w:t>lagi iman.</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Tentunya, tawaran definisi baru untuk iman dengan sendirinya</w:t>
      </w:r>
    </w:p>
    <w:p>
      <w:pPr>
        <w:pStyle w:val="BookText"/>
        <w:bidi w:val="0"/>
        <w:jc w:val="both"/>
        <w:rPr/>
      </w:pPr>
      <w:r>
        <w:rPr>
          <w:rFonts w:eastAsia="Times New Roman" w:cs="Times New Roman" w:ascii="Times New Roman" w:hAnsi="Times New Roman"/>
          <w:color w:val="111111"/>
          <w:sz w:val="28"/>
          <w:szCs w:val="28"/>
          <w:lang w:val="en-US"/>
        </w:rPr>
        <w:t>tidak masalah. Rumusan istilah baru merupakan gejala yang lumrah</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setiap disiplin ilmu. Namun, jika ini dilakukan untuk mengelak </w:t>
      </w:r>
      <w:bookmarkStart w:id="69" w:name="pg5378_50435"/>
    </w:p>
    <w:p>
      <w:pPr>
        <w:pStyle w:val="BookText"/>
        <w:bidi w:val="0"/>
        <w:rPr/>
      </w:pPr>
      <w:bookmarkEnd w:id="69"/>
      <w:r>
        <w:rPr>
          <w:rFonts w:eastAsia="Times New Roman" w:cs="Times New Roman" w:ascii="Times New Roman" w:hAnsi="Times New Roman"/>
          <w:color w:val="111111"/>
          <w:sz w:val="28"/>
          <w:szCs w:val="28"/>
          <w:lang w:val="en-US"/>
        </w:rPr>
        <w:t>dari bukti-bukti rasional yang diajukan, maka satu-satunya sebutan</w:t>
      </w:r>
    </w:p>
    <w:p>
      <w:pPr>
        <w:pStyle w:val="BookText"/>
        <w:bidi w:val="0"/>
        <w:jc w:val="both"/>
        <w:rPr/>
      </w:pPr>
      <w:r>
        <w:rPr>
          <w:rFonts w:eastAsia="Times New Roman" w:cs="Times New Roman" w:ascii="Times New Roman" w:hAnsi="Times New Roman"/>
          <w:color w:val="111111"/>
          <w:sz w:val="28"/>
          <w:szCs w:val="28"/>
          <w:lang w:val="en-US"/>
        </w:rPr>
        <w:t>yang layak diberikan adalah “menghapus duduk persoalan”. Seorang</w:t>
      </w:r>
    </w:p>
    <w:p>
      <w:pPr>
        <w:pStyle w:val="BookText"/>
        <w:bidi w:val="0"/>
        <w:jc w:val="both"/>
        <w:rPr/>
      </w:pPr>
      <w:r>
        <w:rPr>
          <w:rFonts w:eastAsia="Times New Roman" w:cs="Times New Roman" w:ascii="Times New Roman" w:hAnsi="Times New Roman"/>
          <w:color w:val="111111"/>
          <w:sz w:val="28"/>
          <w:szCs w:val="28"/>
          <w:lang w:val="en-US"/>
        </w:rPr>
        <w:t>peneliti agama Barat mengatakan:</w:t>
      </w:r>
    </w:p>
    <w:p>
      <w:pPr>
        <w:pStyle w:val="BookText"/>
        <w:bidi w:val="0"/>
        <w:jc w:val="both"/>
        <w:rPr/>
      </w:pPr>
      <w:r>
        <w:rPr>
          <w:rFonts w:eastAsia="Times New Roman" w:cs="Times New Roman" w:ascii="Times New Roman" w:hAnsi="Times New Roman"/>
          <w:color w:val="111111"/>
          <w:sz w:val="28"/>
          <w:szCs w:val="28"/>
          <w:lang w:val="en-US"/>
        </w:rPr>
        <w:t>Sekadar penggunaan kata “iman” dalam makna yang baru tidak</w:t>
      </w:r>
    </w:p>
    <w:p>
      <w:pPr>
        <w:pStyle w:val="BookText"/>
        <w:bidi w:val="0"/>
        <w:jc w:val="both"/>
        <w:rPr/>
      </w:pPr>
      <w:r>
        <w:rPr>
          <w:rFonts w:eastAsia="Times New Roman" w:cs="Times New Roman" w:ascii="Times New Roman" w:hAnsi="Times New Roman"/>
          <w:color w:val="111111"/>
          <w:sz w:val="28"/>
          <w:szCs w:val="28"/>
          <w:lang w:val="en-US"/>
        </w:rPr>
        <w:t>membuktikan bahwa iman itu jalan meraih hakikat. Pemaknaan</w:t>
      </w:r>
    </w:p>
    <w:p>
      <w:pPr>
        <w:pStyle w:val="BookText"/>
        <w:bidi w:val="0"/>
        <w:jc w:val="both"/>
        <w:rPr/>
      </w:pPr>
      <w:r>
        <w:rPr>
          <w:rFonts w:eastAsia="Times New Roman" w:cs="Times New Roman" w:ascii="Times New Roman" w:hAnsi="Times New Roman"/>
          <w:color w:val="111111"/>
          <w:sz w:val="28"/>
          <w:szCs w:val="28"/>
          <w:lang w:val="en-US"/>
        </w:rPr>
        <w:t>ini seperti halnya kata “menang” yang bukannya kita gunakan</w:t>
      </w:r>
    </w:p>
    <w:p>
      <w:pPr>
        <w:pStyle w:val="BookText"/>
        <w:bidi w:val="0"/>
        <w:jc w:val="both"/>
        <w:rPr/>
      </w:pPr>
      <w:r>
        <w:rPr>
          <w:rFonts w:eastAsia="Times New Roman" w:cs="Times New Roman" w:ascii="Times New Roman" w:hAnsi="Times New Roman"/>
          <w:color w:val="111111"/>
          <w:sz w:val="28"/>
          <w:szCs w:val="28"/>
          <w:lang w:val="en-US"/>
        </w:rPr>
        <w:t>dalam makna salah satu kemungkinan hasil permainan, tetapi</w:t>
      </w:r>
    </w:p>
    <w:p>
      <w:pPr>
        <w:pStyle w:val="BookText"/>
        <w:bidi w:val="0"/>
        <w:jc w:val="both"/>
        <w:rPr/>
      </w:pPr>
      <w:r>
        <w:rPr>
          <w:rFonts w:eastAsia="Times New Roman" w:cs="Times New Roman" w:ascii="Times New Roman" w:hAnsi="Times New Roman"/>
          <w:color w:val="111111"/>
          <w:sz w:val="28"/>
          <w:szCs w:val="28"/>
          <w:lang w:val="en-US"/>
        </w:rPr>
        <w:t>digunakan dalam makna yang sepadan dengan “permainan” itu</w:t>
      </w:r>
    </w:p>
    <w:p>
      <w:pPr>
        <w:pStyle w:val="BookText"/>
        <w:bidi w:val="0"/>
        <w:jc w:val="both"/>
        <w:rPr/>
      </w:pPr>
      <w:r>
        <w:rPr>
          <w:rFonts w:eastAsia="Times New Roman" w:cs="Times New Roman" w:ascii="Times New Roman" w:hAnsi="Times New Roman"/>
          <w:color w:val="111111"/>
          <w:sz w:val="28"/>
          <w:szCs w:val="28"/>
          <w:lang w:val="en-US"/>
        </w:rPr>
        <w:t>sendiri. Tindakan ini menarik, tapi sama sekali tidak terhitung</w:t>
      </w:r>
    </w:p>
    <w:p>
      <w:pPr>
        <w:pStyle w:val="BookText"/>
        <w:bidi w:val="0"/>
        <w:jc w:val="both"/>
        <w:rPr/>
      </w:pPr>
      <w:r>
        <w:rPr>
          <w:rFonts w:eastAsia="Times New Roman" w:cs="Times New Roman" w:ascii="Times New Roman" w:hAnsi="Times New Roman"/>
          <w:color w:val="111111"/>
          <w:sz w:val="28"/>
          <w:szCs w:val="28"/>
          <w:lang w:val="en-US"/>
        </w:rPr>
        <w:t>sebagai cara memuaskan untuk membuktikan pemenang. Kapan</w:t>
      </w:r>
    </w:p>
    <w:p>
      <w:pPr>
        <w:pStyle w:val="BookText"/>
        <w:bidi w:val="0"/>
        <w:jc w:val="both"/>
        <w:rPr/>
      </w:pPr>
      <w:r>
        <w:rPr>
          <w:rFonts w:eastAsia="Times New Roman" w:cs="Times New Roman" w:ascii="Times New Roman" w:hAnsi="Times New Roman"/>
          <w:color w:val="111111"/>
          <w:sz w:val="28"/>
          <w:szCs w:val="28"/>
          <w:lang w:val="en-US"/>
        </w:rPr>
        <w:t>saja, hanya dengan mengubah makna “menang” lalu kita jadi</w:t>
      </w:r>
    </w:p>
    <w:p>
      <w:pPr>
        <w:pStyle w:val="BookText"/>
        <w:bidi w:val="0"/>
        <w:jc w:val="both"/>
        <w:rPr/>
      </w:pPr>
      <w:r>
        <w:rPr>
          <w:rFonts w:eastAsia="Times New Roman" w:cs="Times New Roman" w:ascii="Times New Roman" w:hAnsi="Times New Roman"/>
          <w:color w:val="111111"/>
          <w:sz w:val="28"/>
          <w:szCs w:val="28"/>
          <w:lang w:val="en-US"/>
        </w:rPr>
        <w:t>pemenang, kemenangan menjadi perkara imajiner belaka.</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Pastinya, tidak ada pertentangan sama sekali antara memiliki</w:t>
      </w:r>
    </w:p>
    <w:p>
      <w:pPr>
        <w:pStyle w:val="BookText"/>
        <w:bidi w:val="0"/>
        <w:jc w:val="both"/>
        <w:rPr/>
      </w:pPr>
      <w:r>
        <w:rPr>
          <w:rFonts w:eastAsia="Times New Roman" w:cs="Times New Roman" w:ascii="Times New Roman" w:hAnsi="Times New Roman"/>
          <w:color w:val="111111"/>
          <w:sz w:val="28"/>
          <w:szCs w:val="28"/>
          <w:lang w:val="en-US"/>
        </w:rPr>
        <w:t>kepercayaan hati yang mendalam dan mengajukan bukti aklani.</w:t>
      </w:r>
    </w:p>
    <w:p>
      <w:pPr>
        <w:pStyle w:val="BookText"/>
        <w:bidi w:val="0"/>
        <w:jc w:val="both"/>
        <w:rPr/>
      </w:pPr>
      <w:r>
        <w:rPr>
          <w:rFonts w:eastAsia="Times New Roman" w:cs="Times New Roman" w:ascii="Times New Roman" w:hAnsi="Times New Roman"/>
          <w:color w:val="111111"/>
          <w:sz w:val="28"/>
          <w:szCs w:val="28"/>
          <w:lang w:val="en-US"/>
        </w:rPr>
        <w:t>Dengan kata lain, kendati jalan akal terpisah dari jalan hati, namun</w:t>
      </w:r>
    </w:p>
    <w:p>
      <w:pPr>
        <w:pStyle w:val="BookText"/>
        <w:bidi w:val="0"/>
        <w:jc w:val="both"/>
        <w:rPr/>
      </w:pPr>
      <w:r>
        <w:rPr>
          <w:rFonts w:eastAsia="Times New Roman" w:cs="Times New Roman" w:ascii="Times New Roman" w:hAnsi="Times New Roman"/>
          <w:color w:val="111111"/>
          <w:sz w:val="28"/>
          <w:szCs w:val="28"/>
          <w:lang w:val="en-US"/>
        </w:rPr>
        <w:t>kecenderungan pada apa yang didukung bukti rasional bukanlah</w:t>
      </w:r>
    </w:p>
    <w:p>
      <w:pPr>
        <w:pStyle w:val="BookText"/>
        <w:bidi w:val="0"/>
        <w:jc w:val="both"/>
        <w:rPr/>
      </w:pPr>
      <w:r>
        <w:rPr>
          <w:rFonts w:eastAsia="Times New Roman" w:cs="Times New Roman" w:ascii="Times New Roman" w:hAnsi="Times New Roman"/>
          <w:color w:val="111111"/>
          <w:sz w:val="28"/>
          <w:szCs w:val="28"/>
          <w:lang w:val="en-US"/>
        </w:rPr>
        <w:t>dasar pemikiran yang irasional. Perlu diketahui, sebagian pemikir</w:t>
      </w:r>
    </w:p>
    <w:p>
      <w:pPr>
        <w:pStyle w:val="BookText"/>
        <w:bidi w:val="0"/>
        <w:jc w:val="both"/>
        <w:rPr/>
      </w:pPr>
      <w:r>
        <w:rPr>
          <w:rFonts w:eastAsia="Times New Roman" w:cs="Times New Roman" w:ascii="Times New Roman" w:hAnsi="Times New Roman"/>
          <w:color w:val="111111"/>
          <w:sz w:val="28"/>
          <w:szCs w:val="28"/>
          <w:lang w:val="en-US"/>
        </w:rPr>
        <w:t>Kristiani justru mengakui peran ilmu dalam melahirkan iman. Mereka</w:t>
      </w:r>
    </w:p>
    <w:p>
      <w:pPr>
        <w:pStyle w:val="BookText"/>
        <w:bidi w:val="0"/>
        <w:jc w:val="both"/>
        <w:rPr/>
      </w:pPr>
      <w:r>
        <w:rPr>
          <w:rFonts w:eastAsia="Times New Roman" w:cs="Times New Roman" w:ascii="Times New Roman" w:hAnsi="Times New Roman"/>
          <w:color w:val="111111"/>
          <w:sz w:val="28"/>
          <w:szCs w:val="28"/>
          <w:lang w:val="en-US"/>
        </w:rPr>
        <w:t>menyebutkan tiga unsur utama pembentuk iman; pengetahuan,</w:t>
      </w:r>
    </w:p>
    <w:p>
      <w:pPr>
        <w:pStyle w:val="BookText"/>
        <w:bidi w:val="0"/>
        <w:jc w:val="both"/>
        <w:rPr/>
      </w:pPr>
      <w:r>
        <w:rPr>
          <w:rFonts w:eastAsia="Times New Roman" w:cs="Times New Roman" w:ascii="Times New Roman" w:hAnsi="Times New Roman"/>
          <w:color w:val="111111"/>
          <w:sz w:val="28"/>
          <w:szCs w:val="28"/>
          <w:lang w:val="en-US"/>
        </w:rPr>
        <w:t>kepuasan, dan kepercayaan.</w:t>
      </w:r>
      <w:r>
        <w:rPr>
          <w:rStyle w:val="FootnoteAnchor"/>
        </w:rPr>
        <w:footnoteReference w:id="43"/>
      </w:r>
    </w:p>
    <w:p>
      <w:pPr>
        <w:pStyle w:val="Heading4"/>
        <w:numPr>
          <w:ilvl w:val="3"/>
          <w:numId w:val="1"/>
        </w:numPr>
        <w:bidi w:val="0"/>
        <w:jc w:val="left"/>
        <w:rPr/>
      </w:pPr>
      <w:bookmarkStart w:id="70" w:name="__RefHeading___Toc1351096_581953129"/>
      <w:bookmarkStart w:id="71" w:name="_Toc27"/>
      <w:bookmarkEnd w:id="70"/>
      <w:r>
        <w:rPr/>
        <w:t>Sekilas “Rasionalisme”</w:t>
      </w:r>
      <w:bookmarkEnd w:id="71"/>
    </w:p>
    <w:p>
      <w:pPr>
        <w:pStyle w:val="Heading5"/>
        <w:numPr>
          <w:ilvl w:val="4"/>
          <w:numId w:val="1"/>
        </w:numPr>
        <w:bidi w:val="0"/>
        <w:jc w:val="left"/>
        <w:rPr/>
      </w:pPr>
      <w:bookmarkStart w:id="72" w:name="__RefHeading___Toc1351098_581953129"/>
      <w:bookmarkStart w:id="73" w:name="_Toc28"/>
      <w:bookmarkEnd w:id="72"/>
      <w:r>
        <w:rPr/>
        <w:t>Point</w:t>
      </w:r>
      <w:bookmarkEnd w:id="73"/>
    </w:p>
    <w:p>
      <w:pPr>
        <w:pStyle w:val="BookText"/>
        <w:bidi w:val="0"/>
        <w:jc w:val="both"/>
        <w:rPr/>
      </w:pPr>
      <w:r>
        <w:rPr>
          <w:rFonts w:eastAsia="Times New Roman" w:cs="Times New Roman" w:ascii="Times New Roman" w:hAnsi="Times New Roman"/>
          <w:color w:val="111111"/>
          <w:sz w:val="28"/>
          <w:szCs w:val="28"/>
          <w:lang w:val="en-US"/>
        </w:rPr>
        <w:t>Sekilas “Rasionalisme”</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Rasionalisme merupakan istilah umum_ untuk seluruh sistem</w:t>
      </w:r>
    </w:p>
    <w:p>
      <w:pPr>
        <w:pStyle w:val="BookText"/>
        <w:bidi w:val="0"/>
        <w:jc w:val="both"/>
        <w:rPr/>
      </w:pPr>
      <w:r>
        <w:rPr>
          <w:rFonts w:eastAsia="Times New Roman" w:cs="Times New Roman" w:ascii="Times New Roman" w:hAnsi="Times New Roman"/>
          <w:color w:val="111111"/>
          <w:sz w:val="28"/>
          <w:szCs w:val="28"/>
          <w:lang w:val="en-US"/>
        </w:rPr>
        <w:t>pemikiran dan filsafat yang menekankan peran penting akal. Dalam</w:t>
      </w:r>
    </w:p>
    <w:p>
      <w:pPr>
        <w:pStyle w:val="BookText"/>
        <w:bidi w:val="0"/>
        <w:jc w:val="both"/>
        <w:rPr/>
      </w:pPr>
      <w:r>
        <w:rPr>
          <w:rFonts w:eastAsia="Times New Roman" w:cs="Times New Roman" w:ascii="Times New Roman" w:hAnsi="Times New Roman"/>
          <w:color w:val="111111"/>
          <w:sz w:val="28"/>
          <w:szCs w:val="28"/>
          <w:lang w:val="en-US"/>
        </w:rPr>
        <w:t>setiap bidang ilmu, istilah ini memiliki makna tersendiri. Umpama,</w:t>
      </w:r>
    </w:p>
    <w:p>
      <w:pPr>
        <w:pStyle w:val="BookText"/>
        <w:bidi w:val="0"/>
        <w:jc w:val="both"/>
        <w:rPr/>
      </w:pPr>
      <w:r>
        <w:rPr>
          <w:rFonts w:eastAsia="Times New Roman" w:cs="Times New Roman" w:ascii="Times New Roman" w:hAnsi="Times New Roman"/>
          <w:color w:val="111111"/>
          <w:sz w:val="28"/>
          <w:szCs w:val="28"/>
          <w:lang w:val="en-US"/>
        </w:rPr>
        <w:t>makna Rasionalisme vis-a-vis Intuitivisme; berbeda dengan makna</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Rasionalisme vis-a-vis Empirisme. Karena itu, cara terbaik untuk </w:t>
      </w:r>
      <w:bookmarkStart w:id="74" w:name="pg5378_50437"/>
    </w:p>
    <w:p>
      <w:pPr>
        <w:pStyle w:val="BookText"/>
        <w:bidi w:val="0"/>
        <w:rPr/>
      </w:pPr>
      <w:bookmarkEnd w:id="74"/>
      <w:r>
        <w:rPr>
          <w:rFonts w:eastAsia="Times New Roman" w:cs="Times New Roman" w:ascii="Times New Roman" w:hAnsi="Times New Roman"/>
          <w:color w:val="111111"/>
          <w:sz w:val="28"/>
          <w:szCs w:val="28"/>
          <w:lang w:val="en-US"/>
        </w:rPr>
        <w:t>mengetahui ragam maknanya adalah dengan mengenali istil-</w:t>
      </w:r>
    </w:p>
    <w:p>
      <w:pPr>
        <w:pStyle w:val="BookText"/>
        <w:bidi w:val="0"/>
        <w:jc w:val="both"/>
        <w:rPr/>
      </w:pPr>
      <w:r>
        <w:rPr>
          <w:rFonts w:eastAsia="Times New Roman" w:cs="Times New Roman" w:ascii="Times New Roman" w:hAnsi="Times New Roman"/>
          <w:color w:val="111111"/>
          <w:sz w:val="28"/>
          <w:szCs w:val="28"/>
          <w:lang w:val="en-US"/>
        </w:rPr>
        <w:t>ahistilah oposisinya. Di akhir bab, kami akan mengemukakan</w:t>
      </w:r>
    </w:p>
    <w:p>
      <w:pPr>
        <w:pStyle w:val="BookText"/>
        <w:bidi w:val="0"/>
        <w:jc w:val="both"/>
        <w:rPr/>
      </w:pPr>
      <w:r>
        <w:rPr>
          <w:rFonts w:eastAsia="Times New Roman" w:cs="Times New Roman" w:ascii="Times New Roman" w:hAnsi="Times New Roman"/>
          <w:color w:val="111111"/>
          <w:sz w:val="28"/>
          <w:szCs w:val="28"/>
          <w:lang w:val="en-US"/>
        </w:rPr>
        <w:t>dua makna rasionalisme agar pembahasan selanjutnya menjadi</w:t>
      </w:r>
    </w:p>
    <w:p>
      <w:pPr>
        <w:pStyle w:val="BookText"/>
        <w:bidi w:val="0"/>
        <w:jc w:val="both"/>
        <w:rPr/>
      </w:pPr>
      <w:r>
        <w:rPr>
          <w:rFonts w:eastAsia="Times New Roman" w:cs="Times New Roman" w:ascii="Times New Roman" w:hAnsi="Times New Roman"/>
          <w:color w:val="111111"/>
          <w:sz w:val="28"/>
          <w:szCs w:val="28"/>
          <w:lang w:val="en-US"/>
        </w:rPr>
        <w:t>lebih jelas.</w:t>
      </w:r>
    </w:p>
    <w:p>
      <w:pPr>
        <w:pStyle w:val="Heading5"/>
        <w:numPr>
          <w:ilvl w:val="4"/>
          <w:numId w:val="1"/>
        </w:numPr>
        <w:bidi w:val="0"/>
        <w:jc w:val="left"/>
        <w:rPr/>
      </w:pPr>
      <w:bookmarkStart w:id="75" w:name="__RefHeading___Toc1351100_581953129"/>
      <w:bookmarkStart w:id="76" w:name="_Toc29"/>
      <w:bookmarkEnd w:id="75"/>
      <w:r>
        <w:rPr/>
        <w:t>Makna Rasionalisme vis-a-vis Empirisme</w:t>
      </w:r>
      <w:bookmarkEnd w:id="76"/>
    </w:p>
    <w:p>
      <w:pPr>
        <w:pStyle w:val="BookText"/>
        <w:bidi w:val="0"/>
        <w:jc w:val="both"/>
        <w:rPr/>
      </w:pPr>
      <w:r>
        <w:rPr>
          <w:rFonts w:eastAsia="Times New Roman" w:cs="Times New Roman" w:ascii="Times New Roman" w:hAnsi="Times New Roman"/>
          <w:color w:val="111111"/>
          <w:sz w:val="28"/>
          <w:szCs w:val="28"/>
          <w:lang w:val="en-US"/>
        </w:rPr>
        <w:t>Tak jarang rasionalisme dimaknai sebagai aliran filsafat yang</w:t>
      </w:r>
    </w:p>
    <w:p>
      <w:pPr>
        <w:pStyle w:val="BookText"/>
        <w:bidi w:val="0"/>
        <w:jc w:val="both"/>
        <w:rPr/>
      </w:pPr>
      <w:r>
        <w:rPr>
          <w:rFonts w:eastAsia="Times New Roman" w:cs="Times New Roman" w:ascii="Times New Roman" w:hAnsi="Times New Roman"/>
          <w:color w:val="111111"/>
          <w:sz w:val="28"/>
          <w:szCs w:val="28"/>
          <w:lang w:val="en-US"/>
        </w:rPr>
        <w:t>meyakini prinsip-prinsip rasional dan aksioma-aksioma bawaan</w:t>
      </w:r>
    </w:p>
    <w:p>
      <w:pPr>
        <w:pStyle w:val="BookText"/>
        <w:bidi w:val="0"/>
        <w:jc w:val="both"/>
        <w:rPr/>
      </w:pPr>
      <w:r>
        <w:rPr>
          <w:rFonts w:eastAsia="Times New Roman" w:cs="Times New Roman" w:ascii="Times New Roman" w:hAnsi="Times New Roman"/>
          <w:color w:val="111111"/>
          <w:sz w:val="28"/>
          <w:szCs w:val="28"/>
          <w:lang w:val="en-US"/>
        </w:rPr>
        <w:t>(innate _ idea) sebagai sumber pengetahuan, bukan</w:t>
      </w:r>
    </w:p>
    <w:p>
      <w:pPr>
        <w:pStyle w:val="BookText"/>
        <w:bidi w:val="0"/>
        <w:jc w:val="both"/>
        <w:rPr/>
      </w:pPr>
      <w:r>
        <w:rPr>
          <w:rFonts w:eastAsia="Times New Roman" w:cs="Times New Roman" w:ascii="Times New Roman" w:hAnsi="Times New Roman"/>
          <w:color w:val="111111"/>
          <w:sz w:val="28"/>
          <w:szCs w:val="28"/>
          <w:lang w:val="en-US"/>
        </w:rPr>
        <w:t>pengalamanpengalaman indrawi. Descartes (1596-1650 M),</w:t>
      </w:r>
    </w:p>
    <w:p>
      <w:pPr>
        <w:pStyle w:val="BookText"/>
        <w:bidi w:val="0"/>
        <w:jc w:val="both"/>
        <w:rPr/>
      </w:pPr>
      <w:r>
        <w:rPr>
          <w:rFonts w:eastAsia="Times New Roman" w:cs="Times New Roman" w:ascii="Times New Roman" w:hAnsi="Times New Roman"/>
          <w:color w:val="111111"/>
          <w:sz w:val="28"/>
          <w:szCs w:val="28"/>
          <w:lang w:val="en-US"/>
        </w:rPr>
        <w:t>Leibnitz (1646-1716 M), dan Spinoza (1632-1677 M) termasuk tokoh</w:t>
      </w:r>
    </w:p>
    <w:p>
      <w:pPr>
        <w:pStyle w:val="BookText"/>
        <w:bidi w:val="0"/>
        <w:jc w:val="both"/>
        <w:rPr/>
      </w:pPr>
      <w:r>
        <w:rPr>
          <w:rFonts w:eastAsia="Times New Roman" w:cs="Times New Roman" w:ascii="Times New Roman" w:hAnsi="Times New Roman"/>
          <w:color w:val="111111"/>
          <w:sz w:val="28"/>
          <w:szCs w:val="28"/>
          <w:lang w:val="en-US"/>
        </w:rPr>
        <w:t>utama RasionalismeBarat. Dalam konteks ini, Rasionalisme</w:t>
      </w:r>
    </w:p>
    <w:p>
      <w:pPr>
        <w:pStyle w:val="BookText"/>
        <w:bidi w:val="0"/>
        <w:jc w:val="both"/>
        <w:rPr/>
      </w:pPr>
      <w:r>
        <w:rPr>
          <w:rFonts w:eastAsia="Times New Roman" w:cs="Times New Roman" w:ascii="Times New Roman" w:hAnsi="Times New Roman"/>
          <w:color w:val="111111"/>
          <w:sz w:val="28"/>
          <w:szCs w:val="28"/>
          <w:lang w:val="en-US"/>
        </w:rPr>
        <w:t>berhadapan dengan Empirisme yang meyakini sumber penge-</w:t>
      </w:r>
    </w:p>
    <w:p>
      <w:pPr>
        <w:pStyle w:val="BookText"/>
        <w:bidi w:val="0"/>
        <w:jc w:val="both"/>
        <w:rPr/>
      </w:pPr>
      <w:r>
        <w:rPr>
          <w:rFonts w:eastAsia="Times New Roman" w:cs="Times New Roman" w:ascii="Times New Roman" w:hAnsi="Times New Roman"/>
          <w:color w:val="111111"/>
          <w:sz w:val="28"/>
          <w:szCs w:val="28"/>
          <w:lang w:val="en-US"/>
        </w:rPr>
        <w:t>tahuan hanyalah indra dan pengalaman, seraya mengingkari</w:t>
      </w:r>
    </w:p>
    <w:p>
      <w:pPr>
        <w:pStyle w:val="BookText"/>
        <w:bidi w:val="0"/>
        <w:jc w:val="both"/>
        <w:rPr/>
      </w:pPr>
      <w:r>
        <w:rPr>
          <w:rFonts w:eastAsia="Times New Roman" w:cs="Times New Roman" w:ascii="Times New Roman" w:hAnsi="Times New Roman"/>
          <w:color w:val="111111"/>
          <w:sz w:val="28"/>
          <w:szCs w:val="28"/>
          <w:lang w:val="en-US"/>
        </w:rPr>
        <w:t>aksioma-aksioma bawaan prapengalaman (apriori). Locke (1632-1704</w:t>
      </w:r>
    </w:p>
    <w:p>
      <w:pPr>
        <w:pStyle w:val="BookText"/>
        <w:bidi w:val="0"/>
        <w:jc w:val="both"/>
        <w:rPr/>
      </w:pPr>
      <w:r>
        <w:rPr>
          <w:rFonts w:eastAsia="Times New Roman" w:cs="Times New Roman" w:ascii="Times New Roman" w:hAnsi="Times New Roman"/>
          <w:color w:val="111111"/>
          <w:sz w:val="28"/>
          <w:szCs w:val="28"/>
          <w:lang w:val="en-US"/>
        </w:rPr>
        <w:t>M), Berkeley (1685-1753 M), dan Hume (1711-1776 M) adalah filsuf</w:t>
      </w:r>
    </w:p>
    <w:p>
      <w:pPr>
        <w:pStyle w:val="BookText"/>
        <w:bidi w:val="0"/>
        <w:jc w:val="both"/>
        <w:rPr/>
      </w:pPr>
      <w:r>
        <w:rPr>
          <w:rFonts w:eastAsia="Times New Roman" w:cs="Times New Roman" w:ascii="Times New Roman" w:hAnsi="Times New Roman"/>
          <w:color w:val="111111"/>
          <w:sz w:val="28"/>
          <w:szCs w:val="28"/>
          <w:lang w:val="en-US"/>
        </w:rPr>
        <w:t>terkemuka Empirisme.</w:t>
      </w:r>
    </w:p>
    <w:p>
      <w:pPr>
        <w:pStyle w:val="Heading5"/>
        <w:numPr>
          <w:ilvl w:val="4"/>
          <w:numId w:val="1"/>
        </w:numPr>
        <w:bidi w:val="0"/>
        <w:jc w:val="left"/>
        <w:rPr/>
      </w:pPr>
      <w:bookmarkStart w:id="77" w:name="__RefHeading___Toc1351102_581953129"/>
      <w:bookmarkStart w:id="78" w:name="_Toc30"/>
      <w:bookmarkEnd w:id="77"/>
      <w:r>
        <w:rPr/>
        <w:t>Makna Rasionalisme vis-a-vis Fideisme dan Literalisme</w:t>
      </w:r>
      <w:bookmarkEnd w:id="78"/>
    </w:p>
    <w:p>
      <w:pPr>
        <w:pStyle w:val="BookText"/>
        <w:bidi w:val="0"/>
        <w:jc w:val="both"/>
        <w:rPr/>
      </w:pPr>
      <w:r>
        <w:rPr>
          <w:rFonts w:eastAsia="Times New Roman" w:cs="Times New Roman" w:ascii="Times New Roman" w:hAnsi="Times New Roman"/>
          <w:color w:val="111111"/>
          <w:sz w:val="28"/>
          <w:szCs w:val="28"/>
          <w:lang w:val="en-US"/>
        </w:rPr>
        <w:t>Dalam ranah Filsafat Agama dan Teologi, Rasionalisme merujuk</w:t>
      </w:r>
    </w:p>
    <w:p>
      <w:pPr>
        <w:pStyle w:val="BookText"/>
        <w:bidi w:val="0"/>
        <w:jc w:val="both"/>
        <w:rPr/>
      </w:pPr>
      <w:r>
        <w:rPr>
          <w:rFonts w:eastAsia="Times New Roman" w:cs="Times New Roman" w:ascii="Times New Roman" w:hAnsi="Times New Roman"/>
          <w:color w:val="111111"/>
          <w:sz w:val="28"/>
          <w:szCs w:val="28"/>
          <w:lang w:val="en-US"/>
        </w:rPr>
        <w:t>pada mazhab pemikiran yang menghargai peran akal dan sarana</w:t>
      </w:r>
    </w:p>
    <w:p>
      <w:pPr>
        <w:pStyle w:val="BookText"/>
        <w:bidi w:val="0"/>
        <w:jc w:val="both"/>
        <w:rPr/>
      </w:pPr>
      <w:r>
        <w:rPr>
          <w:rFonts w:eastAsia="Times New Roman" w:cs="Times New Roman" w:ascii="Times New Roman" w:hAnsi="Times New Roman"/>
          <w:color w:val="111111"/>
          <w:sz w:val="28"/>
          <w:szCs w:val="28"/>
          <w:lang w:val="en-US"/>
        </w:rPr>
        <w:t>biasa perolehan ilmu lainnya yang vis-a-vis pengetahuan wahyuni.</w:t>
      </w:r>
    </w:p>
    <w:p>
      <w:pPr>
        <w:pStyle w:val="BookText"/>
        <w:bidi w:val="0"/>
        <w:jc w:val="both"/>
        <w:rPr/>
      </w:pPr>
      <w:r>
        <w:rPr>
          <w:rFonts w:eastAsia="Times New Roman" w:cs="Times New Roman" w:ascii="Times New Roman" w:hAnsi="Times New Roman"/>
          <w:color w:val="111111"/>
          <w:sz w:val="28"/>
          <w:szCs w:val="28"/>
          <w:lang w:val="en-US"/>
        </w:rPr>
        <w:t>Penghargaan pada akal memiliki sejumlah tingkatan. Karena itu,</w:t>
      </w:r>
    </w:p>
    <w:p>
      <w:pPr>
        <w:pStyle w:val="BookText"/>
        <w:bidi w:val="0"/>
        <w:jc w:val="both"/>
        <w:rPr/>
      </w:pPr>
      <w:r>
        <w:rPr>
          <w:rFonts w:eastAsia="Times New Roman" w:cs="Times New Roman" w:ascii="Times New Roman" w:hAnsi="Times New Roman"/>
          <w:color w:val="111111"/>
          <w:sz w:val="28"/>
          <w:szCs w:val="28"/>
          <w:lang w:val="en-US"/>
        </w:rPr>
        <w:t>Rasionalisme dalam pengertian ini memiliki cakupan yang sangat</w:t>
      </w:r>
    </w:p>
    <w:p>
      <w:pPr>
        <w:pStyle w:val="BookText"/>
        <w:bidi w:val="0"/>
        <w:jc w:val="both"/>
        <w:rPr/>
      </w:pPr>
      <w:r>
        <w:rPr>
          <w:rFonts w:eastAsia="Times New Roman" w:cs="Times New Roman" w:ascii="Times New Roman" w:hAnsi="Times New Roman"/>
          <w:color w:val="111111"/>
          <w:sz w:val="28"/>
          <w:szCs w:val="28"/>
          <w:lang w:val="en-US"/>
        </w:rPr>
        <w:t>luas: mulai dari kaum rasionalis radikal dan antiagama, hingga kaum</w:t>
      </w:r>
    </w:p>
    <w:p>
      <w:pPr>
        <w:pStyle w:val="BookText"/>
        <w:bidi w:val="0"/>
        <w:jc w:val="both"/>
        <w:rPr/>
      </w:pPr>
      <w:r>
        <w:rPr>
          <w:rFonts w:eastAsia="Times New Roman" w:cs="Times New Roman" w:ascii="Times New Roman" w:hAnsi="Times New Roman"/>
          <w:color w:val="111111"/>
          <w:sz w:val="28"/>
          <w:szCs w:val="28"/>
          <w:lang w:val="en-US"/>
        </w:rPr>
        <w:t>rasionalis moderat dan proagama.</w:t>
      </w:r>
    </w:p>
    <w:p>
      <w:pPr>
        <w:pStyle w:val="BookText"/>
        <w:bidi w:val="0"/>
        <w:jc w:val="both"/>
        <w:rPr/>
      </w:pPr>
      <w:r>
        <w:rPr>
          <w:rFonts w:eastAsia="Times New Roman" w:cs="Times New Roman" w:ascii="Times New Roman" w:hAnsi="Times New Roman"/>
          <w:color w:val="111111"/>
          <w:sz w:val="28"/>
          <w:szCs w:val="28"/>
          <w:lang w:val="en-US"/>
        </w:rPr>
        <w:t>Rasionalisme dalam pengertian ini adakalanya berhadapan</w:t>
      </w:r>
    </w:p>
    <w:p>
      <w:pPr>
        <w:pStyle w:val="BookText"/>
        <w:bidi w:val="0"/>
        <w:jc w:val="both"/>
        <w:rPr/>
      </w:pPr>
      <w:r>
        <w:rPr>
          <w:rFonts w:eastAsia="Times New Roman" w:cs="Times New Roman" w:ascii="Times New Roman" w:hAnsi="Times New Roman"/>
          <w:color w:val="111111"/>
          <w:sz w:val="28"/>
          <w:szCs w:val="28"/>
          <w:lang w:val="en-US"/>
        </w:rPr>
        <w:t>dengan kaum literalis: yang membeku dalam teks agama serta</w:t>
      </w:r>
    </w:p>
    <w:p>
      <w:pPr>
        <w:pStyle w:val="BookText"/>
        <w:bidi w:val="0"/>
        <w:jc w:val="both"/>
        <w:rPr/>
      </w:pPr>
      <w:r>
        <w:rPr>
          <w:rFonts w:eastAsia="Times New Roman" w:cs="Times New Roman" w:ascii="Times New Roman" w:hAnsi="Times New Roman"/>
          <w:color w:val="111111"/>
          <w:sz w:val="28"/>
          <w:szCs w:val="28"/>
          <w:lang w:val="en-US"/>
        </w:rPr>
        <w:t>meyakini pemikiran manusia tak mampu merasionalisasi sekian</w:t>
      </w:r>
    </w:p>
    <w:p>
      <w:pPr>
        <w:pStyle w:val="BookText"/>
        <w:bidi w:val="0"/>
        <w:jc w:val="both"/>
        <w:rPr/>
      </w:pPr>
      <w:r>
        <w:rPr>
          <w:rFonts w:eastAsia="Times New Roman" w:cs="Times New Roman" w:ascii="Times New Roman" w:hAnsi="Times New Roman"/>
          <w:color w:val="111111"/>
          <w:sz w:val="28"/>
          <w:szCs w:val="28"/>
          <w:lang w:val="en-US"/>
        </w:rPr>
        <w:t>banyak ajaran agama.</w:t>
      </w:r>
    </w:p>
    <w:p>
      <w:pPr>
        <w:pStyle w:val="BookText"/>
        <w:bidi w:val="0"/>
        <w:jc w:val="both"/>
        <w:rPr/>
      </w:pPr>
      <w:r>
        <w:rPr>
          <w:rFonts w:eastAsia="Times New Roman" w:cs="Times New Roman" w:ascii="Times New Roman" w:hAnsi="Times New Roman"/>
          <w:color w:val="111111"/>
          <w:sz w:val="28"/>
          <w:szCs w:val="28"/>
          <w:lang w:val="en-US"/>
        </w:rPr>
        <w:t>Dalam kondisi tertentu, lini lain yang berkonfrontrasi dengan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Rasionalisme diisi oleh Fideisme, yaitu sebuah paham yang gigih </w:t>
      </w:r>
    </w:p>
    <w:p>
      <w:pPr>
        <w:pStyle w:val="BookText"/>
        <w:bidi w:val="0"/>
        <w:rPr/>
      </w:pPr>
      <w:r>
        <w:rPr>
          <w:rFonts w:eastAsia="Times New Roman" w:cs="Times New Roman" w:ascii="Times New Roman" w:hAnsi="Times New Roman"/>
          <w:color w:val="111111"/>
          <w:sz w:val="28"/>
          <w:szCs w:val="28"/>
          <w:lang w:val="en-US"/>
        </w:rPr>
        <w:t>agamanya dengan akal, namun sebaliknya percaya bahwa agama</w:t>
      </w:r>
    </w:p>
    <w:p>
      <w:pPr>
        <w:pStyle w:val="BookText"/>
        <w:bidi w:val="0"/>
        <w:jc w:val="both"/>
        <w:rPr/>
      </w:pPr>
      <w:r>
        <w:rPr>
          <w:rFonts w:eastAsia="Times New Roman" w:cs="Times New Roman" w:ascii="Times New Roman" w:hAnsi="Times New Roman"/>
          <w:color w:val="111111"/>
          <w:sz w:val="28"/>
          <w:szCs w:val="28"/>
          <w:lang w:val="en-US"/>
        </w:rPr>
        <w:t>menuntut pasrah dan taklid buta; bukan menuntut pengakuan yang</w:t>
      </w:r>
    </w:p>
    <w:p>
      <w:pPr>
        <w:pStyle w:val="BookText"/>
        <w:bidi w:val="0"/>
        <w:jc w:val="both"/>
        <w:rPr/>
      </w:pPr>
      <w:r>
        <w:rPr>
          <w:rFonts w:eastAsia="Times New Roman" w:cs="Times New Roman" w:ascii="Times New Roman" w:hAnsi="Times New Roman"/>
          <w:color w:val="111111"/>
          <w:sz w:val="28"/>
          <w:szCs w:val="28"/>
          <w:lang w:val="en-US"/>
        </w:rPr>
        <w:t>rasional dan logis.</w:t>
      </w:r>
    </w:p>
    <w:p>
      <w:pPr>
        <w:pStyle w:val="BookText"/>
        <w:bidi w:val="0"/>
        <w:jc w:val="both"/>
        <w:rPr/>
      </w:pPr>
      <w:r>
        <w:rPr>
          <w:rFonts w:eastAsia="Times New Roman" w:cs="Times New Roman" w:ascii="Times New Roman" w:hAnsi="Times New Roman"/>
          <w:color w:val="111111"/>
          <w:sz w:val="28"/>
          <w:szCs w:val="28"/>
          <w:lang w:val="en-US"/>
        </w:rPr>
        <w:t>Maksud Rasionalisme di sepanjang buku ini merujuk pada</w:t>
      </w:r>
    </w:p>
    <w:p>
      <w:pPr>
        <w:pStyle w:val="BookText"/>
        <w:bidi w:val="0"/>
        <w:jc w:val="both"/>
        <w:rPr/>
      </w:pPr>
      <w:r>
        <w:rPr>
          <w:rFonts w:eastAsia="Times New Roman" w:cs="Times New Roman" w:ascii="Times New Roman" w:hAnsi="Times New Roman"/>
          <w:color w:val="111111"/>
          <w:sz w:val="28"/>
          <w:szCs w:val="28"/>
          <w:lang w:val="en-US"/>
        </w:rPr>
        <w:t>istilah kedua. Dengan demikian, istilah ini tidak beroposisi dengan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Empirisme— kalau bukan malah bergabung dengannya.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9" w:name="pg5378_50443"/>
      <w:bookmarkStart w:id="80" w:name="pg5378_50443"/>
      <w:bookmarkEnd w:id="80"/>
    </w:p>
    <w:p>
      <w:pPr>
        <w:pStyle w:val="Heading2"/>
        <w:numPr>
          <w:ilvl w:val="1"/>
          <w:numId w:val="1"/>
        </w:numPr>
        <w:bidi w:val="0"/>
        <w:jc w:val="left"/>
        <w:rPr/>
      </w:pPr>
      <w:bookmarkStart w:id="81" w:name="pg5378_50443"/>
      <w:bookmarkStart w:id="82" w:name="__RefHeading___Toc1351104_581953129"/>
      <w:bookmarkStart w:id="83" w:name="_Toc31"/>
      <w:bookmarkEnd w:id="81"/>
      <w:bookmarkEnd w:id="82"/>
      <w:r>
        <w:rPr/>
        <w:t>BAB 2 MAKNA AKAL DALAM SKEMA PRO-KONTRA</w:t>
      </w:r>
      <w:bookmarkEnd w:id="8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84" w:name="__RefHeading___Toc1351106_581953129"/>
      <w:bookmarkStart w:id="85" w:name="_Toc32"/>
      <w:bookmarkEnd w:id="84"/>
      <w:r>
        <w:rPr/>
        <w:t>Point</w:t>
      </w:r>
      <w:bookmarkEnd w:id="85"/>
    </w:p>
    <w:p>
      <w:pPr>
        <w:pStyle w:val="BookText"/>
        <w:bidi w:val="0"/>
        <w:rPr/>
      </w:pPr>
      <w:r>
        <w:rPr>
          <w:rFonts w:eastAsia="Times New Roman" w:cs="Times New Roman" w:ascii="Times New Roman" w:hAnsi="Times New Roman"/>
          <w:color w:val="111111"/>
          <w:sz w:val="28"/>
          <w:szCs w:val="28"/>
          <w:lang w:val="en-US"/>
        </w:rPr>
        <w:t>Barangkali tak seorang berakal pun akan benar-benar menyangkal</w:t>
      </w:r>
    </w:p>
    <w:p>
      <w:pPr>
        <w:pStyle w:val="BookText"/>
        <w:bidi w:val="0"/>
        <w:jc w:val="both"/>
        <w:rPr/>
      </w:pPr>
      <w:r>
        <w:rPr>
          <w:rFonts w:eastAsia="Times New Roman" w:cs="Times New Roman" w:ascii="Times New Roman" w:hAnsi="Times New Roman"/>
          <w:color w:val="111111"/>
          <w:sz w:val="28"/>
          <w:szCs w:val="28"/>
          <w:lang w:val="en-US"/>
        </w:rPr>
        <w:t>Bronce akal insani dengan wahyu Ilahi. Tidak juga sepenuhnya</w:t>
      </w:r>
    </w:p>
    <w:p>
      <w:pPr>
        <w:pStyle w:val="BookText"/>
        <w:bidi w:val="0"/>
        <w:jc w:val="both"/>
        <w:rPr/>
      </w:pPr>
      <w:r>
        <w:rPr>
          <w:rFonts w:eastAsia="Times New Roman" w:cs="Times New Roman" w:ascii="Times New Roman" w:hAnsi="Times New Roman"/>
          <w:color w:val="111111"/>
          <w:sz w:val="28"/>
          <w:szCs w:val="28"/>
          <w:lang w:val="en-US"/>
        </w:rPr>
        <w:t>diyakini kemustahilan manusia menjamah wahyu di level paling</w:t>
      </w:r>
    </w:p>
    <w:p>
      <w:pPr>
        <w:pStyle w:val="BookText"/>
        <w:bidi w:val="0"/>
        <w:jc w:val="both"/>
        <w:rPr/>
      </w:pPr>
      <w:r>
        <w:rPr>
          <w:rFonts w:eastAsia="Times New Roman" w:cs="Times New Roman" w:ascii="Times New Roman" w:hAnsi="Times New Roman"/>
          <w:color w:val="111111"/>
          <w:sz w:val="28"/>
          <w:szCs w:val="28"/>
          <w:lang w:val="en-US"/>
        </w:rPr>
        <w:t>rendah sekalipun— mulai dari tahap penerimaan, evaluasi, maupun</w:t>
      </w:r>
    </w:p>
    <w:p>
      <w:pPr>
        <w:pStyle w:val="BookText"/>
        <w:bidi w:val="0"/>
        <w:jc w:val="both"/>
        <w:rPr/>
      </w:pPr>
      <w:r>
        <w:rPr>
          <w:rFonts w:eastAsia="Times New Roman" w:cs="Times New Roman" w:ascii="Times New Roman" w:hAnsi="Times New Roman"/>
          <w:color w:val="111111"/>
          <w:sz w:val="28"/>
          <w:szCs w:val="28"/>
          <w:lang w:val="en-US"/>
        </w:rPr>
        <w:t>penyuntingan—tidak juga serta merta mengibaratkannya dengan</w:t>
      </w:r>
    </w:p>
    <w:p>
      <w:pPr>
        <w:pStyle w:val="BookText"/>
        <w:bidi w:val="0"/>
        <w:jc w:val="both"/>
        <w:rPr/>
      </w:pPr>
      <w:r>
        <w:rPr>
          <w:rFonts w:eastAsia="Times New Roman" w:cs="Times New Roman" w:ascii="Times New Roman" w:hAnsi="Times New Roman"/>
          <w:color w:val="111111"/>
          <w:sz w:val="28"/>
          <w:szCs w:val="28"/>
          <w:lang w:val="en-US"/>
        </w:rPr>
        <w:t>burung mistis Simurg yang membubung sangat tinggi, sehingga</w:t>
      </w:r>
    </w:p>
    <w:p>
      <w:pPr>
        <w:pStyle w:val="BookText"/>
        <w:bidi w:val="0"/>
        <w:jc w:val="both"/>
        <w:rPr/>
      </w:pPr>
      <w:r>
        <w:rPr>
          <w:rFonts w:eastAsia="Times New Roman" w:cs="Times New Roman" w:ascii="Times New Roman" w:hAnsi="Times New Roman"/>
          <w:color w:val="111111"/>
          <w:sz w:val="28"/>
          <w:szCs w:val="28"/>
          <w:lang w:val="en-US"/>
        </w:rPr>
        <w:t>mustahil dicapai kecuali dengan menanggalkan akal! Pada dasarnya,</w:t>
      </w:r>
    </w:p>
    <w:p>
      <w:pPr>
        <w:pStyle w:val="BookText"/>
        <w:bidi w:val="0"/>
        <w:jc w:val="both"/>
        <w:rPr/>
      </w:pPr>
      <w:r>
        <w:rPr>
          <w:rFonts w:eastAsia="Times New Roman" w:cs="Times New Roman" w:ascii="Times New Roman" w:hAnsi="Times New Roman"/>
          <w:color w:val="111111"/>
          <w:sz w:val="28"/>
          <w:szCs w:val="28"/>
          <w:lang w:val="en-US"/>
        </w:rPr>
        <w:t>agama-agama dialamatkan kepada manusia. Karenanya, bagaimana</w:t>
      </w:r>
    </w:p>
    <w:p>
      <w:pPr>
        <w:pStyle w:val="BookText"/>
        <w:bidi w:val="0"/>
        <w:jc w:val="both"/>
        <w:rPr/>
      </w:pPr>
      <w:r>
        <w:rPr>
          <w:rFonts w:eastAsia="Times New Roman" w:cs="Times New Roman" w:ascii="Times New Roman" w:hAnsi="Times New Roman"/>
          <w:color w:val="111111"/>
          <w:sz w:val="28"/>
          <w:szCs w:val="28"/>
          <w:lang w:val="en-US"/>
        </w:rPr>
        <w:t>mungkin mengharap mereka agar mendengar seruan wahyu dengan</w:t>
      </w:r>
    </w:p>
    <w:p>
      <w:pPr>
        <w:pStyle w:val="BookText"/>
        <w:bidi w:val="0"/>
        <w:jc w:val="both"/>
        <w:rPr/>
      </w:pPr>
      <w:r>
        <w:rPr>
          <w:rFonts w:eastAsia="Times New Roman" w:cs="Times New Roman" w:ascii="Times New Roman" w:hAnsi="Times New Roman"/>
          <w:color w:val="111111"/>
          <w:sz w:val="28"/>
          <w:szCs w:val="28"/>
          <w:lang w:val="en-US"/>
        </w:rPr>
        <w:t>mengabaikan akal sebagai kualitas manusia paling penting dan</w:t>
      </w:r>
    </w:p>
    <w:p>
      <w:pPr>
        <w:pStyle w:val="BookText"/>
        <w:bidi w:val="0"/>
        <w:jc w:val="both"/>
        <w:rPr/>
      </w:pPr>
      <w:r>
        <w:rPr>
          <w:rFonts w:eastAsia="Times New Roman" w:cs="Times New Roman" w:ascii="Times New Roman" w:hAnsi="Times New Roman"/>
          <w:color w:val="111111"/>
          <w:sz w:val="28"/>
          <w:szCs w:val="28"/>
          <w:lang w:val="en-US"/>
        </w:rPr>
        <w:t>menonjol.</w:t>
      </w:r>
    </w:p>
    <w:p>
      <w:pPr>
        <w:pStyle w:val="BookText"/>
        <w:bidi w:val="0"/>
        <w:jc w:val="both"/>
        <w:rPr/>
      </w:pPr>
      <w:r>
        <w:rPr>
          <w:rFonts w:eastAsia="Times New Roman" w:cs="Times New Roman" w:ascii="Times New Roman" w:hAnsi="Times New Roman"/>
          <w:color w:val="111111"/>
          <w:sz w:val="28"/>
          <w:szCs w:val="28"/>
          <w:lang w:val="en-US"/>
        </w:rPr>
        <w:t>Kecaman musuh bebuyutan Rasionalisme sekalipun, bila</w:t>
      </w:r>
    </w:p>
    <w:p>
      <w:pPr>
        <w:pStyle w:val="BookText"/>
        <w:bidi w:val="0"/>
        <w:jc w:val="both"/>
        <w:rPr/>
      </w:pPr>
      <w:r>
        <w:rPr>
          <w:rFonts w:eastAsia="Times New Roman" w:cs="Times New Roman" w:ascii="Times New Roman" w:hAnsi="Times New Roman"/>
          <w:color w:val="111111"/>
          <w:sz w:val="28"/>
          <w:szCs w:val="28"/>
          <w:lang w:val="en-US"/>
        </w:rPr>
        <w:t>direnungkan barang sejenak, pada dasarnya tidak mengandung</w:t>
      </w:r>
    </w:p>
    <w:p>
      <w:pPr>
        <w:pStyle w:val="BookText"/>
        <w:bidi w:val="0"/>
        <w:jc w:val="both"/>
        <w:rPr/>
      </w:pPr>
      <w:r>
        <w:rPr>
          <w:rFonts w:eastAsia="Times New Roman" w:cs="Times New Roman" w:ascii="Times New Roman" w:hAnsi="Times New Roman"/>
          <w:color w:val="111111"/>
          <w:sz w:val="28"/>
          <w:szCs w:val="28"/>
          <w:lang w:val="en-US"/>
        </w:rPr>
        <w:t>penolakan terhadap hubungan esensial akal dan wahyu. Semua</w:t>
      </w:r>
    </w:p>
    <w:p>
      <w:pPr>
        <w:pStyle w:val="BookText"/>
        <w:bidi w:val="0"/>
        <w:jc w:val="both"/>
        <w:rPr/>
      </w:pPr>
      <w:r>
        <w:rPr>
          <w:rFonts w:eastAsia="Times New Roman" w:cs="Times New Roman" w:ascii="Times New Roman" w:hAnsi="Times New Roman"/>
          <w:color w:val="111111"/>
          <w:sz w:val="28"/>
          <w:szCs w:val="28"/>
          <w:lang w:val="en-US"/>
        </w:rPr>
        <w:t>sikap menentang Rasionalisme terpusat pada penggunaan akal</w:t>
      </w:r>
    </w:p>
    <w:p>
      <w:pPr>
        <w:pStyle w:val="BookText"/>
        <w:bidi w:val="0"/>
        <w:jc w:val="both"/>
        <w:rPr/>
      </w:pPr>
      <w:r>
        <w:rPr>
          <w:rFonts w:eastAsia="Times New Roman" w:cs="Times New Roman" w:ascii="Times New Roman" w:hAnsi="Times New Roman"/>
          <w:color w:val="111111"/>
          <w:sz w:val="28"/>
          <w:szCs w:val="28"/>
          <w:lang w:val="en-US"/>
        </w:rPr>
        <w:t>secara berlebihan atau pada satu model penerapan akal dalam bidang</w:t>
      </w:r>
    </w:p>
    <w:p>
      <w:pPr>
        <w:pStyle w:val="BookText"/>
        <w:bidi w:val="0"/>
        <w:jc w:val="both"/>
        <w:rPr/>
      </w:pPr>
      <w:r>
        <w:rPr>
          <w:rFonts w:eastAsia="Times New Roman" w:cs="Times New Roman" w:ascii="Times New Roman" w:hAnsi="Times New Roman"/>
          <w:color w:val="111111"/>
          <w:sz w:val="28"/>
          <w:szCs w:val="28"/>
          <w:lang w:val="en-US"/>
        </w:rPr>
        <w:t>agama.</w:t>
      </w:r>
      <w:r>
        <w:rPr>
          <w:rStyle w:val="FootnoteAnchor"/>
        </w:rPr>
        <w:footnoteReference w:id="45"/>
      </w:r>
      <w:r>
        <w:rPr>
          <w:rFonts w:eastAsia="Times New Roman" w:cs="Times New Roman" w:ascii="Times New Roman" w:hAnsi="Times New Roman"/>
          <w:color w:val="111111"/>
          <w:sz w:val="28"/>
          <w:szCs w:val="28"/>
          <w:lang w:val="en-US"/>
        </w:rPr>
        <w:t>Contohnya, Paulus (w. 62/68 M) yang tergolong tokoh kaum</w:t>
      </w:r>
    </w:p>
    <w:p>
      <w:pPr>
        <w:pStyle w:val="BookText"/>
        <w:bidi w:val="0"/>
        <w:jc w:val="both"/>
        <w:rPr/>
      </w:pPr>
      <w:r>
        <w:rPr>
          <w:rFonts w:eastAsia="Times New Roman" w:cs="Times New Roman" w:ascii="Times New Roman" w:hAnsi="Times New Roman"/>
          <w:color w:val="111111"/>
          <w:sz w:val="28"/>
          <w:szCs w:val="28"/>
          <w:lang w:val="en-US"/>
        </w:rPr>
        <w:t>fideis Kristiani dan musuh keras Rasionalisme. Dia hanya menentang</w:t>
      </w:r>
    </w:p>
    <w:p>
      <w:pPr>
        <w:pStyle w:val="BookText"/>
        <w:bidi w:val="0"/>
        <w:jc w:val="both"/>
        <w:rPr/>
      </w:pPr>
      <w:r>
        <w:rPr>
          <w:rFonts w:eastAsia="Times New Roman" w:cs="Times New Roman" w:ascii="Times New Roman" w:hAnsi="Times New Roman"/>
          <w:color w:val="111111"/>
          <w:sz w:val="28"/>
          <w:szCs w:val="28"/>
          <w:lang w:val="en-US"/>
        </w:rPr>
        <w:t>satu jenis rasionalisme; menyerang akal yang profan dan ternoda</w:t>
      </w:r>
    </w:p>
    <w:p>
      <w:pPr>
        <w:pStyle w:val="BookText"/>
        <w:bidi w:val="0"/>
        <w:jc w:val="both"/>
        <w:rPr/>
      </w:pPr>
      <w:r>
        <w:rPr>
          <w:rFonts w:eastAsia="Times New Roman" w:cs="Times New Roman" w:ascii="Times New Roman" w:hAnsi="Times New Roman"/>
          <w:color w:val="111111"/>
          <w:sz w:val="28"/>
          <w:szCs w:val="28"/>
          <w:lang w:val="en-US"/>
        </w:rPr>
        <w:t>hawa nafsu. Target yang disasarnya adalah menjungkirbalikkan akal</w:t>
      </w:r>
    </w:p>
    <w:p>
      <w:pPr>
        <w:pStyle w:val="BookText"/>
        <w:bidi w:val="0"/>
        <w:jc w:val="both"/>
        <w:rPr/>
      </w:pPr>
      <w:r>
        <w:rPr>
          <w:rFonts w:eastAsia="Times New Roman" w:cs="Times New Roman" w:ascii="Times New Roman" w:hAnsi="Times New Roman"/>
          <w:color w:val="111111"/>
          <w:sz w:val="28"/>
          <w:szCs w:val="28"/>
          <w:lang w:val="en-US"/>
        </w:rPr>
        <w:t>sekaligus ajaran-ajarannya yang mengenyahkan kebenaran. Surat-</w:t>
      </w:r>
    </w:p>
    <w:p>
      <w:pPr>
        <w:pStyle w:val="BookText"/>
        <w:bidi w:val="0"/>
        <w:jc w:val="both"/>
        <w:rPr/>
      </w:pPr>
      <w:r>
        <w:rPr>
          <w:rFonts w:eastAsia="Times New Roman" w:cs="Times New Roman" w:ascii="Times New Roman" w:hAnsi="Times New Roman"/>
          <w:color w:val="111111"/>
          <w:sz w:val="28"/>
          <w:szCs w:val="28"/>
          <w:lang w:val="en-US"/>
        </w:rPr>
        <w:t>surat Paulus yang telah menjadi bagian integral dari kitab Perjanjian</w:t>
      </w:r>
    </w:p>
    <w:p>
      <w:pPr>
        <w:pStyle w:val="BookText"/>
        <w:bidi w:val="0"/>
        <w:jc w:val="both"/>
        <w:rPr/>
      </w:pPr>
      <w:r>
        <w:rPr>
          <w:rFonts w:eastAsia="Times New Roman" w:cs="Times New Roman" w:ascii="Times New Roman" w:hAnsi="Times New Roman"/>
          <w:color w:val="111111"/>
          <w:sz w:val="28"/>
          <w:szCs w:val="28"/>
          <w:lang w:val="en-US"/>
        </w:rPr>
        <w:t>Baru justru menunjukkan bagaimana dirinya, berkali-kali dan dalam</w:t>
      </w:r>
    </w:p>
    <w:p>
      <w:pPr>
        <w:pStyle w:val="BookText"/>
        <w:bidi w:val="0"/>
        <w:jc w:val="both"/>
        <w:rPr/>
      </w:pPr>
      <w:r>
        <w:rPr>
          <w:rFonts w:eastAsia="Times New Roman" w:cs="Times New Roman" w:ascii="Times New Roman" w:hAnsi="Times New Roman"/>
          <w:color w:val="111111"/>
          <w:sz w:val="28"/>
          <w:szCs w:val="28"/>
          <w:lang w:val="en-US"/>
        </w:rPr>
        <w:t>berbagai kesempatan, menggunakan argumentasi dan analisis dalam</w:t>
      </w:r>
    </w:p>
    <w:p>
      <w:pPr>
        <w:pStyle w:val="BookText"/>
        <w:bidi w:val="0"/>
        <w:jc w:val="both"/>
        <w:rPr/>
      </w:pPr>
      <w:r>
        <w:rPr>
          <w:rFonts w:eastAsia="Times New Roman" w:cs="Times New Roman" w:ascii="Times New Roman" w:hAnsi="Times New Roman"/>
          <w:color w:val="111111"/>
          <w:sz w:val="28"/>
          <w:szCs w:val="28"/>
          <w:lang w:val="en-US"/>
        </w:rPr>
        <w:t>mengajarkan tuntunan agamanya.</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Tokoh Fideisme Radikal di awal abad Masehi ialah Tertullian</w:t>
      </w:r>
    </w:p>
    <w:p>
      <w:pPr>
        <w:pStyle w:val="BookText"/>
        <w:bidi w:val="0"/>
        <w:jc w:val="both"/>
        <w:rPr/>
      </w:pPr>
      <w:r>
        <w:rPr>
          <w:rFonts w:eastAsia="Times New Roman" w:cs="Times New Roman" w:ascii="Times New Roman" w:hAnsi="Times New Roman"/>
          <w:color w:val="111111"/>
          <w:sz w:val="28"/>
          <w:szCs w:val="28"/>
          <w:lang w:val="en-US"/>
        </w:rPr>
        <w:t>(160-225 M). Sekilas, pemikir ini sama sekali tidak menghargai nalar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rasionalitas dalam ranah agama: </w:t>
      </w:r>
    </w:p>
    <w:p>
      <w:pPr>
        <w:pStyle w:val="BookText"/>
        <w:bidi w:val="0"/>
        <w:rPr/>
      </w:pPr>
      <w:r>
        <w:rPr>
          <w:rFonts w:eastAsia="Times New Roman" w:cs="Times New Roman" w:ascii="Times New Roman" w:hAnsi="Times New Roman"/>
          <w:color w:val="111111"/>
          <w:sz w:val="28"/>
          <w:szCs w:val="28"/>
          <w:lang w:val="en-US"/>
        </w:rPr>
        <w:t>pa urusan Athena dengan Jerusalem?!</w:t>
      </w:r>
      <w:r>
        <w:rPr>
          <w:rStyle w:val="FootnoteAnchor"/>
        </w:rPr>
        <w:footnoteReference w:id="47"/>
      </w:r>
      <w:r>
        <w:rPr>
          <w:rFonts w:eastAsia="Times New Roman" w:cs="Times New Roman" w:ascii="Times New Roman" w:hAnsi="Times New Roman"/>
          <w:color w:val="111111"/>
          <w:sz w:val="28"/>
          <w:szCs w:val="28"/>
          <w:lang w:val="en-US"/>
        </w:rPr>
        <w:t>Memangnya, telah</w:t>
      </w:r>
    </w:p>
    <w:p>
      <w:pPr>
        <w:pStyle w:val="BookText"/>
        <w:bidi w:val="0"/>
        <w:jc w:val="both"/>
        <w:rPr/>
      </w:pPr>
      <w:r>
        <w:rPr>
          <w:rFonts w:eastAsia="Times New Roman" w:cs="Times New Roman" w:ascii="Times New Roman" w:hAnsi="Times New Roman"/>
          <w:color w:val="111111"/>
          <w:sz w:val="28"/>
          <w:szCs w:val="28"/>
          <w:lang w:val="en-US"/>
        </w:rPr>
        <w:t>terjalin kesepakatan seperti apa antara akademi dan gereja? Apa</w:t>
      </w:r>
    </w:p>
    <w:p>
      <w:pPr>
        <w:pStyle w:val="BookText"/>
        <w:bidi w:val="0"/>
        <w:jc w:val="both"/>
        <w:rPr/>
      </w:pPr>
      <w:r>
        <w:rPr>
          <w:rFonts w:eastAsia="Times New Roman" w:cs="Times New Roman" w:ascii="Times New Roman" w:hAnsi="Times New Roman"/>
          <w:color w:val="111111"/>
          <w:sz w:val="28"/>
          <w:szCs w:val="28"/>
          <w:lang w:val="en-US"/>
        </w:rPr>
        <w:t>hubungan orang-orang kafir dengan orang-orang Kristen? ... Usai</w:t>
      </w:r>
    </w:p>
    <w:p>
      <w:pPr>
        <w:pStyle w:val="BookText"/>
        <w:bidi w:val="0"/>
        <w:jc w:val="both"/>
        <w:rPr/>
      </w:pPr>
      <w:r>
        <w:rPr>
          <w:rFonts w:eastAsia="Times New Roman" w:cs="Times New Roman" w:ascii="Times New Roman" w:hAnsi="Times New Roman"/>
          <w:color w:val="111111"/>
          <w:sz w:val="28"/>
          <w:szCs w:val="28"/>
          <w:lang w:val="en-US"/>
        </w:rPr>
        <w:t>menimba dari Injil, apa lagi yang perlu kita cari? Selain keimanan</w:t>
      </w:r>
    </w:p>
    <w:p>
      <w:pPr>
        <w:pStyle w:val="BookText"/>
        <w:bidi w:val="0"/>
        <w:jc w:val="both"/>
        <w:rPr/>
      </w:pPr>
      <w:r>
        <w:rPr>
          <w:rFonts w:eastAsia="Times New Roman" w:cs="Times New Roman" w:ascii="Times New Roman" w:hAnsi="Times New Roman"/>
          <w:color w:val="111111"/>
          <w:sz w:val="28"/>
          <w:szCs w:val="28"/>
          <w:lang w:val="en-US"/>
        </w:rPr>
        <w:t>agama, kepercayaan apa lagi yang kita kehendaki?</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Namun begitu, Tertullian ternyata seorang filsuf. Dalam</w:t>
      </w:r>
    </w:p>
    <w:p>
      <w:pPr>
        <w:pStyle w:val="BookText"/>
        <w:bidi w:val="0"/>
        <w:jc w:val="both"/>
        <w:rPr/>
      </w:pPr>
      <w:r>
        <w:rPr>
          <w:rFonts w:eastAsia="Times New Roman" w:cs="Times New Roman" w:ascii="Times New Roman" w:hAnsi="Times New Roman"/>
          <w:color w:val="111111"/>
          <w:sz w:val="28"/>
          <w:szCs w:val="28"/>
          <w:lang w:val="en-US"/>
        </w:rPr>
        <w:t>sejumlah karya tulisnya, dia tak jarang berfilsafat ketika mengurai</w:t>
      </w:r>
    </w:p>
    <w:p>
      <w:pPr>
        <w:pStyle w:val="BookText"/>
        <w:bidi w:val="0"/>
        <w:jc w:val="both"/>
        <w:rPr/>
      </w:pPr>
      <w:r>
        <w:rPr>
          <w:rFonts w:eastAsia="Times New Roman" w:cs="Times New Roman" w:ascii="Times New Roman" w:hAnsi="Times New Roman"/>
          <w:color w:val="111111"/>
          <w:sz w:val="28"/>
          <w:szCs w:val="28"/>
          <w:lang w:val="en-US"/>
        </w:rPr>
        <w:t>ajaran agama.</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Demikian pula, sebagian penulis Kristen menilai Martin Luther</w:t>
      </w:r>
    </w:p>
    <w:p>
      <w:pPr>
        <w:pStyle w:val="BookText"/>
        <w:bidi w:val="0"/>
        <w:jc w:val="both"/>
        <w:rPr/>
      </w:pPr>
      <w:r>
        <w:rPr>
          <w:rFonts w:eastAsia="Times New Roman" w:cs="Times New Roman" w:ascii="Times New Roman" w:hAnsi="Times New Roman"/>
          <w:color w:val="111111"/>
          <w:sz w:val="28"/>
          <w:szCs w:val="28"/>
          <w:lang w:val="en-US"/>
        </w:rPr>
        <w:t>(1483-1546) yang menyerang Aristoteles dengan sebutan-sebutan</w:t>
      </w:r>
    </w:p>
    <w:p>
      <w:pPr>
        <w:pStyle w:val="BookText"/>
        <w:bidi w:val="0"/>
        <w:jc w:val="both"/>
        <w:rPr/>
      </w:pPr>
      <w:r>
        <w:rPr>
          <w:rFonts w:eastAsia="Times New Roman" w:cs="Times New Roman" w:ascii="Times New Roman" w:hAnsi="Times New Roman"/>
          <w:color w:val="111111"/>
          <w:sz w:val="28"/>
          <w:szCs w:val="28"/>
          <w:lang w:val="en-US"/>
        </w:rPr>
        <w:t>seperti: “penghancur ajaran suci”, “pencipta dongeng”, “filsuf</w:t>
      </w:r>
    </w:p>
    <w:p>
      <w:pPr>
        <w:pStyle w:val="BookText"/>
        <w:bidi w:val="0"/>
        <w:jc w:val="both"/>
        <w:rPr/>
      </w:pPr>
      <w:r>
        <w:rPr>
          <w:rFonts w:eastAsia="Times New Roman" w:cs="Times New Roman" w:ascii="Times New Roman" w:hAnsi="Times New Roman"/>
          <w:color w:val="111111"/>
          <w:sz w:val="28"/>
          <w:szCs w:val="28"/>
          <w:lang w:val="en-US"/>
        </w:rPr>
        <w:t>menjijikkan”, dan “penyembah buta berhala”:</w:t>
      </w:r>
    </w:p>
    <w:p>
      <w:pPr>
        <w:pStyle w:val="BookText"/>
        <w:bidi w:val="0"/>
        <w:jc w:val="both"/>
        <w:rPr/>
      </w:pPr>
      <w:r>
        <w:rPr>
          <w:rFonts w:eastAsia="Times New Roman" w:cs="Times New Roman" w:ascii="Times New Roman" w:hAnsi="Times New Roman"/>
          <w:color w:val="111111"/>
          <w:sz w:val="28"/>
          <w:szCs w:val="28"/>
          <w:lang w:val="en-US"/>
        </w:rPr>
        <w:t>Luther tidak menghujat akal; karena dia sendiri menggunakan</w:t>
      </w:r>
    </w:p>
    <w:p>
      <w:pPr>
        <w:pStyle w:val="BookText"/>
        <w:bidi w:val="0"/>
        <w:jc w:val="both"/>
        <w:rPr/>
      </w:pPr>
      <w:r>
        <w:rPr>
          <w:rFonts w:eastAsia="Times New Roman" w:cs="Times New Roman" w:ascii="Times New Roman" w:hAnsi="Times New Roman"/>
          <w:color w:val="111111"/>
          <w:sz w:val="28"/>
          <w:szCs w:val="28"/>
          <w:lang w:val="en-US"/>
        </w:rPr>
        <w:t>sepenuhnya. Poin’ gugatannya’ terhadap = akal_ adalah</w:t>
      </w:r>
    </w:p>
    <w:p>
      <w:pPr>
        <w:pStyle w:val="BookText"/>
        <w:bidi w:val="0"/>
        <w:jc w:val="both"/>
        <w:rPr/>
      </w:pPr>
      <w:r>
        <w:rPr>
          <w:rFonts w:eastAsia="Times New Roman" w:cs="Times New Roman" w:ascii="Times New Roman" w:hAnsi="Times New Roman"/>
          <w:color w:val="111111"/>
          <w:sz w:val="28"/>
          <w:szCs w:val="28"/>
          <w:lang w:val="en-US"/>
        </w:rPr>
        <w:t>penyalahgunaan akal yang berakibat hingga filsafat membuang</w:t>
      </w:r>
    </w:p>
    <w:p>
      <w:pPr>
        <w:pStyle w:val="BookText"/>
        <w:bidi w:val="0"/>
        <w:jc w:val="both"/>
        <w:rPr/>
      </w:pPr>
      <w:r>
        <w:rPr>
          <w:rFonts w:eastAsia="Times New Roman" w:cs="Times New Roman" w:ascii="Times New Roman" w:hAnsi="Times New Roman"/>
          <w:color w:val="111111"/>
          <w:sz w:val="28"/>
          <w:szCs w:val="28"/>
          <w:lang w:val="en-US"/>
        </w:rPr>
        <w:t>jauh hakikat iman masehi.</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Pascal (1623-1662) juga salah satu tokoh aliran Fideisme yang</w:t>
      </w:r>
    </w:p>
    <w:p>
      <w:pPr>
        <w:pStyle w:val="BookText"/>
        <w:bidi w:val="0"/>
        <w:jc w:val="both"/>
        <w:rPr/>
      </w:pPr>
      <w:r>
        <w:rPr>
          <w:rFonts w:eastAsia="Times New Roman" w:cs="Times New Roman" w:ascii="Times New Roman" w:hAnsi="Times New Roman"/>
          <w:color w:val="111111"/>
          <w:sz w:val="28"/>
          <w:szCs w:val="28"/>
          <w:lang w:val="en-US"/>
        </w:rPr>
        <w:t>meyakini hati memiliki logika tersendiri yang mustahil dicapai akal.</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Namun pada saat yang sama, tak diragukan lagi bahwa salah satu</w:t>
      </w:r>
    </w:p>
    <w:p>
      <w:pPr>
        <w:pStyle w:val="BookText"/>
        <w:bidi w:val="0"/>
        <w:jc w:val="both"/>
        <w:rPr/>
      </w:pPr>
      <w:r>
        <w:rPr>
          <w:rFonts w:eastAsia="Times New Roman" w:cs="Times New Roman" w:ascii="Times New Roman" w:hAnsi="Times New Roman"/>
          <w:color w:val="111111"/>
          <w:sz w:val="28"/>
          <w:szCs w:val="28"/>
          <w:lang w:val="en-US"/>
        </w:rPr>
        <w:t>kesibukan intelektual dan nalarnya adalah menemukan pembelaan</w:t>
      </w:r>
    </w:p>
    <w:p>
      <w:pPr>
        <w:pStyle w:val="BookText"/>
        <w:bidi w:val="0"/>
        <w:jc w:val="both"/>
        <w:rPr/>
      </w:pPr>
      <w:r>
        <w:rPr>
          <w:rFonts w:eastAsia="Times New Roman" w:cs="Times New Roman" w:ascii="Times New Roman" w:hAnsi="Times New Roman"/>
          <w:color w:val="111111"/>
          <w:sz w:val="28"/>
          <w:szCs w:val="28"/>
          <w:lang w:val="en-US"/>
        </w:rPr>
        <w:t>rasional terhadap ajaran Kristen. Statemen terkenalnya, “Hai kaum</w:t>
      </w:r>
    </w:p>
    <w:p>
      <w:pPr>
        <w:pStyle w:val="BookText"/>
        <w:bidi w:val="0"/>
        <w:jc w:val="both"/>
        <w:rPr/>
      </w:pPr>
      <w:r>
        <w:rPr>
          <w:rFonts w:eastAsia="Times New Roman" w:cs="Times New Roman" w:ascii="Times New Roman" w:hAnsi="Times New Roman"/>
          <w:color w:val="111111"/>
          <w:sz w:val="28"/>
          <w:szCs w:val="28"/>
          <w:lang w:val="en-US"/>
        </w:rPr>
        <w:t>filsuf! Ketimbang menumpuk bukti, lebih baik kalian jinakkan</w:t>
      </w:r>
    </w:p>
    <w:p>
      <w:pPr>
        <w:pStyle w:val="BookText"/>
        <w:bidi w:val="0"/>
        <w:jc w:val="both"/>
        <w:rPr/>
      </w:pPr>
      <w:r>
        <w:rPr>
          <w:rFonts w:eastAsia="Times New Roman" w:cs="Times New Roman" w:ascii="Times New Roman" w:hAnsi="Times New Roman"/>
          <w:color w:val="111111"/>
          <w:sz w:val="28"/>
          <w:szCs w:val="28"/>
          <w:lang w:val="en-US"/>
        </w:rPr>
        <w:t>nafsu.”</w:t>
      </w:r>
      <w:r>
        <w:rPr>
          <w:rStyle w:val="FootnoteAnchor"/>
        </w:rPr>
        <w:footnoteReference w:id="52"/>
      </w:r>
      <w:r>
        <w:rPr>
          <w:rFonts w:eastAsia="Times New Roman" w:cs="Times New Roman" w:ascii="Times New Roman" w:hAnsi="Times New Roman"/>
          <w:color w:val="111111"/>
          <w:sz w:val="28"/>
          <w:szCs w:val="28"/>
          <w:lang w:val="en-US"/>
        </w:rPr>
        <w:t>Darinya dapat dimaklumi, penentangannya itu terbatas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hanya pada akal yang ternodai birahi dan nafsu. </w:t>
      </w:r>
    </w:p>
    <w:p>
      <w:pPr>
        <w:pStyle w:val="BookText"/>
        <w:bidi w:val="0"/>
        <w:rPr/>
      </w:pPr>
      <w:r>
        <w:rPr>
          <w:rFonts w:eastAsia="Times New Roman" w:cs="Times New Roman" w:ascii="Times New Roman" w:hAnsi="Times New Roman"/>
          <w:color w:val="111111"/>
          <w:sz w:val="28"/>
          <w:szCs w:val="28"/>
          <w:lang w:val="en-US"/>
        </w:rPr>
        <w:t>Permusuhan kaum literalis Muslim terhadap akal juga dapat</w:t>
      </w:r>
    </w:p>
    <w:p>
      <w:pPr>
        <w:pStyle w:val="BookText"/>
        <w:bidi w:val="0"/>
        <w:jc w:val="both"/>
        <w:rPr/>
      </w:pPr>
      <w:r>
        <w:rPr>
          <w:rFonts w:eastAsia="Times New Roman" w:cs="Times New Roman" w:ascii="Times New Roman" w:hAnsi="Times New Roman"/>
          <w:color w:val="111111"/>
          <w:sz w:val="28"/>
          <w:szCs w:val="28"/>
          <w:lang w:val="en-US"/>
        </w:rPr>
        <w:t>di-uraikan dalam bagan yang sama. Ahmad bin Hanbal adalah</w:t>
      </w:r>
    </w:p>
    <w:p>
      <w:pPr>
        <w:pStyle w:val="BookText"/>
        <w:bidi w:val="0"/>
        <w:jc w:val="both"/>
        <w:rPr/>
      </w:pPr>
      <w:r>
        <w:rPr>
          <w:rFonts w:eastAsia="Times New Roman" w:cs="Times New Roman" w:ascii="Times New Roman" w:hAnsi="Times New Roman"/>
          <w:color w:val="111111"/>
          <w:sz w:val="28"/>
          <w:szCs w:val="28"/>
          <w:lang w:val="en-US"/>
        </w:rPr>
        <w:t>figur murni aliran Literalisme. Sekilas, dia sama sekali tidak</w:t>
      </w:r>
    </w:p>
    <w:p>
      <w:pPr>
        <w:pStyle w:val="BookText"/>
        <w:bidi w:val="0"/>
        <w:jc w:val="both"/>
        <w:rPr/>
      </w:pPr>
      <w:r>
        <w:rPr>
          <w:rFonts w:eastAsia="Times New Roman" w:cs="Times New Roman" w:ascii="Times New Roman" w:hAnsi="Times New Roman"/>
          <w:color w:val="111111"/>
          <w:sz w:val="28"/>
          <w:szCs w:val="28"/>
          <w:lang w:val="en-US"/>
        </w:rPr>
        <w:t>menghargai akal dalam bidang agama. Pada hematnya, aktivitas</w:t>
      </w:r>
    </w:p>
    <w:p>
      <w:pPr>
        <w:pStyle w:val="BookText"/>
        <w:bidi w:val="0"/>
        <w:jc w:val="both"/>
        <w:rPr/>
      </w:pPr>
      <w:r>
        <w:rPr>
          <w:rFonts w:eastAsia="Times New Roman" w:cs="Times New Roman" w:ascii="Times New Roman" w:hAnsi="Times New Roman"/>
          <w:color w:val="111111"/>
          <w:sz w:val="28"/>
          <w:szCs w:val="28"/>
          <w:lang w:val="en-US"/>
        </w:rPr>
        <w:t>akal dalam masalah keagamaan itu bid’ah yang haram dan dosa</w:t>
      </w:r>
    </w:p>
    <w:p>
      <w:pPr>
        <w:pStyle w:val="BookText"/>
        <w:bidi w:val="0"/>
        <w:jc w:val="both"/>
        <w:rPr/>
      </w:pPr>
      <w:r>
        <w:rPr>
          <w:rFonts w:eastAsia="Times New Roman" w:cs="Times New Roman" w:ascii="Times New Roman" w:hAnsi="Times New Roman"/>
          <w:color w:val="111111"/>
          <w:sz w:val="28"/>
          <w:szCs w:val="28"/>
          <w:lang w:val="en-US"/>
        </w:rPr>
        <w:t>tak terampuni. Namun kenyataannya, dia juga menggunakan akal</w:t>
      </w:r>
    </w:p>
    <w:p>
      <w:pPr>
        <w:pStyle w:val="BookText"/>
        <w:bidi w:val="0"/>
        <w:jc w:val="both"/>
        <w:rPr/>
      </w:pPr>
      <w:r>
        <w:rPr>
          <w:rFonts w:eastAsia="Times New Roman" w:cs="Times New Roman" w:ascii="Times New Roman" w:hAnsi="Times New Roman"/>
          <w:color w:val="111111"/>
          <w:sz w:val="28"/>
          <w:szCs w:val="28"/>
          <w:lang w:val="en-US"/>
        </w:rPr>
        <w:t>untuk menjelaskan pandangan-pandangannya. Bahkan, kapan saja</w:t>
      </w:r>
    </w:p>
    <w:p>
      <w:pPr>
        <w:pStyle w:val="BookText"/>
        <w:bidi w:val="0"/>
        <w:jc w:val="both"/>
        <w:rPr/>
      </w:pPr>
      <w:r>
        <w:rPr>
          <w:rFonts w:eastAsia="Times New Roman" w:cs="Times New Roman" w:ascii="Times New Roman" w:hAnsi="Times New Roman"/>
          <w:color w:val="111111"/>
          <w:sz w:val="28"/>
          <w:szCs w:val="28"/>
          <w:lang w:val="en-US"/>
        </w:rPr>
        <w:t>merasa perlu, dia merujuk akal untuk menakwil serta menafsir</w:t>
      </w:r>
    </w:p>
    <w:p>
      <w:pPr>
        <w:pStyle w:val="BookText"/>
        <w:bidi w:val="0"/>
        <w:jc w:val="both"/>
        <w:rPr/>
      </w:pPr>
      <w:r>
        <w:rPr>
          <w:rFonts w:eastAsia="Times New Roman" w:cs="Times New Roman" w:ascii="Times New Roman" w:hAnsi="Times New Roman"/>
          <w:color w:val="111111"/>
          <w:sz w:val="28"/>
          <w:szCs w:val="28"/>
          <w:lang w:val="en-US"/>
        </w:rPr>
        <w:t>Alquran dan hadis.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Tokoh lain adalah Ibnu Taimiyah. Penggemar kuat pemikiran</w:t>
      </w:r>
    </w:p>
    <w:p>
      <w:pPr>
        <w:pStyle w:val="BookText"/>
        <w:bidi w:val="0"/>
        <w:jc w:val="both"/>
        <w:rPr/>
      </w:pPr>
      <w:r>
        <w:rPr>
          <w:rFonts w:eastAsia="Times New Roman" w:cs="Times New Roman" w:ascii="Times New Roman" w:hAnsi="Times New Roman"/>
          <w:color w:val="111111"/>
          <w:sz w:val="28"/>
          <w:szCs w:val="28"/>
          <w:lang w:val="en-US"/>
        </w:rPr>
        <w:t>Ahmad bin Hanbal ini berpendapat, semakin menjauh dari akal,</w:t>
      </w:r>
    </w:p>
    <w:p>
      <w:pPr>
        <w:pStyle w:val="BookText"/>
        <w:bidi w:val="0"/>
        <w:jc w:val="both"/>
        <w:rPr/>
      </w:pPr>
      <w:r>
        <w:rPr>
          <w:rFonts w:eastAsia="Times New Roman" w:cs="Times New Roman" w:ascii="Times New Roman" w:hAnsi="Times New Roman"/>
          <w:color w:val="111111"/>
          <w:sz w:val="28"/>
          <w:szCs w:val="28"/>
          <w:lang w:val="en-US"/>
        </w:rPr>
        <w:t>semakin mendekat pada kebenaran. Masih menurutnya, kaum filsuf</w:t>
      </w:r>
    </w:p>
    <w:p>
      <w:pPr>
        <w:pStyle w:val="BookText"/>
        <w:bidi w:val="0"/>
        <w:jc w:val="both"/>
        <w:rPr/>
      </w:pPr>
      <w:r>
        <w:rPr>
          <w:rFonts w:eastAsia="Times New Roman" w:cs="Times New Roman" w:ascii="Times New Roman" w:hAnsi="Times New Roman"/>
          <w:color w:val="111111"/>
          <w:sz w:val="28"/>
          <w:szCs w:val="28"/>
          <w:lang w:val="en-US"/>
        </w:rPr>
        <w:t>dan rasionalis mustahil memetik buah pengetahuan dari pohon</w:t>
      </w:r>
    </w:p>
    <w:p>
      <w:pPr>
        <w:pStyle w:val="BookText"/>
        <w:bidi w:val="0"/>
        <w:jc w:val="both"/>
        <w:rPr/>
      </w:pPr>
      <w:r>
        <w:rPr>
          <w:rFonts w:eastAsia="Times New Roman" w:cs="Times New Roman" w:ascii="Times New Roman" w:hAnsi="Times New Roman"/>
          <w:color w:val="111111"/>
          <w:sz w:val="28"/>
          <w:szCs w:val="28"/>
          <w:lang w:val="en-US"/>
        </w:rPr>
        <w:t>agama. Menurut Arberry, ungkapan-ungkapan Ibnu Taimiyah</w:t>
      </w:r>
    </w:p>
    <w:p>
      <w:pPr>
        <w:pStyle w:val="BookText"/>
        <w:bidi w:val="0"/>
        <w:jc w:val="both"/>
        <w:rPr/>
      </w:pPr>
      <w:r>
        <w:rPr>
          <w:rFonts w:eastAsia="Times New Roman" w:cs="Times New Roman" w:ascii="Times New Roman" w:hAnsi="Times New Roman"/>
          <w:color w:val="111111"/>
          <w:sz w:val="28"/>
          <w:szCs w:val="28"/>
          <w:lang w:val="en-US"/>
        </w:rPr>
        <w:t>merupakan gaung pembuka kata-kata Tertullian.</w:t>
      </w:r>
      <w:r>
        <w:rPr>
          <w:rStyle w:val="FootnoteAnchor"/>
        </w:rPr>
        <w:footnoteReference w:id="54"/>
      </w:r>
      <w:r>
        <w:rPr>
          <w:rFonts w:eastAsia="Times New Roman" w:cs="Times New Roman" w:ascii="Times New Roman" w:hAnsi="Times New Roman"/>
          <w:color w:val="111111"/>
          <w:sz w:val="28"/>
          <w:szCs w:val="28"/>
          <w:lang w:val="en-US"/>
        </w:rPr>
        <w:t>Lagi-lagi</w:t>
      </w:r>
    </w:p>
    <w:p>
      <w:pPr>
        <w:pStyle w:val="BookText"/>
        <w:bidi w:val="0"/>
        <w:jc w:val="both"/>
        <w:rPr/>
      </w:pPr>
      <w:r>
        <w:rPr>
          <w:rFonts w:eastAsia="Times New Roman" w:cs="Times New Roman" w:ascii="Times New Roman" w:hAnsi="Times New Roman"/>
          <w:color w:val="111111"/>
          <w:sz w:val="28"/>
          <w:szCs w:val="28"/>
          <w:lang w:val="en-US"/>
        </w:rPr>
        <w:t>kenyataannya, berdasarkan kesaksian karya-karya tulisnya sendiri,</w:t>
      </w:r>
    </w:p>
    <w:p>
      <w:pPr>
        <w:pStyle w:val="BookText"/>
        <w:bidi w:val="0"/>
        <w:jc w:val="both"/>
        <w:rPr/>
      </w:pPr>
      <w:r>
        <w:rPr>
          <w:rFonts w:eastAsia="Times New Roman" w:cs="Times New Roman" w:ascii="Times New Roman" w:hAnsi="Times New Roman"/>
          <w:color w:val="111111"/>
          <w:sz w:val="28"/>
          <w:szCs w:val="28"/>
          <w:lang w:val="en-US"/>
        </w:rPr>
        <w:t>dia justru amat berpegang teguh pada bukti-bukti yang sama sekali</w:t>
      </w:r>
    </w:p>
    <w:p>
      <w:pPr>
        <w:pStyle w:val="BookText"/>
        <w:bidi w:val="0"/>
        <w:jc w:val="both"/>
        <w:rPr/>
      </w:pPr>
      <w:r>
        <w:rPr>
          <w:rFonts w:eastAsia="Times New Roman" w:cs="Times New Roman" w:ascii="Times New Roman" w:hAnsi="Times New Roman"/>
          <w:color w:val="111111"/>
          <w:sz w:val="28"/>
          <w:szCs w:val="28"/>
          <w:lang w:val="en-US"/>
        </w:rPr>
        <w:t>bukan dari Alquran dan Sunah dalam rangka menolak klaim-klaim</w:t>
      </w:r>
    </w:p>
    <w:p>
      <w:pPr>
        <w:pStyle w:val="BookText"/>
        <w:bidi w:val="0"/>
        <w:jc w:val="both"/>
        <w:rPr/>
      </w:pPr>
      <w:r>
        <w:rPr>
          <w:rFonts w:eastAsia="Times New Roman" w:cs="Times New Roman" w:ascii="Times New Roman" w:hAnsi="Times New Roman"/>
          <w:color w:val="111111"/>
          <w:sz w:val="28"/>
          <w:szCs w:val="28"/>
          <w:lang w:val="en-US"/>
        </w:rPr>
        <w:t>kaum filsuf dan teolog.</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Begitupula dengan kaum Akhbariyah yang kerap mati-matian</w:t>
      </w:r>
    </w:p>
    <w:p>
      <w:pPr>
        <w:pStyle w:val="BookText"/>
        <w:bidi w:val="0"/>
        <w:jc w:val="both"/>
        <w:rPr/>
      </w:pPr>
      <w:r>
        <w:rPr>
          <w:rFonts w:eastAsia="Times New Roman" w:cs="Times New Roman" w:ascii="Times New Roman" w:hAnsi="Times New Roman"/>
          <w:color w:val="111111"/>
          <w:sz w:val="28"/>
          <w:szCs w:val="28"/>
          <w:lang w:val="en-US"/>
        </w:rPr>
        <w:t>melontarkan kritik keras terhadap penggunaan akal dalam bidang</w:t>
      </w:r>
    </w:p>
    <w:p>
      <w:pPr>
        <w:pStyle w:val="BookText"/>
        <w:bidi w:val="0"/>
        <w:jc w:val="both"/>
        <w:rPr/>
      </w:pPr>
      <w:r>
        <w:rPr>
          <w:rFonts w:eastAsia="Times New Roman" w:cs="Times New Roman" w:ascii="Times New Roman" w:hAnsi="Times New Roman"/>
          <w:color w:val="111111"/>
          <w:sz w:val="28"/>
          <w:szCs w:val="28"/>
          <w:lang w:val="en-US"/>
        </w:rPr>
        <w:t>agama. Namun senyatanya, mereka sendiri menggunakan berbagai</w:t>
      </w:r>
    </w:p>
    <w:p>
      <w:pPr>
        <w:pStyle w:val="BookText"/>
        <w:bidi w:val="0"/>
        <w:jc w:val="both"/>
        <w:rPr/>
      </w:pPr>
      <w:r>
        <w:rPr>
          <w:rFonts w:eastAsia="Times New Roman" w:cs="Times New Roman" w:ascii="Times New Roman" w:hAnsi="Times New Roman"/>
          <w:color w:val="111111"/>
          <w:sz w:val="28"/>
          <w:szCs w:val="28"/>
          <w:lang w:val="en-US"/>
        </w:rPr>
        <w:t>bentuk pembuktian rasional untuk memback-up gagasannya. Betapa</w:t>
      </w:r>
    </w:p>
    <w:p>
      <w:pPr>
        <w:pStyle w:val="BookText"/>
        <w:bidi w:val="0"/>
        <w:jc w:val="both"/>
        <w:rPr/>
      </w:pPr>
      <w:r>
        <w:rPr>
          <w:rFonts w:eastAsia="Times New Roman" w:cs="Times New Roman" w:ascii="Times New Roman" w:hAnsi="Times New Roman"/>
          <w:color w:val="111111"/>
          <w:sz w:val="28"/>
          <w:szCs w:val="28"/>
          <w:lang w:val="en-US"/>
        </w:rPr>
        <w:t>banyak bukti epistemologis yang mereka ajukan untuk membongkar</w:t>
      </w:r>
    </w:p>
    <w:p>
      <w:pPr>
        <w:pStyle w:val="BookText"/>
        <w:bidi w:val="0"/>
        <w:jc w:val="both"/>
        <w:rPr/>
      </w:pPr>
      <w:r>
        <w:rPr>
          <w:rFonts w:eastAsia="Times New Roman" w:cs="Times New Roman" w:ascii="Times New Roman" w:hAnsi="Times New Roman"/>
          <w:color w:val="111111"/>
          <w:sz w:val="28"/>
          <w:szCs w:val="28"/>
          <w:lang w:val="en-US"/>
        </w:rPr>
        <w:t>kesalahan dan penipuan nalar (fallacy). Tidak cukup sampai di situ,</w:t>
      </w:r>
    </w:p>
    <w:p>
      <w:pPr>
        <w:pStyle w:val="BookText"/>
        <w:bidi w:val="0"/>
        <w:jc w:val="both"/>
        <w:rPr/>
      </w:pPr>
      <w:r>
        <w:rPr>
          <w:rFonts w:eastAsia="Times New Roman" w:cs="Times New Roman" w:ascii="Times New Roman" w:hAnsi="Times New Roman"/>
          <w:color w:val="111111"/>
          <w:sz w:val="28"/>
          <w:szCs w:val="28"/>
          <w:lang w:val="en-US"/>
        </w:rPr>
        <w:t>hadis-hadis mutawatir dari para manusia suci seputar nilai-bukti</w:t>
      </w:r>
    </w:p>
    <w:p>
      <w:pPr>
        <w:pStyle w:val="BookText"/>
        <w:bidi w:val="0"/>
        <w:jc w:val="both"/>
        <w:rPr/>
      </w:pPr>
      <w:r>
        <w:rPr>
          <w:rFonts w:eastAsia="Times New Roman" w:cs="Times New Roman" w:ascii="Times New Roman" w:hAnsi="Times New Roman"/>
          <w:color w:val="111111"/>
          <w:sz w:val="28"/>
          <w:szCs w:val="28"/>
          <w:lang w:val="en-US"/>
        </w:rPr>
        <w:t>akal bahkan mereka lapisi dengan takwil dan justifikasi secara</w:t>
      </w:r>
    </w:p>
    <w:p>
      <w:pPr>
        <w:pStyle w:val="BookText"/>
        <w:bidi w:val="0"/>
        <w:jc w:val="both"/>
        <w:rPr/>
      </w:pPr>
      <w:r>
        <w:rPr>
          <w:rFonts w:eastAsia="Times New Roman" w:cs="Times New Roman" w:ascii="Times New Roman" w:hAnsi="Times New Roman"/>
          <w:color w:val="111111"/>
          <w:sz w:val="28"/>
          <w:szCs w:val="28"/>
          <w:lang w:val="en-US"/>
        </w:rPr>
        <w:t>benar-benar rasional. Akal yang dimaksud ayat dan hadis, menurut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ungkapan mereka, adalah akal fitri. Mereka percaya, akal jenis itu </w:t>
      </w:r>
    </w:p>
    <w:p>
      <w:pPr>
        <w:pStyle w:val="BookText"/>
        <w:bidi w:val="0"/>
        <w:rPr/>
      </w:pPr>
      <w:r>
        <w:rPr>
          <w:rFonts w:eastAsia="Times New Roman" w:cs="Times New Roman" w:ascii="Times New Roman" w:hAnsi="Times New Roman"/>
          <w:color w:val="111111"/>
          <w:sz w:val="28"/>
          <w:szCs w:val="28"/>
          <w:lang w:val="en-US"/>
        </w:rPr>
        <w:t>hanya dimiliki segelintir orang.</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Pelecehan terhadap akal juga populer di kalangan kaum arif dan</w:t>
      </w:r>
    </w:p>
    <w:p>
      <w:pPr>
        <w:pStyle w:val="BookText"/>
        <w:bidi w:val="0"/>
        <w:jc w:val="both"/>
        <w:rPr/>
      </w:pPr>
      <w:r>
        <w:rPr>
          <w:rFonts w:eastAsia="Times New Roman" w:cs="Times New Roman" w:ascii="Times New Roman" w:hAnsi="Times New Roman"/>
          <w:color w:val="111111"/>
          <w:sz w:val="28"/>
          <w:szCs w:val="28"/>
          <w:lang w:val="en-US"/>
        </w:rPr>
        <w:t>orang-orang yang telah mencapai kedudukan “penyaksian”. Sampai</w:t>
      </w:r>
    </w:p>
    <w:p>
      <w:pPr>
        <w:pStyle w:val="BookText"/>
        <w:bidi w:val="0"/>
        <w:jc w:val="both"/>
        <w:rPr/>
      </w:pPr>
      <w:r>
        <w:rPr>
          <w:rFonts w:eastAsia="Times New Roman" w:cs="Times New Roman" w:ascii="Times New Roman" w:hAnsi="Times New Roman"/>
          <w:color w:val="111111"/>
          <w:sz w:val="28"/>
          <w:szCs w:val="28"/>
          <w:lang w:val="en-US"/>
        </w:rPr>
        <w:t>sedemikian hingga perlawanan terhadap pembuktian logis menjadi</w:t>
      </w:r>
    </w:p>
    <w:p>
      <w:pPr>
        <w:pStyle w:val="BookText"/>
        <w:bidi w:val="0"/>
        <w:jc w:val="both"/>
        <w:rPr/>
      </w:pPr>
      <w:r>
        <w:rPr>
          <w:rFonts w:eastAsia="Times New Roman" w:cs="Times New Roman" w:ascii="Times New Roman" w:hAnsi="Times New Roman"/>
          <w:color w:val="111111"/>
          <w:sz w:val="28"/>
          <w:szCs w:val="28"/>
          <w:lang w:val="en-US"/>
        </w:rPr>
        <w:t>ciri mencolok dari paradigma ‘irfani. Mulla Rumi mengatakan dalam</w:t>
      </w:r>
    </w:p>
    <w:p>
      <w:pPr>
        <w:pStyle w:val="BookText"/>
        <w:bidi w:val="0"/>
        <w:jc w:val="both"/>
        <w:rPr/>
      </w:pPr>
      <w:r>
        <w:rPr>
          <w:rFonts w:eastAsia="Times New Roman" w:cs="Times New Roman" w:ascii="Times New Roman" w:hAnsi="Times New Roman"/>
          <w:color w:val="111111"/>
          <w:sz w:val="28"/>
          <w:szCs w:val="28"/>
          <w:lang w:val="en-US"/>
        </w:rPr>
        <w:t>larik-larik syairnya yang terkenal:</w:t>
      </w:r>
    </w:p>
    <w:p>
      <w:pPr>
        <w:pStyle w:val="BookText"/>
        <w:bidi w:val="0"/>
        <w:jc w:val="both"/>
        <w:rPr/>
      </w:pPr>
      <w:r>
        <w:rPr>
          <w:rFonts w:eastAsia="Times New Roman" w:cs="Times New Roman" w:ascii="Times New Roman" w:hAnsi="Times New Roman"/>
          <w:color w:val="111111"/>
          <w:sz w:val="28"/>
          <w:szCs w:val="28"/>
          <w:lang w:val="en-US"/>
        </w:rPr>
        <w:t>Kaki juru bukti terbuat dari kayu</w:t>
      </w:r>
    </w:p>
    <w:p>
      <w:pPr>
        <w:pStyle w:val="BookText"/>
        <w:bidi w:val="0"/>
        <w:jc w:val="both"/>
        <w:rPr/>
      </w:pPr>
      <w:r>
        <w:rPr>
          <w:rFonts w:eastAsia="Times New Roman" w:cs="Times New Roman" w:ascii="Times New Roman" w:hAnsi="Times New Roman"/>
          <w:color w:val="111111"/>
          <w:sz w:val="28"/>
          <w:szCs w:val="28"/>
          <w:lang w:val="en-US"/>
        </w:rPr>
        <w:t>betapa kaki kayu sungguh rapuh</w:t>
      </w:r>
    </w:p>
    <w:p>
      <w:pPr>
        <w:pStyle w:val="BookText"/>
        <w:bidi w:val="0"/>
        <w:jc w:val="both"/>
        <w:rPr/>
      </w:pPr>
      <w:r>
        <w:rPr>
          <w:rFonts w:eastAsia="Times New Roman" w:cs="Times New Roman" w:ascii="Times New Roman" w:hAnsi="Times New Roman"/>
          <w:color w:val="111111"/>
          <w:sz w:val="28"/>
          <w:szCs w:val="28"/>
          <w:lang w:val="en-US"/>
        </w:rPr>
        <w:t>Padahal, menggunakan nalar dan pemikiran merupakan raison</w:t>
      </w:r>
    </w:p>
    <w:p>
      <w:pPr>
        <w:pStyle w:val="BookText"/>
        <w:bidi w:val="0"/>
        <w:jc w:val="both"/>
        <w:rPr/>
      </w:pPr>
      <w:r>
        <w:rPr>
          <w:rFonts w:eastAsia="Times New Roman" w:cs="Times New Roman" w:ascii="Times New Roman" w:hAnsi="Times New Roman"/>
          <w:color w:val="111111"/>
          <w:sz w:val="28"/>
          <w:szCs w:val="28"/>
          <w:lang w:val="en-US"/>
        </w:rPr>
        <w:t>d’etre atau syarat untuk memasuki hlmpunan orang-orang berakal.</w:t>
      </w:r>
    </w:p>
    <w:p>
      <w:pPr>
        <w:pStyle w:val="BookText"/>
        <w:bidi w:val="0"/>
        <w:jc w:val="both"/>
        <w:rPr/>
      </w:pPr>
      <w:r>
        <w:rPr>
          <w:rFonts w:eastAsia="Times New Roman" w:cs="Times New Roman" w:ascii="Times New Roman" w:hAnsi="Times New Roman"/>
          <w:color w:val="111111"/>
          <w:sz w:val="28"/>
          <w:szCs w:val="28"/>
          <w:lang w:val="en-US"/>
        </w:rPr>
        <w:t>Malah pembicaraan seputar posisi akal, baik secara positif maupun</w:t>
      </w:r>
    </w:p>
    <w:p>
      <w:pPr>
        <w:pStyle w:val="BookText"/>
        <w:bidi w:val="0"/>
        <w:jc w:val="both"/>
        <w:rPr/>
      </w:pPr>
      <w:r>
        <w:rPr>
          <w:rFonts w:eastAsia="Times New Roman" w:cs="Times New Roman" w:ascii="Times New Roman" w:hAnsi="Times New Roman"/>
          <w:color w:val="111111"/>
          <w:sz w:val="28"/>
          <w:szCs w:val="28"/>
          <w:lang w:val="en-US"/>
        </w:rPr>
        <w:t>negatif, menjadi mustahil bila tanpa intervensi akal. Maulawi (Mulla</w:t>
      </w:r>
    </w:p>
    <w:p>
      <w:pPr>
        <w:pStyle w:val="BookText"/>
        <w:bidi w:val="0"/>
        <w:jc w:val="both"/>
        <w:rPr/>
      </w:pPr>
      <w:r>
        <w:rPr>
          <w:rFonts w:eastAsia="Times New Roman" w:cs="Times New Roman" w:ascii="Times New Roman" w:hAnsi="Times New Roman"/>
          <w:color w:val="111111"/>
          <w:sz w:val="28"/>
          <w:szCs w:val="28"/>
          <w:lang w:val="en-US"/>
        </w:rPr>
        <w:t>Rumi) sendiri, dalam syair yang gubahannya untuk menyepelekan</w:t>
      </w:r>
    </w:p>
    <w:p>
      <w:pPr>
        <w:pStyle w:val="BookText"/>
        <w:bidi w:val="0"/>
        <w:jc w:val="both"/>
        <w:rPr/>
      </w:pPr>
      <w:r>
        <w:rPr>
          <w:rFonts w:eastAsia="Times New Roman" w:cs="Times New Roman" w:ascii="Times New Roman" w:hAnsi="Times New Roman"/>
          <w:color w:val="111111"/>
          <w:sz w:val="28"/>
          <w:szCs w:val="28"/>
          <w:lang w:val="en-US"/>
        </w:rPr>
        <w:t>bukti akal, menggunakan silogisme logis. Ya, dia senyatanya</w:t>
      </w:r>
    </w:p>
    <w:p>
      <w:pPr>
        <w:pStyle w:val="BookText"/>
        <w:bidi w:val="0"/>
        <w:jc w:val="both"/>
        <w:rPr/>
      </w:pPr>
      <w:r>
        <w:rPr>
          <w:rFonts w:eastAsia="Times New Roman" w:cs="Times New Roman" w:ascii="Times New Roman" w:hAnsi="Times New Roman"/>
          <w:color w:val="111111"/>
          <w:sz w:val="28"/>
          <w:szCs w:val="28"/>
          <w:lang w:val="en-US"/>
        </w:rPr>
        <w:t>melawan bukti akal dengan kekuatan akal itu sendiri. Demikian</w:t>
      </w:r>
    </w:p>
    <w:p>
      <w:pPr>
        <w:pStyle w:val="BookText"/>
        <w:bidi w:val="0"/>
        <w:jc w:val="both"/>
        <w:rPr/>
      </w:pPr>
      <w:r>
        <w:rPr>
          <w:rFonts w:eastAsia="Times New Roman" w:cs="Times New Roman" w:ascii="Times New Roman" w:hAnsi="Times New Roman"/>
          <w:color w:val="111111"/>
          <w:sz w:val="28"/>
          <w:szCs w:val="28"/>
          <w:lang w:val="en-US"/>
        </w:rPr>
        <w:t>pola</w:t>
      </w:r>
      <w:r>
        <w:rPr>
          <w:rStyle w:val="FootnoteAnchor"/>
        </w:rPr>
        <w:footnoteReference w:id="57"/>
      </w:r>
      <w:r>
        <w:rPr>
          <w:rFonts w:eastAsia="Times New Roman" w:cs="Times New Roman" w:ascii="Times New Roman" w:hAnsi="Times New Roman"/>
          <w:color w:val="111111"/>
          <w:sz w:val="28"/>
          <w:szCs w:val="28"/>
          <w:lang w:val="en-US"/>
        </w:rPr>
        <w:t>silogisme yang diajukannya: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Kaki juru bukti adalah kaki yang terbuat dari kayu.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Kaki yang terbuat dari kayu adalah kaki yang sungguh</w:t>
      </w:r>
    </w:p>
    <w:p>
      <w:pPr>
        <w:pStyle w:val="BookText"/>
        <w:bidi w:val="0"/>
        <w:jc w:val="both"/>
        <w:rPr/>
      </w:pPr>
      <w:r>
        <w:rPr>
          <w:rFonts w:eastAsia="Times New Roman" w:cs="Times New Roman" w:ascii="Times New Roman" w:hAnsi="Times New Roman"/>
          <w:color w:val="111111"/>
          <w:sz w:val="28"/>
          <w:szCs w:val="28"/>
          <w:lang w:val="en-US"/>
        </w:rPr>
        <w:t>rapuh.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Kaki juru bukti adalah kaki yang sungguh rapuh.</w:t>
      </w:r>
    </w:p>
    <w:p>
      <w:pPr>
        <w:pStyle w:val="BookText"/>
        <w:bidi w:val="0"/>
        <w:jc w:val="both"/>
        <w:rPr/>
      </w:pPr>
      <w:r>
        <w:rPr>
          <w:rFonts w:eastAsia="Times New Roman" w:cs="Times New Roman" w:ascii="Times New Roman" w:hAnsi="Times New Roman"/>
          <w:color w:val="111111"/>
          <w:sz w:val="28"/>
          <w:szCs w:val="28"/>
          <w:lang w:val="en-US"/>
        </w:rPr>
        <w:t>Ringkasnya, orang berakal sepatutnya tidak menutup mata ter-</w:t>
      </w:r>
    </w:p>
    <w:p>
      <w:pPr>
        <w:pStyle w:val="BookText"/>
        <w:bidi w:val="0"/>
        <w:jc w:val="both"/>
        <w:rPr/>
      </w:pPr>
      <w:r>
        <w:rPr>
          <w:rFonts w:eastAsia="Times New Roman" w:cs="Times New Roman" w:ascii="Times New Roman" w:hAnsi="Times New Roman"/>
          <w:color w:val="111111"/>
          <w:sz w:val="28"/>
          <w:szCs w:val="28"/>
          <w:lang w:val="en-US"/>
        </w:rPr>
        <w:t>hadap peran akal di ruang khusus wahyu atau mewajibkan agar akal</w:t>
      </w:r>
    </w:p>
    <w:p>
      <w:pPr>
        <w:pStyle w:val="BookText"/>
        <w:bidi w:val="0"/>
        <w:jc w:val="both"/>
        <w:rPr/>
      </w:pPr>
      <w:r>
        <w:rPr>
          <w:rFonts w:eastAsia="Times New Roman" w:cs="Times New Roman" w:ascii="Times New Roman" w:hAnsi="Times New Roman"/>
          <w:color w:val="111111"/>
          <w:sz w:val="28"/>
          <w:szCs w:val="28"/>
          <w:lang w:val="en-US"/>
        </w:rPr>
        <w:t>ditanggalkan demi agama. Setiap klaim yang sekilas dimaksudkan</w:t>
      </w:r>
    </w:p>
    <w:p>
      <w:pPr>
        <w:pStyle w:val="BookText"/>
        <w:bidi w:val="0"/>
        <w:jc w:val="both"/>
        <w:rPr/>
      </w:pPr>
      <w:r>
        <w:rPr>
          <w:rFonts w:eastAsia="Times New Roman" w:cs="Times New Roman" w:ascii="Times New Roman" w:hAnsi="Times New Roman"/>
          <w:color w:val="111111"/>
          <w:sz w:val="28"/>
          <w:szCs w:val="28"/>
          <w:lang w:val="en-US"/>
        </w:rPr>
        <w:t>untuk itu, bila diselidiki secara kritis, niscaya akan terbukti</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inkonsistensinya. Karena itu, perlu direnungkan dan ditelaah lebih </w:t>
      </w:r>
      <w:bookmarkStart w:id="86" w:name="pg5378_50452"/>
    </w:p>
    <w:p>
      <w:pPr>
        <w:pStyle w:val="BookText"/>
        <w:bidi w:val="0"/>
        <w:rPr/>
      </w:pPr>
      <w:bookmarkEnd w:id="86"/>
      <w:r>
        <w:rPr>
          <w:rFonts w:eastAsia="Times New Roman" w:cs="Times New Roman" w:ascii="Times New Roman" w:hAnsi="Times New Roman"/>
          <w:color w:val="111111"/>
          <w:sz w:val="28"/>
          <w:szCs w:val="28"/>
          <w:lang w:val="en-US"/>
        </w:rPr>
        <w:t>jauh: akal mana yang dicela pihak-pihak yang anti akal? Mungkinkah</w:t>
      </w:r>
    </w:p>
    <w:p>
      <w:pPr>
        <w:pStyle w:val="BookText"/>
        <w:bidi w:val="0"/>
        <w:jc w:val="both"/>
        <w:rPr/>
      </w:pPr>
      <w:r>
        <w:rPr>
          <w:rFonts w:eastAsia="Times New Roman" w:cs="Times New Roman" w:ascii="Times New Roman" w:hAnsi="Times New Roman"/>
          <w:color w:val="111111"/>
          <w:sz w:val="28"/>
          <w:szCs w:val="28"/>
          <w:lang w:val="en-US"/>
        </w:rPr>
        <w:t>diajukan sebuah kriteria yang cermat untuk mengenal akal terpuji</w:t>
      </w:r>
    </w:p>
    <w:p>
      <w:pPr>
        <w:pStyle w:val="BookText"/>
        <w:bidi w:val="0"/>
        <w:jc w:val="both"/>
        <w:rPr/>
      </w:pPr>
      <w:r>
        <w:rPr>
          <w:rFonts w:eastAsia="Times New Roman" w:cs="Times New Roman" w:ascii="Times New Roman" w:hAnsi="Times New Roman"/>
          <w:color w:val="111111"/>
          <w:sz w:val="28"/>
          <w:szCs w:val="28"/>
          <w:lang w:val="en-US"/>
        </w:rPr>
        <w:t>dan akal tercela?</w:t>
      </w:r>
    </w:p>
    <w:p>
      <w:pPr>
        <w:pStyle w:val="Heading3"/>
        <w:numPr>
          <w:ilvl w:val="2"/>
          <w:numId w:val="1"/>
        </w:numPr>
        <w:bidi w:val="0"/>
        <w:jc w:val="left"/>
        <w:rPr/>
      </w:pPr>
      <w:bookmarkStart w:id="87" w:name="__RefHeading___Toc1351108_581953129"/>
      <w:bookmarkStart w:id="88" w:name="_Toc33"/>
      <w:bookmarkEnd w:id="87"/>
      <w:r>
        <w:rPr/>
        <w:t>Akal, Sarana atau Sumber?</w:t>
      </w:r>
      <w:bookmarkEnd w:id="88"/>
    </w:p>
    <w:p>
      <w:pPr>
        <w:pStyle w:val="BookText"/>
        <w:bidi w:val="0"/>
        <w:jc w:val="both"/>
        <w:rPr/>
      </w:pPr>
      <w:r>
        <w:rPr>
          <w:rFonts w:eastAsia="Times New Roman" w:cs="Times New Roman" w:ascii="Times New Roman" w:hAnsi="Times New Roman"/>
          <w:color w:val="111111"/>
          <w:sz w:val="28"/>
          <w:szCs w:val="28"/>
          <w:lang w:val="en-US"/>
        </w:rPr>
        <w:t>Satu ide pokok yang penting diperhatikan dalam pembahasan ini</w:t>
      </w:r>
    </w:p>
    <w:p>
      <w:pPr>
        <w:pStyle w:val="BookText"/>
        <w:bidi w:val="0"/>
        <w:jc w:val="both"/>
        <w:rPr/>
      </w:pPr>
      <w:r>
        <w:rPr>
          <w:rFonts w:eastAsia="Times New Roman" w:cs="Times New Roman" w:ascii="Times New Roman" w:hAnsi="Times New Roman"/>
          <w:color w:val="111111"/>
          <w:sz w:val="28"/>
          <w:szCs w:val="28"/>
          <w:lang w:val="en-US"/>
        </w:rPr>
        <w:t>adalah kategorisasi akal sebagai daya/sarana dan sebagai sumber.</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Adakalanya daya akal digunakan untuk memahami Alquran dan</w:t>
      </w:r>
    </w:p>
    <w:p>
      <w:pPr>
        <w:pStyle w:val="BookText"/>
        <w:bidi w:val="0"/>
        <w:jc w:val="both"/>
        <w:rPr/>
      </w:pPr>
      <w:r>
        <w:rPr>
          <w:rFonts w:eastAsia="Times New Roman" w:cs="Times New Roman" w:ascii="Times New Roman" w:hAnsi="Times New Roman"/>
          <w:color w:val="111111"/>
          <w:sz w:val="28"/>
          <w:szCs w:val="28"/>
          <w:lang w:val="en-US"/>
        </w:rPr>
        <w:t>Sunah, serta dianggap sebagai sarana mengenali ajaran-ajaran wahyu.</w:t>
      </w:r>
    </w:p>
    <w:p>
      <w:pPr>
        <w:pStyle w:val="BookText"/>
        <w:bidi w:val="0"/>
        <w:jc w:val="both"/>
        <w:rPr/>
      </w:pPr>
      <w:r>
        <w:rPr>
          <w:rFonts w:eastAsia="Times New Roman" w:cs="Times New Roman" w:ascii="Times New Roman" w:hAnsi="Times New Roman"/>
          <w:color w:val="111111"/>
          <w:sz w:val="28"/>
          <w:szCs w:val="28"/>
          <w:lang w:val="en-US"/>
        </w:rPr>
        <w:t>Namun, tak jarang daya akal itu didudukkan di bangku pengadilan</w:t>
      </w:r>
    </w:p>
    <w:p>
      <w:pPr>
        <w:pStyle w:val="BookText"/>
        <w:bidi w:val="0"/>
        <w:jc w:val="both"/>
        <w:rPr/>
      </w:pPr>
      <w:r>
        <w:rPr>
          <w:rFonts w:eastAsia="Times New Roman" w:cs="Times New Roman" w:ascii="Times New Roman" w:hAnsi="Times New Roman"/>
          <w:color w:val="111111"/>
          <w:sz w:val="28"/>
          <w:szCs w:val="28"/>
          <w:lang w:val="en-US"/>
        </w:rPr>
        <w:t>dan dipersepsi sebagai sumber khas untuk memproduksi hukum</w:t>
      </w:r>
    </w:p>
    <w:p>
      <w:pPr>
        <w:pStyle w:val="BookText"/>
        <w:bidi w:val="0"/>
        <w:jc w:val="both"/>
        <w:rPr/>
      </w:pPr>
      <w:r>
        <w:rPr>
          <w:rFonts w:eastAsia="Times New Roman" w:cs="Times New Roman" w:ascii="Times New Roman" w:hAnsi="Times New Roman"/>
          <w:color w:val="111111"/>
          <w:sz w:val="28"/>
          <w:szCs w:val="28"/>
          <w:lang w:val="en-US"/>
        </w:rPr>
        <w:t>syariat.’</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Yang umumnya dipandang sebelah mata, bahkan dilecehkan,</w:t>
      </w:r>
    </w:p>
    <w:p>
      <w:pPr>
        <w:pStyle w:val="BookText"/>
        <w:bidi w:val="0"/>
        <w:jc w:val="both"/>
        <w:rPr/>
      </w:pPr>
      <w:r>
        <w:rPr>
          <w:rFonts w:eastAsia="Times New Roman" w:cs="Times New Roman" w:ascii="Times New Roman" w:hAnsi="Times New Roman"/>
          <w:color w:val="111111"/>
          <w:sz w:val="28"/>
          <w:szCs w:val="28"/>
          <w:lang w:val="en-US"/>
        </w:rPr>
        <w:t>posisinya, adalah akal sebagai sumber; bukan sebagai sarana</w:t>
      </w:r>
    </w:p>
    <w:p>
      <w:pPr>
        <w:pStyle w:val="BookText"/>
        <w:bidi w:val="0"/>
        <w:jc w:val="both"/>
        <w:rPr/>
      </w:pPr>
      <w:r>
        <w:rPr>
          <w:rFonts w:eastAsia="Times New Roman" w:cs="Times New Roman" w:ascii="Times New Roman" w:hAnsi="Times New Roman"/>
          <w:color w:val="111111"/>
          <w:sz w:val="28"/>
          <w:szCs w:val="28"/>
          <w:lang w:val="en-US"/>
        </w:rPr>
        <w:t>pengetahuan. Karena, setidaknya di kalangan pemikir Islam, tak</w:t>
      </w:r>
    </w:p>
    <w:p>
      <w:pPr>
        <w:pStyle w:val="BookText"/>
        <w:bidi w:val="0"/>
        <w:jc w:val="both"/>
        <w:rPr/>
      </w:pPr>
      <w:r>
        <w:rPr>
          <w:rFonts w:eastAsia="Times New Roman" w:cs="Times New Roman" w:ascii="Times New Roman" w:hAnsi="Times New Roman"/>
          <w:color w:val="111111"/>
          <w:sz w:val="28"/>
          <w:szCs w:val="28"/>
          <w:lang w:val="en-US"/>
        </w:rPr>
        <w:t>seorang pun yang berbeda pendapat tentang urgensi akal dalam</w:t>
      </w:r>
    </w:p>
    <w:p>
      <w:pPr>
        <w:pStyle w:val="BookText"/>
        <w:bidi w:val="0"/>
        <w:jc w:val="both"/>
        <w:rPr/>
      </w:pPr>
      <w:r>
        <w:rPr>
          <w:rFonts w:eastAsia="Times New Roman" w:cs="Times New Roman" w:ascii="Times New Roman" w:hAnsi="Times New Roman"/>
          <w:color w:val="111111"/>
          <w:sz w:val="28"/>
          <w:szCs w:val="28"/>
          <w:lang w:val="en-US"/>
        </w:rPr>
        <w:t>memahami Alquran dan Sunah. Kendati menurut sebagian tokoh</w:t>
      </w:r>
    </w:p>
    <w:p>
      <w:pPr>
        <w:pStyle w:val="BookText"/>
        <w:bidi w:val="0"/>
        <w:jc w:val="both"/>
        <w:rPr/>
      </w:pPr>
      <w:r>
        <w:rPr>
          <w:rFonts w:eastAsia="Times New Roman" w:cs="Times New Roman" w:ascii="Times New Roman" w:hAnsi="Times New Roman"/>
          <w:color w:val="111111"/>
          <w:sz w:val="28"/>
          <w:szCs w:val="28"/>
          <w:lang w:val="en-US"/>
        </w:rPr>
        <w:t>Kristen, posisi semacam ini juga disangkal akal. Mereka yakin, demi</w:t>
      </w:r>
    </w:p>
    <w:p>
      <w:pPr>
        <w:pStyle w:val="BookText"/>
        <w:bidi w:val="0"/>
        <w:jc w:val="both"/>
        <w:rPr/>
      </w:pPr>
      <w:r>
        <w:rPr>
          <w:rFonts w:eastAsia="Times New Roman" w:cs="Times New Roman" w:ascii="Times New Roman" w:hAnsi="Times New Roman"/>
          <w:color w:val="111111"/>
          <w:sz w:val="28"/>
          <w:szCs w:val="28"/>
          <w:lang w:val="en-US"/>
        </w:rPr>
        <w:t>meraih iman, pemahaman dan pemikiran harus ditepikan.</w:t>
      </w:r>
    </w:p>
    <w:p>
      <w:pPr>
        <w:pStyle w:val="Heading3"/>
        <w:numPr>
          <w:ilvl w:val="2"/>
          <w:numId w:val="1"/>
        </w:numPr>
        <w:bidi w:val="0"/>
        <w:jc w:val="left"/>
        <w:rPr/>
      </w:pPr>
      <w:bookmarkStart w:id="89" w:name="__RefHeading___Toc1351110_581953129"/>
      <w:bookmarkStart w:id="90" w:name="_Toc34"/>
      <w:bookmarkEnd w:id="89"/>
      <w:r>
        <w:rPr/>
        <w:t>Sarana, Bukan Sumber Pengetahuan</w:t>
      </w:r>
      <w:bookmarkEnd w:id="90"/>
    </w:p>
    <w:p>
      <w:pPr>
        <w:pStyle w:val="Heading4"/>
        <w:numPr>
          <w:ilvl w:val="3"/>
          <w:numId w:val="1"/>
        </w:numPr>
        <w:bidi w:val="0"/>
        <w:jc w:val="left"/>
        <w:rPr/>
      </w:pPr>
      <w:bookmarkStart w:id="91" w:name="__RefHeading___Toc1351112_581953129"/>
      <w:bookmarkStart w:id="92" w:name="_Toc35"/>
      <w:bookmarkEnd w:id="91"/>
      <w:r>
        <w:rPr/>
        <w:t>Point</w:t>
      </w:r>
      <w:bookmarkEnd w:id="92"/>
    </w:p>
    <w:p>
      <w:pPr>
        <w:pStyle w:val="BookText"/>
        <w:bidi w:val="0"/>
        <w:jc w:val="both"/>
        <w:rPr/>
      </w:pPr>
      <w:r>
        <w:rPr>
          <w:rFonts w:eastAsia="Times New Roman" w:cs="Times New Roman" w:ascii="Times New Roman" w:hAnsi="Times New Roman"/>
          <w:color w:val="111111"/>
          <w:sz w:val="28"/>
          <w:szCs w:val="28"/>
          <w:lang w:val="en-US"/>
        </w:rPr>
        <w:t>Boleh jadi klaim bahwa akal itu sumber pengetahuan ditengarai</w:t>
      </w:r>
    </w:p>
    <w:p>
      <w:pPr>
        <w:pStyle w:val="BookText"/>
        <w:bidi w:val="0"/>
        <w:jc w:val="both"/>
        <w:rPr/>
      </w:pPr>
      <w:r>
        <w:rPr>
          <w:rFonts w:eastAsia="Times New Roman" w:cs="Times New Roman" w:ascii="Times New Roman" w:hAnsi="Times New Roman"/>
          <w:color w:val="111111"/>
          <w:sz w:val="28"/>
          <w:szCs w:val="28"/>
          <w:lang w:val="en-US"/>
        </w:rPr>
        <w:t>muncul dari pola pikir yang mentah dan dangkal. Karena, akal</w:t>
      </w:r>
    </w:p>
    <w:p>
      <w:pPr>
        <w:pStyle w:val="BookText"/>
        <w:bidi w:val="0"/>
        <w:jc w:val="both"/>
        <w:rPr/>
      </w:pPr>
      <w:r>
        <w:rPr>
          <w:rFonts w:eastAsia="Times New Roman" w:cs="Times New Roman" w:ascii="Times New Roman" w:hAnsi="Times New Roman"/>
          <w:color w:val="111111"/>
          <w:sz w:val="28"/>
          <w:szCs w:val="28"/>
          <w:lang w:val="en-US"/>
        </w:rPr>
        <w:t>merupakan satu-satunya sarana yang memasilitasi manusia hingga</w:t>
      </w:r>
    </w:p>
    <w:p>
      <w:pPr>
        <w:pStyle w:val="BookText"/>
        <w:bidi w:val="0"/>
        <w:jc w:val="both"/>
        <w:rPr/>
      </w:pPr>
      <w:r>
        <w:rPr>
          <w:rFonts w:eastAsia="Times New Roman" w:cs="Times New Roman" w:ascii="Times New Roman" w:hAnsi="Times New Roman"/>
          <w:color w:val="111111"/>
          <w:sz w:val="28"/>
          <w:szCs w:val="28"/>
          <w:lang w:val="en-US"/>
        </w:rPr>
        <w:t>bisa mengakses berbagai pengetahuan melalui penelitian terhadap</w:t>
      </w:r>
    </w:p>
    <w:p>
      <w:pPr>
        <w:pStyle w:val="BookText"/>
        <w:bidi w:val="0"/>
        <w:jc w:val="both"/>
        <w:rPr/>
      </w:pPr>
      <w:r>
        <w:rPr>
          <w:rFonts w:eastAsia="Times New Roman" w:cs="Times New Roman" w:ascii="Times New Roman" w:hAnsi="Times New Roman"/>
          <w:color w:val="111111"/>
          <w:sz w:val="28"/>
          <w:szCs w:val="28"/>
          <w:lang w:val="en-US"/>
        </w:rPr>
        <w:t>sumber-sumbernya (seperti alam dan syariat). Seorang penulis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kontemporer menulis: </w:t>
      </w:r>
      <w:bookmarkStart w:id="93" w:name="pg5378_50454"/>
    </w:p>
    <w:p>
      <w:pPr>
        <w:pStyle w:val="BookText"/>
        <w:bidi w:val="0"/>
        <w:rPr/>
      </w:pPr>
      <w:bookmarkEnd w:id="93"/>
      <w:r>
        <w:rPr>
          <w:rFonts w:eastAsia="Times New Roman" w:cs="Times New Roman" w:ascii="Times New Roman" w:hAnsi="Times New Roman"/>
          <w:color w:val="111111"/>
          <w:sz w:val="28"/>
          <w:szCs w:val="28"/>
          <w:lang w:val="en-US"/>
        </w:rPr>
        <w:t>Pada dasarnya, akal dan wahyu tidak selaras, juga tidak sejenis.</w:t>
      </w:r>
    </w:p>
    <w:p>
      <w:pPr>
        <w:pStyle w:val="BookText"/>
        <w:bidi w:val="0"/>
        <w:jc w:val="both"/>
        <w:rPr/>
      </w:pPr>
      <w:r>
        <w:rPr>
          <w:rFonts w:eastAsia="Times New Roman" w:cs="Times New Roman" w:ascii="Times New Roman" w:hAnsi="Times New Roman"/>
          <w:color w:val="111111"/>
          <w:sz w:val="28"/>
          <w:szCs w:val="28"/>
          <w:lang w:val="en-US"/>
        </w:rPr>
        <w:t>Yang satu sarana, yang lain sumber. Kita berputar-putar dan</w:t>
      </w:r>
    </w:p>
    <w:p>
      <w:pPr>
        <w:pStyle w:val="BookText"/>
        <w:bidi w:val="0"/>
        <w:jc w:val="both"/>
        <w:rPr/>
      </w:pPr>
      <w:r>
        <w:rPr>
          <w:rFonts w:eastAsia="Times New Roman" w:cs="Times New Roman" w:ascii="Times New Roman" w:hAnsi="Times New Roman"/>
          <w:color w:val="111111"/>
          <w:sz w:val="28"/>
          <w:szCs w:val="28"/>
          <w:lang w:val="en-US"/>
        </w:rPr>
        <w:t>mencari yang satu dengan saran yang satunya lagi. Dengan</w:t>
      </w:r>
    </w:p>
    <w:p>
      <w:pPr>
        <w:pStyle w:val="BookText"/>
        <w:bidi w:val="0"/>
        <w:jc w:val="both"/>
        <w:rPr/>
      </w:pPr>
      <w:r>
        <w:rPr>
          <w:rFonts w:eastAsia="Times New Roman" w:cs="Times New Roman" w:ascii="Times New Roman" w:hAnsi="Times New Roman"/>
          <w:color w:val="111111"/>
          <w:sz w:val="28"/>
          <w:szCs w:val="28"/>
          <w:lang w:val="en-US"/>
        </w:rPr>
        <w:t>catatan penting, akal itu satu-satunya yang berjenis sarana;</w:t>
      </w:r>
    </w:p>
    <w:p>
      <w:pPr>
        <w:pStyle w:val="BookText"/>
        <w:bidi w:val="0"/>
        <w:jc w:val="both"/>
        <w:rPr/>
      </w:pPr>
      <w:r>
        <w:rPr>
          <w:rFonts w:eastAsia="Times New Roman" w:cs="Times New Roman" w:ascii="Times New Roman" w:hAnsi="Times New Roman"/>
          <w:color w:val="111111"/>
          <w:sz w:val="28"/>
          <w:szCs w:val="28"/>
          <w:lang w:val="en-US"/>
        </w:rPr>
        <w:t>sedangkan wahyu bukan satu-satunya yang berjenis sumber;</w:t>
      </w:r>
    </w:p>
    <w:p>
      <w:pPr>
        <w:pStyle w:val="BookText"/>
        <w:bidi w:val="0"/>
        <w:jc w:val="both"/>
        <w:rPr/>
      </w:pPr>
      <w:r>
        <w:rPr>
          <w:rFonts w:eastAsia="Times New Roman" w:cs="Times New Roman" w:ascii="Times New Roman" w:hAnsi="Times New Roman"/>
          <w:color w:val="111111"/>
          <w:sz w:val="28"/>
          <w:szCs w:val="28"/>
          <w:lang w:val="en-US"/>
        </w:rPr>
        <w:t>melainkan hanya salah satu dari sekian sumber lain ... seperti:</w:t>
      </w:r>
    </w:p>
    <w:p>
      <w:pPr>
        <w:pStyle w:val="BookText"/>
        <w:bidi w:val="0"/>
        <w:jc w:val="both"/>
        <w:rPr/>
      </w:pPr>
      <w:r>
        <w:rPr>
          <w:rFonts w:eastAsia="Times New Roman" w:cs="Times New Roman" w:ascii="Times New Roman" w:hAnsi="Times New Roman"/>
          <w:color w:val="111111"/>
          <w:sz w:val="28"/>
          <w:szCs w:val="28"/>
          <w:lang w:val="en-US"/>
        </w:rPr>
        <w:t>alam, masyarakat, dan sejarah."</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Dari perspektif ini, upaya menilai akal sebagai satu dari</w:t>
      </w:r>
    </w:p>
    <w:p>
      <w:pPr>
        <w:pStyle w:val="BookText"/>
        <w:bidi w:val="0"/>
        <w:jc w:val="both"/>
        <w:rPr/>
      </w:pPr>
      <w:r>
        <w:rPr>
          <w:rFonts w:eastAsia="Times New Roman" w:cs="Times New Roman" w:ascii="Times New Roman" w:hAnsi="Times New Roman"/>
          <w:color w:val="111111"/>
          <w:sz w:val="28"/>
          <w:szCs w:val="28"/>
          <w:lang w:val="en-US"/>
        </w:rPr>
        <w:t>empat sumber deduksi hukum dan wacana seputar nilai-buktinya</w:t>
      </w:r>
    </w:p>
    <w:p>
      <w:pPr>
        <w:pStyle w:val="BookText"/>
        <w:bidi w:val="0"/>
        <w:jc w:val="both"/>
        <w:rPr/>
      </w:pPr>
      <w:r>
        <w:rPr>
          <w:rFonts w:eastAsia="Times New Roman" w:cs="Times New Roman" w:ascii="Times New Roman" w:hAnsi="Times New Roman"/>
          <w:color w:val="111111"/>
          <w:sz w:val="28"/>
          <w:szCs w:val="28"/>
          <w:lang w:val="en-US"/>
        </w:rPr>
        <w:t>hanyalah sia-sia belaka. Karena, bagaimana mungkin sesuatu yang</w:t>
      </w:r>
    </w:p>
    <w:p>
      <w:pPr>
        <w:pStyle w:val="BookText"/>
        <w:bidi w:val="0"/>
        <w:jc w:val="both"/>
        <w:rPr/>
      </w:pPr>
      <w:r>
        <w:rPr>
          <w:rFonts w:eastAsia="Times New Roman" w:cs="Times New Roman" w:ascii="Times New Roman" w:hAnsi="Times New Roman"/>
          <w:color w:val="111111"/>
          <w:sz w:val="28"/>
          <w:szCs w:val="28"/>
          <w:lang w:val="en-US"/>
        </w:rPr>
        <w:t>hanya berupa sarana mampu memproduksi pengetahuan tanpa</w:t>
      </w:r>
    </w:p>
    <w:p>
      <w:pPr>
        <w:pStyle w:val="BookText"/>
        <w:bidi w:val="0"/>
        <w:jc w:val="both"/>
        <w:rPr/>
      </w:pPr>
      <w:r>
        <w:rPr>
          <w:rFonts w:eastAsia="Times New Roman" w:cs="Times New Roman" w:ascii="Times New Roman" w:hAnsi="Times New Roman"/>
          <w:color w:val="111111"/>
          <w:sz w:val="28"/>
          <w:szCs w:val="28"/>
          <w:lang w:val="en-US"/>
        </w:rPr>
        <w:t>menggunakan sumber-sumbernya, yang karena itu lantas_ nilai-</w:t>
      </w:r>
    </w:p>
    <w:p>
      <w:pPr>
        <w:pStyle w:val="BookText"/>
        <w:bidi w:val="0"/>
        <w:jc w:val="both"/>
        <w:rPr/>
      </w:pPr>
      <w:r>
        <w:rPr>
          <w:rFonts w:eastAsia="Times New Roman" w:cs="Times New Roman" w:ascii="Times New Roman" w:hAnsi="Times New Roman"/>
          <w:color w:val="111111"/>
          <w:sz w:val="28"/>
          <w:szCs w:val="28"/>
          <w:lang w:val="en-US"/>
        </w:rPr>
        <w:t>buktinya dapat diandaikan ada? Ini sama dengan mengatakan</w:t>
      </w:r>
    </w:p>
    <w:p>
      <w:pPr>
        <w:pStyle w:val="BookText"/>
        <w:bidi w:val="0"/>
        <w:jc w:val="both"/>
        <w:rPr/>
      </w:pPr>
      <w:r>
        <w:rPr>
          <w:rFonts w:eastAsia="Times New Roman" w:cs="Times New Roman" w:ascii="Times New Roman" w:hAnsi="Times New Roman"/>
          <w:color w:val="111111"/>
          <w:sz w:val="28"/>
          <w:szCs w:val="28"/>
          <w:lang w:val="en-US"/>
        </w:rPr>
        <w:t>sumber makanan manusia terdiri dari daging, buah-buahan, dan</w:t>
      </w:r>
    </w:p>
    <w:p>
      <w:pPr>
        <w:pStyle w:val="BookText"/>
        <w:bidi w:val="0"/>
        <w:jc w:val="both"/>
        <w:rPr/>
      </w:pPr>
      <w:r>
        <w:rPr>
          <w:rFonts w:eastAsia="Times New Roman" w:cs="Times New Roman" w:ascii="Times New Roman" w:hAnsi="Times New Roman"/>
          <w:color w:val="111111"/>
          <w:sz w:val="28"/>
          <w:szCs w:val="28"/>
          <w:lang w:val="en-US"/>
        </w:rPr>
        <w:t>Organ pencernaan, lalu disimpulkan bahwa keberadaan organ</w:t>
      </w:r>
    </w:p>
    <w:p>
      <w:pPr>
        <w:pStyle w:val="BookText"/>
        <w:bidi w:val="0"/>
        <w:jc w:val="both"/>
        <w:rPr/>
      </w:pPr>
      <w:r>
        <w:rPr>
          <w:rFonts w:eastAsia="Times New Roman" w:cs="Times New Roman" w:ascii="Times New Roman" w:hAnsi="Times New Roman"/>
          <w:color w:val="111111"/>
          <w:sz w:val="28"/>
          <w:szCs w:val="28"/>
          <w:lang w:val="en-US"/>
        </w:rPr>
        <w:t>pencerna sudah memenuhi seluruh kebutuhan makanan manusia.</w:t>
      </w:r>
    </w:p>
    <w:p>
      <w:pPr>
        <w:pStyle w:val="BookText"/>
        <w:bidi w:val="0"/>
        <w:jc w:val="both"/>
        <w:rPr/>
      </w:pPr>
      <w:r>
        <w:rPr>
          <w:rFonts w:eastAsia="Times New Roman" w:cs="Times New Roman" w:ascii="Times New Roman" w:hAnsi="Times New Roman"/>
          <w:color w:val="111111"/>
          <w:sz w:val="28"/>
          <w:szCs w:val="28"/>
          <w:lang w:val="en-US"/>
        </w:rPr>
        <w:t>Asumsinya, masing-masing sumber itu otonom sehingga dengan</w:t>
      </w:r>
    </w:p>
    <w:p>
      <w:pPr>
        <w:pStyle w:val="BookText"/>
        <w:bidi w:val="0"/>
        <w:jc w:val="both"/>
        <w:rPr/>
      </w:pPr>
      <w:r>
        <w:rPr>
          <w:rFonts w:eastAsia="Times New Roman" w:cs="Times New Roman" w:ascii="Times New Roman" w:hAnsi="Times New Roman"/>
          <w:color w:val="111111"/>
          <w:sz w:val="28"/>
          <w:szCs w:val="28"/>
          <w:lang w:val="en-US"/>
        </w:rPr>
        <w:t>sendirinya menutupi seluruh kebutuhan makan manusia, padahal</w:t>
      </w:r>
    </w:p>
    <w:p>
      <w:pPr>
        <w:pStyle w:val="BookText"/>
        <w:bidi w:val="0"/>
        <w:jc w:val="both"/>
        <w:rPr/>
      </w:pPr>
      <w:r>
        <w:rPr>
          <w:rFonts w:eastAsia="Times New Roman" w:cs="Times New Roman" w:ascii="Times New Roman" w:hAnsi="Times New Roman"/>
          <w:color w:val="111111"/>
          <w:sz w:val="28"/>
          <w:szCs w:val="28"/>
          <w:lang w:val="en-US"/>
        </w:rPr>
        <w:t>organ pencerna hanyalah sarana, bukan sumber, makanan.</w:t>
      </w:r>
    </w:p>
    <w:p>
      <w:pPr>
        <w:pStyle w:val="Heading4"/>
        <w:numPr>
          <w:ilvl w:val="3"/>
          <w:numId w:val="1"/>
        </w:numPr>
        <w:bidi w:val="0"/>
        <w:jc w:val="left"/>
        <w:rPr/>
      </w:pPr>
      <w:bookmarkStart w:id="94" w:name="__RefHeading___Toc1351114_581953129"/>
      <w:bookmarkStart w:id="95" w:name="_Toc36"/>
      <w:bookmarkEnd w:id="94"/>
      <w:r>
        <w:rPr/>
        <w:t>Point</w:t>
      </w:r>
      <w:bookmarkEnd w:id="95"/>
    </w:p>
    <w:p>
      <w:pPr>
        <w:pStyle w:val="BookText"/>
        <w:bidi w:val="0"/>
        <w:jc w:val="both"/>
        <w:rPr/>
      </w:pPr>
      <w:r>
        <w:rPr>
          <w:rFonts w:eastAsia="Times New Roman" w:cs="Times New Roman" w:ascii="Times New Roman" w:hAnsi="Times New Roman"/>
          <w:color w:val="111111"/>
          <w:sz w:val="28"/>
          <w:szCs w:val="28"/>
          <w:lang w:val="en-US"/>
        </w:rPr>
        <w:t>Analisis</w:t>
      </w:r>
    </w:p>
    <w:p>
      <w:pPr>
        <w:pStyle w:val="BookText"/>
        <w:bidi w:val="0"/>
        <w:jc w:val="both"/>
        <w:rPr/>
      </w:pPr>
      <w:r>
        <w:rPr>
          <w:rFonts w:eastAsia="Times New Roman" w:cs="Times New Roman" w:ascii="Times New Roman" w:hAnsi="Times New Roman"/>
          <w:color w:val="111111"/>
          <w:sz w:val="28"/>
          <w:szCs w:val="28"/>
          <w:lang w:val="en-US"/>
        </w:rPr>
        <w:t>Kritik di atas ini tidak dapat diterima, setidaknya dengan dua</w:t>
      </w:r>
    </w:p>
    <w:p>
      <w:pPr>
        <w:pStyle w:val="BookText"/>
        <w:bidi w:val="0"/>
        <w:jc w:val="both"/>
        <w:rPr/>
      </w:pPr>
      <w:r>
        <w:rPr>
          <w:rFonts w:eastAsia="Times New Roman" w:cs="Times New Roman" w:ascii="Times New Roman" w:hAnsi="Times New Roman"/>
          <w:color w:val="111111"/>
          <w:sz w:val="28"/>
          <w:szCs w:val="28"/>
          <w:lang w:val="en-US"/>
        </w:rPr>
        <w:t>alasan:</w:t>
      </w:r>
    </w:p>
    <w:p>
      <w:pPr>
        <w:pStyle w:val="BookText"/>
        <w:bidi w:val="0"/>
        <w:jc w:val="both"/>
        <w:rPr/>
      </w:pPr>
      <w:r>
        <w:rPr>
          <w:rFonts w:eastAsia="Times New Roman" w:cs="Times New Roman" w:ascii="Times New Roman" w:hAnsi="Times New Roman"/>
          <w:color w:val="111111"/>
          <w:sz w:val="28"/>
          <w:szCs w:val="28"/>
          <w:lang w:val="en-US"/>
        </w:rPr>
        <w:t>Pertama, pada dua dimensinya sekaligus, entah teoretis ataupun</w:t>
      </w:r>
    </w:p>
    <w:p>
      <w:pPr>
        <w:pStyle w:val="BookText"/>
        <w:bidi w:val="0"/>
        <w:jc w:val="both"/>
        <w:rPr/>
      </w:pPr>
      <w:r>
        <w:rPr>
          <w:rFonts w:eastAsia="Times New Roman" w:cs="Times New Roman" w:ascii="Times New Roman" w:hAnsi="Times New Roman"/>
          <w:color w:val="111111"/>
          <w:sz w:val="28"/>
          <w:szCs w:val="28"/>
          <w:lang w:val="en-US"/>
        </w:rPr>
        <w:t>praktis, akal secara inheren sudah mengetahui hal-hal badihi atau</w:t>
      </w:r>
    </w:p>
    <w:p>
      <w:pPr>
        <w:pStyle w:val="BookText"/>
        <w:bidi w:val="0"/>
        <w:jc w:val="both"/>
        <w:rPr/>
      </w:pPr>
      <w:r>
        <w:rPr>
          <w:rFonts w:eastAsia="Times New Roman" w:cs="Times New Roman" w:ascii="Times New Roman" w:hAnsi="Times New Roman"/>
          <w:color w:val="111111"/>
          <w:sz w:val="28"/>
          <w:szCs w:val="28"/>
          <w:lang w:val="en-US"/>
        </w:rPr>
        <w:t>aksioma yang bersifat apriori. Artinya, hal-hal itu sudah terinstalasi</w:t>
      </w:r>
    </w:p>
    <w:p>
      <w:pPr>
        <w:pStyle w:val="BookText"/>
        <w:bidi w:val="0"/>
        <w:jc w:val="both"/>
        <w:rPr/>
      </w:pPr>
      <w:r>
        <w:rPr>
          <w:rFonts w:eastAsia="Times New Roman" w:cs="Times New Roman" w:ascii="Times New Roman" w:hAnsi="Times New Roman"/>
          <w:color w:val="111111"/>
          <w:sz w:val="28"/>
          <w:szCs w:val="28"/>
          <w:lang w:val="en-US"/>
        </w:rPr>
        <w:t>dalam substansi manusia secara bawaan (fitriah) sebelum berinteraksi</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alam eksternal, Karena itu, dengan berlandas pada rangkaian </w:t>
      </w:r>
      <w:bookmarkStart w:id="96" w:name="pg5378_50456"/>
    </w:p>
    <w:p>
      <w:pPr>
        <w:pStyle w:val="BookText"/>
        <w:bidi w:val="0"/>
        <w:rPr/>
      </w:pPr>
      <w:bookmarkEnd w:id="96"/>
      <w:r>
        <w:rPr>
          <w:rFonts w:eastAsia="Times New Roman" w:cs="Times New Roman" w:ascii="Times New Roman" w:hAnsi="Times New Roman"/>
          <w:color w:val="111111"/>
          <w:sz w:val="28"/>
          <w:szCs w:val="28"/>
          <w:lang w:val="en-US"/>
        </w:rPr>
        <w:t>pengetahuan bawaannya, akal mampu memproduksi pengetahuan</w:t>
      </w:r>
    </w:p>
    <w:p>
      <w:pPr>
        <w:pStyle w:val="BookText"/>
        <w:bidi w:val="0"/>
        <w:jc w:val="both"/>
        <w:rPr/>
      </w:pPr>
      <w:r>
        <w:rPr>
          <w:rFonts w:eastAsia="Times New Roman" w:cs="Times New Roman" w:ascii="Times New Roman" w:hAnsi="Times New Roman"/>
          <w:color w:val="111111"/>
          <w:sz w:val="28"/>
          <w:szCs w:val="28"/>
          <w:lang w:val="en-US"/>
        </w:rPr>
        <w:t>baru dan, dengan demikian, akan tergolong sebagai “sumber”</w:t>
      </w:r>
    </w:p>
    <w:p>
      <w:pPr>
        <w:pStyle w:val="BookText"/>
        <w:bidi w:val="0"/>
        <w:jc w:val="both"/>
        <w:rPr/>
      </w:pPr>
      <w:r>
        <w:rPr>
          <w:rFonts w:eastAsia="Times New Roman" w:cs="Times New Roman" w:ascii="Times New Roman" w:hAnsi="Times New Roman"/>
          <w:color w:val="111111"/>
          <w:sz w:val="28"/>
          <w:szCs w:val="28"/>
          <w:lang w:val="en-US"/>
        </w:rPr>
        <w:t>independen dalam proses deduksi hukum keagamaan.</w:t>
      </w:r>
    </w:p>
    <w:p>
      <w:pPr>
        <w:pStyle w:val="BookText"/>
        <w:bidi w:val="0"/>
        <w:jc w:val="both"/>
        <w:rPr/>
      </w:pPr>
      <w:r>
        <w:rPr>
          <w:rFonts w:eastAsia="Times New Roman" w:cs="Times New Roman" w:ascii="Times New Roman" w:hAnsi="Times New Roman"/>
          <w:color w:val="111111"/>
          <w:sz w:val="28"/>
          <w:szCs w:val="28"/>
          <w:lang w:val="en-US"/>
        </w:rPr>
        <w:t>Kedua, sebagaimana diakui si penulis di akhir pernyataannya,</w:t>
      </w:r>
    </w:p>
    <w:p>
      <w:pPr>
        <w:pStyle w:val="BookText"/>
        <w:bidi w:val="0"/>
        <w:jc w:val="both"/>
        <w:rPr/>
      </w:pPr>
      <w:r>
        <w:rPr>
          <w:rFonts w:eastAsia="Times New Roman" w:cs="Times New Roman" w:ascii="Times New Roman" w:hAnsi="Times New Roman"/>
          <w:color w:val="111111"/>
          <w:sz w:val="28"/>
          <w:szCs w:val="28"/>
          <w:lang w:val="en-US"/>
        </w:rPr>
        <w:t>akal sebagai sumber dapat diartikan “hlmpunan pengetahuan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akal sarana’ dari sumber-sumber nonwahyu”. Dengan kata lain,</w:t>
      </w:r>
    </w:p>
    <w:p>
      <w:pPr>
        <w:pStyle w:val="BookText"/>
        <w:bidi w:val="0"/>
        <w:jc w:val="both"/>
        <w:rPr/>
      </w:pPr>
      <w:r>
        <w:rPr>
          <w:rFonts w:eastAsia="Times New Roman" w:cs="Times New Roman" w:ascii="Times New Roman" w:hAnsi="Times New Roman"/>
          <w:color w:val="111111"/>
          <w:sz w:val="28"/>
          <w:szCs w:val="28"/>
          <w:lang w:val="en-US"/>
        </w:rPr>
        <w:t>pikiran manusia adakalanya menjelajahi isi Alquran dan Sunah</w:t>
      </w:r>
    </w:p>
    <w:p>
      <w:pPr>
        <w:pStyle w:val="BookText"/>
        <w:bidi w:val="0"/>
        <w:jc w:val="both"/>
        <w:rPr/>
      </w:pPr>
      <w:r>
        <w:rPr>
          <w:rFonts w:eastAsia="Times New Roman" w:cs="Times New Roman" w:ascii="Times New Roman" w:hAnsi="Times New Roman"/>
          <w:color w:val="111111"/>
          <w:sz w:val="28"/>
          <w:szCs w:val="28"/>
          <w:lang w:val="en-US"/>
        </w:rPr>
        <w:t>hingga menemukan hukum Ilahi; adakalanya pula menelaah objek</w:t>
      </w:r>
    </w:p>
    <w:p>
      <w:pPr>
        <w:pStyle w:val="BookText"/>
        <w:bidi w:val="0"/>
        <w:jc w:val="both"/>
        <w:rPr/>
      </w:pPr>
      <w:r>
        <w:rPr>
          <w:rFonts w:eastAsia="Times New Roman" w:cs="Times New Roman" w:ascii="Times New Roman" w:hAnsi="Times New Roman"/>
          <w:color w:val="111111"/>
          <w:sz w:val="28"/>
          <w:szCs w:val="28"/>
          <w:lang w:val="en-US"/>
        </w:rPr>
        <w:t>pengetahuan lain, semisal alam, hingga memperoleh pengetahuan</w:t>
      </w:r>
    </w:p>
    <w:p>
      <w:pPr>
        <w:pStyle w:val="BookText"/>
        <w:bidi w:val="0"/>
        <w:jc w:val="both"/>
        <w:rPr/>
      </w:pPr>
      <w:r>
        <w:rPr>
          <w:rFonts w:eastAsia="Times New Roman" w:cs="Times New Roman" w:ascii="Times New Roman" w:hAnsi="Times New Roman"/>
          <w:color w:val="111111"/>
          <w:sz w:val="28"/>
          <w:szCs w:val="28"/>
          <w:lang w:val="en-US"/>
        </w:rPr>
        <w:t>baru. Pada kasus pertama, akal hanya berupa sarana. Sedangkan</w:t>
      </w:r>
    </w:p>
    <w:p>
      <w:pPr>
        <w:pStyle w:val="BookText"/>
        <w:bidi w:val="0"/>
        <w:jc w:val="both"/>
        <w:rPr/>
      </w:pPr>
      <w:r>
        <w:rPr>
          <w:rFonts w:eastAsia="Times New Roman" w:cs="Times New Roman" w:ascii="Times New Roman" w:hAnsi="Times New Roman"/>
          <w:color w:val="111111"/>
          <w:sz w:val="28"/>
          <w:szCs w:val="28"/>
          <w:lang w:val="en-US"/>
        </w:rPr>
        <w:t>pada kasus kedua, selain sarana, akal juga tergolong salah satu</w:t>
      </w:r>
    </w:p>
    <w:p>
      <w:pPr>
        <w:pStyle w:val="BookText"/>
        <w:bidi w:val="0"/>
        <w:jc w:val="both"/>
        <w:rPr/>
      </w:pPr>
      <w:r>
        <w:rPr>
          <w:rFonts w:eastAsia="Times New Roman" w:cs="Times New Roman" w:ascii="Times New Roman" w:hAnsi="Times New Roman"/>
          <w:color w:val="111111"/>
          <w:sz w:val="28"/>
          <w:szCs w:val="28"/>
          <w:lang w:val="en-US"/>
        </w:rPr>
        <w:t>sumber pengetahuan. Alasan ini kiranya relevan jika dikombinasikan</w:t>
      </w:r>
    </w:p>
    <w:p>
      <w:pPr>
        <w:pStyle w:val="BookText"/>
        <w:bidi w:val="0"/>
        <w:jc w:val="both"/>
        <w:rPr/>
      </w:pPr>
      <w:r>
        <w:rPr>
          <w:rFonts w:eastAsia="Times New Roman" w:cs="Times New Roman" w:ascii="Times New Roman" w:hAnsi="Times New Roman"/>
          <w:color w:val="111111"/>
          <w:sz w:val="28"/>
          <w:szCs w:val="28"/>
          <w:lang w:val="en-US"/>
        </w:rPr>
        <w:t>dengan makna umum akal yang telah kami sebutkan pada Bab 1 dan</w:t>
      </w:r>
    </w:p>
    <w:p>
      <w:pPr>
        <w:pStyle w:val="BookText"/>
        <w:bidi w:val="0"/>
        <w:jc w:val="both"/>
        <w:rPr/>
      </w:pPr>
      <w:r>
        <w:rPr>
          <w:rFonts w:eastAsia="Times New Roman" w:cs="Times New Roman" w:ascii="Times New Roman" w:hAnsi="Times New Roman"/>
          <w:color w:val="111111"/>
          <w:sz w:val="28"/>
          <w:szCs w:val="28"/>
          <w:lang w:val="en-US"/>
        </w:rPr>
        <w:t>mencakup seluruh pengetahuan nonwahyu.</w:t>
      </w:r>
    </w:p>
    <w:p>
      <w:pPr>
        <w:pStyle w:val="Heading3"/>
        <w:numPr>
          <w:ilvl w:val="2"/>
          <w:numId w:val="1"/>
        </w:numPr>
        <w:bidi w:val="0"/>
        <w:jc w:val="left"/>
        <w:rPr/>
      </w:pPr>
      <w:bookmarkStart w:id="97" w:name="__RefHeading___Toc1351116_581953129"/>
      <w:bookmarkStart w:id="98" w:name="_Toc37"/>
      <w:bookmarkEnd w:id="97"/>
      <w:r>
        <w:rPr/>
        <w:t>Akal di Kalangan Kaum Arif</w:t>
      </w:r>
      <w:bookmarkEnd w:id="98"/>
    </w:p>
    <w:p>
      <w:pPr>
        <w:pStyle w:val="Heading4"/>
        <w:numPr>
          <w:ilvl w:val="3"/>
          <w:numId w:val="1"/>
        </w:numPr>
        <w:bidi w:val="0"/>
        <w:jc w:val="left"/>
        <w:rPr/>
      </w:pPr>
      <w:bookmarkStart w:id="99" w:name="__RefHeading___Toc1351118_581953129"/>
      <w:bookmarkStart w:id="100" w:name="_Toc38"/>
      <w:bookmarkEnd w:id="99"/>
      <w:r>
        <w:rPr/>
        <w:t>Point</w:t>
      </w:r>
      <w:bookmarkEnd w:id="100"/>
    </w:p>
    <w:p>
      <w:pPr>
        <w:pStyle w:val="BookText"/>
        <w:bidi w:val="0"/>
        <w:jc w:val="both"/>
        <w:rPr/>
      </w:pPr>
      <w:r>
        <w:rPr>
          <w:rFonts w:eastAsia="Times New Roman" w:cs="Times New Roman" w:ascii="Times New Roman" w:hAnsi="Times New Roman"/>
          <w:color w:val="111111"/>
          <w:sz w:val="28"/>
          <w:szCs w:val="28"/>
          <w:lang w:val="en-US"/>
        </w:rPr>
        <w:t>Seperti dijelaskan sebelumnya, untuk memperoleh pengetahuan—</w:t>
      </w:r>
    </w:p>
    <w:p>
      <w:pPr>
        <w:pStyle w:val="BookText"/>
        <w:bidi w:val="0"/>
        <w:jc w:val="both"/>
        <w:rPr/>
      </w:pPr>
      <w:r>
        <w:rPr>
          <w:rFonts w:eastAsia="Times New Roman" w:cs="Times New Roman" w:ascii="Times New Roman" w:hAnsi="Times New Roman"/>
          <w:color w:val="111111"/>
          <w:sz w:val="28"/>
          <w:szCs w:val="28"/>
          <w:lang w:val="en-US"/>
        </w:rPr>
        <w:t>di luar wahyu yang hanya terbuka untuk kalangan tertentu—</w:t>
      </w:r>
    </w:p>
    <w:p>
      <w:pPr>
        <w:pStyle w:val="BookText"/>
        <w:bidi w:val="0"/>
        <w:jc w:val="both"/>
        <w:rPr/>
      </w:pPr>
      <w:r>
        <w:rPr>
          <w:rFonts w:eastAsia="Times New Roman" w:cs="Times New Roman" w:ascii="Times New Roman" w:hAnsi="Times New Roman"/>
          <w:color w:val="111111"/>
          <w:sz w:val="28"/>
          <w:szCs w:val="28"/>
          <w:lang w:val="en-US"/>
        </w:rPr>
        <w:t>manusia memiliki alat indra, akal, dan intuisi sebagai sarana kasyf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penyingkapan hakikat’. Sepanjang sejarah, sangat banyak ilmuwan</w:t>
      </w:r>
    </w:p>
    <w:p>
      <w:pPr>
        <w:pStyle w:val="BookText"/>
        <w:bidi w:val="0"/>
        <w:jc w:val="both"/>
        <w:rPr/>
      </w:pPr>
      <w:r>
        <w:rPr>
          <w:rFonts w:eastAsia="Times New Roman" w:cs="Times New Roman" w:ascii="Times New Roman" w:hAnsi="Times New Roman"/>
          <w:color w:val="111111"/>
          <w:sz w:val="28"/>
          <w:szCs w:val="28"/>
          <w:lang w:val="en-US"/>
        </w:rPr>
        <w:t>yang mengakui sarana-sarana pengetahuan tersebut. Usaha mereka</w:t>
      </w:r>
    </w:p>
    <w:p>
      <w:pPr>
        <w:pStyle w:val="BookText"/>
        <w:bidi w:val="0"/>
        <w:jc w:val="both"/>
        <w:rPr/>
      </w:pPr>
      <w:r>
        <w:rPr>
          <w:rFonts w:eastAsia="Times New Roman" w:cs="Times New Roman" w:ascii="Times New Roman" w:hAnsi="Times New Roman"/>
          <w:color w:val="111111"/>
          <w:sz w:val="28"/>
          <w:szCs w:val="28"/>
          <w:lang w:val="en-US"/>
        </w:rPr>
        <w:t>untuk mengharmonikannya juga layak diacungi jempol. Ibnu Sina,</w:t>
      </w:r>
    </w:p>
    <w:p>
      <w:pPr>
        <w:pStyle w:val="BookText"/>
        <w:bidi w:val="0"/>
        <w:jc w:val="both"/>
        <w:rPr/>
      </w:pPr>
      <w:r>
        <w:rPr>
          <w:rFonts w:eastAsia="Times New Roman" w:cs="Times New Roman" w:ascii="Times New Roman" w:hAnsi="Times New Roman"/>
          <w:color w:val="111111"/>
          <w:sz w:val="28"/>
          <w:szCs w:val="28"/>
          <w:lang w:val="en-US"/>
        </w:rPr>
        <w:t>tokoh filsuf Peripatetis Islam, misalnya, cenderung mengandalkan</w:t>
      </w:r>
    </w:p>
    <w:p>
      <w:pPr>
        <w:pStyle w:val="BookText"/>
        <w:bidi w:val="0"/>
        <w:jc w:val="both"/>
        <w:rPr/>
      </w:pPr>
      <w:r>
        <w:rPr>
          <w:rFonts w:eastAsia="Times New Roman" w:cs="Times New Roman" w:ascii="Times New Roman" w:hAnsi="Times New Roman"/>
          <w:color w:val="111111"/>
          <w:sz w:val="28"/>
          <w:szCs w:val="28"/>
          <w:lang w:val="en-US"/>
        </w:rPr>
        <w:t>akal dan pembuktian logis. Namun pada saat yang sama, dia tidak</w:t>
      </w:r>
    </w:p>
    <w:p>
      <w:pPr>
        <w:pStyle w:val="BookText"/>
        <w:bidi w:val="0"/>
        <w:jc w:val="both"/>
        <w:rPr/>
      </w:pPr>
      <w:r>
        <w:rPr>
          <w:rFonts w:eastAsia="Times New Roman" w:cs="Times New Roman" w:ascii="Times New Roman" w:hAnsi="Times New Roman"/>
          <w:color w:val="111111"/>
          <w:sz w:val="28"/>
          <w:szCs w:val="28"/>
          <w:lang w:val="en-US"/>
        </w:rPr>
        <w:t>menyepelekan intuisi atau proses penyingkapan. Posisi dan kondisi</w:t>
      </w:r>
    </w:p>
    <w:p>
      <w:pPr>
        <w:pStyle w:val="BookText"/>
        <w:bidi w:val="0"/>
        <w:jc w:val="both"/>
        <w:rPr/>
      </w:pPr>
      <w:r>
        <w:rPr>
          <w:rFonts w:eastAsia="Times New Roman" w:cs="Times New Roman" w:ascii="Times New Roman" w:hAnsi="Times New Roman"/>
          <w:color w:val="111111"/>
          <w:sz w:val="28"/>
          <w:szCs w:val="28"/>
          <w:lang w:val="en-US"/>
        </w:rPr>
        <w:t>kaum arif diklasifikasikan secara sistematis dalam karya filosofisnya</w:t>
      </w:r>
    </w:p>
    <w:p>
      <w:pPr>
        <w:pStyle w:val="BookText"/>
        <w:bidi w:val="0"/>
        <w:jc w:val="both"/>
        <w:rPr/>
      </w:pPr>
      <w:r>
        <w:rPr>
          <w:rFonts w:eastAsia="Times New Roman" w:cs="Times New Roman" w:ascii="Times New Roman" w:hAnsi="Times New Roman"/>
          <w:color w:val="111111"/>
          <w:sz w:val="28"/>
          <w:szCs w:val="28"/>
          <w:lang w:val="en-US"/>
        </w:rPr>
        <w:t>yang mutakhir, Al-Isydrat wa Al-Tanbihat. Dengan maksud menggugat,</w:t>
      </w:r>
    </w:p>
    <w:p>
      <w:pPr>
        <w:pStyle w:val="BookText"/>
        <w:bidi w:val="0"/>
        <w:jc w:val="both"/>
        <w:rPr/>
      </w:pPr>
      <w:r>
        <w:rPr>
          <w:rFonts w:eastAsia="Times New Roman" w:cs="Times New Roman" w:ascii="Times New Roman" w:hAnsi="Times New Roman"/>
          <w:color w:val="111111"/>
          <w:sz w:val="28"/>
          <w:szCs w:val="28"/>
          <w:lang w:val="en-US"/>
        </w:rPr>
        <w:t>Fakhru Razi mengomentari buku itu. Di awal Bab Kesembilan, dia</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membubuhkan catatan:</w:t>
      </w:r>
      <w:r>
        <w:rPr>
          <w:rStyle w:val="FootnoteAnchor"/>
        </w:rPr>
        <w:footnoteReference w:id="61"/>
      </w:r>
    </w:p>
    <w:p>
      <w:pPr>
        <w:pStyle w:val="BookText"/>
        <w:bidi w:val="0"/>
        <w:rPr/>
      </w:pPr>
      <w:r>
        <w:rPr>
          <w:rFonts w:eastAsia="Times New Roman" w:cs="Times New Roman" w:ascii="Times New Roman" w:hAnsi="Times New Roman"/>
          <w:color w:val="111111"/>
          <w:sz w:val="28"/>
          <w:szCs w:val="28"/>
          <w:lang w:val="en-US"/>
        </w:rPr>
        <w:t>Bab Kesembilan lebih penting dari semua bab lain dalam buku</w:t>
      </w:r>
    </w:p>
    <w:p>
      <w:pPr>
        <w:pStyle w:val="BookText"/>
        <w:bidi w:val="0"/>
        <w:jc w:val="both"/>
        <w:rPr/>
      </w:pPr>
      <w:r>
        <w:rPr>
          <w:rFonts w:eastAsia="Times New Roman" w:cs="Times New Roman" w:ascii="Times New Roman" w:hAnsi="Times New Roman"/>
          <w:color w:val="111111"/>
          <w:sz w:val="28"/>
          <w:szCs w:val="28"/>
          <w:lang w:val="en-US"/>
        </w:rPr>
        <w:t>ini. Karena pada bab ini, penulis telah melakukan klasifikasi</w:t>
      </w:r>
    </w:p>
    <w:p>
      <w:pPr>
        <w:pStyle w:val="BookText"/>
        <w:bidi w:val="0"/>
        <w:jc w:val="both"/>
        <w:rPr/>
      </w:pPr>
      <w:r>
        <w:rPr>
          <w:rFonts w:eastAsia="Times New Roman" w:cs="Times New Roman" w:ascii="Times New Roman" w:hAnsi="Times New Roman"/>
          <w:color w:val="111111"/>
          <w:sz w:val="28"/>
          <w:szCs w:val="28"/>
          <w:lang w:val="en-US"/>
        </w:rPr>
        <w:t>terhadap ilmu-ilmu sufi yang tak seorang pun sebelum dan</w:t>
      </w:r>
    </w:p>
    <w:p>
      <w:pPr>
        <w:pStyle w:val="BookText"/>
        <w:bidi w:val="0"/>
        <w:jc w:val="both"/>
        <w:rPr/>
      </w:pPr>
      <w:r>
        <w:rPr>
          <w:rFonts w:eastAsia="Times New Roman" w:cs="Times New Roman" w:ascii="Times New Roman" w:hAnsi="Times New Roman"/>
          <w:color w:val="111111"/>
          <w:sz w:val="28"/>
          <w:szCs w:val="28"/>
          <w:lang w:val="en-US"/>
        </w:rPr>
        <w:t>setelahnya mampu melakukannya.</w:t>
      </w:r>
    </w:p>
    <w:p>
      <w:pPr>
        <w:pStyle w:val="BookText"/>
        <w:bidi w:val="0"/>
        <w:jc w:val="both"/>
        <w:rPr/>
      </w:pPr>
      <w:r>
        <w:rPr>
          <w:rFonts w:eastAsia="Times New Roman" w:cs="Times New Roman" w:ascii="Times New Roman" w:hAnsi="Times New Roman"/>
          <w:color w:val="111111"/>
          <w:sz w:val="28"/>
          <w:szCs w:val="28"/>
          <w:lang w:val="en-US"/>
        </w:rPr>
        <w:t>Kendati begitu, sebagian kaum arif masih merasa kurang</w:t>
      </w:r>
    </w:p>
    <w:p>
      <w:pPr>
        <w:pStyle w:val="BookText"/>
        <w:bidi w:val="0"/>
        <w:jc w:val="both"/>
        <w:rPr/>
      </w:pPr>
      <w:r>
        <w:rPr>
          <w:rFonts w:eastAsia="Times New Roman" w:cs="Times New Roman" w:ascii="Times New Roman" w:hAnsi="Times New Roman"/>
          <w:color w:val="111111"/>
          <w:sz w:val="28"/>
          <w:szCs w:val="28"/>
          <w:lang w:val="en-US"/>
        </w:rPr>
        <w:t>puas terhadap ikhtiar Ibnu Sina itu. Pada hemat mereka, mustahil</w:t>
      </w:r>
    </w:p>
    <w:p>
      <w:pPr>
        <w:pStyle w:val="BookText"/>
        <w:bidi w:val="0"/>
        <w:jc w:val="both"/>
        <w:rPr/>
      </w:pPr>
      <w:r>
        <w:rPr>
          <w:rFonts w:eastAsia="Times New Roman" w:cs="Times New Roman" w:ascii="Times New Roman" w:hAnsi="Times New Roman"/>
          <w:color w:val="111111"/>
          <w:sz w:val="28"/>
          <w:szCs w:val="28"/>
          <w:lang w:val="en-US"/>
        </w:rPr>
        <w:t>seseorang menjejakkan kaki nalarnya di ranah khusus kerinduan.</w:t>
      </w:r>
    </w:p>
    <w:p>
      <w:pPr>
        <w:pStyle w:val="BookText"/>
        <w:bidi w:val="0"/>
        <w:jc w:val="both"/>
        <w:rPr/>
      </w:pPr>
      <w:r>
        <w:rPr>
          <w:rFonts w:eastAsia="Times New Roman" w:cs="Times New Roman" w:ascii="Times New Roman" w:hAnsi="Times New Roman"/>
          <w:color w:val="111111"/>
          <w:sz w:val="28"/>
          <w:szCs w:val="28"/>
          <w:lang w:val="en-US"/>
        </w:rPr>
        <w:t>Hati kamu yang mengaji ayat cinta dari buku akal</w:t>
      </w:r>
    </w:p>
    <w:p>
      <w:pPr>
        <w:pStyle w:val="BookText"/>
        <w:bidi w:val="0"/>
        <w:jc w:val="both"/>
        <w:rPr/>
      </w:pPr>
      <w:r>
        <w:rPr>
          <w:rFonts w:eastAsia="Times New Roman" w:cs="Times New Roman" w:ascii="Times New Roman" w:hAnsi="Times New Roman"/>
          <w:color w:val="111111"/>
          <w:sz w:val="28"/>
          <w:szCs w:val="28"/>
          <w:lang w:val="en-US"/>
        </w:rPr>
        <w:t>aku kuatir kau tak tahu yang sebenarnya.</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Syihabudin Suhrawardi juga menulis Hikmal: Al-Isyraq; sebuah</w:t>
      </w:r>
    </w:p>
    <w:p>
      <w:pPr>
        <w:pStyle w:val="BookText"/>
        <w:bidi w:val="0"/>
        <w:jc w:val="both"/>
        <w:rPr/>
      </w:pPr>
      <w:r>
        <w:rPr>
          <w:rFonts w:eastAsia="Times New Roman" w:cs="Times New Roman" w:ascii="Times New Roman" w:hAnsi="Times New Roman"/>
          <w:color w:val="111111"/>
          <w:sz w:val="28"/>
          <w:szCs w:val="28"/>
          <w:lang w:val="en-US"/>
        </w:rPr>
        <w:t>karya untuk memadukan filsafat dan ‘irfan; akal dan intuisi. Dalam</w:t>
      </w:r>
    </w:p>
    <w:p>
      <w:pPr>
        <w:pStyle w:val="BookText"/>
        <w:bidi w:val="0"/>
        <w:jc w:val="both"/>
        <w:rPr/>
      </w:pPr>
      <w:r>
        <w:rPr>
          <w:rFonts w:eastAsia="Times New Roman" w:cs="Times New Roman" w:ascii="Times New Roman" w:hAnsi="Times New Roman"/>
          <w:color w:val="111111"/>
          <w:sz w:val="28"/>
          <w:szCs w:val="28"/>
          <w:lang w:val="en-US"/>
        </w:rPr>
        <w:t>pengantar buku itu, filsuf ini menyatakan bahwa mula-mula,</w:t>
      </w:r>
    </w:p>
    <w:p>
      <w:pPr>
        <w:pStyle w:val="BookText"/>
        <w:bidi w:val="0"/>
        <w:jc w:val="both"/>
        <w:rPr/>
      </w:pPr>
      <w:r>
        <w:rPr>
          <w:rFonts w:eastAsia="Times New Roman" w:cs="Times New Roman" w:ascii="Times New Roman" w:hAnsi="Times New Roman"/>
          <w:color w:val="111111"/>
          <w:sz w:val="28"/>
          <w:szCs w:val="28"/>
          <w:lang w:val="en-US"/>
        </w:rPr>
        <w:t>kandungan bukunya diperoleh via intuisi dan kasyf, kemudian dia</w:t>
      </w:r>
    </w:p>
    <w:p>
      <w:pPr>
        <w:pStyle w:val="BookText"/>
        <w:bidi w:val="0"/>
        <w:jc w:val="both"/>
        <w:rPr/>
      </w:pPr>
      <w:r>
        <w:rPr>
          <w:rFonts w:eastAsia="Times New Roman" w:cs="Times New Roman" w:ascii="Times New Roman" w:hAnsi="Times New Roman"/>
          <w:color w:val="111111"/>
          <w:sz w:val="28"/>
          <w:szCs w:val="28"/>
          <w:lang w:val="en-US"/>
        </w:rPr>
        <w:t>merumuskan dalil aklani dan pembuktian demonstratif sebagai</w:t>
      </w:r>
    </w:p>
    <w:p>
      <w:pPr>
        <w:pStyle w:val="BookText"/>
        <w:bidi w:val="0"/>
        <w:jc w:val="both"/>
        <w:rPr/>
      </w:pPr>
      <w:r>
        <w:rPr>
          <w:rFonts w:eastAsia="Times New Roman" w:cs="Times New Roman" w:ascii="Times New Roman" w:hAnsi="Times New Roman"/>
          <w:color w:val="111111"/>
          <w:sz w:val="28"/>
          <w:szCs w:val="28"/>
          <w:lang w:val="en-US"/>
        </w:rPr>
        <w:t>pendukung.”</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Usaha terbesar mengharmonikan filsafat, ‘irfandan wahyu dilakukan</w:t>
      </w:r>
    </w:p>
    <w:p>
      <w:pPr>
        <w:pStyle w:val="BookText"/>
        <w:bidi w:val="0"/>
        <w:jc w:val="both"/>
        <w:rPr/>
      </w:pPr>
      <w:r>
        <w:rPr>
          <w:rFonts w:eastAsia="Times New Roman" w:cs="Times New Roman" w:ascii="Times New Roman" w:hAnsi="Times New Roman"/>
          <w:color w:val="111111"/>
          <w:sz w:val="28"/>
          <w:szCs w:val="28"/>
          <w:lang w:val="en-US"/>
        </w:rPr>
        <w:t>Shadrul Muta’allihin Syirazi dalam Al-Hikmah Al-Muta'aaliyah.</w:t>
      </w:r>
    </w:p>
    <w:p>
      <w:pPr>
        <w:pStyle w:val="BookText"/>
        <w:bidi w:val="0"/>
        <w:jc w:val="both"/>
        <w:rPr/>
      </w:pPr>
      <w:r>
        <w:rPr>
          <w:rFonts w:eastAsia="Times New Roman" w:cs="Times New Roman" w:ascii="Times New Roman" w:hAnsi="Times New Roman"/>
          <w:color w:val="111111"/>
          <w:sz w:val="28"/>
          <w:szCs w:val="28"/>
          <w:lang w:val="en-US"/>
        </w:rPr>
        <w:t>Dalam pengantar adikarya ini, filsuf kita mengutarakan tentang</w:t>
      </w:r>
    </w:p>
    <w:p>
      <w:pPr>
        <w:pStyle w:val="BookText"/>
        <w:bidi w:val="0"/>
        <w:jc w:val="both"/>
        <w:rPr/>
      </w:pPr>
      <w:r>
        <w:rPr>
          <w:rFonts w:eastAsia="Times New Roman" w:cs="Times New Roman" w:ascii="Times New Roman" w:hAnsi="Times New Roman"/>
          <w:color w:val="111111"/>
          <w:sz w:val="28"/>
          <w:szCs w:val="28"/>
          <w:lang w:val="en-US"/>
        </w:rPr>
        <w:t>pengetahuan yang dicecapnya via intuisi dan ilham:</w:t>
      </w:r>
    </w:p>
    <w:p>
      <w:pPr>
        <w:pStyle w:val="BookText"/>
        <w:bidi w:val="0"/>
        <w:jc w:val="both"/>
        <w:rPr/>
      </w:pPr>
      <w:r>
        <w:rPr>
          <w:rFonts w:eastAsia="Times New Roman" w:cs="Times New Roman" w:ascii="Times New Roman" w:hAnsi="Times New Roman"/>
          <w:color w:val="111111"/>
          <w:sz w:val="28"/>
          <w:szCs w:val="28"/>
          <w:lang w:val="en-US"/>
        </w:rPr>
        <w:t>Berkat jerih pembinaan diri yang berkepanjangan dan olah jiwa,</w:t>
      </w:r>
    </w:p>
    <w:p>
      <w:pPr>
        <w:pStyle w:val="BookText"/>
        <w:bidi w:val="0"/>
        <w:jc w:val="both"/>
        <w:rPr/>
      </w:pPr>
      <w:r>
        <w:rPr>
          <w:rFonts w:eastAsia="Times New Roman" w:cs="Times New Roman" w:ascii="Times New Roman" w:hAnsi="Times New Roman"/>
          <w:color w:val="111111"/>
          <w:sz w:val="28"/>
          <w:szCs w:val="28"/>
          <w:lang w:val="en-US"/>
        </w:rPr>
        <w:t>hatiku menjadi terang benderang, cahaya malakut memancar</w:t>
      </w:r>
    </w:p>
    <w:p>
      <w:pPr>
        <w:pStyle w:val="BookText"/>
        <w:bidi w:val="0"/>
        <w:jc w:val="both"/>
        <w:rPr/>
      </w:pPr>
      <w:r>
        <w:rPr>
          <w:rFonts w:eastAsia="Times New Roman" w:cs="Times New Roman" w:ascii="Times New Roman" w:hAnsi="Times New Roman"/>
          <w:color w:val="111111"/>
          <w:sz w:val="28"/>
          <w:szCs w:val="28"/>
          <w:lang w:val="en-US"/>
        </w:rPr>
        <w:t>dahsyat menerpanya... Karena itu,aku menemukan rahasia-rahasia</w:t>
      </w:r>
    </w:p>
    <w:p>
      <w:pPr>
        <w:pStyle w:val="BookText"/>
        <w:bidi w:val="0"/>
        <w:jc w:val="both"/>
        <w:rPr/>
      </w:pPr>
      <w:r>
        <w:rPr>
          <w:rFonts w:eastAsia="Times New Roman" w:cs="Times New Roman" w:ascii="Times New Roman" w:hAnsi="Times New Roman"/>
          <w:color w:val="111111"/>
          <w:sz w:val="28"/>
          <w:szCs w:val="28"/>
          <w:lang w:val="en-US"/>
        </w:rPr>
        <w:t>yang sebelumnya tidak pernah kuketahui. Berbagai rumusan</w:t>
      </w:r>
    </w:p>
    <w:p>
      <w:pPr>
        <w:pStyle w:val="BookText"/>
        <w:bidi w:val="0"/>
        <w:jc w:val="both"/>
        <w:rPr/>
      </w:pPr>
      <w:r>
        <w:rPr>
          <w:rFonts w:eastAsia="Times New Roman" w:cs="Times New Roman" w:ascii="Times New Roman" w:hAnsi="Times New Roman"/>
          <w:color w:val="111111"/>
          <w:sz w:val="28"/>
          <w:szCs w:val="28"/>
          <w:lang w:val="en-US"/>
        </w:rPr>
        <w:t>yang tidak begitu tampak dengan burhan kini tersibak jelas sekali</w:t>
      </w:r>
    </w:p>
    <w:p>
      <w:pPr>
        <w:pStyle w:val="BookText"/>
        <w:bidi w:val="0"/>
        <w:jc w:val="both"/>
        <w:rPr/>
      </w:pPr>
      <w:r>
        <w:rPr>
          <w:rFonts w:eastAsia="Times New Roman" w:cs="Times New Roman" w:ascii="Times New Roman" w:hAnsi="Times New Roman"/>
          <w:color w:val="111111"/>
          <w:sz w:val="28"/>
          <w:szCs w:val="28"/>
          <w:lang w:val="en-US"/>
        </w:rPr>
        <w:t>di hadapanku. Bahkan segala apa yang dulu kuketahui dengan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burhan sekarang telah kutatap dengan kesaksian yang nyata.”</w:t>
      </w:r>
      <w:r>
        <w:rPr>
          <w:rStyle w:val="FootnoteAnchor"/>
        </w:rPr>
        <w:footnoteReference w:id="64"/>
      </w:r>
      <w:bookmarkStart w:id="101" w:name="pg5378_50460"/>
    </w:p>
    <w:p>
      <w:pPr>
        <w:pStyle w:val="BookText"/>
        <w:bidi w:val="0"/>
        <w:rPr/>
      </w:pPr>
      <w:bookmarkEnd w:id="101"/>
      <w:r>
        <w:rPr>
          <w:rFonts w:eastAsia="Times New Roman" w:cs="Times New Roman" w:ascii="Times New Roman" w:hAnsi="Times New Roman"/>
          <w:color w:val="111111"/>
          <w:sz w:val="28"/>
          <w:szCs w:val="28"/>
          <w:lang w:val="en-US"/>
        </w:rPr>
        <w:t>Syahid Muthahari punya ungkapan menawan tentangnya:</w:t>
      </w:r>
    </w:p>
    <w:p>
      <w:pPr>
        <w:pStyle w:val="BookText"/>
        <w:bidi w:val="0"/>
        <w:jc w:val="both"/>
        <w:rPr/>
      </w:pPr>
      <w:r>
        <w:rPr>
          <w:rFonts w:eastAsia="Times New Roman" w:cs="Times New Roman" w:ascii="Times New Roman" w:hAnsi="Times New Roman"/>
          <w:color w:val="111111"/>
          <w:sz w:val="28"/>
          <w:szCs w:val="28"/>
          <w:lang w:val="en-US"/>
        </w:rPr>
        <w:t>Filsafat Shadra ... ibarat titik yang mempertemukan empat</w:t>
      </w:r>
    </w:p>
    <w:p>
      <w:pPr>
        <w:pStyle w:val="BookText"/>
        <w:bidi w:val="0"/>
        <w:jc w:val="both"/>
        <w:rPr/>
      </w:pPr>
      <w:r>
        <w:rPr>
          <w:rFonts w:eastAsia="Times New Roman" w:cs="Times New Roman" w:ascii="Times New Roman" w:hAnsi="Times New Roman"/>
          <w:color w:val="111111"/>
          <w:sz w:val="28"/>
          <w:szCs w:val="28"/>
          <w:lang w:val="en-US"/>
        </w:rPr>
        <w:t>jalan; Filsafat Peripatetik Aristotelian dan Sinaian, Filsafat</w:t>
      </w:r>
    </w:p>
    <w:p>
      <w:pPr>
        <w:pStyle w:val="BookText"/>
        <w:bidi w:val="0"/>
        <w:jc w:val="both"/>
        <w:rPr/>
      </w:pPr>
      <w:r>
        <w:rPr>
          <w:rFonts w:eastAsia="Times New Roman" w:cs="Times New Roman" w:ascii="Times New Roman" w:hAnsi="Times New Roman"/>
          <w:color w:val="111111"/>
          <w:sz w:val="28"/>
          <w:szCs w:val="28"/>
          <w:lang w:val="en-US"/>
        </w:rPr>
        <w:t>Iluminasionis Sahruwardian, dan ‘Irfan Teoretis Muhyidinian,</w:t>
      </w:r>
    </w:p>
    <w:p>
      <w:pPr>
        <w:pStyle w:val="BookText"/>
        <w:bidi w:val="0"/>
        <w:jc w:val="both"/>
        <w:rPr/>
      </w:pPr>
      <w:r>
        <w:rPr>
          <w:rFonts w:eastAsia="Times New Roman" w:cs="Times New Roman" w:ascii="Times New Roman" w:hAnsi="Times New Roman"/>
          <w:color w:val="111111"/>
          <w:sz w:val="28"/>
          <w:szCs w:val="28"/>
          <w:lang w:val="en-US"/>
        </w:rPr>
        <w:t>serta konsep-konsep ilmu Kalam. Filsafat Shadra ibarat empat</w:t>
      </w:r>
    </w:p>
    <w:p>
      <w:pPr>
        <w:pStyle w:val="BookText"/>
        <w:bidi w:val="0"/>
        <w:jc w:val="both"/>
        <w:rPr/>
      </w:pPr>
      <w:r>
        <w:rPr>
          <w:rFonts w:eastAsia="Times New Roman" w:cs="Times New Roman" w:ascii="Times New Roman" w:hAnsi="Times New Roman"/>
          <w:color w:val="111111"/>
          <w:sz w:val="28"/>
          <w:szCs w:val="28"/>
          <w:lang w:val="en-US"/>
        </w:rPr>
        <w:t>sungai yang bertemu dan berubah menjadi segalur sungai besar</w:t>
      </w:r>
    </w:p>
    <w:p>
      <w:pPr>
        <w:pStyle w:val="BookText"/>
        <w:bidi w:val="0"/>
        <w:jc w:val="both"/>
        <w:rPr/>
      </w:pPr>
      <w:r>
        <w:rPr>
          <w:rFonts w:eastAsia="Times New Roman" w:cs="Times New Roman" w:ascii="Times New Roman" w:hAnsi="Times New Roman"/>
          <w:color w:val="111111"/>
          <w:sz w:val="28"/>
          <w:szCs w:val="28"/>
          <w:lang w:val="en-US"/>
        </w:rPr>
        <w:t>yang bergemuruh kencang.</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Meski demikian, dalam literatur ‘irfan, akal kerap diperlakukan</w:t>
      </w:r>
    </w:p>
    <w:p>
      <w:pPr>
        <w:pStyle w:val="BookText"/>
        <w:bidi w:val="0"/>
        <w:jc w:val="both"/>
        <w:rPr/>
      </w:pPr>
      <w:r>
        <w:rPr>
          <w:rFonts w:eastAsia="Times New Roman" w:cs="Times New Roman" w:ascii="Times New Roman" w:hAnsi="Times New Roman"/>
          <w:color w:val="111111"/>
          <w:sz w:val="28"/>
          <w:szCs w:val="28"/>
          <w:lang w:val="en-US"/>
        </w:rPr>
        <w:t>sebagai objek pelecehan. Kerasnya sebagian pernyataan para arif</w:t>
      </w:r>
    </w:p>
    <w:p>
      <w:pPr>
        <w:pStyle w:val="BookText"/>
        <w:bidi w:val="0"/>
        <w:jc w:val="both"/>
        <w:rPr/>
      </w:pPr>
      <w:r>
        <w:rPr>
          <w:rFonts w:eastAsia="Times New Roman" w:cs="Times New Roman" w:ascii="Times New Roman" w:hAnsi="Times New Roman"/>
          <w:color w:val="111111"/>
          <w:sz w:val="28"/>
          <w:szCs w:val="28"/>
          <w:lang w:val="en-US"/>
        </w:rPr>
        <w:t>mengesankan segala jenis pengetahuan akal, dalam bidang apa</w:t>
      </w:r>
    </w:p>
    <w:p>
      <w:pPr>
        <w:pStyle w:val="BookText"/>
        <w:bidi w:val="0"/>
        <w:jc w:val="both"/>
        <w:rPr/>
      </w:pPr>
      <w:r>
        <w:rPr>
          <w:rFonts w:eastAsia="Times New Roman" w:cs="Times New Roman" w:ascii="Times New Roman" w:hAnsi="Times New Roman"/>
          <w:color w:val="111111"/>
          <w:sz w:val="28"/>
          <w:szCs w:val="28"/>
          <w:lang w:val="en-US"/>
        </w:rPr>
        <w:t>pun, tidak berharga lagi, sama sekali. Namun, bila diperhatikan</w:t>
      </w:r>
    </w:p>
    <w:p>
      <w:pPr>
        <w:pStyle w:val="BookText"/>
        <w:bidi w:val="0"/>
        <w:jc w:val="both"/>
        <w:rPr/>
      </w:pPr>
      <w:r>
        <w:rPr>
          <w:rFonts w:eastAsia="Times New Roman" w:cs="Times New Roman" w:ascii="Times New Roman" w:hAnsi="Times New Roman"/>
          <w:color w:val="111111"/>
          <w:sz w:val="28"/>
          <w:szCs w:val="28"/>
          <w:lang w:val="en-US"/>
        </w:rPr>
        <w:t>lebih seksama, akan terlihat jelas maksud mereka yang sebenarnya;</w:t>
      </w:r>
    </w:p>
    <w:p>
      <w:pPr>
        <w:pStyle w:val="BookText"/>
        <w:bidi w:val="0"/>
        <w:jc w:val="both"/>
        <w:rPr/>
      </w:pPr>
      <w:r>
        <w:rPr>
          <w:rFonts w:eastAsia="Times New Roman" w:cs="Times New Roman" w:ascii="Times New Roman" w:hAnsi="Times New Roman"/>
          <w:color w:val="111111"/>
          <w:sz w:val="28"/>
          <w:szCs w:val="28"/>
          <w:lang w:val="en-US"/>
        </w:rPr>
        <w:t>menyubordinasi akal di bawah kerinduan (‘isyq)—yang_berarti</w:t>
      </w:r>
    </w:p>
    <w:p>
      <w:pPr>
        <w:pStyle w:val="BookText"/>
        <w:bidi w:val="0"/>
        <w:jc w:val="both"/>
        <w:rPr/>
      </w:pPr>
      <w:r>
        <w:rPr>
          <w:rFonts w:eastAsia="Times New Roman" w:cs="Times New Roman" w:ascii="Times New Roman" w:hAnsi="Times New Roman"/>
          <w:color w:val="111111"/>
          <w:sz w:val="28"/>
          <w:szCs w:val="28"/>
          <w:lang w:val="en-US"/>
        </w:rPr>
        <w:t>bukan menyepelekannya secara mutlak. Hafidz, pujangga besar,</w:t>
      </w:r>
    </w:p>
    <w:p>
      <w:pPr>
        <w:pStyle w:val="BookText"/>
        <w:bidi w:val="0"/>
        <w:jc w:val="both"/>
        <w:rPr/>
      </w:pPr>
      <w:r>
        <w:rPr>
          <w:rFonts w:eastAsia="Times New Roman" w:cs="Times New Roman" w:ascii="Times New Roman" w:hAnsi="Times New Roman"/>
          <w:color w:val="111111"/>
          <w:sz w:val="28"/>
          <w:szCs w:val="28"/>
          <w:lang w:val="en-US"/>
        </w:rPr>
        <w:t>mengatakan, “Gerbang ranah cinta/jauh lebih menjulang dari akal.”</w:t>
      </w:r>
      <w:r>
        <w:rPr>
          <w:rStyle w:val="FootnoteAnchor"/>
        </w:rPr>
        <w:footnoteReference w:id="66"/>
      </w:r>
    </w:p>
    <w:p>
      <w:pPr>
        <w:pStyle w:val="Heading4"/>
        <w:numPr>
          <w:ilvl w:val="3"/>
          <w:numId w:val="1"/>
        </w:numPr>
        <w:bidi w:val="0"/>
        <w:jc w:val="left"/>
        <w:rPr/>
      </w:pPr>
      <w:bookmarkStart w:id="102" w:name="__RefHeading___Toc1351120_581953129"/>
      <w:bookmarkStart w:id="103" w:name="_Toc39"/>
      <w:bookmarkEnd w:id="102"/>
      <w:r>
        <w:rPr/>
        <w:t>Hati di atas Akal</w:t>
      </w:r>
      <w:bookmarkEnd w:id="103"/>
    </w:p>
    <w:p>
      <w:pPr>
        <w:pStyle w:val="BookText"/>
        <w:bidi w:val="0"/>
        <w:jc w:val="both"/>
        <w:rPr/>
      </w:pPr>
      <w:r>
        <w:rPr>
          <w:rFonts w:eastAsia="Times New Roman" w:cs="Times New Roman" w:ascii="Times New Roman" w:hAnsi="Times New Roman"/>
          <w:color w:val="111111"/>
          <w:sz w:val="28"/>
          <w:szCs w:val="28"/>
          <w:lang w:val="en-US"/>
        </w:rPr>
        <w:t>Seorang arif tidak mutlak mengingkari nilai demonstrasi logis</w:t>
      </w:r>
    </w:p>
    <w:p>
      <w:pPr>
        <w:pStyle w:val="BookText"/>
        <w:bidi w:val="0"/>
        <w:jc w:val="both"/>
        <w:rPr/>
      </w:pPr>
      <w:r>
        <w:rPr>
          <w:rFonts w:eastAsia="Times New Roman" w:cs="Times New Roman" w:ascii="Times New Roman" w:hAnsi="Times New Roman"/>
          <w:color w:val="111111"/>
          <w:sz w:val="28"/>
          <w:szCs w:val="28"/>
          <w:lang w:val="en-US"/>
        </w:rPr>
        <w:t>(burhan) dan pembuktian aklani, melainkan lebih mengunggulkan</w:t>
      </w:r>
    </w:p>
    <w:p>
      <w:pPr>
        <w:pStyle w:val="BookText"/>
        <w:bidi w:val="0"/>
        <w:jc w:val="both"/>
        <w:rPr/>
      </w:pPr>
      <w:r>
        <w:rPr>
          <w:rFonts w:eastAsia="Times New Roman" w:cs="Times New Roman" w:ascii="Times New Roman" w:hAnsi="Times New Roman"/>
          <w:color w:val="111111"/>
          <w:sz w:val="28"/>
          <w:szCs w:val="28"/>
          <w:lang w:val="en-US"/>
        </w:rPr>
        <w:t>hati ketimbang akal.</w:t>
      </w:r>
    </w:p>
    <w:p>
      <w:pPr>
        <w:pStyle w:val="BookText"/>
        <w:bidi w:val="0"/>
        <w:jc w:val="both"/>
        <w:rPr/>
      </w:pPr>
      <w:r>
        <w:rPr>
          <w:rFonts w:eastAsia="Times New Roman" w:cs="Times New Roman" w:ascii="Times New Roman" w:hAnsi="Times New Roman"/>
          <w:color w:val="111111"/>
          <w:sz w:val="28"/>
          <w:szCs w:val="28"/>
          <w:lang w:val="en-US"/>
        </w:rPr>
        <w:t>Jika kajian akal itu mutiara dan intan</w:t>
      </w:r>
    </w:p>
    <w:p>
      <w:pPr>
        <w:pStyle w:val="BookText"/>
        <w:bidi w:val="0"/>
        <w:jc w:val="both"/>
        <w:rPr/>
      </w:pPr>
      <w:r>
        <w:rPr>
          <w:rFonts w:eastAsia="Times New Roman" w:cs="Times New Roman" w:ascii="Times New Roman" w:hAnsi="Times New Roman"/>
          <w:color w:val="111111"/>
          <w:sz w:val="28"/>
          <w:szCs w:val="28"/>
          <w:lang w:val="en-US"/>
        </w:rPr>
        <w:t>maka yang lain kajian ruhanian.</w:t>
      </w:r>
    </w:p>
    <w:p>
      <w:pPr>
        <w:pStyle w:val="BookText"/>
        <w:bidi w:val="0"/>
        <w:jc w:val="both"/>
        <w:rPr/>
      </w:pPr>
      <w:r>
        <w:rPr>
          <w:rFonts w:eastAsia="Times New Roman" w:cs="Times New Roman" w:ascii="Times New Roman" w:hAnsi="Times New Roman"/>
          <w:color w:val="111111"/>
          <w:sz w:val="28"/>
          <w:szCs w:val="28"/>
          <w:lang w:val="en-US"/>
        </w:rPr>
        <w:t>Kajian ruh duduk posisi yang lain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anggur ruh adalah tonggak yang lain.</w:t>
      </w:r>
      <w:r>
        <w:rPr>
          <w:rStyle w:val="FootnoteAnchor"/>
        </w:rPr>
        <w:footnoteReference w:id="67"/>
      </w:r>
    </w:p>
    <w:p>
      <w:pPr>
        <w:pStyle w:val="BookText"/>
        <w:bidi w:val="0"/>
        <w:rPr/>
      </w:pPr>
      <w:r>
        <w:rPr>
          <w:rFonts w:eastAsia="Times New Roman" w:cs="Times New Roman" w:ascii="Times New Roman" w:hAnsi="Times New Roman"/>
          <w:color w:val="111111"/>
          <w:sz w:val="28"/>
          <w:szCs w:val="28"/>
          <w:lang w:val="en-US"/>
        </w:rPr>
        <w:t>Perbedaan pokok ilmu-ilmu akal dengan ilmu-ilmu hati dan</w:t>
      </w:r>
    </w:p>
    <w:p>
      <w:pPr>
        <w:pStyle w:val="BookText"/>
        <w:bidi w:val="0"/>
        <w:jc w:val="both"/>
        <w:rPr/>
      </w:pPr>
      <w:r>
        <w:rPr>
          <w:rFonts w:eastAsia="Times New Roman" w:cs="Times New Roman" w:ascii="Times New Roman" w:hAnsi="Times New Roman"/>
          <w:color w:val="111111"/>
          <w:sz w:val="28"/>
          <w:szCs w:val="28"/>
          <w:lang w:val="en-US"/>
        </w:rPr>
        <w:t>intuisi diilustrasikan dengan baik dalam kisah pertemuan Ibnu Sina</w:t>
      </w:r>
    </w:p>
    <w:p>
      <w:pPr>
        <w:pStyle w:val="BookText"/>
        <w:bidi w:val="0"/>
        <w:jc w:val="both"/>
        <w:rPr/>
      </w:pPr>
      <w:r>
        <w:rPr>
          <w:rFonts w:eastAsia="Times New Roman" w:cs="Times New Roman" w:ascii="Times New Roman" w:hAnsi="Times New Roman"/>
          <w:color w:val="111111"/>
          <w:sz w:val="28"/>
          <w:szCs w:val="28"/>
          <w:lang w:val="en-US"/>
        </w:rPr>
        <w:t>dan Abu Sa’id Abul Khair (357-440 H):</w:t>
      </w:r>
    </w:p>
    <w:p>
      <w:pPr>
        <w:pStyle w:val="BookText"/>
        <w:bidi w:val="0"/>
        <w:jc w:val="both"/>
        <w:rPr/>
      </w:pPr>
      <w:r>
        <w:rPr>
          <w:rFonts w:eastAsia="Times New Roman" w:cs="Times New Roman" w:ascii="Times New Roman" w:hAnsi="Times New Roman"/>
          <w:color w:val="111111"/>
          <w:sz w:val="28"/>
          <w:szCs w:val="28"/>
          <w:lang w:val="en-US"/>
        </w:rPr>
        <w:t>Suatu hari, Syeikh Abu Sa’id—semoga Allah menguduskan</w:t>
      </w:r>
    </w:p>
    <w:p>
      <w:pPr>
        <w:pStyle w:val="BookText"/>
        <w:bidi w:val="0"/>
        <w:jc w:val="both"/>
        <w:rPr/>
      </w:pPr>
      <w:r>
        <w:rPr>
          <w:rFonts w:eastAsia="Times New Roman" w:cs="Times New Roman" w:ascii="Times New Roman" w:hAnsi="Times New Roman"/>
          <w:color w:val="111111"/>
          <w:sz w:val="28"/>
          <w:szCs w:val="28"/>
          <w:lang w:val="en-US"/>
        </w:rPr>
        <w:t>ruhnya yang mulia—berceramah di majelis Nisyabur. Tuan</w:t>
      </w:r>
    </w:p>
    <w:p>
      <w:pPr>
        <w:pStyle w:val="BookText"/>
        <w:bidi w:val="0"/>
        <w:jc w:val="both"/>
        <w:rPr/>
      </w:pPr>
      <w:r>
        <w:rPr>
          <w:rFonts w:eastAsia="Times New Roman" w:cs="Times New Roman" w:ascii="Times New Roman" w:hAnsi="Times New Roman"/>
          <w:color w:val="111111"/>
          <w:sz w:val="28"/>
          <w:szCs w:val="28"/>
          <w:lang w:val="en-US"/>
        </w:rPr>
        <w:t>Abu Ali [bin] Sina lalu memasuki majelis Syeikh Abu Sa’id.</w:t>
      </w:r>
    </w:p>
    <w:p>
      <w:pPr>
        <w:pStyle w:val="BookText"/>
        <w:bidi w:val="0"/>
        <w:jc w:val="both"/>
        <w:rPr/>
      </w:pPr>
      <w:r>
        <w:rPr>
          <w:rFonts w:eastAsia="Times New Roman" w:cs="Times New Roman" w:ascii="Times New Roman" w:hAnsi="Times New Roman"/>
          <w:color w:val="111111"/>
          <w:sz w:val="28"/>
          <w:szCs w:val="28"/>
          <w:lang w:val="en-US"/>
        </w:rPr>
        <w:t>Sebelumnya, mereka berdua tidak pernah bertatap muka, walau</w:t>
      </w:r>
    </w:p>
    <w:p>
      <w:pPr>
        <w:pStyle w:val="BookText"/>
        <w:bidi w:val="0"/>
        <w:jc w:val="both"/>
        <w:rPr/>
      </w:pPr>
      <w:r>
        <w:rPr>
          <w:rFonts w:eastAsia="Times New Roman" w:cs="Times New Roman" w:ascii="Times New Roman" w:hAnsi="Times New Roman"/>
          <w:color w:val="111111"/>
          <w:sz w:val="28"/>
          <w:szCs w:val="28"/>
          <w:lang w:val="en-US"/>
        </w:rPr>
        <w:t>acap berkorespondensi satu sama lain. Saat Abu Ali Sina masuk,</w:t>
      </w:r>
    </w:p>
    <w:p>
      <w:pPr>
        <w:pStyle w:val="BookText"/>
        <w:bidi w:val="0"/>
        <w:jc w:val="both"/>
        <w:rPr/>
      </w:pPr>
      <w:r>
        <w:rPr>
          <w:rFonts w:eastAsia="Times New Roman" w:cs="Times New Roman" w:ascii="Times New Roman" w:hAnsi="Times New Roman"/>
          <w:color w:val="111111"/>
          <w:sz w:val="28"/>
          <w:szCs w:val="28"/>
          <w:lang w:val="en-US"/>
        </w:rPr>
        <w:t>Syeikh Abu Sa’id segera menoleh ke arahnya. “Seorang hakim</w:t>
      </w:r>
    </w:p>
    <w:p>
      <w:pPr>
        <w:pStyle w:val="BookText"/>
        <w:bidi w:val="0"/>
        <w:jc w:val="both"/>
        <w:rPr/>
      </w:pPr>
      <w:r>
        <w:rPr>
          <w:rFonts w:eastAsia="Times New Roman" w:cs="Times New Roman" w:ascii="Times New Roman" w:hAnsi="Times New Roman"/>
          <w:color w:val="111111"/>
          <w:sz w:val="28"/>
          <w:szCs w:val="28"/>
          <w:lang w:val="en-US"/>
        </w:rPr>
        <w:t>telah datang,” sambutnya. Abu Ali Sina lalu duduk. Syeikh Abu</w:t>
      </w:r>
    </w:p>
    <w:p>
      <w:pPr>
        <w:pStyle w:val="BookText"/>
        <w:bidi w:val="0"/>
        <w:jc w:val="both"/>
        <w:rPr/>
      </w:pPr>
      <w:r>
        <w:rPr>
          <w:rFonts w:eastAsia="Times New Roman" w:cs="Times New Roman" w:ascii="Times New Roman" w:hAnsi="Times New Roman"/>
          <w:color w:val="111111"/>
          <w:sz w:val="28"/>
          <w:szCs w:val="28"/>
          <w:lang w:val="en-US"/>
        </w:rPr>
        <w:t>Sa’id pun melanjutkan ceramahnya sampai akhir. Setelah itu dia</w:t>
      </w:r>
    </w:p>
    <w:p>
      <w:pPr>
        <w:pStyle w:val="BookText"/>
        <w:bidi w:val="0"/>
        <w:jc w:val="both"/>
        <w:rPr/>
      </w:pPr>
      <w:r>
        <w:rPr>
          <w:rFonts w:eastAsia="Times New Roman" w:cs="Times New Roman" w:ascii="Times New Roman" w:hAnsi="Times New Roman"/>
          <w:color w:val="111111"/>
          <w:sz w:val="28"/>
          <w:szCs w:val="28"/>
          <w:lang w:val="en-US"/>
        </w:rPr>
        <w:t>langsung pulang ke rumah. Abu Ali Sina juga ikut ke rumahnya.</w:t>
      </w:r>
    </w:p>
    <w:p>
      <w:pPr>
        <w:pStyle w:val="BookText"/>
        <w:bidi w:val="0"/>
        <w:jc w:val="both"/>
        <w:rPr/>
      </w:pPr>
      <w:r>
        <w:rPr>
          <w:rFonts w:eastAsia="Times New Roman" w:cs="Times New Roman" w:ascii="Times New Roman" w:hAnsi="Times New Roman"/>
          <w:color w:val="111111"/>
          <w:sz w:val="28"/>
          <w:szCs w:val="28"/>
          <w:lang w:val="en-US"/>
        </w:rPr>
        <w:t>Mereka menutup pintu rumah lalu berkhalwat selama tiga hari</w:t>
      </w:r>
    </w:p>
    <w:p>
      <w:pPr>
        <w:pStyle w:val="BookText"/>
        <w:bidi w:val="0"/>
        <w:jc w:val="both"/>
        <w:rPr/>
      </w:pPr>
      <w:r>
        <w:rPr>
          <w:rFonts w:eastAsia="Times New Roman" w:cs="Times New Roman" w:ascii="Times New Roman" w:hAnsi="Times New Roman"/>
          <w:color w:val="111111"/>
          <w:sz w:val="28"/>
          <w:szCs w:val="28"/>
          <w:lang w:val="en-US"/>
        </w:rPr>
        <w:t>tiga malam sambil berbincang-bincang. Tak seorang pun tahu</w:t>
      </w:r>
    </w:p>
    <w:p>
      <w:pPr>
        <w:pStyle w:val="BookText"/>
        <w:bidi w:val="0"/>
        <w:jc w:val="both"/>
        <w:rPr/>
      </w:pPr>
      <w:r>
        <w:rPr>
          <w:rFonts w:eastAsia="Times New Roman" w:cs="Times New Roman" w:ascii="Times New Roman" w:hAnsi="Times New Roman"/>
          <w:color w:val="111111"/>
          <w:sz w:val="28"/>
          <w:szCs w:val="28"/>
          <w:lang w:val="en-US"/>
        </w:rPr>
        <w:t>yang mereka bincangkan. Juga tak seorang pun memasuki tempat</w:t>
      </w:r>
    </w:p>
    <w:p>
      <w:pPr>
        <w:pStyle w:val="BookText"/>
        <w:bidi w:val="0"/>
        <w:jc w:val="both"/>
        <w:rPr/>
      </w:pPr>
      <w:r>
        <w:rPr>
          <w:rFonts w:eastAsia="Times New Roman" w:cs="Times New Roman" w:ascii="Times New Roman" w:hAnsi="Times New Roman"/>
          <w:color w:val="111111"/>
          <w:sz w:val="28"/>
          <w:szCs w:val="28"/>
          <w:lang w:val="en-US"/>
        </w:rPr>
        <w:t>mereka kecuali setelah diberi izin. Keduanya tidak pernah keluar</w:t>
      </w:r>
    </w:p>
    <w:p>
      <w:pPr>
        <w:pStyle w:val="BookText"/>
        <w:bidi w:val="0"/>
        <w:jc w:val="both"/>
        <w:rPr/>
      </w:pPr>
      <w:r>
        <w:rPr>
          <w:rFonts w:eastAsia="Times New Roman" w:cs="Times New Roman" w:ascii="Times New Roman" w:hAnsi="Times New Roman"/>
          <w:color w:val="111111"/>
          <w:sz w:val="28"/>
          <w:szCs w:val="28"/>
          <w:lang w:val="en-US"/>
        </w:rPr>
        <w:t>rumah kecuali untuk menunaikan salat berjamaah. Tiga hari</w:t>
      </w:r>
    </w:p>
    <w:p>
      <w:pPr>
        <w:pStyle w:val="BookText"/>
        <w:bidi w:val="0"/>
        <w:jc w:val="both"/>
        <w:rPr/>
      </w:pPr>
      <w:r>
        <w:rPr>
          <w:rFonts w:eastAsia="Times New Roman" w:cs="Times New Roman" w:ascii="Times New Roman" w:hAnsi="Times New Roman"/>
          <w:color w:val="111111"/>
          <w:sz w:val="28"/>
          <w:szCs w:val="28"/>
          <w:lang w:val="en-US"/>
        </w:rPr>
        <w:t>tiga malam berlalu. Akhirnya Abu Ali Sina keluar dari rumah</w:t>
      </w:r>
    </w:p>
    <w:p>
      <w:pPr>
        <w:pStyle w:val="BookText"/>
        <w:bidi w:val="0"/>
        <w:jc w:val="both"/>
        <w:rPr/>
      </w:pPr>
      <w:r>
        <w:rPr>
          <w:rFonts w:eastAsia="Times New Roman" w:cs="Times New Roman" w:ascii="Times New Roman" w:hAnsi="Times New Roman"/>
          <w:color w:val="111111"/>
          <w:sz w:val="28"/>
          <w:szCs w:val="28"/>
          <w:lang w:val="en-US"/>
        </w:rPr>
        <w:t>itu. Murid-muridnya bertanya, “ Bagaimana Syeikh Abu Sa’id itu</w:t>
      </w:r>
    </w:p>
    <w:p>
      <w:pPr>
        <w:pStyle w:val="BookText"/>
        <w:bidi w:val="0"/>
        <w:jc w:val="both"/>
        <w:rPr/>
      </w:pPr>
      <w:r>
        <w:rPr>
          <w:rFonts w:eastAsia="Times New Roman" w:cs="Times New Roman" w:ascii="Times New Roman" w:hAnsi="Times New Roman"/>
          <w:color w:val="111111"/>
          <w:sz w:val="28"/>
          <w:szCs w:val="28"/>
          <w:lang w:val="en-US"/>
        </w:rPr>
        <w:t>menurutmu?” “Dia menyaksikan semua yang kutahu,” jawabnya.</w:t>
      </w:r>
    </w:p>
    <w:p>
      <w:pPr>
        <w:pStyle w:val="BookText"/>
        <w:bidi w:val="0"/>
        <w:jc w:val="both"/>
        <w:rPr/>
      </w:pPr>
      <w:r>
        <w:rPr>
          <w:rFonts w:eastAsia="Times New Roman" w:cs="Times New Roman" w:ascii="Times New Roman" w:hAnsi="Times New Roman"/>
          <w:color w:val="111111"/>
          <w:sz w:val="28"/>
          <w:szCs w:val="28"/>
          <w:lang w:val="en-US"/>
        </w:rPr>
        <w:t>Sebaliknya, para pengikut Syeikh Abu Sa’id bertanya, “Bagaimana</w:t>
      </w:r>
    </w:p>
    <w:p>
      <w:pPr>
        <w:pStyle w:val="BookText"/>
        <w:bidi w:val="0"/>
        <w:jc w:val="both"/>
        <w:rPr/>
      </w:pPr>
      <w:r>
        <w:rPr>
          <w:rFonts w:eastAsia="Times New Roman" w:cs="Times New Roman" w:ascii="Times New Roman" w:hAnsi="Times New Roman"/>
          <w:color w:val="111111"/>
          <w:sz w:val="28"/>
          <w:szCs w:val="28"/>
          <w:lang w:val="en-US"/>
        </w:rPr>
        <w:t>Abu Ali Sina menurutmu?” “Dia tahu semua yang kusaksikan,”</w:t>
      </w:r>
    </w:p>
    <w:p>
      <w:pPr>
        <w:pStyle w:val="BookText"/>
        <w:bidi w:val="0"/>
        <w:jc w:val="both"/>
        <w:rPr/>
      </w:pPr>
      <w:r>
        <w:rPr>
          <w:rFonts w:eastAsia="Times New Roman" w:cs="Times New Roman" w:ascii="Times New Roman" w:hAnsi="Times New Roman"/>
          <w:color w:val="111111"/>
          <w:sz w:val="28"/>
          <w:szCs w:val="28"/>
          <w:lang w:val="en-US"/>
        </w:rPr>
        <w:t>jawabnya.</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sebagai sumber riwayat hidup Abu Sa‘id. Hanya saja, buku ini (Ha/at) tidak memuat jawaban Abu Ali Sina dan Abu Sa’‘id Abul Khair sebagaimana disebutkan di atas. Boleh dibilang, masing-masing penulis buku itu hanya menyoroti bagian tertentu dari kejadian dan percakapan mereka.</w:t>
      </w:r>
    </w:p>
    <w:p>
      <w:pPr>
        <w:pStyle w:val="BookText"/>
        <w:bidi w:val="0"/>
        <w:jc w:val="both"/>
        <w:rPr/>
      </w:pPr>
      <w:r>
        <w:rPr>
          <w:rFonts w:eastAsia="Times New Roman" w:cs="Times New Roman" w:ascii="Times New Roman" w:hAnsi="Times New Roman"/>
          <w:color w:val="111111"/>
          <w:sz w:val="28"/>
          <w:szCs w:val="28"/>
          <w:lang w:val="en-US"/>
        </w:rPr>
        <w:t>Cerita ini memicu perdebatan di kalangan pakar. Beberapa dari</w:t>
      </w:r>
    </w:p>
    <w:p>
      <w:pPr>
        <w:pStyle w:val="BookText"/>
        <w:bidi w:val="0"/>
        <w:jc w:val="both"/>
        <w:rPr/>
      </w:pPr>
      <w:r>
        <w:rPr>
          <w:rFonts w:eastAsia="Times New Roman" w:cs="Times New Roman" w:ascii="Times New Roman" w:hAnsi="Times New Roman"/>
          <w:color w:val="111111"/>
          <w:sz w:val="28"/>
          <w:szCs w:val="28"/>
          <w:lang w:val="en-US"/>
        </w:rPr>
        <w:t>mereka menilai kejadian itu fiktif. Sementara sebagian lain membe-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narkannya dan mengungkapkan kecenderungan Ibnu Sina pada ‘irfan </w:t>
      </w:r>
    </w:p>
    <w:p>
      <w:pPr>
        <w:pStyle w:val="BookText"/>
        <w:bidi w:val="0"/>
        <w:rPr/>
      </w:pPr>
      <w:r>
        <w:rPr>
          <w:rFonts w:eastAsia="Times New Roman" w:cs="Times New Roman" w:ascii="Times New Roman" w:hAnsi="Times New Roman"/>
          <w:color w:val="111111"/>
          <w:sz w:val="28"/>
          <w:szCs w:val="28"/>
          <w:lang w:val="en-US"/>
        </w:rPr>
        <w:t>di akhir hayatnya karena rangkaian pertemuan dan korespondensi</w:t>
      </w:r>
    </w:p>
    <w:p>
      <w:pPr>
        <w:pStyle w:val="BookText"/>
        <w:bidi w:val="0"/>
        <w:jc w:val="both"/>
        <w:rPr/>
      </w:pPr>
      <w:r>
        <w:rPr>
          <w:rFonts w:eastAsia="Times New Roman" w:cs="Times New Roman" w:ascii="Times New Roman" w:hAnsi="Times New Roman"/>
          <w:color w:val="111111"/>
          <w:sz w:val="28"/>
          <w:szCs w:val="28"/>
          <w:lang w:val="en-US"/>
        </w:rPr>
        <w:t>ini.</w:t>
      </w:r>
      <w:r>
        <w:rPr>
          <w:rStyle w:val="FootnoteAnchor"/>
        </w:rPr>
        <w:footnoteReference w:id="69"/>
      </w:r>
      <w:r>
        <w:rPr>
          <w:rFonts w:eastAsia="Times New Roman" w:cs="Times New Roman" w:ascii="Times New Roman" w:hAnsi="Times New Roman"/>
          <w:color w:val="111111"/>
          <w:sz w:val="28"/>
          <w:szCs w:val="28"/>
          <w:lang w:val="en-US"/>
        </w:rPr>
        <w:t>Kalaupun pertemuan itu tidak benar-benar terjadi, setidaknya</w:t>
      </w:r>
    </w:p>
    <w:p>
      <w:pPr>
        <w:pStyle w:val="BookText"/>
        <w:bidi w:val="0"/>
        <w:jc w:val="both"/>
        <w:rPr/>
      </w:pPr>
      <w:r>
        <w:rPr>
          <w:rFonts w:eastAsia="Times New Roman" w:cs="Times New Roman" w:ascii="Times New Roman" w:hAnsi="Times New Roman"/>
          <w:color w:val="111111"/>
          <w:sz w:val="28"/>
          <w:szCs w:val="28"/>
          <w:lang w:val="en-US"/>
        </w:rPr>
        <w:t>kata-kata pengakuan yang dinisbatkan kepada Ibnu Sina dan Abu</w:t>
      </w:r>
    </w:p>
    <w:p>
      <w:pPr>
        <w:pStyle w:val="BookText"/>
        <w:bidi w:val="0"/>
        <w:jc w:val="both"/>
        <w:rPr/>
      </w:pPr>
      <w:r>
        <w:rPr>
          <w:rFonts w:eastAsia="Times New Roman" w:cs="Times New Roman" w:ascii="Times New Roman" w:hAnsi="Times New Roman"/>
          <w:color w:val="111111"/>
          <w:sz w:val="28"/>
          <w:szCs w:val="28"/>
          <w:lang w:val="en-US"/>
        </w:rPr>
        <w:t>Sa’id merefleksikan perbedaan yang jelas antara pengetahuan</w:t>
      </w:r>
    </w:p>
    <w:p>
      <w:pPr>
        <w:pStyle w:val="BookText"/>
        <w:bidi w:val="0"/>
        <w:jc w:val="both"/>
        <w:rPr/>
      </w:pPr>
      <w:r>
        <w:rPr>
          <w:rFonts w:eastAsia="Times New Roman" w:cs="Times New Roman" w:ascii="Times New Roman" w:hAnsi="Times New Roman"/>
          <w:color w:val="111111"/>
          <w:sz w:val="28"/>
          <w:szCs w:val="28"/>
          <w:lang w:val="en-US"/>
        </w:rPr>
        <w:t>akal dan pengetahuan hati; yang pertama sejenis pembuktian, dan</w:t>
      </w:r>
    </w:p>
    <w:p>
      <w:pPr>
        <w:pStyle w:val="BookText"/>
        <w:bidi w:val="0"/>
        <w:jc w:val="both"/>
        <w:rPr/>
      </w:pPr>
      <w:r>
        <w:rPr>
          <w:rFonts w:eastAsia="Times New Roman" w:cs="Times New Roman" w:ascii="Times New Roman" w:hAnsi="Times New Roman"/>
          <w:color w:val="111111"/>
          <w:sz w:val="28"/>
          <w:szCs w:val="28"/>
          <w:lang w:val="en-US"/>
        </w:rPr>
        <w:t>yang belakangan sejenis iluminasi (efodliel) dan penemuan (yoftan).</w:t>
      </w:r>
    </w:p>
    <w:p>
      <w:pPr>
        <w:pStyle w:val="BookText"/>
        <w:bidi w:val="0"/>
        <w:jc w:val="both"/>
        <w:rPr/>
      </w:pPr>
      <w:r>
        <w:rPr>
          <w:rFonts w:eastAsia="Times New Roman" w:cs="Times New Roman" w:ascii="Times New Roman" w:hAnsi="Times New Roman"/>
          <w:color w:val="111111"/>
          <w:sz w:val="28"/>
          <w:szCs w:val="28"/>
          <w:lang w:val="en-US"/>
        </w:rPr>
        <w:t>Murtadha Mutahari mengatakan:</w:t>
      </w:r>
    </w:p>
    <w:p>
      <w:pPr>
        <w:pStyle w:val="BookText"/>
        <w:bidi w:val="0"/>
        <w:jc w:val="both"/>
        <w:rPr/>
      </w:pPr>
      <w:r>
        <w:rPr>
          <w:rFonts w:eastAsia="Times New Roman" w:cs="Times New Roman" w:ascii="Times New Roman" w:hAnsi="Times New Roman"/>
          <w:color w:val="111111"/>
          <w:sz w:val="28"/>
          <w:szCs w:val="28"/>
          <w:lang w:val="en-US"/>
        </w:rPr>
        <w:t>Pengetahuan argumentatif tidak melampaui _batas-batas</w:t>
      </w:r>
    </w:p>
    <w:p>
      <w:pPr>
        <w:pStyle w:val="BookText"/>
        <w:bidi w:val="0"/>
        <w:jc w:val="both"/>
        <w:rPr/>
      </w:pPr>
      <w:r>
        <w:rPr>
          <w:rFonts w:eastAsia="Times New Roman" w:cs="Times New Roman" w:ascii="Times New Roman" w:hAnsi="Times New Roman"/>
          <w:color w:val="111111"/>
          <w:sz w:val="28"/>
          <w:szCs w:val="28"/>
          <w:lang w:val="en-US"/>
        </w:rPr>
        <w:t>persepsi, konsep-konsep mental, dan kepuasan potensi nalar.</w:t>
      </w:r>
    </w:p>
    <w:p>
      <w:pPr>
        <w:pStyle w:val="BookText"/>
        <w:bidi w:val="0"/>
        <w:jc w:val="both"/>
        <w:rPr/>
      </w:pPr>
      <w:r>
        <w:rPr>
          <w:rFonts w:eastAsia="Times New Roman" w:cs="Times New Roman" w:ascii="Times New Roman" w:hAnsi="Times New Roman"/>
          <w:color w:val="111111"/>
          <w:sz w:val="28"/>
          <w:szCs w:val="28"/>
          <w:lang w:val="en-US"/>
        </w:rPr>
        <w:t>Tentunya semua ini sangat berharga. Akan halnya pengetahuan</w:t>
      </w:r>
    </w:p>
    <w:p>
      <w:pPr>
        <w:pStyle w:val="BookText"/>
        <w:bidi w:val="0"/>
        <w:jc w:val="both"/>
        <w:rPr/>
      </w:pPr>
      <w:r>
        <w:rPr>
          <w:rFonts w:eastAsia="Times New Roman" w:cs="Times New Roman" w:ascii="Times New Roman" w:hAnsi="Times New Roman"/>
          <w:color w:val="111111"/>
          <w:sz w:val="28"/>
          <w:szCs w:val="28"/>
          <w:lang w:val="en-US"/>
        </w:rPr>
        <w:t>iluminatif (ma’refat-e efodhi) yang ditempuh seorang arif semacam</w:t>
      </w:r>
    </w:p>
    <w:p>
      <w:pPr>
        <w:pStyle w:val="BookText"/>
        <w:bidi w:val="0"/>
        <w:jc w:val="both"/>
        <w:rPr/>
      </w:pPr>
      <w:r>
        <w:rPr>
          <w:rFonts w:eastAsia="Times New Roman" w:cs="Times New Roman" w:ascii="Times New Roman" w:hAnsi="Times New Roman"/>
          <w:color w:val="111111"/>
          <w:sz w:val="28"/>
          <w:szCs w:val="28"/>
          <w:lang w:val="en-US"/>
        </w:rPr>
        <w:t>pencapaian (residan) dan pencecapan (dzawq). Pengetahuan</w:t>
      </w:r>
    </w:p>
    <w:p>
      <w:pPr>
        <w:pStyle w:val="BookText"/>
        <w:bidi w:val="0"/>
        <w:jc w:val="both"/>
        <w:rPr/>
      </w:pPr>
      <w:r>
        <w:rPr>
          <w:rFonts w:eastAsia="Times New Roman" w:cs="Times New Roman" w:ascii="Times New Roman" w:hAnsi="Times New Roman"/>
          <w:color w:val="111111"/>
          <w:sz w:val="28"/>
          <w:szCs w:val="28"/>
          <w:lang w:val="en-US"/>
        </w:rPr>
        <w:t>argumentatif hanya memuaskan akal, sementara iluminasi</w:t>
      </w:r>
    </w:p>
    <w:p>
      <w:pPr>
        <w:pStyle w:val="BookText"/>
        <w:bidi w:val="0"/>
        <w:jc w:val="both"/>
        <w:rPr/>
      </w:pPr>
      <w:r>
        <w:rPr>
          <w:rFonts w:eastAsia="Times New Roman" w:cs="Times New Roman" w:ascii="Times New Roman" w:hAnsi="Times New Roman"/>
          <w:color w:val="111111"/>
          <w:sz w:val="28"/>
          <w:szCs w:val="28"/>
          <w:lang w:val="en-US"/>
        </w:rPr>
        <w:t>mencipta gelora, gejolak, dan gerak luar biasa dalam keseluruhan</w:t>
      </w:r>
    </w:p>
    <w:p>
      <w:pPr>
        <w:pStyle w:val="BookText"/>
        <w:bidi w:val="0"/>
        <w:jc w:val="both"/>
        <w:rPr/>
      </w:pPr>
      <w:r>
        <w:rPr>
          <w:rFonts w:eastAsia="Times New Roman" w:cs="Times New Roman" w:ascii="Times New Roman" w:hAnsi="Times New Roman"/>
          <w:color w:val="111111"/>
          <w:sz w:val="28"/>
          <w:szCs w:val="28"/>
          <w:lang w:val="en-US"/>
        </w:rPr>
        <w:t>eksistensi manusia.</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Dengan kata lain, tujuan hakiki seorang arif adalah gelora dan</w:t>
      </w:r>
    </w:p>
    <w:p>
      <w:pPr>
        <w:pStyle w:val="BookText"/>
        <w:bidi w:val="0"/>
        <w:jc w:val="both"/>
        <w:rPr/>
      </w:pPr>
      <w:r>
        <w:rPr>
          <w:rFonts w:eastAsia="Times New Roman" w:cs="Times New Roman" w:ascii="Times New Roman" w:hAnsi="Times New Roman"/>
          <w:color w:val="111111"/>
          <w:sz w:val="28"/>
          <w:szCs w:val="28"/>
          <w:lang w:val="en-US"/>
        </w:rPr>
        <w:t>kondisi (lial) spiritual. Di sini, akal tidak terlalu berguna.</w:t>
      </w:r>
    </w:p>
    <w:p>
      <w:pPr>
        <w:pStyle w:val="BookText"/>
        <w:bidi w:val="0"/>
        <w:jc w:val="both"/>
        <w:rPr/>
      </w:pPr>
      <w:r>
        <w:rPr>
          <w:rFonts w:eastAsia="Times New Roman" w:cs="Times New Roman" w:ascii="Times New Roman" w:hAnsi="Times New Roman"/>
          <w:color w:val="111111"/>
          <w:sz w:val="28"/>
          <w:szCs w:val="28"/>
          <w:lang w:val="en-US"/>
        </w:rPr>
        <w:t>Dia teman kami dengan tutur dan tindakan</w:t>
      </w:r>
    </w:p>
    <w:p>
      <w:pPr>
        <w:pStyle w:val="BookText"/>
        <w:bidi w:val="0"/>
        <w:jc w:val="both"/>
        <w:rPr/>
      </w:pPr>
      <w:r>
        <w:rPr>
          <w:rFonts w:eastAsia="Times New Roman" w:cs="Times New Roman" w:ascii="Times New Roman" w:hAnsi="Times New Roman"/>
          <w:color w:val="111111"/>
          <w:sz w:val="28"/>
          <w:szCs w:val="28"/>
          <w:lang w:val="en-US"/>
        </w:rPr>
        <w:t>karena kau sampai tingkat hal, jadi tiada.</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Karenanya, bukan hanya filsafat, ‘irfan pun bila berubah menjadi</w:t>
      </w:r>
    </w:p>
    <w:p>
      <w:pPr>
        <w:pStyle w:val="BookText"/>
        <w:bidi w:val="0"/>
        <w:jc w:val="both"/>
        <w:rPr/>
      </w:pPr>
      <w:r>
        <w:rPr>
          <w:rFonts w:eastAsia="Times New Roman" w:cs="Times New Roman" w:ascii="Times New Roman" w:hAnsi="Times New Roman"/>
          <w:color w:val="111111"/>
          <w:sz w:val="28"/>
          <w:szCs w:val="28"/>
          <w:lang w:val="en-US"/>
        </w:rPr>
        <w:t>disiplin ilmu sehingga alih-alih mencipta gelora dan kondisi (lial)</w:t>
      </w:r>
    </w:p>
    <w:p>
      <w:pPr>
        <w:pStyle w:val="BookText"/>
        <w:bidi w:val="0"/>
        <w:jc w:val="both"/>
        <w:rPr/>
      </w:pPr>
      <w:r>
        <w:rPr>
          <w:rFonts w:eastAsia="Times New Roman" w:cs="Times New Roman" w:ascii="Times New Roman" w:hAnsi="Times New Roman"/>
          <w:color w:val="111111"/>
          <w:sz w:val="28"/>
          <w:szCs w:val="28"/>
          <w:lang w:val="en-US"/>
        </w:rPr>
        <w:t>spiritual justru menjadi bahan perdebatan diskursif, juga tidak akan</w:t>
      </w:r>
    </w:p>
    <w:p>
      <w:pPr>
        <w:pStyle w:val="BookText"/>
        <w:bidi w:val="0"/>
        <w:jc w:val="both"/>
        <w:rPr/>
      </w:pPr>
      <w:r>
        <w:rPr>
          <w:rFonts w:eastAsia="Times New Roman" w:cs="Times New Roman" w:ascii="Times New Roman" w:hAnsi="Times New Roman"/>
          <w:color w:val="111111"/>
          <w:sz w:val="28"/>
          <w:szCs w:val="28"/>
          <w:lang w:val="en-US"/>
        </w:rPr>
        <w:t>memuaskan kalangan arif yang Ilahi. Ini sebagaimana dinyatakan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seorang arif, Imam Khomeini: </w:t>
      </w:r>
      <w:bookmarkStart w:id="104" w:name="pg5378_50466"/>
    </w:p>
    <w:p>
      <w:pPr>
        <w:pStyle w:val="BookText"/>
        <w:bidi w:val="0"/>
        <w:rPr/>
      </w:pPr>
      <w:bookmarkEnd w:id="104"/>
      <w:r>
        <w:rPr>
          <w:rFonts w:eastAsia="Times New Roman" w:cs="Times New Roman" w:ascii="Times New Roman" w:hAnsi="Times New Roman"/>
          <w:color w:val="111111"/>
          <w:sz w:val="28"/>
          <w:szCs w:val="28"/>
          <w:lang w:val="en-US"/>
        </w:rPr>
        <w:t>Hijau segar hanya di hari kita jadi arif di kedai minum</w:t>
      </w:r>
    </w:p>
    <w:p>
      <w:pPr>
        <w:pStyle w:val="BookText"/>
        <w:bidi w:val="0"/>
        <w:jc w:val="both"/>
        <w:rPr/>
      </w:pPr>
      <w:r>
        <w:rPr>
          <w:rFonts w:eastAsia="Times New Roman" w:cs="Times New Roman" w:ascii="Times New Roman" w:hAnsi="Times New Roman"/>
          <w:color w:val="111111"/>
          <w:sz w:val="28"/>
          <w:szCs w:val="28"/>
          <w:lang w:val="en-US"/>
        </w:rPr>
        <w:t>kala kita keluar dari aula akal dan menjadi gila.</w:t>
      </w:r>
    </w:p>
    <w:p>
      <w:pPr>
        <w:pStyle w:val="BookText"/>
        <w:bidi w:val="0"/>
        <w:jc w:val="both"/>
        <w:rPr/>
      </w:pPr>
      <w:r>
        <w:rPr>
          <w:rFonts w:eastAsia="Times New Roman" w:cs="Times New Roman" w:ascii="Times New Roman" w:hAnsi="Times New Roman"/>
          <w:color w:val="111111"/>
          <w:sz w:val="28"/>
          <w:szCs w:val="28"/>
          <w:lang w:val="en-US"/>
        </w:rPr>
        <w:t>Mari kita pecahkan cermin filsafat dan ‘irfan</w:t>
      </w:r>
    </w:p>
    <w:p>
      <w:pPr>
        <w:pStyle w:val="BookText"/>
        <w:bidi w:val="0"/>
        <w:jc w:val="both"/>
        <w:rPr/>
      </w:pPr>
      <w:r>
        <w:rPr>
          <w:rFonts w:eastAsia="Times New Roman" w:cs="Times New Roman" w:ascii="Times New Roman" w:hAnsi="Times New Roman"/>
          <w:color w:val="111111"/>
          <w:sz w:val="28"/>
          <w:szCs w:val="28"/>
          <w:lang w:val="en-US"/>
        </w:rPr>
        <w:t>asingkan diri dari rumah berhala kafilah ini.</w:t>
      </w:r>
      <w:r>
        <w:rPr>
          <w:rStyle w:val="FootnoteAnchor"/>
        </w:rPr>
        <w:footnoteReference w:id="72"/>
      </w:r>
    </w:p>
    <w:p>
      <w:pPr>
        <w:pStyle w:val="Heading4"/>
        <w:numPr>
          <w:ilvl w:val="3"/>
          <w:numId w:val="1"/>
        </w:numPr>
        <w:bidi w:val="0"/>
        <w:jc w:val="left"/>
        <w:rPr/>
      </w:pPr>
      <w:bookmarkStart w:id="105" w:name="__RefHeading___Toc1351122_581953129"/>
      <w:bookmarkStart w:id="106" w:name="_Toc40"/>
      <w:bookmarkEnd w:id="105"/>
      <w:r>
        <w:rPr/>
        <w:t>Kelemahan Akal dalam Beberapa Bidang</w:t>
      </w:r>
      <w:bookmarkEnd w:id="106"/>
    </w:p>
    <w:p>
      <w:pPr>
        <w:pStyle w:val="BookText"/>
        <w:bidi w:val="0"/>
        <w:jc w:val="both"/>
        <w:rPr/>
      </w:pPr>
      <w:r>
        <w:rPr>
          <w:rFonts w:eastAsia="Times New Roman" w:cs="Times New Roman" w:ascii="Times New Roman" w:hAnsi="Times New Roman"/>
          <w:color w:val="111111"/>
          <w:sz w:val="28"/>
          <w:szCs w:val="28"/>
          <w:lang w:val="en-US"/>
        </w:rPr>
        <w:t>Menurut kaum arif, akal bukan saja berada di bawah hati, melainkan</w:t>
      </w:r>
    </w:p>
    <w:p>
      <w:pPr>
        <w:pStyle w:val="BookText"/>
        <w:bidi w:val="0"/>
        <w:jc w:val="both"/>
        <w:rPr/>
      </w:pPr>
      <w:r>
        <w:rPr>
          <w:rFonts w:eastAsia="Times New Roman" w:cs="Times New Roman" w:ascii="Times New Roman" w:hAnsi="Times New Roman"/>
          <w:color w:val="111111"/>
          <w:sz w:val="28"/>
          <w:szCs w:val="28"/>
          <w:lang w:val="en-US"/>
        </w:rPr>
        <w:t>secara mendasar sama sekali tidak valid dalam bidang-bidang</w:t>
      </w:r>
    </w:p>
    <w:p>
      <w:pPr>
        <w:pStyle w:val="BookText"/>
        <w:bidi w:val="0"/>
        <w:jc w:val="both"/>
        <w:rPr/>
      </w:pPr>
      <w:r>
        <w:rPr>
          <w:rFonts w:eastAsia="Times New Roman" w:cs="Times New Roman" w:ascii="Times New Roman" w:hAnsi="Times New Roman"/>
          <w:color w:val="111111"/>
          <w:sz w:val="28"/>
          <w:szCs w:val="28"/>
          <w:lang w:val="en-US"/>
        </w:rPr>
        <w:t>tertentu, seperti mengenal hakikat wujud (mahiyyalt) Tuhan. Output</w:t>
      </w:r>
    </w:p>
    <w:p>
      <w:pPr>
        <w:pStyle w:val="BookText"/>
        <w:bidi w:val="0"/>
        <w:jc w:val="both"/>
        <w:rPr/>
      </w:pPr>
      <w:r>
        <w:rPr>
          <w:rFonts w:eastAsia="Times New Roman" w:cs="Times New Roman" w:ascii="Times New Roman" w:hAnsi="Times New Roman"/>
          <w:color w:val="111111"/>
          <w:sz w:val="28"/>
          <w:szCs w:val="28"/>
          <w:lang w:val="en-US"/>
        </w:rPr>
        <w:t>kerja akal di ranah ini, menurut mereka, tidak lebih dari ragu dan</w:t>
      </w:r>
    </w:p>
    <w:p>
      <w:pPr>
        <w:pStyle w:val="BookText"/>
        <w:bidi w:val="0"/>
        <w:jc w:val="both"/>
        <w:rPr/>
      </w:pPr>
      <w:r>
        <w:rPr>
          <w:rFonts w:eastAsia="Times New Roman" w:cs="Times New Roman" w:ascii="Times New Roman" w:hAnsi="Times New Roman"/>
          <w:color w:val="111111"/>
          <w:sz w:val="28"/>
          <w:szCs w:val="28"/>
          <w:lang w:val="en-US"/>
        </w:rPr>
        <w:t>dugaan. Tegasnya, akal tidak pernah mencipta kemantapan jiwa</w:t>
      </w:r>
    </w:p>
    <w:p>
      <w:pPr>
        <w:pStyle w:val="BookText"/>
        <w:bidi w:val="0"/>
        <w:jc w:val="both"/>
        <w:rPr/>
      </w:pPr>
      <w:r>
        <w:rPr>
          <w:rFonts w:eastAsia="Times New Roman" w:cs="Times New Roman" w:ascii="Times New Roman" w:hAnsi="Times New Roman"/>
          <w:color w:val="111111"/>
          <w:sz w:val="28"/>
          <w:szCs w:val="28"/>
          <w:lang w:val="en-US"/>
        </w:rPr>
        <w:t>(ithlmi'nan) dan keyakinan hati. Nasihat penuh kasih Muhyiddin bin</w:t>
      </w:r>
    </w:p>
    <w:p>
      <w:pPr>
        <w:pStyle w:val="BookText"/>
        <w:bidi w:val="0"/>
        <w:jc w:val="both"/>
        <w:rPr/>
      </w:pPr>
      <w:r>
        <w:rPr>
          <w:rFonts w:eastAsia="Times New Roman" w:cs="Times New Roman" w:ascii="Times New Roman" w:hAnsi="Times New Roman"/>
          <w:color w:val="111111"/>
          <w:sz w:val="28"/>
          <w:szCs w:val="28"/>
          <w:lang w:val="en-US"/>
        </w:rPr>
        <w:t>Arabi (560-638 H) kepada Fakhru Razi (543-606 H) merepresentasi</w:t>
      </w:r>
    </w:p>
    <w:p>
      <w:pPr>
        <w:pStyle w:val="BookText"/>
        <w:bidi w:val="0"/>
        <w:jc w:val="both"/>
        <w:rPr/>
      </w:pPr>
      <w:r>
        <w:rPr>
          <w:rFonts w:eastAsia="Times New Roman" w:cs="Times New Roman" w:ascii="Times New Roman" w:hAnsi="Times New Roman"/>
          <w:color w:val="111111"/>
          <w:sz w:val="28"/>
          <w:szCs w:val="28"/>
          <w:lang w:val="en-US"/>
        </w:rPr>
        <w:t>pandangan ini:</w:t>
      </w:r>
    </w:p>
    <w:p>
      <w:pPr>
        <w:pStyle w:val="BookText"/>
        <w:bidi w:val="0"/>
        <w:jc w:val="both"/>
        <w:rPr/>
      </w:pPr>
      <w:r>
        <w:rPr>
          <w:rFonts w:eastAsia="Times New Roman" w:cs="Times New Roman" w:ascii="Times New Roman" w:hAnsi="Times New Roman"/>
          <w:color w:val="111111"/>
          <w:sz w:val="28"/>
          <w:szCs w:val="28"/>
          <w:lang w:val="en-US"/>
        </w:rPr>
        <w:t>Sebagian orang terpercaya yang juga dekat denganmu</w:t>
      </w:r>
    </w:p>
    <w:p>
      <w:pPr>
        <w:pStyle w:val="BookText"/>
        <w:bidi w:val="0"/>
        <w:jc w:val="both"/>
        <w:rPr/>
      </w:pPr>
      <w:r>
        <w:rPr>
          <w:rFonts w:eastAsia="Times New Roman" w:cs="Times New Roman" w:ascii="Times New Roman" w:hAnsi="Times New Roman"/>
          <w:color w:val="111111"/>
          <w:sz w:val="28"/>
          <w:szCs w:val="28"/>
          <w:lang w:val="en-US"/>
        </w:rPr>
        <w:t>memberitahuku bahwa pada suatu hari, mereka menemuimu</w:t>
      </w:r>
    </w:p>
    <w:p>
      <w:pPr>
        <w:pStyle w:val="BookText"/>
        <w:bidi w:val="0"/>
        <w:jc w:val="both"/>
        <w:rPr/>
      </w:pPr>
      <w:r>
        <w:rPr>
          <w:rFonts w:eastAsia="Times New Roman" w:cs="Times New Roman" w:ascii="Times New Roman" w:hAnsi="Times New Roman"/>
          <w:color w:val="111111"/>
          <w:sz w:val="28"/>
          <w:szCs w:val="28"/>
          <w:lang w:val="en-US"/>
        </w:rPr>
        <w:t>yang saat itu sedang menangis. Lalu mereka menanyakan</w:t>
      </w:r>
    </w:p>
    <w:p>
      <w:pPr>
        <w:pStyle w:val="BookText"/>
        <w:bidi w:val="0"/>
        <w:jc w:val="both"/>
        <w:rPr/>
      </w:pPr>
      <w:r>
        <w:rPr>
          <w:rFonts w:eastAsia="Times New Roman" w:cs="Times New Roman" w:ascii="Times New Roman" w:hAnsi="Times New Roman"/>
          <w:color w:val="111111"/>
          <w:sz w:val="28"/>
          <w:szCs w:val="28"/>
          <w:lang w:val="en-US"/>
        </w:rPr>
        <w:t>gerangan apa yang membuatmu menangis. Engkau pun</w:t>
      </w:r>
    </w:p>
    <w:p>
      <w:pPr>
        <w:pStyle w:val="BookText"/>
        <w:bidi w:val="0"/>
        <w:jc w:val="both"/>
        <w:rPr/>
      </w:pPr>
      <w:r>
        <w:rPr>
          <w:rFonts w:eastAsia="Times New Roman" w:cs="Times New Roman" w:ascii="Times New Roman" w:hAnsi="Times New Roman"/>
          <w:color w:val="111111"/>
          <w:sz w:val="28"/>
          <w:szCs w:val="28"/>
          <w:lang w:val="en-US"/>
        </w:rPr>
        <w:t>menjawab, “Tiga puluh tahun aku meyakini sesuatu. Ternyata</w:t>
      </w:r>
    </w:p>
    <w:p>
      <w:pPr>
        <w:pStyle w:val="BookText"/>
        <w:bidi w:val="0"/>
        <w:jc w:val="both"/>
        <w:rPr/>
      </w:pPr>
      <w:r>
        <w:rPr>
          <w:rFonts w:eastAsia="Times New Roman" w:cs="Times New Roman" w:ascii="Times New Roman" w:hAnsi="Times New Roman"/>
          <w:color w:val="111111"/>
          <w:sz w:val="28"/>
          <w:szCs w:val="28"/>
          <w:lang w:val="en-US"/>
        </w:rPr>
        <w:t>sekarang kebatilan sesuatu itu nyata di hadapanku. Aku</w:t>
      </w:r>
    </w:p>
    <w:p>
      <w:pPr>
        <w:pStyle w:val="BookText"/>
        <w:bidi w:val="0"/>
        <w:jc w:val="both"/>
        <w:rPr/>
      </w:pPr>
      <w:r>
        <w:rPr>
          <w:rFonts w:eastAsia="Times New Roman" w:cs="Times New Roman" w:ascii="Times New Roman" w:hAnsi="Times New Roman"/>
          <w:color w:val="111111"/>
          <w:sz w:val="28"/>
          <w:szCs w:val="28"/>
          <w:lang w:val="en-US"/>
        </w:rPr>
        <w:t>menangis karena bagaimana aku tahu bila kelak, kebatilan yang</w:t>
      </w:r>
    </w:p>
    <w:p>
      <w:pPr>
        <w:pStyle w:val="BookText"/>
        <w:bidi w:val="0"/>
        <w:jc w:val="both"/>
        <w:rPr/>
      </w:pPr>
      <w:r>
        <w:rPr>
          <w:rFonts w:eastAsia="Times New Roman" w:cs="Times New Roman" w:ascii="Times New Roman" w:hAnsi="Times New Roman"/>
          <w:color w:val="111111"/>
          <w:sz w:val="28"/>
          <w:szCs w:val="28"/>
          <w:lang w:val="en-US"/>
        </w:rPr>
        <w:t>sekarang ini nyata di hadapanku benar-benar tidak diketahui.”</w:t>
      </w:r>
    </w:p>
    <w:p>
      <w:pPr>
        <w:pStyle w:val="BookText"/>
        <w:bidi w:val="0"/>
        <w:jc w:val="both"/>
        <w:rPr/>
      </w:pPr>
      <w:r>
        <w:rPr>
          <w:rFonts w:eastAsia="Times New Roman" w:cs="Times New Roman" w:ascii="Times New Roman" w:hAnsi="Times New Roman"/>
          <w:color w:val="111111"/>
          <w:sz w:val="28"/>
          <w:szCs w:val="28"/>
          <w:lang w:val="en-US"/>
        </w:rPr>
        <w:t>Ya, begitulah: mustahil seseorang mencapai ketenteraman jiwa</w:t>
      </w:r>
    </w:p>
    <w:p>
      <w:pPr>
        <w:pStyle w:val="BookText"/>
        <w:bidi w:val="0"/>
        <w:jc w:val="both"/>
        <w:rPr/>
      </w:pPr>
      <w:r>
        <w:rPr>
          <w:rFonts w:eastAsia="Times New Roman" w:cs="Times New Roman" w:ascii="Times New Roman" w:hAnsi="Times New Roman"/>
          <w:color w:val="111111"/>
          <w:sz w:val="28"/>
          <w:szCs w:val="28"/>
          <w:lang w:val="en-US"/>
        </w:rPr>
        <w:t>melalui akal, khususnya dalam mengenal Allah Swt. Sebab,</w:t>
      </w:r>
    </w:p>
    <w:p>
      <w:pPr>
        <w:pStyle w:val="BookText"/>
        <w:bidi w:val="0"/>
        <w:jc w:val="both"/>
        <w:rPr/>
      </w:pPr>
      <w:r>
        <w:rPr>
          <w:rFonts w:eastAsia="Times New Roman" w:cs="Times New Roman" w:ascii="Times New Roman" w:hAnsi="Times New Roman"/>
          <w:color w:val="111111"/>
          <w:sz w:val="28"/>
          <w:szCs w:val="28"/>
          <w:lang w:val="en-US"/>
        </w:rPr>
        <w:t>mengenal hakikat wujud (mdlityyal) Dia mustahil dicapai lewat</w:t>
      </w:r>
    </w:p>
    <w:p>
      <w:pPr>
        <w:pStyle w:val="BookText"/>
        <w:bidi w:val="0"/>
        <w:jc w:val="both"/>
        <w:rPr/>
      </w:pPr>
      <w:r>
        <w:rPr>
          <w:rFonts w:eastAsia="Times New Roman" w:cs="Times New Roman" w:ascii="Times New Roman" w:hAnsi="Times New Roman"/>
          <w:color w:val="111111"/>
          <w:sz w:val="28"/>
          <w:szCs w:val="28"/>
          <w:lang w:val="en-US"/>
        </w:rPr>
        <w:t>pemikiran dan penelitian. Karena itu, wahai saudaraku, apa</w:t>
      </w:r>
    </w:p>
    <w:p>
      <w:pPr>
        <w:pStyle w:val="BookText"/>
        <w:bidi w:val="0"/>
        <w:jc w:val="both"/>
        <w:rPr/>
      </w:pPr>
      <w:r>
        <w:rPr>
          <w:rFonts w:eastAsia="Times New Roman" w:cs="Times New Roman" w:ascii="Times New Roman" w:hAnsi="Times New Roman"/>
          <w:color w:val="111111"/>
          <w:sz w:val="28"/>
          <w:szCs w:val="28"/>
          <w:lang w:val="en-US"/>
        </w:rPr>
        <w:t>yang akan engkau perbuat? Apakah engkau masih ingin tetap</w:t>
      </w:r>
    </w:p>
    <w:p>
      <w:pPr>
        <w:pStyle w:val="BookText"/>
        <w:bidi w:val="0"/>
        <w:jc w:val="both"/>
        <w:rPr/>
      </w:pPr>
      <w:r>
        <w:rPr>
          <w:rFonts w:eastAsia="Times New Roman" w:cs="Times New Roman" w:ascii="Times New Roman" w:hAnsi="Times New Roman"/>
          <w:color w:val="111111"/>
          <w:sz w:val="28"/>
          <w:szCs w:val="28"/>
          <w:lang w:val="en-US"/>
        </w:rPr>
        <w:t>menghuni kesulitan ini dan mengabaikan jalan pelatihan jiwa</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serta berkhalwat sebagaimana diajarkan Rasulullah Saw?</w:t>
      </w:r>
      <w:r>
        <w:rPr>
          <w:rStyle w:val="FootnoteAnchor"/>
        </w:rPr>
        <w:footnoteReference w:id="73"/>
      </w:r>
      <w:bookmarkStart w:id="107" w:name="pg5378_50468"/>
    </w:p>
    <w:p>
      <w:pPr>
        <w:pStyle w:val="BookText"/>
        <w:bidi w:val="0"/>
        <w:rPr/>
      </w:pPr>
      <w:bookmarkEnd w:id="107"/>
      <w:r>
        <w:rPr>
          <w:rFonts w:eastAsia="Times New Roman" w:cs="Times New Roman" w:ascii="Times New Roman" w:hAnsi="Times New Roman"/>
          <w:color w:val="111111"/>
          <w:sz w:val="28"/>
          <w:szCs w:val="28"/>
          <w:lang w:val="en-US"/>
        </w:rPr>
        <w:t>Mulla Shadra juga gigih membela derajat akal dan filsafat.</w:t>
      </w:r>
    </w:p>
    <w:p>
      <w:pPr>
        <w:pStyle w:val="BookText"/>
        <w:bidi w:val="0"/>
        <w:jc w:val="both"/>
        <w:rPr/>
      </w:pPr>
      <w:r>
        <w:rPr>
          <w:rFonts w:eastAsia="Times New Roman" w:cs="Times New Roman" w:ascii="Times New Roman" w:hAnsi="Times New Roman"/>
          <w:color w:val="111111"/>
          <w:sz w:val="28"/>
          <w:szCs w:val="28"/>
          <w:lang w:val="en-US"/>
        </w:rPr>
        <w:t>Tidak pernah sekalipun filsuf ini menyatakan akal sebagai sumber</w:t>
      </w:r>
    </w:p>
    <w:p>
      <w:pPr>
        <w:pStyle w:val="BookText"/>
        <w:bidi w:val="0"/>
        <w:jc w:val="both"/>
        <w:rPr/>
      </w:pPr>
      <w:r>
        <w:rPr>
          <w:rFonts w:eastAsia="Times New Roman" w:cs="Times New Roman" w:ascii="Times New Roman" w:hAnsi="Times New Roman"/>
          <w:color w:val="111111"/>
          <w:sz w:val="28"/>
          <w:szCs w:val="28"/>
          <w:lang w:val="en-US"/>
        </w:rPr>
        <w:t>pengetahuan yang memadai untuk mengetahui seluruh hakikat</w:t>
      </w:r>
    </w:p>
    <w:p>
      <w:pPr>
        <w:pStyle w:val="BookText"/>
        <w:bidi w:val="0"/>
        <w:jc w:val="both"/>
        <w:rPr/>
      </w:pPr>
      <w:r>
        <w:rPr>
          <w:rFonts w:eastAsia="Times New Roman" w:cs="Times New Roman" w:ascii="Times New Roman" w:hAnsi="Times New Roman"/>
          <w:color w:val="111111"/>
          <w:sz w:val="28"/>
          <w:szCs w:val="28"/>
          <w:lang w:val="en-US"/>
        </w:rPr>
        <w:t>alam. Sangat banyak hakikat ‘irfani yang, menurutnya, berada di luar</w:t>
      </w:r>
    </w:p>
    <w:p>
      <w:pPr>
        <w:pStyle w:val="BookText"/>
        <w:bidi w:val="0"/>
        <w:jc w:val="both"/>
        <w:rPr/>
      </w:pPr>
      <w:r>
        <w:rPr>
          <w:rFonts w:eastAsia="Times New Roman" w:cs="Times New Roman" w:ascii="Times New Roman" w:hAnsi="Times New Roman"/>
          <w:color w:val="111111"/>
          <w:sz w:val="28"/>
          <w:szCs w:val="28"/>
          <w:lang w:val="en-US"/>
        </w:rPr>
        <w:t>jangkauan akal dan harus digapai lewat penyingkapan dan penyaksian</w:t>
      </w:r>
    </w:p>
    <w:p>
      <w:pPr>
        <w:pStyle w:val="BookText"/>
        <w:bidi w:val="0"/>
        <w:jc w:val="both"/>
        <w:rPr/>
      </w:pPr>
      <w:r>
        <w:rPr>
          <w:rFonts w:eastAsia="Times New Roman" w:cs="Times New Roman" w:ascii="Times New Roman" w:hAnsi="Times New Roman"/>
          <w:color w:val="111111"/>
          <w:sz w:val="28"/>
          <w:szCs w:val="28"/>
          <w:lang w:val="en-US"/>
        </w:rPr>
        <w:t>hati (kasyf wa syuliuid). Dikatakan pula bahwa begitu banyak hakikat</w:t>
      </w:r>
    </w:p>
    <w:p>
      <w:pPr>
        <w:pStyle w:val="BookText"/>
        <w:bidi w:val="0"/>
        <w:jc w:val="both"/>
        <w:rPr/>
      </w:pPr>
      <w:r>
        <w:rPr>
          <w:rFonts w:eastAsia="Times New Roman" w:cs="Times New Roman" w:ascii="Times New Roman" w:hAnsi="Times New Roman"/>
          <w:color w:val="111111"/>
          <w:sz w:val="28"/>
          <w:szCs w:val="28"/>
          <w:lang w:val="en-US"/>
        </w:rPr>
        <w:t>wahyuni yang melampaui jangkauan akal. Dia percaya, satu-satunya</w:t>
      </w:r>
    </w:p>
    <w:p>
      <w:pPr>
        <w:pStyle w:val="BookText"/>
        <w:bidi w:val="0"/>
        <w:jc w:val="both"/>
        <w:rPr/>
      </w:pPr>
      <w:r>
        <w:rPr>
          <w:rFonts w:eastAsia="Times New Roman" w:cs="Times New Roman" w:ascii="Times New Roman" w:hAnsi="Times New Roman"/>
          <w:color w:val="111111"/>
          <w:sz w:val="28"/>
          <w:szCs w:val="28"/>
          <w:lang w:val="en-US"/>
        </w:rPr>
        <w:t>jalan ke arah itu adalah wahyu dan kenabian.</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Jangan tempuh jalan tauhid dengan akal</w:t>
      </w:r>
    </w:p>
    <w:p>
      <w:pPr>
        <w:pStyle w:val="BookText"/>
        <w:bidi w:val="0"/>
        <w:jc w:val="both"/>
        <w:rPr/>
      </w:pPr>
      <w:r>
        <w:rPr>
          <w:rFonts w:eastAsia="Times New Roman" w:cs="Times New Roman" w:ascii="Times New Roman" w:hAnsi="Times New Roman"/>
          <w:color w:val="111111"/>
          <w:sz w:val="28"/>
          <w:szCs w:val="28"/>
          <w:lang w:val="en-US"/>
        </w:rPr>
        <w:t>Jangan tusuk mata ruh dengan duri.</w:t>
      </w:r>
      <w:r>
        <w:rPr>
          <w:rStyle w:val="FootnoteAnchor"/>
        </w:rPr>
        <w:footnoteReference w:id="75"/>
      </w:r>
    </w:p>
    <w:p>
      <w:pPr>
        <w:pStyle w:val="Heading4"/>
        <w:numPr>
          <w:ilvl w:val="3"/>
          <w:numId w:val="1"/>
        </w:numPr>
        <w:bidi w:val="0"/>
        <w:jc w:val="left"/>
        <w:rPr/>
      </w:pPr>
      <w:bookmarkStart w:id="108" w:name="__RefHeading___Toc1351124_581953129"/>
      <w:bookmarkStart w:id="109" w:name="_Toc41"/>
      <w:bookmarkEnd w:id="108"/>
      <w:r>
        <w:rPr/>
        <w:t>Penyingkapan ‘irfani: Nonakal atau Antiakal?</w:t>
      </w:r>
      <w:bookmarkEnd w:id="109"/>
    </w:p>
    <w:p>
      <w:pPr>
        <w:pStyle w:val="BookText"/>
        <w:bidi w:val="0"/>
        <w:jc w:val="both"/>
        <w:rPr/>
      </w:pPr>
      <w:r>
        <w:rPr>
          <w:rFonts w:eastAsia="Times New Roman" w:cs="Times New Roman" w:ascii="Times New Roman" w:hAnsi="Times New Roman"/>
          <w:color w:val="111111"/>
          <w:sz w:val="28"/>
          <w:szCs w:val="28"/>
          <w:lang w:val="en-US"/>
        </w:rPr>
        <w:t>Satu dari sekian poin yang disepakati dan termaktub dalam seluruh</w:t>
      </w:r>
    </w:p>
    <w:p>
      <w:pPr>
        <w:pStyle w:val="BookText"/>
        <w:bidi w:val="0"/>
        <w:jc w:val="both"/>
        <w:rPr/>
      </w:pPr>
      <w:r>
        <w:rPr>
          <w:rFonts w:eastAsia="Times New Roman" w:cs="Times New Roman" w:ascii="Times New Roman" w:hAnsi="Times New Roman"/>
          <w:color w:val="111111"/>
          <w:sz w:val="28"/>
          <w:szCs w:val="28"/>
          <w:lang w:val="en-US"/>
        </w:rPr>
        <w:t>teks ‘irfan di jagat raya ini adalah superioritas ‘irfan di atas akal.</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Apakah ini berarti bahwa penyingkapan ‘irfani berlangsung di luar</w:t>
      </w:r>
    </w:p>
    <w:p>
      <w:pPr>
        <w:pStyle w:val="BookText"/>
        <w:bidi w:val="0"/>
        <w:jc w:val="both"/>
        <w:rPr/>
      </w:pPr>
      <w:r>
        <w:rPr>
          <w:rFonts w:eastAsia="Times New Roman" w:cs="Times New Roman" w:ascii="Times New Roman" w:hAnsi="Times New Roman"/>
          <w:color w:val="111111"/>
          <w:sz w:val="28"/>
          <w:szCs w:val="28"/>
          <w:lang w:val="en-US"/>
        </w:rPr>
        <w:t>kerangka akal dan bertentangan dengan hukum-hukum swabukti</w:t>
      </w:r>
    </w:p>
    <w:p>
      <w:pPr>
        <w:pStyle w:val="BookText"/>
        <w:bidi w:val="0"/>
        <w:jc w:val="both"/>
        <w:rPr/>
      </w:pPr>
      <w:r>
        <w:rPr>
          <w:rFonts w:eastAsia="Times New Roman" w:cs="Times New Roman" w:ascii="Times New Roman" w:hAnsi="Times New Roman"/>
          <w:color w:val="111111"/>
          <w:sz w:val="28"/>
          <w:szCs w:val="28"/>
          <w:lang w:val="en-US"/>
        </w:rPr>
        <w:t>(badihi)? Sebagai contoh, satu hukum pasti akal menyatakan:</w:t>
      </w:r>
    </w:p>
    <w:p>
      <w:pPr>
        <w:pStyle w:val="BookText"/>
        <w:bidi w:val="0"/>
        <w:jc w:val="both"/>
        <w:rPr/>
      </w:pPr>
      <w:r>
        <w:rPr>
          <w:rFonts w:eastAsia="Times New Roman" w:cs="Times New Roman" w:ascii="Times New Roman" w:hAnsi="Times New Roman"/>
          <w:color w:val="111111"/>
          <w:sz w:val="28"/>
          <w:szCs w:val="28"/>
          <w:lang w:val="en-US"/>
        </w:rPr>
        <w:t>tidak mungkin dua proposisi kontradiktif akan sama-sama benar.</w:t>
      </w:r>
    </w:p>
    <w:p>
      <w:pPr>
        <w:pStyle w:val="BookText"/>
        <w:bidi w:val="0"/>
        <w:jc w:val="both"/>
        <w:rPr/>
      </w:pPr>
      <w:r>
        <w:rPr>
          <w:rFonts w:eastAsia="Times New Roman" w:cs="Times New Roman" w:ascii="Times New Roman" w:hAnsi="Times New Roman"/>
          <w:color w:val="111111"/>
          <w:sz w:val="28"/>
          <w:szCs w:val="28"/>
          <w:lang w:val="en-US"/>
        </w:rPr>
        <w:t>Lalu, apakah kalangan arif juga mempercayai hukum seperti ini?</w:t>
      </w:r>
    </w:p>
    <w:p>
      <w:pPr>
        <w:pStyle w:val="BookText"/>
        <w:bidi w:val="0"/>
        <w:jc w:val="both"/>
        <w:rPr/>
      </w:pPr>
      <w:r>
        <w:rPr>
          <w:rFonts w:eastAsia="Times New Roman" w:cs="Times New Roman" w:ascii="Times New Roman" w:hAnsi="Times New Roman"/>
          <w:color w:val="111111"/>
          <w:sz w:val="28"/>
          <w:szCs w:val="28"/>
          <w:lang w:val="en-US"/>
        </w:rPr>
        <w:t>Atau, apakah menurut mereka bangunan tinggi penyingkapan</w:t>
      </w:r>
    </w:p>
    <w:p>
      <w:pPr>
        <w:pStyle w:val="BookText"/>
        <w:bidi w:val="0"/>
        <w:jc w:val="both"/>
        <w:rPr/>
      </w:pPr>
      <w:r>
        <w:rPr>
          <w:rFonts w:eastAsia="Times New Roman" w:cs="Times New Roman" w:ascii="Times New Roman" w:hAnsi="Times New Roman"/>
          <w:color w:val="111111"/>
          <w:sz w:val="28"/>
          <w:szCs w:val="28"/>
          <w:lang w:val="en-US"/>
        </w:rPr>
        <w:t>dan penyaksian tidak dapat didasarkan pada _ prinsip-prinsip</w:t>
      </w:r>
    </w:p>
    <w:p>
      <w:pPr>
        <w:pStyle w:val="BookText"/>
        <w:bidi w:val="0"/>
        <w:jc w:val="both"/>
        <w:rPr/>
      </w:pPr>
      <w:r>
        <w:rPr>
          <w:rFonts w:eastAsia="Times New Roman" w:cs="Times New Roman" w:ascii="Times New Roman" w:hAnsi="Times New Roman"/>
          <w:color w:val="111111"/>
          <w:sz w:val="28"/>
          <w:szCs w:val="28"/>
          <w:lang w:val="en-US"/>
        </w:rPr>
        <w:t>rasional tersebut? Agaknya, ungkapan syathohiyyat dari sebagian</w:t>
      </w:r>
    </w:p>
    <w:p>
      <w:pPr>
        <w:pStyle w:val="BookText"/>
        <w:bidi w:val="0"/>
        <w:jc w:val="both"/>
        <w:rPr/>
      </w:pPr>
      <w:r>
        <w:rPr>
          <w:rFonts w:eastAsia="Times New Roman" w:cs="Times New Roman" w:ascii="Times New Roman" w:hAnsi="Times New Roman"/>
          <w:color w:val="111111"/>
          <w:sz w:val="28"/>
          <w:szCs w:val="28"/>
          <w:lang w:val="en-US"/>
        </w:rPr>
        <w:t>arif yang sekilas kontradiktif (paradoksikal) justru menguatkan</w:t>
      </w:r>
    </w:p>
    <w:p>
      <w:pPr>
        <w:pStyle w:val="BookText"/>
        <w:bidi w:val="0"/>
        <w:jc w:val="both"/>
        <w:rPr/>
      </w:pPr>
      <w:r>
        <w:rPr>
          <w:rFonts w:eastAsia="Times New Roman" w:cs="Times New Roman" w:ascii="Times New Roman" w:hAnsi="Times New Roman"/>
          <w:color w:val="111111"/>
          <w:sz w:val="28"/>
          <w:szCs w:val="28"/>
          <w:lang w:val="en-US"/>
        </w:rPr>
        <w:t>dugaan bila penyingkapan ‘irfani itu antiakal. Sekelompok pemikir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berpendapat: </w:t>
      </w:r>
    </w:p>
    <w:p>
      <w:pPr>
        <w:pStyle w:val="BookText"/>
        <w:bidi w:val="0"/>
        <w:rPr/>
      </w:pPr>
      <w:r>
        <w:rPr>
          <w:rFonts w:eastAsia="Times New Roman" w:cs="Times New Roman" w:ascii="Times New Roman" w:hAnsi="Times New Roman"/>
          <w:color w:val="111111"/>
          <w:sz w:val="28"/>
          <w:szCs w:val="28"/>
          <w:lang w:val="en-US"/>
        </w:rPr>
        <w:t>Paradoksikalia yang sesungguhnya mustahil dijelaskan secara</w:t>
      </w:r>
    </w:p>
    <w:p>
      <w:pPr>
        <w:pStyle w:val="BookText"/>
        <w:bidi w:val="0"/>
        <w:jc w:val="both"/>
        <w:rPr/>
      </w:pPr>
      <w:r>
        <w:rPr>
          <w:rFonts w:eastAsia="Times New Roman" w:cs="Times New Roman" w:ascii="Times New Roman" w:hAnsi="Times New Roman"/>
          <w:color w:val="111111"/>
          <w:sz w:val="28"/>
          <w:szCs w:val="28"/>
          <w:lang w:val="en-US"/>
        </w:rPr>
        <w:t>rasional, dan kontradiksi-kontradiksi yang kita lihat di dalamnya,</w:t>
      </w:r>
    </w:p>
    <w:p>
      <w:pPr>
        <w:pStyle w:val="BookText"/>
        <w:bidi w:val="0"/>
        <w:jc w:val="both"/>
        <w:rPr/>
      </w:pPr>
      <w:r>
        <w:rPr>
          <w:rFonts w:eastAsia="Times New Roman" w:cs="Times New Roman" w:ascii="Times New Roman" w:hAnsi="Times New Roman"/>
          <w:color w:val="111111"/>
          <w:sz w:val="28"/>
          <w:szCs w:val="28"/>
          <w:lang w:val="en-US"/>
        </w:rPr>
        <w:t>dari sudut pandang logis, tak terpecahkan ... orang-orang yang</w:t>
      </w:r>
    </w:p>
    <w:p>
      <w:pPr>
        <w:pStyle w:val="BookText"/>
        <w:bidi w:val="0"/>
        <w:jc w:val="both"/>
        <w:rPr/>
      </w:pPr>
      <w:r>
        <w:rPr>
          <w:rFonts w:eastAsia="Times New Roman" w:cs="Times New Roman" w:ascii="Times New Roman" w:hAnsi="Times New Roman"/>
          <w:color w:val="111111"/>
          <w:sz w:val="28"/>
          <w:szCs w:val="28"/>
          <w:lang w:val="en-US"/>
        </w:rPr>
        <w:t>punya pengalaman mistis tertentu pasti merasakan sedalam-</w:t>
      </w:r>
    </w:p>
    <w:p>
      <w:pPr>
        <w:pStyle w:val="BookText"/>
        <w:bidi w:val="0"/>
        <w:jc w:val="both"/>
        <w:rPr/>
      </w:pPr>
      <w:r>
        <w:rPr>
          <w:rFonts w:eastAsia="Times New Roman" w:cs="Times New Roman" w:ascii="Times New Roman" w:hAnsi="Times New Roman"/>
          <w:color w:val="111111"/>
          <w:sz w:val="28"/>
          <w:szCs w:val="28"/>
          <w:lang w:val="en-US"/>
        </w:rPr>
        <w:t>dalamnya betapa pengalaman khas itu benar-benar khusus dan</w:t>
      </w:r>
    </w:p>
    <w:p>
      <w:pPr>
        <w:pStyle w:val="BookText"/>
        <w:bidi w:val="0"/>
        <w:jc w:val="both"/>
        <w:rPr/>
      </w:pPr>
      <w:r>
        <w:rPr>
          <w:rFonts w:eastAsia="Times New Roman" w:cs="Times New Roman" w:ascii="Times New Roman" w:hAnsi="Times New Roman"/>
          <w:color w:val="111111"/>
          <w:sz w:val="28"/>
          <w:szCs w:val="28"/>
          <w:lang w:val="en-US"/>
        </w:rPr>
        <w:t>secara total berbeda dengan semua indra dan pengetahuan biasa,</w:t>
      </w:r>
    </w:p>
    <w:p>
      <w:pPr>
        <w:pStyle w:val="BookText"/>
        <w:bidi w:val="0"/>
        <w:jc w:val="both"/>
        <w:rPr/>
      </w:pPr>
      <w:r>
        <w:rPr>
          <w:rFonts w:eastAsia="Times New Roman" w:cs="Times New Roman" w:ascii="Times New Roman" w:hAnsi="Times New Roman"/>
          <w:color w:val="111111"/>
          <w:sz w:val="28"/>
          <w:szCs w:val="28"/>
          <w:lang w:val="en-US"/>
        </w:rPr>
        <w:t>juga sama sekali tak dapat dibandingkan dengan pengalaman</w:t>
      </w:r>
    </w:p>
    <w:p>
      <w:pPr>
        <w:pStyle w:val="BookText"/>
        <w:bidi w:val="0"/>
        <w:jc w:val="both"/>
        <w:rPr/>
      </w:pPr>
      <w:r>
        <w:rPr>
          <w:rFonts w:eastAsia="Times New Roman" w:cs="Times New Roman" w:ascii="Times New Roman" w:hAnsi="Times New Roman"/>
          <w:color w:val="111111"/>
          <w:sz w:val="28"/>
          <w:szCs w:val="28"/>
          <w:lang w:val="en-US"/>
        </w:rPr>
        <w:t>indrawi dalam ruang dan waktu. Siapa saja yang mencapai</w:t>
      </w:r>
    </w:p>
    <w:p>
      <w:pPr>
        <w:pStyle w:val="BookText"/>
        <w:bidi w:val="0"/>
        <w:jc w:val="both"/>
        <w:rPr/>
      </w:pPr>
      <w:r>
        <w:rPr>
          <w:rFonts w:eastAsia="Times New Roman" w:cs="Times New Roman" w:ascii="Times New Roman" w:hAnsi="Times New Roman"/>
          <w:color w:val="111111"/>
          <w:sz w:val="28"/>
          <w:szCs w:val="28"/>
          <w:lang w:val="en-US"/>
        </w:rPr>
        <w:t>pengetahuan mistis berarti telah memasuki ranah istimewa yang</w:t>
      </w:r>
    </w:p>
    <w:p>
      <w:pPr>
        <w:pStyle w:val="BookText"/>
        <w:bidi w:val="0"/>
        <w:jc w:val="both"/>
        <w:rPr/>
      </w:pPr>
      <w:r>
        <w:rPr>
          <w:rFonts w:eastAsia="Times New Roman" w:cs="Times New Roman" w:ascii="Times New Roman" w:hAnsi="Times New Roman"/>
          <w:color w:val="111111"/>
          <w:sz w:val="28"/>
          <w:szCs w:val="28"/>
          <w:lang w:val="en-US"/>
        </w:rPr>
        <w:t>sama sekali di luar skala pengetahuan sehari-hari; lebih unggul</w:t>
      </w:r>
    </w:p>
    <w:p>
      <w:pPr>
        <w:pStyle w:val="BookText"/>
        <w:bidi w:val="0"/>
        <w:jc w:val="both"/>
        <w:rPr/>
      </w:pPr>
      <w:r>
        <w:rPr>
          <w:rFonts w:eastAsia="Times New Roman" w:cs="Times New Roman" w:ascii="Times New Roman" w:hAnsi="Times New Roman"/>
          <w:color w:val="111111"/>
          <w:sz w:val="28"/>
          <w:szCs w:val="28"/>
          <w:lang w:val="en-US"/>
        </w:rPr>
        <w:t>darinya dan tidak dapat diraih atau dinilai lewat kriterianya.</w:t>
      </w:r>
    </w:p>
    <w:p>
      <w:pPr>
        <w:pStyle w:val="BookText"/>
        <w:bidi w:val="0"/>
        <w:jc w:val="both"/>
        <w:rPr/>
      </w:pPr>
      <w:r>
        <w:rPr>
          <w:rFonts w:eastAsia="Times New Roman" w:cs="Times New Roman" w:ascii="Times New Roman" w:hAnsi="Times New Roman"/>
          <w:color w:val="111111"/>
          <w:sz w:val="28"/>
          <w:szCs w:val="28"/>
          <w:lang w:val="en-US"/>
        </w:rPr>
        <w:t>Sudah tentu, para mistikus merasakan itu. Maka, segala usaha</w:t>
      </w:r>
    </w:p>
    <w:p>
      <w:pPr>
        <w:pStyle w:val="BookText"/>
        <w:bidi w:val="0"/>
        <w:jc w:val="both"/>
        <w:rPr/>
      </w:pPr>
      <w:r>
        <w:rPr>
          <w:rFonts w:eastAsia="Times New Roman" w:cs="Times New Roman" w:ascii="Times New Roman" w:hAnsi="Times New Roman"/>
          <w:color w:val="111111"/>
          <w:sz w:val="28"/>
          <w:szCs w:val="28"/>
          <w:lang w:val="en-US"/>
        </w:rPr>
        <w:t>klarifi-kasi atas paradoksikalia mistis via perangkat logis atau</w:t>
      </w:r>
    </w:p>
    <w:p>
      <w:pPr>
        <w:pStyle w:val="BookText"/>
        <w:bidi w:val="0"/>
        <w:jc w:val="both"/>
        <w:rPr/>
      </w:pPr>
      <w:r>
        <w:rPr>
          <w:rFonts w:eastAsia="Times New Roman" w:cs="Times New Roman" w:ascii="Times New Roman" w:hAnsi="Times New Roman"/>
          <w:color w:val="111111"/>
          <w:sz w:val="28"/>
          <w:szCs w:val="28"/>
          <w:lang w:val="en-US"/>
        </w:rPr>
        <w:t>filologis sama dengan mendegradasi mistik sampai batas akal</w:t>
      </w:r>
    </w:p>
    <w:p>
      <w:pPr>
        <w:pStyle w:val="BookText"/>
        <w:bidi w:val="0"/>
        <w:jc w:val="both"/>
        <w:rPr/>
      </w:pPr>
      <w:r>
        <w:rPr>
          <w:rFonts w:eastAsia="Times New Roman" w:cs="Times New Roman" w:ascii="Times New Roman" w:hAnsi="Times New Roman"/>
          <w:color w:val="111111"/>
          <w:sz w:val="28"/>
          <w:szCs w:val="28"/>
          <w:lang w:val="en-US"/>
        </w:rPr>
        <w:t>awam dan publik, mengingkari karakter eksklusivitasnya, dan</w:t>
      </w:r>
    </w:p>
    <w:p>
      <w:pPr>
        <w:pStyle w:val="BookText"/>
        <w:bidi w:val="0"/>
        <w:jc w:val="both"/>
        <w:rPr/>
      </w:pPr>
      <w:r>
        <w:rPr>
          <w:rFonts w:eastAsia="Times New Roman" w:cs="Times New Roman" w:ascii="Times New Roman" w:hAnsi="Times New Roman"/>
          <w:color w:val="111111"/>
          <w:sz w:val="28"/>
          <w:szCs w:val="28"/>
          <w:lang w:val="en-US"/>
        </w:rPr>
        <w:t>menurunkannya sampai tingkat pengalaman sehari-hari kita.</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Berbeda dengan pandangan diatas, Ibnu Turkah dalam Tamiliid Al-</w:t>
      </w:r>
    </w:p>
    <w:p>
      <w:pPr>
        <w:pStyle w:val="BookText"/>
        <w:bidi w:val="0"/>
        <w:jc w:val="both"/>
        <w:rPr/>
      </w:pPr>
      <w:r>
        <w:rPr>
          <w:rFonts w:eastAsia="Times New Roman" w:cs="Times New Roman" w:ascii="Times New Roman" w:hAnsi="Times New Roman"/>
          <w:color w:val="111111"/>
          <w:sz w:val="28"/>
          <w:szCs w:val="28"/>
          <w:lang w:val="en-US"/>
        </w:rPr>
        <w:t>Qowa‘id — yang dijadikan mata kuliah wajib ‘Irfan di berbagai lembaga</w:t>
      </w:r>
    </w:p>
    <w:p>
      <w:pPr>
        <w:pStyle w:val="BookText"/>
        <w:bidi w:val="0"/>
        <w:jc w:val="both"/>
        <w:rPr/>
      </w:pPr>
      <w:r>
        <w:rPr>
          <w:rFonts w:eastAsia="Times New Roman" w:cs="Times New Roman" w:ascii="Times New Roman" w:hAnsi="Times New Roman"/>
          <w:color w:val="111111"/>
          <w:sz w:val="28"/>
          <w:szCs w:val="28"/>
          <w:lang w:val="en-US"/>
        </w:rPr>
        <w:t>pendidikan—menegaskan, penyingkapan ‘irfani yang melampaui</w:t>
      </w:r>
    </w:p>
    <w:p>
      <w:pPr>
        <w:pStyle w:val="BookText"/>
        <w:bidi w:val="0"/>
        <w:jc w:val="both"/>
        <w:rPr/>
      </w:pPr>
      <w:r>
        <w:rPr>
          <w:rFonts w:eastAsia="Times New Roman" w:cs="Times New Roman" w:ascii="Times New Roman" w:hAnsi="Times New Roman"/>
          <w:color w:val="111111"/>
          <w:sz w:val="28"/>
          <w:szCs w:val="28"/>
          <w:lang w:val="en-US"/>
        </w:rPr>
        <w:t>(beyond) akal bukan bermakna antiakal, tidak juga selalunya berarti</w:t>
      </w:r>
    </w:p>
    <w:p>
      <w:pPr>
        <w:pStyle w:val="BookText"/>
        <w:bidi w:val="0"/>
        <w:jc w:val="both"/>
        <w:rPr/>
      </w:pPr>
      <w:r>
        <w:rPr>
          <w:rFonts w:eastAsia="Times New Roman" w:cs="Times New Roman" w:ascii="Times New Roman" w:hAnsi="Times New Roman"/>
          <w:color w:val="111111"/>
          <w:sz w:val="28"/>
          <w:szCs w:val="28"/>
          <w:lang w:val="en-US"/>
        </w:rPr>
        <w:t>nonakal, tetapi akal dengan dirinya tidak sanggup mencapai level</w:t>
      </w:r>
    </w:p>
    <w:p>
      <w:pPr>
        <w:pStyle w:val="BookText"/>
        <w:bidi w:val="0"/>
        <w:jc w:val="both"/>
        <w:rPr/>
      </w:pPr>
      <w:r>
        <w:rPr>
          <w:rFonts w:eastAsia="Times New Roman" w:cs="Times New Roman" w:ascii="Times New Roman" w:hAnsi="Times New Roman"/>
          <w:color w:val="111111"/>
          <w:sz w:val="28"/>
          <w:szCs w:val="28"/>
          <w:lang w:val="en-US"/>
        </w:rPr>
        <w:t>itu. Ini hanya dapat dicapai akal berkat potensi lain. Maksudnya,</w:t>
      </w:r>
    </w:p>
    <w:p>
      <w:pPr>
        <w:pStyle w:val="BookText"/>
        <w:bidi w:val="0"/>
        <w:jc w:val="both"/>
        <w:rPr/>
      </w:pPr>
      <w:r>
        <w:rPr>
          <w:rFonts w:eastAsia="Times New Roman" w:cs="Times New Roman" w:ascii="Times New Roman" w:hAnsi="Times New Roman"/>
          <w:color w:val="111111"/>
          <w:sz w:val="28"/>
          <w:szCs w:val="28"/>
          <w:lang w:val="en-US"/>
        </w:rPr>
        <w:t>setelah manusia mencapai sekian pengetahuan via penyingkapan</w:t>
      </w:r>
    </w:p>
    <w:p>
      <w:pPr>
        <w:pStyle w:val="BookText"/>
        <w:bidi w:val="0"/>
        <w:jc w:val="both"/>
        <w:rPr/>
      </w:pPr>
      <w:r>
        <w:rPr>
          <w:rFonts w:eastAsia="Times New Roman" w:cs="Times New Roman" w:ascii="Times New Roman" w:hAnsi="Times New Roman"/>
          <w:color w:val="111111"/>
          <w:sz w:val="28"/>
          <w:szCs w:val="28"/>
          <w:lang w:val="en-US"/>
        </w:rPr>
        <w:t>dan ilham, akalnya juga akan mampu menjangkaunya.</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Mulla Shadra juga meyakini sebagian derajat dan kesempurnaan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irfani mustahil dicapai akal. Menurutnya, derajat-derajat itu sebegitu</w:t>
      </w:r>
    </w:p>
    <w:p>
      <w:pPr>
        <w:pStyle w:val="BookText"/>
        <w:bidi w:val="0"/>
        <w:jc w:val="both"/>
        <w:rPr/>
      </w:pPr>
      <w:r>
        <w:rPr>
          <w:rFonts w:eastAsia="Times New Roman" w:cs="Times New Roman" w:ascii="Times New Roman" w:hAnsi="Times New Roman"/>
          <w:color w:val="111111"/>
          <w:sz w:val="28"/>
          <w:szCs w:val="28"/>
          <w:lang w:val="en-US"/>
        </w:rPr>
        <w:t>agung, mulia, dan istimewa hingga akal tak sanggup menjangkaunya.</w:t>
      </w:r>
    </w:p>
    <w:p>
      <w:pPr>
        <w:pStyle w:val="BookText"/>
        <w:bidi w:val="0"/>
        <w:jc w:val="both"/>
        <w:rPr/>
      </w:pPr>
      <w:r>
        <w:rPr>
          <w:rFonts w:eastAsia="Times New Roman" w:cs="Times New Roman" w:ascii="Times New Roman" w:hAnsi="Times New Roman"/>
          <w:color w:val="111111"/>
          <w:sz w:val="28"/>
          <w:szCs w:val="28"/>
          <w:lang w:val="en-US"/>
        </w:rPr>
        <w:t>Namun, adanya pengetahuan yang melampaui akal tidak berarti</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pengetahuan dan hakikat itu antiakal: </w:t>
      </w:r>
      <w:bookmarkStart w:id="110" w:name="pg5378_50472"/>
    </w:p>
    <w:p>
      <w:pPr>
        <w:pStyle w:val="BookText"/>
        <w:bidi w:val="0"/>
        <w:rPr/>
      </w:pPr>
      <w:bookmarkEnd w:id="110"/>
      <w:r>
        <w:rPr>
          <w:rFonts w:eastAsia="Times New Roman" w:cs="Times New Roman" w:ascii="Times New Roman" w:hAnsi="Times New Roman"/>
          <w:color w:val="111111"/>
          <w:sz w:val="28"/>
          <w:szCs w:val="28"/>
          <w:lang w:val="en-US"/>
        </w:rPr>
        <w:t>Terbuka kemungkinan adanya hal-hal tanpa akal di ranah wilayah</w:t>
      </w:r>
    </w:p>
    <w:p>
      <w:pPr>
        <w:pStyle w:val="BookText"/>
        <w:bidi w:val="0"/>
        <w:jc w:val="both"/>
        <w:rPr/>
      </w:pPr>
      <w:r>
        <w:rPr>
          <w:rFonts w:eastAsia="Times New Roman" w:cs="Times New Roman" w:ascii="Times New Roman" w:hAnsi="Times New Roman"/>
          <w:color w:val="111111"/>
          <w:sz w:val="28"/>
          <w:szCs w:val="28"/>
          <w:lang w:val="en-US"/>
        </w:rPr>
        <w:t>dan ‘irfan; yaitu hal-hal yang mustahil dicapai sarana akal.</w:t>
      </w:r>
    </w:p>
    <w:p>
      <w:pPr>
        <w:pStyle w:val="BookText"/>
        <w:bidi w:val="0"/>
        <w:jc w:val="both"/>
        <w:rPr/>
      </w:pPr>
      <w:r>
        <w:rPr>
          <w:rFonts w:eastAsia="Times New Roman" w:cs="Times New Roman" w:ascii="Times New Roman" w:hAnsi="Times New Roman"/>
          <w:color w:val="111111"/>
          <w:sz w:val="28"/>
          <w:szCs w:val="28"/>
          <w:lang w:val="en-US"/>
        </w:rPr>
        <w:t>Orang yang tidak membedakan yang antiakal dan yang nonakal</w:t>
      </w:r>
    </w:p>
    <w:p>
      <w:pPr>
        <w:pStyle w:val="BookText"/>
        <w:bidi w:val="0"/>
        <w:jc w:val="both"/>
        <w:rPr/>
      </w:pPr>
      <w:r>
        <w:rPr>
          <w:rFonts w:eastAsia="Times New Roman" w:cs="Times New Roman" w:ascii="Times New Roman" w:hAnsi="Times New Roman"/>
          <w:color w:val="111111"/>
          <w:sz w:val="28"/>
          <w:szCs w:val="28"/>
          <w:lang w:val="en-US"/>
        </w:rPr>
        <w:t>tidak layak diajak bicara; biarkan saja dirinya tenggelam dalam</w:t>
      </w:r>
    </w:p>
    <w:p>
      <w:pPr>
        <w:pStyle w:val="BookText"/>
        <w:bidi w:val="0"/>
        <w:jc w:val="both"/>
        <w:rPr/>
      </w:pPr>
      <w:r>
        <w:rPr>
          <w:rFonts w:eastAsia="Times New Roman" w:cs="Times New Roman" w:ascii="Times New Roman" w:hAnsi="Times New Roman"/>
          <w:color w:val="111111"/>
          <w:sz w:val="28"/>
          <w:szCs w:val="28"/>
          <w:lang w:val="en-US"/>
        </w:rPr>
        <w:t>kebodohannya.</w:t>
      </w:r>
      <w:r>
        <w:rPr>
          <w:rStyle w:val="FootnoteAnchor"/>
        </w:rPr>
        <w:footnoteReference w:id="79"/>
      </w:r>
    </w:p>
    <w:p>
      <w:pPr>
        <w:pStyle w:val="Heading4"/>
        <w:numPr>
          <w:ilvl w:val="3"/>
          <w:numId w:val="1"/>
        </w:numPr>
        <w:bidi w:val="0"/>
        <w:jc w:val="left"/>
        <w:rPr/>
      </w:pPr>
      <w:bookmarkStart w:id="111" w:name="__RefHeading___Toc1351126_581953129"/>
      <w:bookmarkStart w:id="112" w:name="_Toc42"/>
      <w:bookmarkEnd w:id="111"/>
      <w:r>
        <w:rPr/>
        <w:t>Pandangan Rumi</w:t>
      </w:r>
      <w:bookmarkEnd w:id="112"/>
    </w:p>
    <w:p>
      <w:pPr>
        <w:pStyle w:val="BookText"/>
        <w:bidi w:val="0"/>
        <w:jc w:val="both"/>
        <w:rPr/>
      </w:pPr>
      <w:r>
        <w:rPr>
          <w:rFonts w:eastAsia="Times New Roman" w:cs="Times New Roman" w:ascii="Times New Roman" w:hAnsi="Times New Roman"/>
          <w:color w:val="111111"/>
          <w:sz w:val="28"/>
          <w:szCs w:val="28"/>
          <w:lang w:val="en-US"/>
        </w:rPr>
        <w:t>Dalam pandangan Maulawi (Mulla Rumi), terdapat berapa tingkatan</w:t>
      </w:r>
    </w:p>
    <w:p>
      <w:pPr>
        <w:pStyle w:val="BookText"/>
        <w:bidi w:val="0"/>
        <w:jc w:val="both"/>
        <w:rPr/>
      </w:pPr>
      <w:r>
        <w:rPr>
          <w:rFonts w:eastAsia="Times New Roman" w:cs="Times New Roman" w:ascii="Times New Roman" w:hAnsi="Times New Roman"/>
          <w:color w:val="111111"/>
          <w:sz w:val="28"/>
          <w:szCs w:val="28"/>
          <w:lang w:val="en-US"/>
        </w:rPr>
        <w:t>dan jenis akal; ada yang layak disanjung, ada pula yang pantas</w:t>
      </w:r>
    </w:p>
    <w:p>
      <w:pPr>
        <w:pStyle w:val="BookText"/>
        <w:bidi w:val="0"/>
        <w:jc w:val="both"/>
        <w:rPr/>
      </w:pPr>
      <w:r>
        <w:rPr>
          <w:rFonts w:eastAsia="Times New Roman" w:cs="Times New Roman" w:ascii="Times New Roman" w:hAnsi="Times New Roman"/>
          <w:color w:val="111111"/>
          <w:sz w:val="28"/>
          <w:szCs w:val="28"/>
          <w:lang w:val="en-US"/>
        </w:rPr>
        <w:t>dikecam.</w:t>
      </w:r>
      <w:r>
        <w:rPr>
          <w:rStyle w:val="FootnoteAnchor"/>
        </w:rPr>
        <w:footnoteReference w:id="80"/>
      </w:r>
      <w:r>
        <w:rPr>
          <w:rFonts w:eastAsia="Times New Roman" w:cs="Times New Roman" w:ascii="Times New Roman" w:hAnsi="Times New Roman"/>
          <w:color w:val="111111"/>
          <w:sz w:val="28"/>
          <w:szCs w:val="28"/>
          <w:lang w:val="en-US"/>
        </w:rPr>
        <w:t>Sebagaimana dalam pembahasan lainnya, Maulawi merasa</w:t>
      </w:r>
    </w:p>
    <w:p>
      <w:pPr>
        <w:pStyle w:val="BookText"/>
        <w:bidi w:val="0"/>
        <w:jc w:val="both"/>
        <w:rPr/>
      </w:pPr>
      <w:r>
        <w:rPr>
          <w:rFonts w:eastAsia="Times New Roman" w:cs="Times New Roman" w:ascii="Times New Roman" w:hAnsi="Times New Roman"/>
          <w:color w:val="111111"/>
          <w:sz w:val="28"/>
          <w:szCs w:val="28"/>
          <w:lang w:val="en-US"/>
        </w:rPr>
        <w:t>dirinya tidak perlu menyodorkan definisi yang inklusif sekaligus</w:t>
      </w:r>
    </w:p>
    <w:p>
      <w:pPr>
        <w:pStyle w:val="BookText"/>
        <w:bidi w:val="0"/>
        <w:jc w:val="both"/>
        <w:rPr/>
      </w:pPr>
      <w:r>
        <w:rPr>
          <w:rFonts w:eastAsia="Times New Roman" w:cs="Times New Roman" w:ascii="Times New Roman" w:hAnsi="Times New Roman"/>
          <w:color w:val="111111"/>
          <w:sz w:val="28"/>
          <w:szCs w:val="28"/>
          <w:lang w:val="en-US"/>
        </w:rPr>
        <w:t>eksklusif (jami’ wa mani’) bagi setiap jenis yang disebutkannya.</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Namun dari ciri-ciri yang dikemukakannya untuk masing-masing</w:t>
      </w:r>
    </w:p>
    <w:p>
      <w:pPr>
        <w:pStyle w:val="BookText"/>
        <w:bidi w:val="0"/>
        <w:jc w:val="both"/>
        <w:rPr/>
      </w:pPr>
      <w:r>
        <w:rPr>
          <w:rFonts w:eastAsia="Times New Roman" w:cs="Times New Roman" w:ascii="Times New Roman" w:hAnsi="Times New Roman"/>
          <w:color w:val="111111"/>
          <w:sz w:val="28"/>
          <w:szCs w:val="28"/>
          <w:lang w:val="en-US"/>
        </w:rPr>
        <w:t>akal, sampai batas-batas tertentu dapat diketahui: mana akal yang</w:t>
      </w:r>
    </w:p>
    <w:p>
      <w:pPr>
        <w:pStyle w:val="BookText"/>
        <w:bidi w:val="0"/>
        <w:jc w:val="both"/>
        <w:rPr/>
      </w:pPr>
      <w:r>
        <w:rPr>
          <w:rFonts w:eastAsia="Times New Roman" w:cs="Times New Roman" w:ascii="Times New Roman" w:hAnsi="Times New Roman"/>
          <w:color w:val="111111"/>
          <w:sz w:val="28"/>
          <w:szCs w:val="28"/>
          <w:lang w:val="en-US"/>
        </w:rPr>
        <w:t>tersanjung dan mana akal yang tercela dalam pandangannya.</w:t>
      </w:r>
    </w:p>
    <w:p>
      <w:pPr>
        <w:pStyle w:val="BookText"/>
        <w:bidi w:val="0"/>
        <w:jc w:val="both"/>
        <w:rPr/>
      </w:pPr>
      <w:r>
        <w:rPr>
          <w:rFonts w:eastAsia="Times New Roman" w:cs="Times New Roman" w:ascii="Times New Roman" w:hAnsi="Times New Roman"/>
          <w:color w:val="111111"/>
          <w:sz w:val="28"/>
          <w:szCs w:val="28"/>
          <w:lang w:val="en-US"/>
        </w:rPr>
        <w:t>Adakalanya Maulawi mengidentifikasi akal tersanjung dengan nama</w:t>
      </w:r>
    </w:p>
    <w:p>
      <w:pPr>
        <w:pStyle w:val="BookText"/>
        <w:bidi w:val="0"/>
        <w:jc w:val="both"/>
        <w:rPr/>
      </w:pPr>
      <w:r>
        <w:rPr>
          <w:rFonts w:eastAsia="Times New Roman" w:cs="Times New Roman" w:ascii="Times New Roman" w:hAnsi="Times New Roman"/>
          <w:color w:val="111111"/>
          <w:sz w:val="28"/>
          <w:szCs w:val="28"/>
          <w:lang w:val="en-US"/>
        </w:rPr>
        <w:t>akal imani:</w:t>
      </w:r>
    </w:p>
    <w:p>
      <w:pPr>
        <w:pStyle w:val="BookText"/>
        <w:bidi w:val="0"/>
        <w:jc w:val="both"/>
        <w:rPr/>
      </w:pPr>
      <w:r>
        <w:rPr>
          <w:rFonts w:eastAsia="Times New Roman" w:cs="Times New Roman" w:ascii="Times New Roman" w:hAnsi="Times New Roman"/>
          <w:color w:val="111111"/>
          <w:sz w:val="28"/>
          <w:szCs w:val="28"/>
          <w:lang w:val="en-US"/>
        </w:rPr>
        <w:t>Akal imani laksana pengawal yang adil</w:t>
      </w:r>
    </w:p>
    <w:p>
      <w:pPr>
        <w:pStyle w:val="BookText"/>
        <w:bidi w:val="0"/>
        <w:jc w:val="both"/>
        <w:rPr/>
      </w:pPr>
      <w:r>
        <w:rPr>
          <w:rFonts w:eastAsia="Times New Roman" w:cs="Times New Roman" w:ascii="Times New Roman" w:hAnsi="Times New Roman"/>
          <w:color w:val="111111"/>
          <w:sz w:val="28"/>
          <w:szCs w:val="28"/>
          <w:lang w:val="en-US"/>
        </w:rPr>
        <w:t>pelindung sekaligus penguasa kota hati.</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Akal dalam diri, penguasa iman</w:t>
      </w:r>
    </w:p>
    <w:p>
      <w:pPr>
        <w:pStyle w:val="BookText"/>
        <w:bidi w:val="0"/>
        <w:jc w:val="both"/>
        <w:rPr/>
      </w:pPr>
      <w:r>
        <w:rPr>
          <w:rFonts w:eastAsia="Times New Roman" w:cs="Times New Roman" w:ascii="Times New Roman" w:hAnsi="Times New Roman"/>
          <w:color w:val="111111"/>
          <w:sz w:val="28"/>
          <w:szCs w:val="28"/>
          <w:lang w:val="en-US"/>
        </w:rPr>
        <w:t>karena takut, nafsu jadi terbelenggu.</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Manakala kaum filsuf menyandarkan asumsi-asumsinya pada</w:t>
      </w:r>
    </w:p>
    <w:p>
      <w:pPr>
        <w:pStyle w:val="BookText"/>
        <w:bidi w:val="0"/>
        <w:jc w:val="both"/>
        <w:rPr/>
      </w:pPr>
      <w:r>
        <w:rPr>
          <w:rFonts w:eastAsia="Times New Roman" w:cs="Times New Roman" w:ascii="Times New Roman" w:hAnsi="Times New Roman"/>
          <w:color w:val="111111"/>
          <w:sz w:val="28"/>
          <w:szCs w:val="28"/>
          <w:lang w:val="en-US"/>
        </w:rPr>
        <w:t>akal, lalu dengannya menyangkal sebagian hakikat religius, maka</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penalaran inilah yang digugat Maulawi: </w:t>
      </w:r>
    </w:p>
    <w:p>
      <w:pPr>
        <w:pStyle w:val="BookText"/>
        <w:bidi w:val="0"/>
        <w:rPr/>
      </w:pPr>
      <w:r>
        <w:rPr>
          <w:rFonts w:eastAsia="Times New Roman" w:cs="Times New Roman" w:ascii="Times New Roman" w:hAnsi="Times New Roman"/>
          <w:color w:val="111111"/>
          <w:sz w:val="28"/>
          <w:szCs w:val="28"/>
          <w:lang w:val="en-US"/>
        </w:rPr>
        <w:t>Filsuf jadi ingkar setan yang gaib</w:t>
      </w:r>
    </w:p>
    <w:p>
      <w:pPr>
        <w:pStyle w:val="BookText"/>
        <w:bidi w:val="0"/>
        <w:jc w:val="both"/>
        <w:rPr/>
      </w:pPr>
      <w:r>
        <w:rPr>
          <w:rFonts w:eastAsia="Times New Roman" w:cs="Times New Roman" w:ascii="Times New Roman" w:hAnsi="Times New Roman"/>
          <w:color w:val="111111"/>
          <w:sz w:val="28"/>
          <w:szCs w:val="28"/>
          <w:lang w:val="en-US"/>
        </w:rPr>
        <w:t>saat itu jua dia jadi tertawaan setan.</w:t>
      </w:r>
    </w:p>
    <w:p>
      <w:pPr>
        <w:pStyle w:val="BookText"/>
        <w:bidi w:val="0"/>
        <w:jc w:val="both"/>
        <w:rPr/>
      </w:pPr>
      <w:r>
        <w:rPr>
          <w:rFonts w:eastAsia="Times New Roman" w:cs="Times New Roman" w:ascii="Times New Roman" w:hAnsi="Times New Roman"/>
          <w:color w:val="111111"/>
          <w:sz w:val="28"/>
          <w:szCs w:val="28"/>
          <w:lang w:val="en-US"/>
        </w:rPr>
        <w:t>Siapa saja punya ragu dan lika-liku di hati</w:t>
      </w:r>
    </w:p>
    <w:p>
      <w:pPr>
        <w:pStyle w:val="BookText"/>
        <w:bidi w:val="0"/>
        <w:jc w:val="both"/>
        <w:rPr/>
      </w:pPr>
      <w:r>
        <w:rPr>
          <w:rFonts w:eastAsia="Times New Roman" w:cs="Times New Roman" w:ascii="Times New Roman" w:hAnsi="Times New Roman"/>
          <w:color w:val="111111"/>
          <w:sz w:val="28"/>
          <w:szCs w:val="28"/>
          <w:lang w:val="en-US"/>
        </w:rPr>
        <w:t>di dunianya tersembunyi filsafat.</w:t>
      </w:r>
    </w:p>
    <w:p>
      <w:pPr>
        <w:pStyle w:val="BookText"/>
        <w:bidi w:val="0"/>
        <w:jc w:val="both"/>
        <w:rPr/>
      </w:pPr>
      <w:r>
        <w:rPr>
          <w:rFonts w:eastAsia="Times New Roman" w:cs="Times New Roman" w:ascii="Times New Roman" w:hAnsi="Times New Roman"/>
          <w:color w:val="111111"/>
          <w:sz w:val="28"/>
          <w:szCs w:val="28"/>
          <w:lang w:val="en-US"/>
        </w:rPr>
        <w:t>Kiblat arif, cahaya pertautan</w:t>
      </w:r>
    </w:p>
    <w:p>
      <w:pPr>
        <w:pStyle w:val="BookText"/>
        <w:bidi w:val="0"/>
        <w:jc w:val="both"/>
        <w:rPr/>
      </w:pPr>
      <w:r>
        <w:rPr>
          <w:rFonts w:eastAsia="Times New Roman" w:cs="Times New Roman" w:ascii="Times New Roman" w:hAnsi="Times New Roman"/>
          <w:color w:val="111111"/>
          <w:sz w:val="28"/>
          <w:szCs w:val="28"/>
          <w:lang w:val="en-US"/>
        </w:rPr>
        <w:t>kiblat akal filsuf, lenbah khayalan.</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Akal terpuji Maulawi tidak bertentangan dengan penyingkapan</w:t>
      </w:r>
    </w:p>
    <w:p>
      <w:pPr>
        <w:pStyle w:val="BookText"/>
        <w:bidi w:val="0"/>
        <w:jc w:val="both"/>
        <w:rPr/>
      </w:pPr>
      <w:r>
        <w:rPr>
          <w:rFonts w:eastAsia="Times New Roman" w:cs="Times New Roman" w:ascii="Times New Roman" w:hAnsi="Times New Roman"/>
          <w:color w:val="111111"/>
          <w:sz w:val="28"/>
          <w:szCs w:val="28"/>
          <w:lang w:val="en-US"/>
        </w:rPr>
        <w:t>dan penyaksian, bahkan bagian dari ilmu-ilmu ilumi-natif dan</w:t>
      </w:r>
    </w:p>
    <w:p>
      <w:pPr>
        <w:pStyle w:val="BookText"/>
        <w:bidi w:val="0"/>
        <w:jc w:val="both"/>
        <w:rPr/>
      </w:pPr>
      <w:r>
        <w:rPr>
          <w:rFonts w:eastAsia="Times New Roman" w:cs="Times New Roman" w:ascii="Times New Roman" w:hAnsi="Times New Roman"/>
          <w:color w:val="111111"/>
          <w:sz w:val="28"/>
          <w:szCs w:val="28"/>
          <w:lang w:val="en-US"/>
        </w:rPr>
        <w:t>karuniawi Ilahi yang tidak diperoleh lewat proses belajar.</w:t>
      </w:r>
    </w:p>
    <w:p>
      <w:pPr>
        <w:pStyle w:val="BookText"/>
        <w:bidi w:val="0"/>
        <w:jc w:val="both"/>
        <w:rPr/>
      </w:pPr>
      <w:r>
        <w:rPr>
          <w:rFonts w:eastAsia="Times New Roman" w:cs="Times New Roman" w:ascii="Times New Roman" w:hAnsi="Times New Roman"/>
          <w:color w:val="111111"/>
          <w:sz w:val="28"/>
          <w:szCs w:val="28"/>
          <w:lang w:val="en-US"/>
        </w:rPr>
        <w:t>Akal, ada dua: yang satu dicari</w:t>
      </w:r>
    </w:p>
    <w:p>
      <w:pPr>
        <w:pStyle w:val="BookText"/>
        <w:bidi w:val="0"/>
        <w:jc w:val="both"/>
        <w:rPr/>
      </w:pPr>
      <w:r>
        <w:rPr>
          <w:rFonts w:eastAsia="Times New Roman" w:cs="Times New Roman" w:ascii="Times New Roman" w:hAnsi="Times New Roman"/>
          <w:color w:val="111111"/>
          <w:sz w:val="28"/>
          <w:szCs w:val="28"/>
          <w:lang w:val="en-US"/>
        </w:rPr>
        <w:t>belajar bagai bocah di kelas.</w:t>
      </w:r>
    </w:p>
    <w:p>
      <w:pPr>
        <w:pStyle w:val="BookText"/>
        <w:bidi w:val="0"/>
        <w:jc w:val="both"/>
        <w:rPr/>
      </w:pPr>
      <w:r>
        <w:rPr>
          <w:rFonts w:eastAsia="Times New Roman" w:cs="Times New Roman" w:ascii="Times New Roman" w:hAnsi="Times New Roman"/>
          <w:color w:val="111111"/>
          <w:sz w:val="28"/>
          <w:szCs w:val="28"/>
          <w:lang w:val="en-US"/>
        </w:rPr>
        <w:t>Dari buku, guru, pikir, dan zikir</w:t>
      </w:r>
    </w:p>
    <w:p>
      <w:pPr>
        <w:pStyle w:val="BookText"/>
        <w:bidi w:val="0"/>
        <w:jc w:val="both"/>
        <w:rPr/>
      </w:pPr>
      <w:r>
        <w:rPr>
          <w:rFonts w:eastAsia="Times New Roman" w:cs="Times New Roman" w:ascii="Times New Roman" w:hAnsi="Times New Roman"/>
          <w:color w:val="111111"/>
          <w:sz w:val="28"/>
          <w:szCs w:val="28"/>
          <w:lang w:val="en-US"/>
        </w:rPr>
        <w:t>dari makna dan ilmu-ilmu baru lain.</w:t>
      </w:r>
    </w:p>
    <w:p>
      <w:pPr>
        <w:pStyle w:val="BookText"/>
        <w:bidi w:val="0"/>
        <w:jc w:val="both"/>
        <w:rPr/>
      </w:pPr>
      <w:r>
        <w:rPr>
          <w:rFonts w:eastAsia="Times New Roman" w:cs="Times New Roman" w:ascii="Times New Roman" w:hAnsi="Times New Roman"/>
          <w:color w:val="111111"/>
          <w:sz w:val="28"/>
          <w:szCs w:val="28"/>
          <w:lang w:val="en-US"/>
        </w:rPr>
        <w:t>Yang satu lagi, anugerah ilahi</w:t>
      </w:r>
    </w:p>
    <w:p>
      <w:pPr>
        <w:pStyle w:val="BookText"/>
        <w:bidi w:val="0"/>
        <w:jc w:val="both"/>
        <w:rPr/>
      </w:pPr>
      <w:r>
        <w:rPr>
          <w:rFonts w:eastAsia="Times New Roman" w:cs="Times New Roman" w:ascii="Times New Roman" w:hAnsi="Times New Roman"/>
          <w:color w:val="111111"/>
          <w:sz w:val="28"/>
          <w:szCs w:val="28"/>
          <w:lang w:val="en-US"/>
        </w:rPr>
        <w:t>sumbernya terletak di pusat nyawa.</w:t>
      </w:r>
    </w:p>
    <w:p>
      <w:pPr>
        <w:pStyle w:val="BookText"/>
        <w:bidi w:val="0"/>
        <w:jc w:val="both"/>
        <w:rPr/>
      </w:pPr>
      <w:r>
        <w:rPr>
          <w:rFonts w:eastAsia="Times New Roman" w:cs="Times New Roman" w:ascii="Times New Roman" w:hAnsi="Times New Roman"/>
          <w:color w:val="111111"/>
          <w:sz w:val="28"/>
          <w:szCs w:val="28"/>
          <w:lang w:val="en-US"/>
        </w:rPr>
        <w:t>Karena cairan ilmu mendidih di dada</w:t>
      </w:r>
    </w:p>
    <w:p>
      <w:pPr>
        <w:pStyle w:val="BookText"/>
        <w:bidi w:val="0"/>
        <w:jc w:val="both"/>
        <w:rPr/>
      </w:pPr>
      <w:r>
        <w:rPr>
          <w:rFonts w:eastAsia="Times New Roman" w:cs="Times New Roman" w:ascii="Times New Roman" w:hAnsi="Times New Roman"/>
          <w:color w:val="111111"/>
          <w:sz w:val="28"/>
          <w:szCs w:val="28"/>
          <w:lang w:val="en-US"/>
        </w:rPr>
        <w:t>maka tidak basi, kuno, atau menguning.</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Terminologi kunci Maulawi dalam membedakan akal terpuji</w:t>
      </w:r>
    </w:p>
    <w:p>
      <w:pPr>
        <w:pStyle w:val="BookText"/>
        <w:bidi w:val="0"/>
        <w:jc w:val="both"/>
        <w:rPr/>
      </w:pPr>
      <w:r>
        <w:rPr>
          <w:rFonts w:eastAsia="Times New Roman" w:cs="Times New Roman" w:ascii="Times New Roman" w:hAnsi="Times New Roman"/>
          <w:color w:val="111111"/>
          <w:sz w:val="28"/>
          <w:szCs w:val="28"/>
          <w:lang w:val="en-US"/>
        </w:rPr>
        <w:t>dari akal tercela adalah “akal universal” (‘aql kulli) dan “akal parsial”</w:t>
      </w:r>
    </w:p>
    <w:p>
      <w:pPr>
        <w:pStyle w:val="BookText"/>
        <w:bidi w:val="0"/>
        <w:jc w:val="both"/>
        <w:rPr/>
      </w:pPr>
      <w:r>
        <w:rPr>
          <w:rFonts w:eastAsia="Times New Roman" w:cs="Times New Roman" w:ascii="Times New Roman" w:hAnsi="Times New Roman"/>
          <w:color w:val="111111"/>
          <w:sz w:val="28"/>
          <w:szCs w:val="28"/>
          <w:lang w:val="en-US"/>
        </w:rPr>
        <w:t>(‘aql juz‘). Menurut sebagian ahli di bidang ini, yang dimaksud akal</w:t>
      </w:r>
    </w:p>
    <w:p>
      <w:pPr>
        <w:pStyle w:val="BookText"/>
        <w:bidi w:val="0"/>
        <w:jc w:val="both"/>
        <w:rPr/>
      </w:pPr>
      <w:r>
        <w:rPr>
          <w:rFonts w:eastAsia="Times New Roman" w:cs="Times New Roman" w:ascii="Times New Roman" w:hAnsi="Times New Roman"/>
          <w:color w:val="111111"/>
          <w:sz w:val="28"/>
          <w:szCs w:val="28"/>
          <w:lang w:val="en-US"/>
        </w:rPr>
        <w:t>parsial adalah akal kalkulus yang menyangkut urusan duniawi;</w:t>
      </w:r>
    </w:p>
    <w:p>
      <w:pPr>
        <w:pStyle w:val="BookText"/>
        <w:bidi w:val="0"/>
        <w:jc w:val="both"/>
        <w:rPr/>
      </w:pPr>
      <w:r>
        <w:rPr>
          <w:rFonts w:eastAsia="Times New Roman" w:cs="Times New Roman" w:ascii="Times New Roman" w:hAnsi="Times New Roman"/>
          <w:color w:val="111111"/>
          <w:sz w:val="28"/>
          <w:szCs w:val="28"/>
          <w:lang w:val="en-US"/>
        </w:rPr>
        <w:t>satu jenis akal yang lebih mengutamakan keuntungan pribadi dan</w:t>
      </w:r>
    </w:p>
    <w:p>
      <w:pPr>
        <w:pStyle w:val="BookText"/>
        <w:bidi w:val="0"/>
        <w:jc w:val="both"/>
        <w:rPr/>
      </w:pPr>
      <w:r>
        <w:rPr>
          <w:rFonts w:eastAsia="Times New Roman" w:cs="Times New Roman" w:ascii="Times New Roman" w:hAnsi="Times New Roman"/>
          <w:color w:val="111111"/>
          <w:sz w:val="28"/>
          <w:szCs w:val="28"/>
          <w:lang w:val="en-US"/>
        </w:rPr>
        <w:t>sementara di atas yang permanen dan ukhrawi.</w:t>
      </w:r>
      <w:r>
        <w:rPr>
          <w:rStyle w:val="FootnoteAnchor"/>
        </w:rPr>
        <w:footnoteReference w:id="86"/>
      </w:r>
      <w:r>
        <w:rPr>
          <w:rFonts w:eastAsia="Times New Roman" w:cs="Times New Roman" w:ascii="Times New Roman" w:hAnsi="Times New Roman"/>
          <w:color w:val="111111"/>
          <w:sz w:val="28"/>
          <w:szCs w:val="28"/>
          <w:lang w:val="en-US"/>
        </w:rPr>
        <w:t>Sebagian ahli yang</w:t>
      </w:r>
    </w:p>
    <w:p>
      <w:pPr>
        <w:pStyle w:val="BookText"/>
        <w:bidi w:val="0"/>
        <w:jc w:val="both"/>
        <w:rPr/>
      </w:pPr>
      <w:r>
        <w:rPr>
          <w:rFonts w:eastAsia="Times New Roman" w:cs="Times New Roman" w:ascii="Times New Roman" w:hAnsi="Times New Roman"/>
          <w:color w:val="111111"/>
          <w:sz w:val="28"/>
          <w:szCs w:val="28"/>
          <w:lang w:val="en-US"/>
        </w:rPr>
        <w:t>lain lebih lanjut menerangkan:</w:t>
      </w:r>
    </w:p>
    <w:p>
      <w:pPr>
        <w:pStyle w:val="BookText"/>
        <w:bidi w:val="0"/>
        <w:jc w:val="both"/>
        <w:rPr/>
      </w:pPr>
      <w:r>
        <w:rPr>
          <w:rFonts w:eastAsia="Times New Roman" w:cs="Times New Roman" w:ascii="Times New Roman" w:hAnsi="Times New Roman"/>
          <w:color w:val="111111"/>
          <w:sz w:val="28"/>
          <w:szCs w:val="28"/>
          <w:lang w:val="en-US"/>
        </w:rPr>
        <w:t>Akal parsial adalah akal yang kekurangan dan mentah. Orang</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kebanyakan lebih-kurang sama dalam hal ini. Akal pada level </w:t>
      </w:r>
    </w:p>
    <w:p>
      <w:pPr>
        <w:pStyle w:val="BookText"/>
        <w:bidi w:val="0"/>
        <w:rPr/>
      </w:pPr>
      <w:r>
        <w:rPr>
          <w:rFonts w:eastAsia="Times New Roman" w:cs="Times New Roman" w:ascii="Times New Roman" w:hAnsi="Times New Roman"/>
          <w:color w:val="111111"/>
          <w:sz w:val="28"/>
          <w:szCs w:val="28"/>
          <w:lang w:val="en-US"/>
        </w:rPr>
        <w:t>ini kurang dan tak sanggup mengecap hakikat sesuatu karena</w:t>
      </w:r>
    </w:p>
    <w:p>
      <w:pPr>
        <w:pStyle w:val="BookText"/>
        <w:bidi w:val="0"/>
        <w:jc w:val="both"/>
        <w:rPr/>
      </w:pPr>
      <w:r>
        <w:rPr>
          <w:rFonts w:eastAsia="Times New Roman" w:cs="Times New Roman" w:ascii="Times New Roman" w:hAnsi="Times New Roman"/>
          <w:color w:val="111111"/>
          <w:sz w:val="28"/>
          <w:szCs w:val="28"/>
          <w:lang w:val="en-US"/>
        </w:rPr>
        <w:t>terancam wabah khayal dan prasangka. Wabah inilah yang</w:t>
      </w:r>
    </w:p>
    <w:p>
      <w:pPr>
        <w:pStyle w:val="BookText"/>
        <w:bidi w:val="0"/>
        <w:jc w:val="both"/>
        <w:rPr/>
      </w:pPr>
      <w:r>
        <w:rPr>
          <w:rFonts w:eastAsia="Times New Roman" w:cs="Times New Roman" w:ascii="Times New Roman" w:hAnsi="Times New Roman"/>
          <w:color w:val="111111"/>
          <w:sz w:val="28"/>
          <w:szCs w:val="28"/>
          <w:lang w:val="en-US"/>
        </w:rPr>
        <w:t>merembesi akal dan selanjutnya merapuhkan fondasi pembuktian</w:t>
      </w:r>
    </w:p>
    <w:p>
      <w:pPr>
        <w:pStyle w:val="BookText"/>
        <w:bidi w:val="0"/>
        <w:jc w:val="both"/>
        <w:rPr/>
      </w:pPr>
      <w:r>
        <w:rPr>
          <w:rFonts w:eastAsia="Times New Roman" w:cs="Times New Roman" w:ascii="Times New Roman" w:hAnsi="Times New Roman"/>
          <w:color w:val="111111"/>
          <w:sz w:val="28"/>
          <w:szCs w:val="28"/>
          <w:lang w:val="en-US"/>
        </w:rPr>
        <w:t>akal. Karena itu, seyogyanya akal parsial ditautkan dengan akal</w:t>
      </w:r>
    </w:p>
    <w:p>
      <w:pPr>
        <w:pStyle w:val="BookText"/>
        <w:bidi w:val="0"/>
        <w:jc w:val="both"/>
        <w:rPr/>
      </w:pPr>
      <w:r>
        <w:rPr>
          <w:rFonts w:eastAsia="Times New Roman" w:cs="Times New Roman" w:ascii="Times New Roman" w:hAnsi="Times New Roman"/>
          <w:color w:val="111111"/>
          <w:sz w:val="28"/>
          <w:szCs w:val="28"/>
          <w:lang w:val="en-US"/>
        </w:rPr>
        <w:t>universal yang hanya dimiliki orang-orang tertentu dan paling</w:t>
      </w:r>
    </w:p>
    <w:p>
      <w:pPr>
        <w:pStyle w:val="BookText"/>
        <w:bidi w:val="0"/>
        <w:jc w:val="both"/>
        <w:rPr/>
      </w:pPr>
      <w:r>
        <w:rPr>
          <w:rFonts w:eastAsia="Times New Roman" w:cs="Times New Roman" w:ascii="Times New Roman" w:hAnsi="Times New Roman"/>
          <w:color w:val="111111"/>
          <w:sz w:val="28"/>
          <w:szCs w:val="28"/>
          <w:lang w:val="en-US"/>
        </w:rPr>
        <w:t>dekat dengan Tuhan. Berkat pertautan itu, akal parsial dapat</w:t>
      </w:r>
    </w:p>
    <w:p>
      <w:pPr>
        <w:pStyle w:val="BookText"/>
        <w:bidi w:val="0"/>
        <w:jc w:val="both"/>
        <w:rPr/>
      </w:pPr>
      <w:r>
        <w:rPr>
          <w:rFonts w:eastAsia="Times New Roman" w:cs="Times New Roman" w:ascii="Times New Roman" w:hAnsi="Times New Roman"/>
          <w:color w:val="111111"/>
          <w:sz w:val="28"/>
          <w:szCs w:val="28"/>
          <w:lang w:val="en-US"/>
        </w:rPr>
        <w:t>berubah menjadi akal universal.</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Khayal dan prasangka wabah akal parsial</w:t>
      </w:r>
    </w:p>
    <w:p>
      <w:pPr>
        <w:pStyle w:val="BookText"/>
        <w:bidi w:val="0"/>
        <w:jc w:val="both"/>
        <w:rPr/>
      </w:pPr>
      <w:r>
        <w:rPr>
          <w:rFonts w:eastAsia="Times New Roman" w:cs="Times New Roman" w:ascii="Times New Roman" w:hAnsi="Times New Roman"/>
          <w:color w:val="111111"/>
          <w:sz w:val="28"/>
          <w:szCs w:val="28"/>
          <w:lang w:val="en-US"/>
        </w:rPr>
        <w:t>karena bersemayam dalam gelap.</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Akal parsial, jangan jadikan menteri</w:t>
      </w:r>
    </w:p>
    <w:p>
      <w:pPr>
        <w:pStyle w:val="BookText"/>
        <w:bidi w:val="0"/>
        <w:jc w:val="both"/>
        <w:rPr/>
      </w:pPr>
      <w:r>
        <w:rPr>
          <w:rFonts w:eastAsia="Times New Roman" w:cs="Times New Roman" w:ascii="Times New Roman" w:hAnsi="Times New Roman"/>
          <w:color w:val="111111"/>
          <w:sz w:val="28"/>
          <w:szCs w:val="28"/>
          <w:lang w:val="en-US"/>
        </w:rPr>
        <w:t>hati raja, jadikan akal universal menteri.</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Akal parsial dalam dirimu terpatri</w:t>
      </w:r>
    </w:p>
    <w:p>
      <w:pPr>
        <w:pStyle w:val="BookText"/>
        <w:bidi w:val="0"/>
        <w:jc w:val="both"/>
        <w:rPr/>
      </w:pPr>
      <w:r>
        <w:rPr>
          <w:rFonts w:eastAsia="Times New Roman" w:cs="Times New Roman" w:ascii="Times New Roman" w:hAnsi="Times New Roman"/>
          <w:color w:val="111111"/>
          <w:sz w:val="28"/>
          <w:szCs w:val="28"/>
          <w:lang w:val="en-US"/>
        </w:rPr>
        <w:t>akal universal di dunia, cobalah cari.</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Usahalah sampai tua jadi akal dan agama</w:t>
      </w:r>
    </w:p>
    <w:p>
      <w:pPr>
        <w:pStyle w:val="BookText"/>
        <w:bidi w:val="0"/>
        <w:jc w:val="both"/>
        <w:rPr/>
      </w:pPr>
      <w:r>
        <w:rPr>
          <w:rFonts w:eastAsia="Times New Roman" w:cs="Times New Roman" w:ascii="Times New Roman" w:hAnsi="Times New Roman"/>
          <w:color w:val="111111"/>
          <w:sz w:val="28"/>
          <w:szCs w:val="28"/>
          <w:lang w:val="en-US"/>
        </w:rPr>
        <w:t>karena dengan akal universal, batin pun tersingkap.</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Sebagai penutup bab, akan dikemukakan perdebatan puitis di</w:t>
      </w:r>
    </w:p>
    <w:p>
      <w:pPr>
        <w:pStyle w:val="BookText"/>
        <w:bidi w:val="0"/>
        <w:jc w:val="both"/>
        <w:rPr/>
      </w:pPr>
      <w:r>
        <w:rPr>
          <w:rFonts w:eastAsia="Times New Roman" w:cs="Times New Roman" w:ascii="Times New Roman" w:hAnsi="Times New Roman"/>
          <w:color w:val="111111"/>
          <w:sz w:val="28"/>
          <w:szCs w:val="28"/>
          <w:lang w:val="en-US"/>
        </w:rPr>
        <w:t>antara dua sosok, filsuf dan arif, seputar puisi terkenal kaki juru bukti</w:t>
      </w:r>
    </w:p>
    <w:p>
      <w:pPr>
        <w:pStyle w:val="BookText"/>
        <w:bidi w:val="0"/>
        <w:jc w:val="both"/>
        <w:rPr/>
      </w:pPr>
      <w:r>
        <w:rPr>
          <w:rFonts w:eastAsia="Times New Roman" w:cs="Times New Roman" w:ascii="Times New Roman" w:hAnsi="Times New Roman"/>
          <w:color w:val="111111"/>
          <w:sz w:val="28"/>
          <w:szCs w:val="28"/>
          <w:lang w:val="en-US"/>
        </w:rPr>
        <w:t>terbuat dari kayu/betapa kaki kayu sungguh rapuh. Mirdamad yakin,</w:t>
      </w:r>
    </w:p>
    <w:p>
      <w:pPr>
        <w:pStyle w:val="BookText"/>
        <w:bidi w:val="0"/>
        <w:jc w:val="both"/>
        <w:rPr/>
      </w:pPr>
      <w:r>
        <w:rPr>
          <w:rFonts w:eastAsia="Times New Roman" w:cs="Times New Roman" w:ascii="Times New Roman" w:hAnsi="Times New Roman"/>
          <w:color w:val="111111"/>
          <w:sz w:val="28"/>
          <w:szCs w:val="28"/>
          <w:lang w:val="en-US"/>
        </w:rPr>
        <w:t>Maulawi sama sekali tidak menghargai akal dan pembuktian logis.</w:t>
      </w:r>
    </w:p>
    <w:p>
      <w:pPr>
        <w:pStyle w:val="BookText"/>
        <w:bidi w:val="0"/>
        <w:jc w:val="both"/>
        <w:rPr/>
      </w:pPr>
      <w:r>
        <w:rPr>
          <w:rFonts w:eastAsia="Times New Roman" w:cs="Times New Roman" w:ascii="Times New Roman" w:hAnsi="Times New Roman"/>
          <w:color w:val="111111"/>
          <w:sz w:val="28"/>
          <w:szCs w:val="28"/>
          <w:lang w:val="en-US"/>
        </w:rPr>
        <w:t>Kepadanya dia berkata:</w:t>
      </w:r>
    </w:p>
    <w:p>
      <w:pPr>
        <w:pStyle w:val="BookText"/>
        <w:bidi w:val="0"/>
        <w:jc w:val="both"/>
        <w:rPr/>
      </w:pPr>
      <w:r>
        <w:rPr>
          <w:rFonts w:eastAsia="Times New Roman" w:cs="Times New Roman" w:ascii="Times New Roman" w:hAnsi="Times New Roman"/>
          <w:color w:val="111111"/>
          <w:sz w:val="28"/>
          <w:szCs w:val="28"/>
          <w:lang w:val="en-US"/>
        </w:rPr>
        <w:t>Hai kamu yang menyebut kaki kayu jadi bukti</w:t>
      </w:r>
    </w:p>
    <w:p>
      <w:pPr>
        <w:pStyle w:val="BookText"/>
        <w:bidi w:val="0"/>
        <w:jc w:val="both"/>
        <w:rPr/>
      </w:pPr>
      <w:r>
        <w:rPr>
          <w:rFonts w:eastAsia="Times New Roman" w:cs="Times New Roman" w:ascii="Times New Roman" w:hAnsi="Times New Roman"/>
          <w:color w:val="111111"/>
          <w:sz w:val="28"/>
          <w:szCs w:val="28"/>
          <w:lang w:val="en-US"/>
        </w:rPr>
        <w:t>jika tidak, Fakhru Razi tak tertandingi.</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Antara akal dan khayalan tak dibedakannya</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Jangan menggugat bukti, hai salah pengerti </w:t>
      </w:r>
    </w:p>
    <w:p>
      <w:pPr>
        <w:pStyle w:val="BookText"/>
        <w:bidi w:val="0"/>
        <w:rPr/>
      </w:pPr>
      <w:r>
        <w:rPr>
          <w:rFonts w:eastAsia="Times New Roman" w:cs="Times New Roman" w:ascii="Times New Roman" w:hAnsi="Times New Roman"/>
          <w:color w:val="111111"/>
          <w:sz w:val="28"/>
          <w:szCs w:val="28"/>
          <w:lang w:val="en-US"/>
        </w:rPr>
        <w:t>Kamu ingin jalan dengan kaki baja bukti</w:t>
      </w:r>
    </w:p>
    <w:p>
      <w:pPr>
        <w:pStyle w:val="BookText"/>
        <w:bidi w:val="0"/>
        <w:jc w:val="both"/>
        <w:rPr/>
      </w:pPr>
      <w:r>
        <w:rPr>
          <w:rFonts w:eastAsia="Times New Roman" w:cs="Times New Roman" w:ascii="Times New Roman" w:hAnsi="Times New Roman"/>
          <w:color w:val="111111"/>
          <w:sz w:val="28"/>
          <w:szCs w:val="28"/>
          <w:lang w:val="en-US"/>
        </w:rPr>
        <w:t>mintalah dari siratul mustakim kami</w:t>
      </w:r>
    </w:p>
    <w:p>
      <w:pPr>
        <w:pStyle w:val="BookText"/>
        <w:bidi w:val="0"/>
        <w:jc w:val="both"/>
        <w:rPr/>
      </w:pPr>
      <w:r>
        <w:rPr>
          <w:rFonts w:eastAsia="Times New Roman" w:cs="Times New Roman" w:ascii="Times New Roman" w:hAnsi="Times New Roman"/>
          <w:color w:val="111111"/>
          <w:sz w:val="28"/>
          <w:szCs w:val="28"/>
          <w:lang w:val="en-US"/>
        </w:rPr>
        <w:t>Kamu ingin kaki baja pembuktian</w:t>
      </w:r>
    </w:p>
    <w:p>
      <w:pPr>
        <w:pStyle w:val="BookText"/>
        <w:bidi w:val="0"/>
        <w:jc w:val="both"/>
        <w:rPr/>
      </w:pPr>
      <w:r>
        <w:rPr>
          <w:rFonts w:eastAsia="Times New Roman" w:cs="Times New Roman" w:ascii="Times New Roman" w:hAnsi="Times New Roman"/>
          <w:color w:val="111111"/>
          <w:sz w:val="28"/>
          <w:szCs w:val="28"/>
          <w:lang w:val="en-US"/>
        </w:rPr>
        <w:t>kami tetapkan dia di ufuk mubin</w:t>
      </w:r>
    </w:p>
    <w:p>
      <w:pPr>
        <w:pStyle w:val="BookText"/>
        <w:bidi w:val="0"/>
        <w:jc w:val="both"/>
        <w:rPr/>
      </w:pPr>
      <w:r>
        <w:rPr>
          <w:rFonts w:eastAsia="Times New Roman" w:cs="Times New Roman" w:ascii="Times New Roman" w:hAnsi="Times New Roman"/>
          <w:color w:val="111111"/>
          <w:sz w:val="28"/>
          <w:szCs w:val="28"/>
          <w:lang w:val="en-US"/>
        </w:rPr>
        <w:t>Di buku “dah qabas” antara pagi dan malam</w:t>
      </w:r>
    </w:p>
    <w:p>
      <w:pPr>
        <w:pStyle w:val="BookText"/>
        <w:bidi w:val="0"/>
        <w:jc w:val="both"/>
        <w:rPr/>
      </w:pPr>
      <w:r>
        <w:rPr>
          <w:rFonts w:eastAsia="Times New Roman" w:cs="Times New Roman" w:ascii="Times New Roman" w:hAnsi="Times New Roman"/>
          <w:color w:val="111111"/>
          <w:sz w:val="28"/>
          <w:szCs w:val="28"/>
          <w:lang w:val="en-US"/>
        </w:rPr>
        <w:t>ada sejagat cahaya akal, wassalam</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Muhammad Syirazi yang arif menilai gugatan Mirdamad di atas</w:t>
      </w:r>
    </w:p>
    <w:p>
      <w:pPr>
        <w:pStyle w:val="BookText"/>
        <w:bidi w:val="0"/>
        <w:jc w:val="both"/>
        <w:rPr/>
      </w:pPr>
      <w:r>
        <w:rPr>
          <w:rFonts w:eastAsia="Times New Roman" w:cs="Times New Roman" w:ascii="Times New Roman" w:hAnsi="Times New Roman"/>
          <w:color w:val="111111"/>
          <w:sz w:val="28"/>
          <w:szCs w:val="28"/>
          <w:lang w:val="en-US"/>
        </w:rPr>
        <w:t>tadi tidak proporsional. Berikut jawabannya atas gugatan itu:</w:t>
      </w:r>
    </w:p>
    <w:p>
      <w:pPr>
        <w:pStyle w:val="BookText"/>
        <w:bidi w:val="0"/>
        <w:jc w:val="both"/>
        <w:rPr/>
      </w:pPr>
      <w:r>
        <w:rPr>
          <w:rFonts w:eastAsia="Times New Roman" w:cs="Times New Roman" w:ascii="Times New Roman" w:hAnsi="Times New Roman"/>
          <w:color w:val="111111"/>
          <w:sz w:val="28"/>
          <w:szCs w:val="28"/>
          <w:lang w:val="en-US"/>
        </w:rPr>
        <w:t>Hai kamu yang menggugat Maulawi</w:t>
      </w:r>
    </w:p>
    <w:p>
      <w:pPr>
        <w:pStyle w:val="BookText"/>
        <w:bidi w:val="0"/>
        <w:jc w:val="both"/>
        <w:rPr/>
      </w:pPr>
      <w:r>
        <w:rPr>
          <w:rFonts w:eastAsia="Times New Roman" w:cs="Times New Roman" w:ascii="Times New Roman" w:hAnsi="Times New Roman"/>
          <w:color w:val="111111"/>
          <w:sz w:val="28"/>
          <w:szCs w:val="28"/>
          <w:lang w:val="en-US"/>
        </w:rPr>
        <w:t>hai kamu yang tak sanggup mengerti Matsnawi</w:t>
      </w:r>
    </w:p>
    <w:p>
      <w:pPr>
        <w:pStyle w:val="BookText"/>
        <w:bidi w:val="0"/>
        <w:jc w:val="both"/>
        <w:rPr/>
      </w:pPr>
      <w:r>
        <w:rPr>
          <w:rFonts w:eastAsia="Times New Roman" w:cs="Times New Roman" w:ascii="Times New Roman" w:hAnsi="Times New Roman"/>
          <w:color w:val="111111"/>
          <w:sz w:val="28"/>
          <w:szCs w:val="28"/>
          <w:lang w:val="en-US"/>
        </w:rPr>
        <w:t>Matsnawt samudera cahaya jiwa</w:t>
      </w:r>
    </w:p>
    <w:p>
      <w:pPr>
        <w:pStyle w:val="BookText"/>
        <w:bidi w:val="0"/>
        <w:jc w:val="both"/>
        <w:rPr/>
      </w:pPr>
      <w:r>
        <w:rPr>
          <w:rFonts w:eastAsia="Times New Roman" w:cs="Times New Roman" w:ascii="Times New Roman" w:hAnsi="Times New Roman"/>
          <w:color w:val="111111"/>
          <w:sz w:val="28"/>
          <w:szCs w:val="28"/>
          <w:lang w:val="en-US"/>
        </w:rPr>
        <w:t>puisinya penuh mutiara berharga</w:t>
      </w:r>
    </w:p>
    <w:p>
      <w:pPr>
        <w:pStyle w:val="BookText"/>
        <w:bidi w:val="0"/>
        <w:jc w:val="both"/>
        <w:rPr/>
      </w:pPr>
      <w:r>
        <w:rPr>
          <w:rFonts w:eastAsia="Times New Roman" w:cs="Times New Roman" w:ascii="Times New Roman" w:hAnsi="Times New Roman"/>
          <w:color w:val="111111"/>
          <w:sz w:val="28"/>
          <w:szCs w:val="28"/>
          <w:lang w:val="en-US"/>
        </w:rPr>
        <w:t>Kalau saja kamu mengerti Matsnawi</w:t>
      </w:r>
    </w:p>
    <w:p>
      <w:pPr>
        <w:pStyle w:val="BookText"/>
        <w:bidi w:val="0"/>
        <w:jc w:val="both"/>
        <w:rPr/>
      </w:pPr>
      <w:r>
        <w:rPr>
          <w:rFonts w:eastAsia="Times New Roman" w:cs="Times New Roman" w:ascii="Times New Roman" w:hAnsi="Times New Roman"/>
          <w:color w:val="111111"/>
          <w:sz w:val="28"/>
          <w:szCs w:val="28"/>
          <w:lang w:val="en-US"/>
        </w:rPr>
        <w:t>tak ‘kan buka mulut menggugatnya</w:t>
      </w:r>
    </w:p>
    <w:p>
      <w:pPr>
        <w:pStyle w:val="BookText"/>
        <w:bidi w:val="0"/>
        <w:jc w:val="both"/>
        <w:rPr/>
      </w:pPr>
      <w:r>
        <w:rPr>
          <w:rFonts w:eastAsia="Times New Roman" w:cs="Times New Roman" w:ascii="Times New Roman" w:hAnsi="Times New Roman"/>
          <w:color w:val="111111"/>
          <w:sz w:val="28"/>
          <w:szCs w:val="28"/>
          <w:lang w:val="en-US"/>
        </w:rPr>
        <w:t>Segala cacat pembuktian aklani</w:t>
      </w:r>
    </w:p>
    <w:p>
      <w:pPr>
        <w:pStyle w:val="BookText"/>
        <w:bidi w:val="0"/>
        <w:jc w:val="both"/>
        <w:rPr/>
      </w:pPr>
      <w:r>
        <w:rPr>
          <w:rFonts w:eastAsia="Times New Roman" w:cs="Times New Roman" w:ascii="Times New Roman" w:hAnsi="Times New Roman"/>
          <w:color w:val="111111"/>
          <w:sz w:val="28"/>
          <w:szCs w:val="28"/>
          <w:lang w:val="en-US"/>
        </w:rPr>
        <w:t>Maulawi menukilnya dalam Matsnawi</w:t>
      </w:r>
    </w:p>
    <w:p>
      <w:pPr>
        <w:pStyle w:val="BookText"/>
        <w:bidi w:val="0"/>
        <w:jc w:val="both"/>
        <w:rPr/>
      </w:pPr>
      <w:r>
        <w:rPr>
          <w:rFonts w:eastAsia="Times New Roman" w:cs="Times New Roman" w:ascii="Times New Roman" w:hAnsi="Times New Roman"/>
          <w:color w:val="111111"/>
          <w:sz w:val="28"/>
          <w:szCs w:val="28"/>
          <w:lang w:val="en-US"/>
        </w:rPr>
        <w:t>Tapi akal universal tidak ia maksudkan</w:t>
      </w:r>
    </w:p>
    <w:p>
      <w:pPr>
        <w:pStyle w:val="BookText"/>
        <w:bidi w:val="0"/>
        <w:jc w:val="both"/>
        <w:rPr/>
      </w:pPr>
      <w:r>
        <w:rPr>
          <w:rFonts w:eastAsia="Times New Roman" w:cs="Times New Roman" w:ascii="Times New Roman" w:hAnsi="Times New Roman"/>
          <w:color w:val="111111"/>
          <w:sz w:val="28"/>
          <w:szCs w:val="28"/>
          <w:lang w:val="en-US"/>
        </w:rPr>
        <w:t>karena dialah petunjuk di setiap jalan</w:t>
      </w:r>
    </w:p>
    <w:p>
      <w:pPr>
        <w:pStyle w:val="BookText"/>
        <w:bidi w:val="0"/>
        <w:jc w:val="both"/>
        <w:rPr/>
      </w:pPr>
      <w:r>
        <w:rPr>
          <w:rFonts w:eastAsia="Times New Roman" w:cs="Times New Roman" w:ascii="Times New Roman" w:hAnsi="Times New Roman"/>
          <w:color w:val="111111"/>
          <w:sz w:val="28"/>
          <w:szCs w:val="28"/>
          <w:lang w:val="en-US"/>
        </w:rPr>
        <w:t>Maksudnya hanyalah akal parsial falsafi</w:t>
      </w:r>
    </w:p>
    <w:p>
      <w:pPr>
        <w:pStyle w:val="BookText"/>
        <w:bidi w:val="0"/>
        <w:jc w:val="both"/>
        <w:rPr/>
      </w:pPr>
      <w:r>
        <w:rPr>
          <w:rFonts w:eastAsia="Times New Roman" w:cs="Times New Roman" w:ascii="Times New Roman" w:hAnsi="Times New Roman"/>
          <w:color w:val="111111"/>
          <w:sz w:val="28"/>
          <w:szCs w:val="28"/>
          <w:lang w:val="en-US"/>
        </w:rPr>
        <w:t>karena dia tak bercahaya di hadapan Yusuf</w:t>
      </w:r>
    </w:p>
    <w:p>
      <w:pPr>
        <w:pStyle w:val="BookText"/>
        <w:bidi w:val="0"/>
        <w:jc w:val="both"/>
        <w:rPr/>
      </w:pPr>
      <w:r>
        <w:rPr>
          <w:rFonts w:eastAsia="Times New Roman" w:cs="Times New Roman" w:ascii="Times New Roman" w:hAnsi="Times New Roman"/>
          <w:color w:val="111111"/>
          <w:sz w:val="28"/>
          <w:szCs w:val="28"/>
          <w:lang w:val="en-US"/>
        </w:rPr>
        <w:t>Akal parsial ibarat khayalan keruh</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karena itu dia tercela di sisi auliya.</w:t>
      </w:r>
      <w:r>
        <w:rPr>
          <w:rStyle w:val="FootnoteAnchor"/>
        </w:rPr>
        <w:footnoteReference w:id="9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13" w:name="pg5378_50482"/>
      <w:bookmarkStart w:id="114" w:name="pg5378_50482"/>
      <w:bookmarkEnd w:id="114"/>
    </w:p>
    <w:p>
      <w:pPr>
        <w:pStyle w:val="Heading2"/>
        <w:numPr>
          <w:ilvl w:val="1"/>
          <w:numId w:val="1"/>
        </w:numPr>
        <w:bidi w:val="0"/>
        <w:jc w:val="left"/>
        <w:rPr/>
      </w:pPr>
      <w:bookmarkStart w:id="115" w:name="pg5378_50482"/>
      <w:bookmarkStart w:id="116" w:name="__RefHeading___Toc1351128_581953129"/>
      <w:bookmarkStart w:id="117" w:name="_Toc43"/>
      <w:bookmarkEnd w:id="115"/>
      <w:bookmarkEnd w:id="116"/>
      <w:r>
        <w:rPr/>
        <w:t>BAB 3 RASIONALISME RADIKAL ANTI AGAMA</w:t>
      </w:r>
      <w:bookmarkEnd w:id="11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18" w:name="__RefHeading___Toc1351130_581953129"/>
      <w:bookmarkStart w:id="119" w:name="_Toc44"/>
      <w:bookmarkEnd w:id="118"/>
      <w:r>
        <w:rPr/>
        <w:t>Point</w:t>
      </w:r>
      <w:bookmarkStart w:id="120" w:name="pg5378_50483"/>
      <w:bookmarkEnd w:id="119"/>
    </w:p>
    <w:p>
      <w:pPr>
        <w:pStyle w:val="BookText"/>
        <w:bidi w:val="0"/>
        <w:rPr/>
      </w:pPr>
      <w:bookmarkEnd w:id="120"/>
      <w:r>
        <w:rPr>
          <w:rFonts w:eastAsia="Times New Roman" w:cs="Times New Roman" w:ascii="Times New Roman" w:hAnsi="Times New Roman"/>
          <w:color w:val="111111"/>
          <w:sz w:val="28"/>
          <w:szCs w:val="28"/>
          <w:lang w:val="en-US"/>
        </w:rPr>
        <w:t>Sepanjang sejarah, senantiasa ada pihak yang mengingkari wahyu</w:t>
      </w:r>
    </w:p>
    <w:p>
      <w:pPr>
        <w:pStyle w:val="BookText"/>
        <w:bidi w:val="0"/>
        <w:jc w:val="both"/>
        <w:rPr/>
      </w:pPr>
      <w:r>
        <w:rPr>
          <w:rFonts w:eastAsia="Times New Roman" w:cs="Times New Roman" w:ascii="Times New Roman" w:hAnsi="Times New Roman"/>
          <w:color w:val="111111"/>
          <w:sz w:val="28"/>
          <w:szCs w:val="28"/>
          <w:lang w:val="en-US"/>
        </w:rPr>
        <w:t>dan pesan samawi, serta menolak agama</w:t>
      </w:r>
      <w:r>
        <w:rPr>
          <w:rStyle w:val="FootnoteAnchor"/>
        </w:rPr>
        <w:footnoteReference w:id="95"/>
      </w:r>
      <w:r>
        <w:rPr>
          <w:rFonts w:eastAsia="Times New Roman" w:cs="Times New Roman" w:ascii="Times New Roman" w:hAnsi="Times New Roman"/>
          <w:color w:val="111111"/>
          <w:sz w:val="28"/>
          <w:szCs w:val="28"/>
          <w:lang w:val="en-US"/>
        </w:rPr>
        <w:t>dengan mengandalkan</w:t>
      </w:r>
    </w:p>
    <w:p>
      <w:pPr>
        <w:pStyle w:val="BookText"/>
        <w:bidi w:val="0"/>
        <w:jc w:val="both"/>
        <w:rPr/>
      </w:pPr>
      <w:r>
        <w:rPr>
          <w:rFonts w:eastAsia="Times New Roman" w:cs="Times New Roman" w:ascii="Times New Roman" w:hAnsi="Times New Roman"/>
          <w:color w:val="111111"/>
          <w:sz w:val="28"/>
          <w:szCs w:val="28"/>
          <w:lang w:val="en-US"/>
        </w:rPr>
        <w:t>akal dan konsep. Sebagian orang berpendapat, wahyu itu produk</w:t>
      </w:r>
    </w:p>
    <w:p>
      <w:pPr>
        <w:pStyle w:val="BookText"/>
        <w:bidi w:val="0"/>
        <w:jc w:val="both"/>
        <w:rPr/>
      </w:pPr>
      <w:r>
        <w:rPr>
          <w:rFonts w:eastAsia="Times New Roman" w:cs="Times New Roman" w:ascii="Times New Roman" w:hAnsi="Times New Roman"/>
          <w:color w:val="111111"/>
          <w:sz w:val="28"/>
          <w:szCs w:val="28"/>
          <w:lang w:val="en-US"/>
        </w:rPr>
        <w:t>imajinasi dan pikiran sekelompok oportunis yang mengaku</w:t>
      </w:r>
    </w:p>
    <w:p>
      <w:pPr>
        <w:pStyle w:val="BookText"/>
        <w:bidi w:val="0"/>
        <w:jc w:val="both"/>
        <w:rPr/>
      </w:pPr>
      <w:r>
        <w:rPr>
          <w:rFonts w:eastAsia="Times New Roman" w:cs="Times New Roman" w:ascii="Times New Roman" w:hAnsi="Times New Roman"/>
          <w:color w:val="111111"/>
          <w:sz w:val="28"/>
          <w:szCs w:val="28"/>
          <w:lang w:val="en-US"/>
        </w:rPr>
        <w:t>punya hubungan dengan alam gaib, juga berniat merusak tatanan</w:t>
      </w:r>
    </w:p>
    <w:p>
      <w:pPr>
        <w:pStyle w:val="BookText"/>
        <w:bidi w:val="0"/>
        <w:jc w:val="both"/>
        <w:rPr/>
      </w:pPr>
      <w:r>
        <w:rPr>
          <w:rFonts w:eastAsia="Times New Roman" w:cs="Times New Roman" w:ascii="Times New Roman" w:hAnsi="Times New Roman"/>
          <w:color w:val="111111"/>
          <w:sz w:val="28"/>
          <w:szCs w:val="28"/>
          <w:lang w:val="en-US"/>
        </w:rPr>
        <w:t>masyarakat, mencari popularitas, dan menetapkan kedudukan</w:t>
      </w:r>
    </w:p>
    <w:p>
      <w:pPr>
        <w:pStyle w:val="BookText"/>
        <w:bidi w:val="0"/>
        <w:jc w:val="both"/>
        <w:rPr/>
      </w:pPr>
      <w:r>
        <w:rPr>
          <w:rFonts w:eastAsia="Times New Roman" w:cs="Times New Roman" w:ascii="Times New Roman" w:hAnsi="Times New Roman"/>
          <w:color w:val="111111"/>
          <w:sz w:val="28"/>
          <w:szCs w:val="28"/>
          <w:lang w:val="en-US"/>
        </w:rPr>
        <w:t>sosialnya sendiri. Sebagian lain menyomot beberapa ajaran agama</w:t>
      </w:r>
    </w:p>
    <w:p>
      <w:pPr>
        <w:pStyle w:val="BookText"/>
        <w:bidi w:val="0"/>
        <w:jc w:val="both"/>
        <w:rPr/>
      </w:pPr>
      <w:r>
        <w:rPr>
          <w:rFonts w:eastAsia="Times New Roman" w:cs="Times New Roman" w:ascii="Times New Roman" w:hAnsi="Times New Roman"/>
          <w:color w:val="111111"/>
          <w:sz w:val="28"/>
          <w:szCs w:val="28"/>
          <w:lang w:val="en-US"/>
        </w:rPr>
        <w:t>yang mereka klaim anti akal sebagai amunisi untuk membunuh</w:t>
      </w:r>
    </w:p>
    <w:p>
      <w:pPr>
        <w:pStyle w:val="BookText"/>
        <w:bidi w:val="0"/>
        <w:jc w:val="both"/>
        <w:rPr/>
      </w:pPr>
      <w:r>
        <w:rPr>
          <w:rFonts w:eastAsia="Times New Roman" w:cs="Times New Roman" w:ascii="Times New Roman" w:hAnsi="Times New Roman"/>
          <w:color w:val="111111"/>
          <w:sz w:val="28"/>
          <w:szCs w:val="28"/>
          <w:lang w:val="en-US"/>
        </w:rPr>
        <w:t>wahyu Ilahi.</w:t>
      </w:r>
    </w:p>
    <w:p>
      <w:pPr>
        <w:pStyle w:val="BookText"/>
        <w:bidi w:val="0"/>
        <w:jc w:val="both"/>
        <w:rPr/>
      </w:pPr>
      <w:r>
        <w:rPr>
          <w:rFonts w:eastAsia="Times New Roman" w:cs="Times New Roman" w:ascii="Times New Roman" w:hAnsi="Times New Roman"/>
          <w:color w:val="111111"/>
          <w:sz w:val="28"/>
          <w:szCs w:val="28"/>
          <w:lang w:val="en-US"/>
        </w:rPr>
        <w:t>Kajian dan analisis kritis terhadap pendapat-pendapat di atas</w:t>
      </w:r>
    </w:p>
    <w:p>
      <w:pPr>
        <w:pStyle w:val="BookText"/>
        <w:bidi w:val="0"/>
        <w:jc w:val="both"/>
        <w:rPr/>
      </w:pPr>
      <w:r>
        <w:rPr>
          <w:rFonts w:eastAsia="Times New Roman" w:cs="Times New Roman" w:ascii="Times New Roman" w:hAnsi="Times New Roman"/>
          <w:color w:val="111111"/>
          <w:sz w:val="28"/>
          <w:szCs w:val="28"/>
          <w:lang w:val="en-US"/>
        </w:rPr>
        <w:t>mendominasi isi bab ini. Intisari yang mesti dibahas terlebih dulu</w:t>
      </w:r>
    </w:p>
    <w:p>
      <w:pPr>
        <w:pStyle w:val="BookText"/>
        <w:bidi w:val="0"/>
        <w:jc w:val="both"/>
        <w:rPr/>
      </w:pPr>
      <w:r>
        <w:rPr>
          <w:rFonts w:eastAsia="Times New Roman" w:cs="Times New Roman" w:ascii="Times New Roman" w:hAnsi="Times New Roman"/>
          <w:color w:val="111111"/>
          <w:sz w:val="28"/>
          <w:szCs w:val="28"/>
          <w:lang w:val="en-US"/>
        </w:rPr>
        <w:t>adalah tinjauan eksternal (burun dini) terhadap agama berikut ekses</w:t>
      </w:r>
    </w:p>
    <w:p>
      <w:pPr>
        <w:pStyle w:val="BookText"/>
        <w:bidi w:val="0"/>
        <w:jc w:val="both"/>
        <w:rPr/>
      </w:pPr>
      <w:r>
        <w:rPr>
          <w:rFonts w:eastAsia="Times New Roman" w:cs="Times New Roman" w:ascii="Times New Roman" w:hAnsi="Times New Roman"/>
          <w:color w:val="111111"/>
          <w:sz w:val="28"/>
          <w:szCs w:val="28"/>
          <w:lang w:val="en-US"/>
        </w:rPr>
        <w:t>dan dampaknya. Berkenaan dengan tinjauan ini, probabilitas dan</w:t>
      </w:r>
    </w:p>
    <w:p>
      <w:pPr>
        <w:pStyle w:val="BookText"/>
        <w:bidi w:val="0"/>
        <w:jc w:val="both"/>
        <w:rPr/>
      </w:pPr>
      <w:r>
        <w:rPr>
          <w:rFonts w:eastAsia="Times New Roman" w:cs="Times New Roman" w:ascii="Times New Roman" w:hAnsi="Times New Roman"/>
          <w:color w:val="111111"/>
          <w:sz w:val="28"/>
          <w:szCs w:val="28"/>
          <w:lang w:val="en-US"/>
        </w:rPr>
        <w:t>kebutuhan terhadap wahyu mesti ditelaah secara terpisah dari</w:t>
      </w:r>
    </w:p>
    <w:p>
      <w:pPr>
        <w:pStyle w:val="BookText"/>
        <w:bidi w:val="0"/>
        <w:jc w:val="both"/>
        <w:rPr/>
      </w:pPr>
      <w:r>
        <w:rPr>
          <w:rFonts w:eastAsia="Times New Roman" w:cs="Times New Roman" w:ascii="Times New Roman" w:hAnsi="Times New Roman"/>
          <w:color w:val="111111"/>
          <w:sz w:val="28"/>
          <w:szCs w:val="28"/>
          <w:lang w:val="en-US"/>
        </w:rPr>
        <w:t>proposisi-proposisi yang seolah-olah, atau memang senyatanya,</w:t>
      </w:r>
    </w:p>
    <w:p>
      <w:pPr>
        <w:pStyle w:val="BookText"/>
        <w:bidi w:val="0"/>
        <w:jc w:val="both"/>
        <w:rPr/>
      </w:pPr>
      <w:r>
        <w:rPr>
          <w:rFonts w:eastAsia="Times New Roman" w:cs="Times New Roman" w:ascii="Times New Roman" w:hAnsi="Times New Roman"/>
          <w:color w:val="111111"/>
          <w:sz w:val="28"/>
          <w:szCs w:val="28"/>
          <w:lang w:val="en-US"/>
        </w:rPr>
        <w:t>antiakal. Jika kedua poin (kemungkinan dan kebutuhan) itu terbukti</w:t>
      </w:r>
    </w:p>
    <w:p>
      <w:pPr>
        <w:pStyle w:val="BookText"/>
        <w:bidi w:val="0"/>
        <w:jc w:val="both"/>
        <w:rPr/>
      </w:pPr>
      <w:r>
        <w:rPr>
          <w:rFonts w:eastAsia="Times New Roman" w:cs="Times New Roman" w:ascii="Times New Roman" w:hAnsi="Times New Roman"/>
          <w:color w:val="111111"/>
          <w:sz w:val="28"/>
          <w:szCs w:val="28"/>
          <w:lang w:val="en-US"/>
        </w:rPr>
        <w:t>benar, maka kajian selanjutnya akan berkisar pada pencarian agama</w:t>
      </w:r>
    </w:p>
    <w:p>
      <w:pPr>
        <w:pStyle w:val="BookText"/>
        <w:bidi w:val="0"/>
        <w:jc w:val="both"/>
        <w:rPr/>
      </w:pPr>
      <w:r>
        <w:rPr>
          <w:rFonts w:eastAsia="Times New Roman" w:cs="Times New Roman" w:ascii="Times New Roman" w:hAnsi="Times New Roman"/>
          <w:color w:val="111111"/>
          <w:sz w:val="28"/>
          <w:szCs w:val="28"/>
          <w:lang w:val="en-US"/>
        </w:rPr>
        <w:t>yang benar—kendati boleh jadi salah satu tolok ukur memilih</w:t>
      </w:r>
    </w:p>
    <w:p>
      <w:pPr>
        <w:pStyle w:val="BookText"/>
        <w:bidi w:val="0"/>
        <w:jc w:val="both"/>
        <w:rPr/>
      </w:pPr>
      <w:r>
        <w:rPr>
          <w:rFonts w:eastAsia="Times New Roman" w:cs="Times New Roman" w:ascii="Times New Roman" w:hAnsi="Times New Roman"/>
          <w:color w:val="111111"/>
          <w:sz w:val="28"/>
          <w:szCs w:val="28"/>
          <w:lang w:val="en-US"/>
        </w:rPr>
        <w:t>agama yang benar adalah prinsip tidak satu pun ajaran agama itu</w:t>
      </w:r>
    </w:p>
    <w:p>
      <w:pPr>
        <w:pStyle w:val="BookText"/>
        <w:bidi w:val="0"/>
        <w:jc w:val="both"/>
        <w:rPr/>
      </w:pPr>
      <w:r>
        <w:rPr>
          <w:rFonts w:eastAsia="Times New Roman" w:cs="Times New Roman" w:ascii="Times New Roman" w:hAnsi="Times New Roman"/>
          <w:color w:val="111111"/>
          <w:sz w:val="28"/>
          <w:szCs w:val="28"/>
          <w:lang w:val="en-US"/>
        </w:rPr>
        <w:t>yang memusuhi akal. Sayangnya, sebagian peneliti agama justru</w:t>
      </w:r>
    </w:p>
    <w:p>
      <w:pPr>
        <w:pStyle w:val="BookText"/>
        <w:bidi w:val="0"/>
        <w:jc w:val="both"/>
        <w:rPr/>
      </w:pPr>
      <w:r>
        <w:rPr>
          <w:rFonts w:eastAsia="Times New Roman" w:cs="Times New Roman" w:ascii="Times New Roman" w:hAnsi="Times New Roman"/>
          <w:color w:val="111111"/>
          <w:sz w:val="28"/>
          <w:szCs w:val="28"/>
          <w:lang w:val="en-US"/>
        </w:rPr>
        <w:t>mengabaikan persoalan ini. Saat menemukan dalam agama yang</w:t>
      </w:r>
    </w:p>
    <w:p>
      <w:pPr>
        <w:pStyle w:val="BookText"/>
        <w:bidi w:val="0"/>
        <w:jc w:val="both"/>
        <w:rPr/>
      </w:pPr>
      <w:r>
        <w:rPr>
          <w:rFonts w:eastAsia="Times New Roman" w:cs="Times New Roman" w:ascii="Times New Roman" w:hAnsi="Times New Roman"/>
          <w:color w:val="111111"/>
          <w:sz w:val="28"/>
          <w:szCs w:val="28"/>
          <w:lang w:val="en-US"/>
        </w:rPr>
        <w:t>ditelitinya sejumlah ajaran yang seolah antiakal—itu pun lewat</w:t>
      </w:r>
    </w:p>
    <w:p>
      <w:pPr>
        <w:pStyle w:val="BookText"/>
        <w:bidi w:val="0"/>
        <w:jc w:val="both"/>
        <w:rPr/>
      </w:pPr>
      <w:r>
        <w:rPr>
          <w:rFonts w:eastAsia="Times New Roman" w:cs="Times New Roman" w:ascii="Times New Roman" w:hAnsi="Times New Roman"/>
          <w:color w:val="111111"/>
          <w:sz w:val="28"/>
          <w:szCs w:val="28"/>
          <w:lang w:val="en-US"/>
        </w:rPr>
        <w:t>proses induksi yang terbatas— mereka langsung memvonis semua</w:t>
      </w:r>
    </w:p>
    <w:p>
      <w:pPr>
        <w:pStyle w:val="BookText"/>
        <w:bidi w:val="0"/>
        <w:jc w:val="both"/>
        <w:rPr/>
      </w:pPr>
      <w:r>
        <w:rPr>
          <w:rFonts w:eastAsia="Times New Roman" w:cs="Times New Roman" w:ascii="Times New Roman" w:hAnsi="Times New Roman"/>
          <w:color w:val="111111"/>
          <w:sz w:val="28"/>
          <w:szCs w:val="28"/>
          <w:lang w:val="en-US"/>
        </w:rPr>
        <w:t>agama itu antiakal, dan manusia sama sekali tidak butuh pesan</w:t>
      </w:r>
    </w:p>
    <w:p>
      <w:pPr>
        <w:pStyle w:val="BookText"/>
        <w:bidi w:val="0"/>
        <w:jc w:val="both"/>
        <w:rPr/>
      </w:pPr>
      <w:r>
        <w:rPr>
          <w:rFonts w:eastAsia="Times New Roman" w:cs="Times New Roman" w:ascii="Times New Roman" w:hAnsi="Times New Roman"/>
          <w:color w:val="111111"/>
          <w:sz w:val="28"/>
          <w:szCs w:val="28"/>
          <w:lang w:val="en-US"/>
        </w:rPr>
        <w:t>samawi.</w:t>
      </w:r>
    </w:p>
    <w:p>
      <w:pPr>
        <w:pStyle w:val="Heading3"/>
        <w:numPr>
          <w:ilvl w:val="2"/>
          <w:numId w:val="1"/>
        </w:numPr>
        <w:bidi w:val="0"/>
        <w:jc w:val="left"/>
        <w:rPr/>
      </w:pPr>
      <w:bookmarkStart w:id="121" w:name="__RefHeading___Toc1351132_581953129"/>
      <w:bookmarkStart w:id="122" w:name="_Toc45"/>
      <w:bookmarkEnd w:id="121"/>
      <w:r>
        <w:rPr/>
        <w:t>Wahyu, Gagasan Mustahil</w:t>
      </w:r>
      <w:bookmarkEnd w:id="122"/>
    </w:p>
    <w:p>
      <w:pPr>
        <w:pStyle w:val="BookText"/>
        <w:bidi w:val="0"/>
        <w:jc w:val="both"/>
        <w:rPr/>
      </w:pPr>
      <w:r>
        <w:rPr>
          <w:rFonts w:eastAsia="Times New Roman" w:cs="Times New Roman" w:ascii="Times New Roman" w:hAnsi="Times New Roman"/>
          <w:color w:val="111111"/>
          <w:sz w:val="28"/>
          <w:szCs w:val="28"/>
          <w:lang w:val="en-US"/>
        </w:rPr>
        <w:t>Kaum rasionalis radikal menolak kemungkinan manusia memiliki</w:t>
      </w:r>
    </w:p>
    <w:p>
      <w:pPr>
        <w:pStyle w:val="BookText"/>
        <w:bidi w:val="0"/>
        <w:jc w:val="both"/>
        <w:rPr/>
      </w:pPr>
      <w:r>
        <w:rPr>
          <w:rFonts w:eastAsia="Times New Roman" w:cs="Times New Roman" w:ascii="Times New Roman" w:hAnsi="Times New Roman"/>
          <w:color w:val="111111"/>
          <w:sz w:val="28"/>
          <w:szCs w:val="28"/>
          <w:lang w:val="en-US"/>
        </w:rPr>
        <w:t>sarana pengetahuan di luar kelaziman. Dalam klaim mereka, satu-</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satunya sumber pengetahuan manusia hanyalah indra dan akal. </w:t>
      </w:r>
    </w:p>
    <w:p>
      <w:pPr>
        <w:pStyle w:val="BookText"/>
        <w:bidi w:val="0"/>
        <w:rPr/>
      </w:pPr>
      <w:r>
        <w:rPr>
          <w:rFonts w:eastAsia="Times New Roman" w:cs="Times New Roman" w:ascii="Times New Roman" w:hAnsi="Times New Roman"/>
          <w:color w:val="111111"/>
          <w:sz w:val="28"/>
          <w:szCs w:val="28"/>
          <w:lang w:val="en-US"/>
        </w:rPr>
        <w:t>Jubah wahyu, menurut mereka, tidak cocok untuk size manusia.</w:t>
      </w:r>
    </w:p>
    <w:p>
      <w:pPr>
        <w:pStyle w:val="BookText"/>
        <w:bidi w:val="0"/>
        <w:jc w:val="both"/>
        <w:rPr/>
      </w:pPr>
      <w:r>
        <w:rPr>
          <w:rFonts w:eastAsia="Times New Roman" w:cs="Times New Roman" w:ascii="Times New Roman" w:hAnsi="Times New Roman"/>
          <w:color w:val="111111"/>
          <w:sz w:val="28"/>
          <w:szCs w:val="28"/>
          <w:lang w:val="en-US"/>
        </w:rPr>
        <w:t>Hanya ada satu cara untuk menerima langsung pesan samawi; yaitu</w:t>
      </w:r>
    </w:p>
    <w:p>
      <w:pPr>
        <w:pStyle w:val="BookText"/>
        <w:bidi w:val="0"/>
        <w:jc w:val="both"/>
        <w:rPr/>
      </w:pPr>
      <w:r>
        <w:rPr>
          <w:rFonts w:eastAsia="Times New Roman" w:cs="Times New Roman" w:ascii="Times New Roman" w:hAnsi="Times New Roman"/>
          <w:color w:val="111111"/>
          <w:sz w:val="28"/>
          <w:szCs w:val="28"/>
          <w:lang w:val="en-US"/>
        </w:rPr>
        <w:t>menanggalkan jubah kemanusiaan dan mengenakan jubah malaikat.</w:t>
      </w:r>
    </w:p>
    <w:p>
      <w:pPr>
        <w:pStyle w:val="BookText"/>
        <w:bidi w:val="0"/>
        <w:jc w:val="both"/>
        <w:rPr/>
      </w:pPr>
      <w:r>
        <w:rPr>
          <w:rFonts w:eastAsia="Times New Roman" w:cs="Times New Roman" w:ascii="Times New Roman" w:hAnsi="Times New Roman"/>
          <w:color w:val="111111"/>
          <w:sz w:val="28"/>
          <w:szCs w:val="28"/>
          <w:lang w:val="en-US"/>
        </w:rPr>
        <w:t>Para nabi selalu menghadapi pertanyaan sekaligus penolakan ini:</w:t>
      </w:r>
    </w:p>
    <w:p>
      <w:pPr>
        <w:pStyle w:val="BookText"/>
        <w:bidi w:val="0"/>
        <w:jc w:val="both"/>
        <w:rPr/>
      </w:pPr>
      <w:r>
        <w:rPr>
          <w:rFonts w:eastAsia="Times New Roman" w:cs="Times New Roman" w:ascii="Times New Roman" w:hAnsi="Times New Roman"/>
          <w:color w:val="111111"/>
          <w:sz w:val="28"/>
          <w:szCs w:val="28"/>
          <w:lang w:val="en-US"/>
        </w:rPr>
        <w:t>apakah Allah mengutus manusia sebagai rasul?!</w:t>
      </w:r>
      <w:r>
        <w:rPr>
          <w:rStyle w:val="FootnoteAnchor"/>
        </w:rPr>
        <w:footnoteReference w:id="96"/>
      </w:r>
      <w:r>
        <w:rPr>
          <w:rFonts w:eastAsia="Times New Roman" w:cs="Times New Roman" w:ascii="Times New Roman" w:hAnsi="Times New Roman"/>
          <w:color w:val="111111"/>
          <w:sz w:val="28"/>
          <w:szCs w:val="28"/>
          <w:lang w:val="en-US"/>
        </w:rPr>
        <w:t>Adakah kesesatan</w:t>
      </w:r>
    </w:p>
    <w:p>
      <w:pPr>
        <w:pStyle w:val="BookText"/>
        <w:bidi w:val="0"/>
        <w:jc w:val="both"/>
        <w:rPr/>
      </w:pPr>
      <w:r>
        <w:rPr>
          <w:rFonts w:eastAsia="Times New Roman" w:cs="Times New Roman" w:ascii="Times New Roman" w:hAnsi="Times New Roman"/>
          <w:color w:val="111111"/>
          <w:sz w:val="28"/>
          <w:szCs w:val="28"/>
          <w:lang w:val="en-US"/>
        </w:rPr>
        <w:t>yang lebih jauh dari keharusan mengikuti manusia seperti kita,</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lalu kita pasrahkan kendali akal kepada dia? Seandainya Tuhan</w:t>
      </w:r>
    </w:p>
    <w:p>
      <w:pPr>
        <w:pStyle w:val="BookText"/>
        <w:bidi w:val="0"/>
        <w:jc w:val="both"/>
        <w:rPr/>
      </w:pPr>
      <w:r>
        <w:rPr>
          <w:rFonts w:eastAsia="Times New Roman" w:cs="Times New Roman" w:ascii="Times New Roman" w:hAnsi="Times New Roman"/>
          <w:color w:val="111111"/>
          <w:sz w:val="28"/>
          <w:szCs w:val="28"/>
          <w:lang w:val="en-US"/>
        </w:rPr>
        <w:t>punya rencana khusus untuk memberi manusia petunjuk, sementara</w:t>
      </w:r>
    </w:p>
    <w:p>
      <w:pPr>
        <w:pStyle w:val="BookText"/>
        <w:bidi w:val="0"/>
        <w:jc w:val="both"/>
        <w:rPr/>
      </w:pPr>
      <w:r>
        <w:rPr>
          <w:rFonts w:eastAsia="Times New Roman" w:cs="Times New Roman" w:ascii="Times New Roman" w:hAnsi="Times New Roman"/>
          <w:color w:val="111111"/>
          <w:sz w:val="28"/>
          <w:szCs w:val="28"/>
          <w:lang w:val="en-US"/>
        </w:rPr>
        <w:t>akalnya tidak memadai untuk mencapai tujuan itu, sudah tentu Dia</w:t>
      </w:r>
    </w:p>
    <w:p>
      <w:pPr>
        <w:pStyle w:val="BookText"/>
        <w:bidi w:val="0"/>
        <w:jc w:val="both"/>
        <w:rPr/>
      </w:pPr>
      <w:r>
        <w:rPr>
          <w:rFonts w:eastAsia="Times New Roman" w:cs="Times New Roman" w:ascii="Times New Roman" w:hAnsi="Times New Roman"/>
          <w:color w:val="111111"/>
          <w:sz w:val="28"/>
          <w:szCs w:val="28"/>
          <w:lang w:val="en-US"/>
        </w:rPr>
        <w:t>akan mengutus malaikat.</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Slogan yang lazim mereka suarakan untuk merespon ajakan</w:t>
      </w:r>
    </w:p>
    <w:p>
      <w:pPr>
        <w:pStyle w:val="BookText"/>
        <w:bidi w:val="0"/>
        <w:jc w:val="both"/>
        <w:rPr/>
      </w:pPr>
      <w:r>
        <w:rPr>
          <w:rFonts w:eastAsia="Times New Roman" w:cs="Times New Roman" w:ascii="Times New Roman" w:hAnsi="Times New Roman"/>
          <w:color w:val="111111"/>
          <w:sz w:val="28"/>
          <w:szCs w:val="28"/>
          <w:lang w:val="en-US"/>
        </w:rPr>
        <w:t>para nabi adalah “kamu juga manusia biasa seperti kami”. Menurut</w:t>
      </w:r>
    </w:p>
    <w:p>
      <w:pPr>
        <w:pStyle w:val="BookText"/>
        <w:bidi w:val="0"/>
        <w:jc w:val="both"/>
        <w:rPr/>
      </w:pPr>
      <w:r>
        <w:rPr>
          <w:rFonts w:eastAsia="Times New Roman" w:cs="Times New Roman" w:ascii="Times New Roman" w:hAnsi="Times New Roman"/>
          <w:color w:val="111111"/>
          <w:sz w:val="28"/>
          <w:szCs w:val="28"/>
          <w:lang w:val="en-US"/>
        </w:rPr>
        <w:t>mereka, kesamaan ragawi merupakan bukti atas kesamaan ruhani</w:t>
      </w:r>
    </w:p>
    <w:p>
      <w:pPr>
        <w:pStyle w:val="BookText"/>
        <w:bidi w:val="0"/>
        <w:jc w:val="both"/>
        <w:rPr/>
      </w:pPr>
      <w:r>
        <w:rPr>
          <w:rFonts w:eastAsia="Times New Roman" w:cs="Times New Roman" w:ascii="Times New Roman" w:hAnsi="Times New Roman"/>
          <w:color w:val="111111"/>
          <w:sz w:val="28"/>
          <w:szCs w:val="28"/>
          <w:lang w:val="en-US"/>
        </w:rPr>
        <w:t>dan batin (ma‘nawi). Oleh karena itu, para nabi (yang dianggap sama</w:t>
      </w:r>
    </w:p>
    <w:p>
      <w:pPr>
        <w:pStyle w:val="BookText"/>
        <w:bidi w:val="0"/>
        <w:jc w:val="both"/>
        <w:rPr/>
      </w:pPr>
      <w:r>
        <w:rPr>
          <w:rFonts w:eastAsia="Times New Roman" w:cs="Times New Roman" w:ascii="Times New Roman" w:hAnsi="Times New Roman"/>
          <w:color w:val="111111"/>
          <w:sz w:val="28"/>
          <w:szCs w:val="28"/>
          <w:lang w:val="en-US"/>
        </w:rPr>
        <w:t>dengan mereka) mustahil dapat menjalin kontak dengan alam lain:</w:t>
      </w:r>
    </w:p>
    <w:p>
      <w:pPr>
        <w:pStyle w:val="BookText"/>
        <w:bidi w:val="0"/>
        <w:jc w:val="both"/>
        <w:rPr/>
      </w:pPr>
      <w:r>
        <w:rPr>
          <w:rFonts w:eastAsia="Times New Roman" w:cs="Times New Roman" w:ascii="Times New Roman" w:hAnsi="Times New Roman"/>
          <w:color w:val="111111"/>
          <w:sz w:val="28"/>
          <w:szCs w:val="28"/>
          <w:lang w:val="en-US"/>
        </w:rPr>
        <w:t>Mereka berpasangan dengan para nabi</w:t>
      </w:r>
    </w:p>
    <w:p>
      <w:pPr>
        <w:pStyle w:val="BookText"/>
        <w:bidi w:val="0"/>
        <w:jc w:val="both"/>
        <w:rPr/>
      </w:pPr>
      <w:r>
        <w:rPr>
          <w:rFonts w:eastAsia="Times New Roman" w:cs="Times New Roman" w:ascii="Times New Roman" w:hAnsi="Times New Roman"/>
          <w:color w:val="111111"/>
          <w:sz w:val="28"/>
          <w:szCs w:val="28"/>
          <w:lang w:val="en-US"/>
        </w:rPr>
        <w:t>mereka kira dirinya sama dengan para wali.</w:t>
      </w:r>
    </w:p>
    <w:p>
      <w:pPr>
        <w:pStyle w:val="BookText"/>
        <w:bidi w:val="0"/>
        <w:jc w:val="both"/>
        <w:rPr/>
      </w:pPr>
      <w:r>
        <w:rPr>
          <w:rFonts w:eastAsia="Times New Roman" w:cs="Times New Roman" w:ascii="Times New Roman" w:hAnsi="Times New Roman"/>
          <w:color w:val="111111"/>
          <w:sz w:val="28"/>
          <w:szCs w:val="28"/>
          <w:lang w:val="en-US"/>
        </w:rPr>
        <w:t>Berkata, kami manusia, mereka pun manusia</w:t>
      </w:r>
    </w:p>
    <w:p>
      <w:pPr>
        <w:pStyle w:val="BookText"/>
        <w:bidi w:val="0"/>
        <w:jc w:val="both"/>
        <w:rPr/>
      </w:pPr>
      <w:r>
        <w:rPr>
          <w:rFonts w:eastAsia="Times New Roman" w:cs="Times New Roman" w:ascii="Times New Roman" w:hAnsi="Times New Roman"/>
          <w:color w:val="111111"/>
          <w:sz w:val="28"/>
          <w:szCs w:val="28"/>
          <w:lang w:val="en-US"/>
        </w:rPr>
        <w:t>kami dan mereka kerabat seranjang dan semeja.</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Menyanggah ucapan mereka yang sebenarnya semata-mata</w:t>
      </w:r>
    </w:p>
    <w:p>
      <w:pPr>
        <w:pStyle w:val="BookText"/>
        <w:bidi w:val="0"/>
        <w:jc w:val="both"/>
        <w:rPr/>
      </w:pPr>
      <w:r>
        <w:rPr>
          <w:rFonts w:eastAsia="Times New Roman" w:cs="Times New Roman" w:ascii="Times New Roman" w:hAnsi="Times New Roman"/>
          <w:color w:val="111111"/>
          <w:sz w:val="28"/>
          <w:szCs w:val="28"/>
          <w:lang w:val="en-US"/>
        </w:rPr>
        <w:t>dipicu anggapan mustahil dan tidak didasari bukti rasional, para</w:t>
      </w:r>
    </w:p>
    <w:p>
      <w:pPr>
        <w:pStyle w:val="BookText"/>
        <w:bidi w:val="0"/>
        <w:jc w:val="both"/>
        <w:rPr/>
      </w:pPr>
      <w:r>
        <w:rPr>
          <w:rFonts w:eastAsia="Times New Roman" w:cs="Times New Roman" w:ascii="Times New Roman" w:hAnsi="Times New Roman"/>
          <w:color w:val="111111"/>
          <w:sz w:val="28"/>
          <w:szCs w:val="28"/>
          <w:lang w:val="en-US"/>
        </w:rPr>
        <w:t>utusan Ilahi menekankan dimensi kemanusiaan sekaligus keutamaan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karunia khusus mereka dari Tuhan: </w:t>
      </w:r>
    </w:p>
    <w:p>
      <w:pPr>
        <w:pStyle w:val="BookText"/>
        <w:bidi w:val="0"/>
        <w:rPr/>
      </w:pPr>
      <w:r>
        <w:rPr>
          <w:rFonts w:eastAsia="Times New Roman" w:cs="Times New Roman" w:ascii="Times New Roman" w:hAnsi="Times New Roman"/>
          <w:color w:val="111111"/>
          <w:sz w:val="28"/>
          <w:szCs w:val="28"/>
          <w:lang w:val="en-US"/>
        </w:rPr>
        <w:t>Kami tidak lain hanyalah manusia seperti kalian, akan tetapi Allah</w:t>
      </w:r>
    </w:p>
    <w:p>
      <w:pPr>
        <w:pStyle w:val="BookText"/>
        <w:bidi w:val="0"/>
        <w:jc w:val="both"/>
        <w:rPr/>
      </w:pPr>
      <w:r>
        <w:rPr>
          <w:rFonts w:eastAsia="Times New Roman" w:cs="Times New Roman" w:ascii="Times New Roman" w:hAnsi="Times New Roman"/>
          <w:color w:val="111111"/>
          <w:sz w:val="28"/>
          <w:szCs w:val="28"/>
          <w:lang w:val="en-US"/>
        </w:rPr>
        <w:t>memberi karunia kepada siapa yang Dia kehendaki di antara hamba-</w:t>
      </w:r>
    </w:p>
    <w:p>
      <w:pPr>
        <w:pStyle w:val="BookText"/>
        <w:bidi w:val="0"/>
        <w:jc w:val="both"/>
        <w:rPr/>
      </w:pPr>
      <w:r>
        <w:rPr>
          <w:rFonts w:eastAsia="Times New Roman" w:cs="Times New Roman" w:ascii="Times New Roman" w:hAnsi="Times New Roman"/>
          <w:color w:val="111111"/>
          <w:sz w:val="28"/>
          <w:szCs w:val="28"/>
          <w:lang w:val="en-US"/>
        </w:rPr>
        <w:t>hamba-Nya (QS Ibrahlm [14]: 11).</w:t>
      </w:r>
    </w:p>
    <w:p>
      <w:pPr>
        <w:pStyle w:val="BookText"/>
        <w:bidi w:val="0"/>
        <w:jc w:val="both"/>
        <w:rPr/>
      </w:pPr>
      <w:r>
        <w:rPr>
          <w:rFonts w:eastAsia="Times New Roman" w:cs="Times New Roman" w:ascii="Times New Roman" w:hAnsi="Times New Roman"/>
          <w:color w:val="111111"/>
          <w:sz w:val="28"/>
          <w:szCs w:val="28"/>
          <w:lang w:val="en-US"/>
        </w:rPr>
        <w:t>Benar, kemanusiaan tidak bertentangan dengan penerimaan</w:t>
      </w:r>
    </w:p>
    <w:p>
      <w:pPr>
        <w:pStyle w:val="BookText"/>
        <w:bidi w:val="0"/>
        <w:jc w:val="both"/>
        <w:rPr/>
      </w:pPr>
      <w:r>
        <w:rPr>
          <w:rFonts w:eastAsia="Times New Roman" w:cs="Times New Roman" w:ascii="Times New Roman" w:hAnsi="Times New Roman"/>
          <w:color w:val="111111"/>
          <w:sz w:val="28"/>
          <w:szCs w:val="28"/>
          <w:lang w:val="en-US"/>
        </w:rPr>
        <w:t>wahyu. Sebaliknya, sosok nabi harus berasal dari jenis umatnya agar</w:t>
      </w:r>
    </w:p>
    <w:p>
      <w:pPr>
        <w:pStyle w:val="BookText"/>
        <w:bidi w:val="0"/>
        <w:jc w:val="both"/>
        <w:rPr/>
      </w:pPr>
      <w:r>
        <w:rPr>
          <w:rFonts w:eastAsia="Times New Roman" w:cs="Times New Roman" w:ascii="Times New Roman" w:hAnsi="Times New Roman"/>
          <w:color w:val="111111"/>
          <w:sz w:val="28"/>
          <w:szCs w:val="28"/>
          <w:lang w:val="en-US"/>
        </w:rPr>
        <w:t>dapat dijadikan teladan kemanusiaan. Kalau tidak mampu untuk itu—</w:t>
      </w:r>
    </w:p>
    <w:p>
      <w:pPr>
        <w:pStyle w:val="BookText"/>
        <w:bidi w:val="0"/>
        <w:jc w:val="both"/>
        <w:rPr/>
      </w:pPr>
      <w:r>
        <w:rPr>
          <w:rFonts w:eastAsia="Times New Roman" w:cs="Times New Roman" w:ascii="Times New Roman" w:hAnsi="Times New Roman"/>
          <w:color w:val="111111"/>
          <w:sz w:val="28"/>
          <w:szCs w:val="28"/>
          <w:lang w:val="en-US"/>
        </w:rPr>
        <w:t>setidaknya tidak sanggup menggambarkan secara sempurna apa dan</w:t>
      </w:r>
    </w:p>
    <w:p>
      <w:pPr>
        <w:pStyle w:val="BookText"/>
        <w:bidi w:val="0"/>
        <w:jc w:val="both"/>
        <w:rPr/>
      </w:pPr>
      <w:r>
        <w:rPr>
          <w:rFonts w:eastAsia="Times New Roman" w:cs="Times New Roman" w:ascii="Times New Roman" w:hAnsi="Times New Roman"/>
          <w:color w:val="111111"/>
          <w:sz w:val="28"/>
          <w:szCs w:val="28"/>
          <w:lang w:val="en-US"/>
        </w:rPr>
        <w:t>bagaimana wahyu — maka tidak sepantasnya seseorang menganggap</w:t>
      </w:r>
    </w:p>
    <w:p>
      <w:pPr>
        <w:pStyle w:val="BookText"/>
        <w:bidi w:val="0"/>
        <w:jc w:val="both"/>
        <w:rPr/>
      </w:pPr>
      <w:r>
        <w:rPr>
          <w:rFonts w:eastAsia="Times New Roman" w:cs="Times New Roman" w:ascii="Times New Roman" w:hAnsi="Times New Roman"/>
          <w:color w:val="111111"/>
          <w:sz w:val="28"/>
          <w:szCs w:val="28"/>
          <w:lang w:val="en-US"/>
        </w:rPr>
        <w:t>semua orang setara dengannya, termasuk memustahilkan pengeta-</w:t>
      </w:r>
    </w:p>
    <w:p>
      <w:pPr>
        <w:pStyle w:val="BookText"/>
        <w:bidi w:val="0"/>
        <w:jc w:val="both"/>
        <w:rPr/>
      </w:pPr>
      <w:r>
        <w:rPr>
          <w:rFonts w:eastAsia="Times New Roman" w:cs="Times New Roman" w:ascii="Times New Roman" w:hAnsi="Times New Roman"/>
          <w:color w:val="111111"/>
          <w:sz w:val="28"/>
          <w:szCs w:val="28"/>
          <w:lang w:val="en-US"/>
        </w:rPr>
        <w:t>huan apa pun di luar kelaziman. Sejenak mengamati perbedaan di</w:t>
      </w:r>
    </w:p>
    <w:p>
      <w:pPr>
        <w:pStyle w:val="BookText"/>
        <w:bidi w:val="0"/>
        <w:jc w:val="both"/>
        <w:rPr/>
      </w:pPr>
      <w:r>
        <w:rPr>
          <w:rFonts w:eastAsia="Times New Roman" w:cs="Times New Roman" w:ascii="Times New Roman" w:hAnsi="Times New Roman"/>
          <w:color w:val="111111"/>
          <w:sz w:val="28"/>
          <w:szCs w:val="28"/>
          <w:lang w:val="en-US"/>
        </w:rPr>
        <w:t>antara hal-hal yang tampaknya identik, sudah cukup untuk menyim-</w:t>
      </w:r>
    </w:p>
    <w:p>
      <w:pPr>
        <w:pStyle w:val="BookText"/>
        <w:bidi w:val="0"/>
        <w:jc w:val="both"/>
        <w:rPr/>
      </w:pPr>
      <w:r>
        <w:rPr>
          <w:rFonts w:eastAsia="Times New Roman" w:cs="Times New Roman" w:ascii="Times New Roman" w:hAnsi="Times New Roman"/>
          <w:color w:val="111111"/>
          <w:sz w:val="28"/>
          <w:szCs w:val="28"/>
          <w:lang w:val="en-US"/>
        </w:rPr>
        <w:t>pulkan bahwa menjadikan beberapa kesamaan sebagai argumentasi</w:t>
      </w:r>
    </w:p>
    <w:p>
      <w:pPr>
        <w:pStyle w:val="BookText"/>
        <w:bidi w:val="0"/>
        <w:jc w:val="both"/>
        <w:rPr/>
      </w:pPr>
      <w:r>
        <w:rPr>
          <w:rFonts w:eastAsia="Times New Roman" w:cs="Times New Roman" w:ascii="Times New Roman" w:hAnsi="Times New Roman"/>
          <w:color w:val="111111"/>
          <w:sz w:val="28"/>
          <w:szCs w:val="28"/>
          <w:lang w:val="en-US"/>
        </w:rPr>
        <w:t>untuk menolak kemungkinan terjadinya perbedaan tidaklah sesuai</w:t>
      </w:r>
    </w:p>
    <w:p>
      <w:pPr>
        <w:pStyle w:val="BookText"/>
        <w:bidi w:val="0"/>
        <w:jc w:val="both"/>
        <w:rPr/>
      </w:pPr>
      <w:r>
        <w:rPr>
          <w:rFonts w:eastAsia="Times New Roman" w:cs="Times New Roman" w:ascii="Times New Roman" w:hAnsi="Times New Roman"/>
          <w:color w:val="111111"/>
          <w:sz w:val="28"/>
          <w:szCs w:val="28"/>
          <w:lang w:val="en-US"/>
        </w:rPr>
        <w:t>dengan prinsip rasional.</w:t>
      </w:r>
    </w:p>
    <w:p>
      <w:pPr>
        <w:pStyle w:val="BookText"/>
        <w:bidi w:val="0"/>
        <w:jc w:val="both"/>
        <w:rPr/>
      </w:pPr>
      <w:r>
        <w:rPr>
          <w:rFonts w:eastAsia="Times New Roman" w:cs="Times New Roman" w:ascii="Times New Roman" w:hAnsi="Times New Roman"/>
          <w:color w:val="111111"/>
          <w:sz w:val="28"/>
          <w:szCs w:val="28"/>
          <w:lang w:val="en-US"/>
        </w:rPr>
        <w:t>Sama-sama lebah makan dari satu hidangan</w:t>
      </w:r>
    </w:p>
    <w:p>
      <w:pPr>
        <w:pStyle w:val="BookText"/>
        <w:bidi w:val="0"/>
        <w:jc w:val="both"/>
        <w:rPr/>
      </w:pPr>
      <w:r>
        <w:rPr>
          <w:rFonts w:eastAsia="Times New Roman" w:cs="Times New Roman" w:ascii="Times New Roman" w:hAnsi="Times New Roman"/>
          <w:color w:val="111111"/>
          <w:sz w:val="28"/>
          <w:szCs w:val="28"/>
          <w:lang w:val="en-US"/>
        </w:rPr>
        <w:t>tapi satu hasilkan sengat dan yang lain madu.</w:t>
      </w:r>
    </w:p>
    <w:p>
      <w:pPr>
        <w:pStyle w:val="BookText"/>
        <w:bidi w:val="0"/>
        <w:jc w:val="both"/>
        <w:rPr/>
      </w:pPr>
      <w:r>
        <w:rPr>
          <w:rFonts w:eastAsia="Times New Roman" w:cs="Times New Roman" w:ascii="Times New Roman" w:hAnsi="Times New Roman"/>
          <w:color w:val="111111"/>
          <w:sz w:val="28"/>
          <w:szCs w:val="28"/>
          <w:lang w:val="en-US"/>
        </w:rPr>
        <w:t>Sama-sama kijang minum dan makan rumput</w:t>
      </w:r>
    </w:p>
    <w:p>
      <w:pPr>
        <w:pStyle w:val="BookText"/>
        <w:bidi w:val="0"/>
        <w:jc w:val="both"/>
        <w:rPr/>
      </w:pPr>
      <w:r>
        <w:rPr>
          <w:rFonts w:eastAsia="Times New Roman" w:cs="Times New Roman" w:ascii="Times New Roman" w:hAnsi="Times New Roman"/>
          <w:color w:val="111111"/>
          <w:sz w:val="28"/>
          <w:szCs w:val="28"/>
          <w:lang w:val="en-US"/>
        </w:rPr>
        <w:t>tapi satu hasilkan kotoran dan yang lain misik murni.</w:t>
      </w:r>
    </w:p>
    <w:p>
      <w:pPr>
        <w:pStyle w:val="BookText"/>
        <w:bidi w:val="0"/>
        <w:jc w:val="both"/>
        <w:rPr/>
      </w:pPr>
      <w:r>
        <w:rPr>
          <w:rFonts w:eastAsia="Times New Roman" w:cs="Times New Roman" w:ascii="Times New Roman" w:hAnsi="Times New Roman"/>
          <w:color w:val="111111"/>
          <w:sz w:val="28"/>
          <w:szCs w:val="28"/>
          <w:lang w:val="en-US"/>
        </w:rPr>
        <w:t>Sama-sama bambu menyerap air muara</w:t>
      </w:r>
    </w:p>
    <w:p>
      <w:pPr>
        <w:pStyle w:val="BookText"/>
        <w:bidi w:val="0"/>
        <w:jc w:val="both"/>
        <w:rPr/>
      </w:pPr>
      <w:r>
        <w:rPr>
          <w:rFonts w:eastAsia="Times New Roman" w:cs="Times New Roman" w:ascii="Times New Roman" w:hAnsi="Times New Roman"/>
          <w:color w:val="111111"/>
          <w:sz w:val="28"/>
          <w:szCs w:val="28"/>
          <w:lang w:val="en-US"/>
        </w:rPr>
        <w:t>tapi satu hambar dan yang lain gula.</w:t>
      </w:r>
    </w:p>
    <w:p>
      <w:pPr>
        <w:pStyle w:val="BookText"/>
        <w:bidi w:val="0"/>
        <w:jc w:val="both"/>
        <w:rPr/>
      </w:pPr>
      <w:r>
        <w:rPr>
          <w:rFonts w:eastAsia="Times New Roman" w:cs="Times New Roman" w:ascii="Times New Roman" w:hAnsi="Times New Roman"/>
          <w:color w:val="111111"/>
          <w:sz w:val="28"/>
          <w:szCs w:val="28"/>
          <w:lang w:val="en-US"/>
        </w:rPr>
        <w:t>Lihatlah, ratusan ribu jumlah contoh yang sama</w:t>
      </w:r>
    </w:p>
    <w:p>
      <w:pPr>
        <w:pStyle w:val="BookText"/>
        <w:bidi w:val="0"/>
        <w:jc w:val="both"/>
        <w:rPr/>
      </w:pPr>
      <w:r>
        <w:rPr>
          <w:rFonts w:eastAsia="Times New Roman" w:cs="Times New Roman" w:ascii="Times New Roman" w:hAnsi="Times New Roman"/>
          <w:color w:val="111111"/>
          <w:sz w:val="28"/>
          <w:szCs w:val="28"/>
          <w:lang w:val="en-US"/>
        </w:rPr>
        <w:t>lihatlah bedanya serentang tujuh puluh tahun berlalu.</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Tentunya, ulasan di atas tidak sampai disalahpahami sebagai</w:t>
      </w:r>
    </w:p>
    <w:p>
      <w:pPr>
        <w:pStyle w:val="BookText"/>
        <w:bidi w:val="0"/>
        <w:jc w:val="both"/>
        <w:rPr/>
      </w:pPr>
      <w:r>
        <w:rPr>
          <w:rFonts w:eastAsia="Times New Roman" w:cs="Times New Roman" w:ascii="Times New Roman" w:hAnsi="Times New Roman"/>
          <w:color w:val="111111"/>
          <w:sz w:val="28"/>
          <w:szCs w:val="28"/>
          <w:lang w:val="en-US"/>
        </w:rPr>
        <w:t>keharusan untuk menjegal akal memasuki bidang wahyu. Atau</w:t>
      </w:r>
    </w:p>
    <w:p>
      <w:pPr>
        <w:pStyle w:val="BookText"/>
        <w:bidi w:val="0"/>
        <w:jc w:val="both"/>
        <w:rPr/>
      </w:pPr>
      <w:r>
        <w:rPr>
          <w:rFonts w:eastAsia="Times New Roman" w:cs="Times New Roman" w:ascii="Times New Roman" w:hAnsi="Times New Roman"/>
          <w:color w:val="111111"/>
          <w:sz w:val="28"/>
          <w:szCs w:val="28"/>
          <w:lang w:val="en-US"/>
        </w:rPr>
        <w:t>sebaliknya; kemungkinan mengetahui sesuatu di luar kelaziman</w:t>
      </w:r>
    </w:p>
    <w:p>
      <w:pPr>
        <w:pStyle w:val="BookText"/>
        <w:bidi w:val="0"/>
        <w:jc w:val="both"/>
        <w:rPr/>
      </w:pPr>
      <w:r>
        <w:rPr>
          <w:rFonts w:eastAsia="Times New Roman" w:cs="Times New Roman" w:ascii="Times New Roman" w:hAnsi="Times New Roman"/>
          <w:color w:val="111111"/>
          <w:sz w:val="28"/>
          <w:szCs w:val="28"/>
          <w:lang w:val="en-US"/>
        </w:rPr>
        <w:t>bermakna bahwa setiap orang boleh mengklaim dapat berhubungan</w:t>
      </w:r>
    </w:p>
    <w:p>
      <w:pPr>
        <w:pStyle w:val="BookText"/>
        <w:bidi w:val="0"/>
        <w:jc w:val="both"/>
        <w:rPr/>
      </w:pPr>
      <w:r>
        <w:rPr>
          <w:rFonts w:eastAsia="Times New Roman" w:cs="Times New Roman" w:ascii="Times New Roman" w:hAnsi="Times New Roman"/>
          <w:color w:val="111111"/>
          <w:sz w:val="28"/>
          <w:szCs w:val="28"/>
          <w:lang w:val="en-US"/>
        </w:rPr>
        <w:t>dengan alam gaib. Bukan seperti itu! Menurut akal, posisi wahyu</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melampaui akal tidak serta merta memustahilkan seseorang </w:t>
      </w:r>
      <w:bookmarkStart w:id="123" w:name="pg5378_50490"/>
    </w:p>
    <w:p>
      <w:pPr>
        <w:pStyle w:val="BookText"/>
        <w:bidi w:val="0"/>
        <w:rPr/>
      </w:pPr>
      <w:bookmarkEnd w:id="123"/>
      <w:r>
        <w:rPr>
          <w:rFonts w:eastAsia="Times New Roman" w:cs="Times New Roman" w:ascii="Times New Roman" w:hAnsi="Times New Roman"/>
          <w:color w:val="111111"/>
          <w:sz w:val="28"/>
          <w:szCs w:val="28"/>
          <w:lang w:val="en-US"/>
        </w:rPr>
        <w:t>dapat menerima wahyu. Mengingat para pembawa pesan Ilahi telah</w:t>
      </w:r>
    </w:p>
    <w:p>
      <w:pPr>
        <w:pStyle w:val="BookText"/>
        <w:bidi w:val="0"/>
        <w:jc w:val="both"/>
        <w:rPr/>
      </w:pPr>
      <w:r>
        <w:rPr>
          <w:rFonts w:eastAsia="Times New Roman" w:cs="Times New Roman" w:ascii="Times New Roman" w:hAnsi="Times New Roman"/>
          <w:color w:val="111111"/>
          <w:sz w:val="28"/>
          <w:szCs w:val="28"/>
          <w:lang w:val="en-US"/>
        </w:rPr>
        <w:t>mengajukan berbagai bukti kuat, seperti mukjizat, maka tidak ada</w:t>
      </w:r>
    </w:p>
    <w:p>
      <w:pPr>
        <w:pStyle w:val="BookText"/>
        <w:bidi w:val="0"/>
        <w:jc w:val="both"/>
        <w:rPr/>
      </w:pPr>
      <w:r>
        <w:rPr>
          <w:rFonts w:eastAsia="Times New Roman" w:cs="Times New Roman" w:ascii="Times New Roman" w:hAnsi="Times New Roman"/>
          <w:color w:val="111111"/>
          <w:sz w:val="28"/>
          <w:szCs w:val="28"/>
          <w:lang w:val="en-US"/>
        </w:rPr>
        <w:t>pilihan lain bagi akal kecuali pasrah menerimanya. Dengan kata</w:t>
      </w:r>
    </w:p>
    <w:p>
      <w:pPr>
        <w:pStyle w:val="BookText"/>
        <w:bidi w:val="0"/>
        <w:jc w:val="both"/>
        <w:rPr/>
      </w:pPr>
      <w:r>
        <w:rPr>
          <w:rFonts w:eastAsia="Times New Roman" w:cs="Times New Roman" w:ascii="Times New Roman" w:hAnsi="Times New Roman"/>
          <w:color w:val="111111"/>
          <w:sz w:val="28"/>
          <w:szCs w:val="28"/>
          <w:lang w:val="en-US"/>
        </w:rPr>
        <w:t>lain, terhadap pengetahuan wahyuni, akal tidak punya celah sedikit</w:t>
      </w:r>
    </w:p>
    <w:p>
      <w:pPr>
        <w:pStyle w:val="BookText"/>
        <w:bidi w:val="0"/>
        <w:jc w:val="both"/>
        <w:rPr/>
      </w:pPr>
      <w:r>
        <w:rPr>
          <w:rFonts w:eastAsia="Times New Roman" w:cs="Times New Roman" w:ascii="Times New Roman" w:hAnsi="Times New Roman"/>
          <w:color w:val="111111"/>
          <w:sz w:val="28"/>
          <w:szCs w:val="28"/>
          <w:lang w:val="en-US"/>
        </w:rPr>
        <w:t>pun untuk meragukan, apalagi menyangkalnya—kendati posisinya</w:t>
      </w:r>
    </w:p>
    <w:p>
      <w:pPr>
        <w:pStyle w:val="BookText"/>
        <w:bidi w:val="0"/>
        <w:jc w:val="both"/>
        <w:rPr/>
      </w:pPr>
      <w:r>
        <w:rPr>
          <w:rFonts w:eastAsia="Times New Roman" w:cs="Times New Roman" w:ascii="Times New Roman" w:hAnsi="Times New Roman"/>
          <w:color w:val="111111"/>
          <w:sz w:val="28"/>
          <w:szCs w:val="28"/>
          <w:lang w:val="en-US"/>
        </w:rPr>
        <w:t>melampaui dayanya.</w:t>
      </w:r>
    </w:p>
    <w:p>
      <w:pPr>
        <w:pStyle w:val="BookText"/>
        <w:bidi w:val="0"/>
        <w:jc w:val="both"/>
        <w:rPr/>
      </w:pPr>
      <w:r>
        <w:rPr>
          <w:rFonts w:eastAsia="Times New Roman" w:cs="Times New Roman" w:ascii="Times New Roman" w:hAnsi="Times New Roman"/>
          <w:color w:val="111111"/>
          <w:sz w:val="28"/>
          <w:szCs w:val="28"/>
          <w:lang w:val="en-US"/>
        </w:rPr>
        <w:t>Ringkasnya, kesiapan menerima wahyu merupakan satu tingkat</w:t>
      </w:r>
    </w:p>
    <w:p>
      <w:pPr>
        <w:pStyle w:val="BookText"/>
        <w:bidi w:val="0"/>
        <w:jc w:val="both"/>
        <w:rPr/>
      </w:pPr>
      <w:r>
        <w:rPr>
          <w:rFonts w:eastAsia="Times New Roman" w:cs="Times New Roman" w:ascii="Times New Roman" w:hAnsi="Times New Roman"/>
          <w:color w:val="111111"/>
          <w:sz w:val="28"/>
          <w:szCs w:val="28"/>
          <w:lang w:val="en-US"/>
        </w:rPr>
        <w:t>kesempurnaan manusia. Di sini, ikhtiar seseorang tetap berperan</w:t>
      </w:r>
    </w:p>
    <w:p>
      <w:pPr>
        <w:pStyle w:val="BookText"/>
        <w:bidi w:val="0"/>
        <w:jc w:val="both"/>
        <w:rPr/>
      </w:pPr>
      <w:r>
        <w:rPr>
          <w:rFonts w:eastAsia="Times New Roman" w:cs="Times New Roman" w:ascii="Times New Roman" w:hAnsi="Times New Roman"/>
          <w:color w:val="111111"/>
          <w:sz w:val="28"/>
          <w:szCs w:val="28"/>
          <w:lang w:val="en-US"/>
        </w:rPr>
        <w:t>penting. Namun demikian, ihwal ini tetap harus dikategorikan seba-</w:t>
      </w:r>
    </w:p>
    <w:p>
      <w:pPr>
        <w:pStyle w:val="BookText"/>
        <w:bidi w:val="0"/>
        <w:jc w:val="both"/>
        <w:rPr/>
      </w:pPr>
      <w:r>
        <w:rPr>
          <w:rFonts w:eastAsia="Times New Roman" w:cs="Times New Roman" w:ascii="Times New Roman" w:hAnsi="Times New Roman"/>
          <w:color w:val="111111"/>
          <w:sz w:val="28"/>
          <w:szCs w:val="28"/>
          <w:lang w:val="en-US"/>
        </w:rPr>
        <w:t>gai, lagi-lagi, beyond atau melampaui daya ikhtiarnya (ghioir iktisabi).</w:t>
      </w:r>
    </w:p>
    <w:p>
      <w:pPr>
        <w:pStyle w:val="BookText"/>
        <w:bidi w:val="0"/>
        <w:jc w:val="both"/>
        <w:rPr/>
      </w:pPr>
      <w:r>
        <w:rPr>
          <w:rFonts w:eastAsia="Times New Roman" w:cs="Times New Roman" w:ascii="Times New Roman" w:hAnsi="Times New Roman"/>
          <w:color w:val="111111"/>
          <w:sz w:val="28"/>
          <w:szCs w:val="28"/>
          <w:lang w:val="en-US"/>
        </w:rPr>
        <w:t>Sebab, tak seorang pun yang meraih level ini lantaran hasil kerja dan</w:t>
      </w:r>
    </w:p>
    <w:p>
      <w:pPr>
        <w:pStyle w:val="BookText"/>
        <w:bidi w:val="0"/>
        <w:jc w:val="both"/>
        <w:rPr/>
      </w:pPr>
      <w:r>
        <w:rPr>
          <w:rFonts w:eastAsia="Times New Roman" w:cs="Times New Roman" w:ascii="Times New Roman" w:hAnsi="Times New Roman"/>
          <w:color w:val="111111"/>
          <w:sz w:val="28"/>
          <w:szCs w:val="28"/>
          <w:lang w:val="en-US"/>
        </w:rPr>
        <w:t>ikhtiarnya sendiri, justru merupakan karunia Ilahi yang diberikan</w:t>
      </w:r>
    </w:p>
    <w:p>
      <w:pPr>
        <w:pStyle w:val="BookText"/>
        <w:bidi w:val="0"/>
        <w:jc w:val="both"/>
        <w:rPr/>
      </w:pPr>
      <w:r>
        <w:rPr>
          <w:rFonts w:eastAsia="Times New Roman" w:cs="Times New Roman" w:ascii="Times New Roman" w:hAnsi="Times New Roman"/>
          <w:color w:val="111111"/>
          <w:sz w:val="28"/>
          <w:szCs w:val="28"/>
          <w:lang w:val="en-US"/>
        </w:rPr>
        <w:t>kepada siapapun yang dikehendaki-Nya.</w:t>
      </w:r>
      <w:r>
        <w:rPr>
          <w:rStyle w:val="FootnoteAnchor"/>
        </w:rPr>
        <w:footnoteReference w:id="101"/>
      </w:r>
      <w:r>
        <w:rPr>
          <w:rFonts w:eastAsia="Times New Roman" w:cs="Times New Roman" w:ascii="Times New Roman" w:hAnsi="Times New Roman"/>
          <w:color w:val="111111"/>
          <w:sz w:val="28"/>
          <w:szCs w:val="28"/>
          <w:lang w:val="en-US"/>
        </w:rPr>
        <w:t>Selain-Nya, tiada yang</w:t>
      </w:r>
    </w:p>
    <w:p>
      <w:pPr>
        <w:pStyle w:val="BookText"/>
        <w:bidi w:val="0"/>
        <w:jc w:val="both"/>
        <w:rPr/>
      </w:pPr>
      <w:r>
        <w:rPr>
          <w:rFonts w:eastAsia="Times New Roman" w:cs="Times New Roman" w:ascii="Times New Roman" w:hAnsi="Times New Roman"/>
          <w:color w:val="111111"/>
          <w:sz w:val="28"/>
          <w:szCs w:val="28"/>
          <w:lang w:val="en-US"/>
        </w:rPr>
        <w:t>tahu siapa yang layak mencapai level itu.</w:t>
      </w:r>
      <w:r>
        <w:rPr>
          <w:rStyle w:val="FootnoteAnchor"/>
        </w:rPr>
        <w:footnoteReference w:id="102"/>
      </w:r>
    </w:p>
    <w:p>
      <w:pPr>
        <w:pStyle w:val="Heading3"/>
        <w:numPr>
          <w:ilvl w:val="2"/>
          <w:numId w:val="1"/>
        </w:numPr>
        <w:bidi w:val="0"/>
        <w:jc w:val="left"/>
        <w:rPr/>
      </w:pPr>
      <w:bookmarkStart w:id="124" w:name="__RefHeading___Toc1351134_581953129"/>
      <w:bookmarkStart w:id="125" w:name="_Toc46"/>
      <w:bookmarkEnd w:id="124"/>
      <w:r>
        <w:rPr/>
        <w:t>Cukup Akal!</w:t>
      </w:r>
      <w:bookmarkEnd w:id="125"/>
    </w:p>
    <w:p>
      <w:pPr>
        <w:pStyle w:val="Heading4"/>
        <w:numPr>
          <w:ilvl w:val="3"/>
          <w:numId w:val="1"/>
        </w:numPr>
        <w:bidi w:val="0"/>
        <w:jc w:val="left"/>
        <w:rPr/>
      </w:pPr>
      <w:bookmarkStart w:id="126" w:name="__RefHeading___Toc1351136_581953129"/>
      <w:bookmarkStart w:id="127" w:name="_Toc47"/>
      <w:bookmarkEnd w:id="126"/>
      <w:r>
        <w:rPr/>
        <w:t>Point</w:t>
      </w:r>
      <w:bookmarkEnd w:id="127"/>
    </w:p>
    <w:p>
      <w:pPr>
        <w:pStyle w:val="BookText"/>
        <w:bidi w:val="0"/>
        <w:jc w:val="both"/>
        <w:rPr/>
      </w:pPr>
      <w:r>
        <w:rPr>
          <w:rFonts w:eastAsia="Times New Roman" w:cs="Times New Roman" w:ascii="Times New Roman" w:hAnsi="Times New Roman"/>
          <w:color w:val="111111"/>
          <w:sz w:val="28"/>
          <w:szCs w:val="28"/>
          <w:lang w:val="en-US"/>
        </w:rPr>
        <w:t>Menurut sebagian rasionalis radikal antiagama, kalaupun</w:t>
      </w:r>
    </w:p>
    <w:p>
      <w:pPr>
        <w:pStyle w:val="BookText"/>
        <w:bidi w:val="0"/>
        <w:jc w:val="both"/>
        <w:rPr/>
      </w:pPr>
      <w:r>
        <w:rPr>
          <w:rFonts w:eastAsia="Times New Roman" w:cs="Times New Roman" w:ascii="Times New Roman" w:hAnsi="Times New Roman"/>
          <w:color w:val="111111"/>
          <w:sz w:val="28"/>
          <w:szCs w:val="28"/>
          <w:lang w:val="en-US"/>
        </w:rPr>
        <w:t>pengetahuan wahyuni mungkin diperoleh, tetap saja sia-sia dan</w:t>
      </w:r>
    </w:p>
    <w:p>
      <w:pPr>
        <w:pStyle w:val="BookText"/>
        <w:bidi w:val="0"/>
        <w:jc w:val="both"/>
        <w:rPr/>
      </w:pPr>
      <w:r>
        <w:rPr>
          <w:rFonts w:eastAsia="Times New Roman" w:cs="Times New Roman" w:ascii="Times New Roman" w:hAnsi="Times New Roman"/>
          <w:color w:val="111111"/>
          <w:sz w:val="28"/>
          <w:szCs w:val="28"/>
          <w:lang w:val="en-US"/>
        </w:rPr>
        <w:t>tidak berarti apa-apa, karena dengan akal saja manusia sudah</w:t>
      </w:r>
    </w:p>
    <w:p>
      <w:pPr>
        <w:pStyle w:val="BookText"/>
        <w:bidi w:val="0"/>
        <w:jc w:val="both"/>
        <w:rPr/>
      </w:pPr>
      <w:r>
        <w:rPr>
          <w:rFonts w:eastAsia="Times New Roman" w:cs="Times New Roman" w:ascii="Times New Roman" w:hAnsi="Times New Roman"/>
          <w:color w:val="111111"/>
          <w:sz w:val="28"/>
          <w:szCs w:val="28"/>
          <w:lang w:val="en-US"/>
        </w:rPr>
        <w:t>bisa mencapai tujuan. Kekuatan penuntun ini niscaya menihilkan</w:t>
      </w:r>
    </w:p>
    <w:p>
      <w:pPr>
        <w:pStyle w:val="BookText"/>
        <w:bidi w:val="0"/>
        <w:jc w:val="both"/>
        <w:rPr/>
      </w:pPr>
      <w:r>
        <w:rPr>
          <w:rFonts w:eastAsia="Times New Roman" w:cs="Times New Roman" w:ascii="Times New Roman" w:hAnsi="Times New Roman"/>
          <w:color w:val="111111"/>
          <w:sz w:val="28"/>
          <w:szCs w:val="28"/>
          <w:lang w:val="en-US"/>
        </w:rPr>
        <w:t>kebutuhan pada penuntun lain. Paham ini didukung sejumlah</w:t>
      </w:r>
    </w:p>
    <w:p>
      <w:pPr>
        <w:pStyle w:val="BookText"/>
        <w:bidi w:val="0"/>
        <w:jc w:val="both"/>
        <w:rPr/>
      </w:pPr>
      <w:r>
        <w:rPr>
          <w:rFonts w:eastAsia="Times New Roman" w:cs="Times New Roman" w:ascii="Times New Roman" w:hAnsi="Times New Roman"/>
          <w:color w:val="111111"/>
          <w:sz w:val="28"/>
          <w:szCs w:val="28"/>
          <w:lang w:val="en-US"/>
        </w:rPr>
        <w:t>pemikir Timur maupun Barat dan, entah benar atau tidak, konon</w:t>
      </w:r>
    </w:p>
    <w:p>
      <w:pPr>
        <w:pStyle w:val="BookText"/>
        <w:bidi w:val="0"/>
        <w:jc w:val="both"/>
        <w:rPr/>
      </w:pPr>
      <w:r>
        <w:rPr>
          <w:rFonts w:eastAsia="Times New Roman" w:cs="Times New Roman" w:ascii="Times New Roman" w:hAnsi="Times New Roman"/>
          <w:color w:val="111111"/>
          <w:sz w:val="28"/>
          <w:szCs w:val="28"/>
          <w:lang w:val="en-US"/>
        </w:rPr>
        <w:t>juga diusung sebagian pemikir Islam. Berikut sekelumit ulasan dari</w:t>
      </w:r>
    </w:p>
    <w:p>
      <w:pPr>
        <w:pStyle w:val="BookText"/>
        <w:bidi w:val="0"/>
        <w:jc w:val="both"/>
        <w:rPr/>
      </w:pPr>
      <w:r>
        <w:rPr>
          <w:rFonts w:eastAsia="Times New Roman" w:cs="Times New Roman" w:ascii="Times New Roman" w:hAnsi="Times New Roman"/>
          <w:color w:val="111111"/>
          <w:sz w:val="28"/>
          <w:szCs w:val="28"/>
          <w:lang w:val="en-US"/>
        </w:rPr>
        <w:t>mereka sebagai representasi paham ini.</w:t>
      </w:r>
    </w:p>
    <w:p>
      <w:pPr>
        <w:pStyle w:val="Heading4"/>
        <w:numPr>
          <w:ilvl w:val="3"/>
          <w:numId w:val="1"/>
        </w:numPr>
        <w:bidi w:val="0"/>
        <w:jc w:val="left"/>
        <w:rPr/>
      </w:pPr>
      <w:bookmarkStart w:id="128" w:name="__RefHeading___Toc1351138_581953129"/>
      <w:bookmarkStart w:id="129" w:name="_Toc48"/>
      <w:bookmarkEnd w:id="128"/>
      <w:r>
        <w:rPr/>
        <w:t>Brahmana</w:t>
      </w:r>
      <w:bookmarkEnd w:id="129"/>
    </w:p>
    <w:p>
      <w:pPr>
        <w:pStyle w:val="BookText"/>
        <w:bidi w:val="0"/>
        <w:jc w:val="both"/>
        <w:rPr/>
      </w:pPr>
      <w:r>
        <w:rPr>
          <w:rFonts w:eastAsia="Times New Roman" w:cs="Times New Roman" w:ascii="Times New Roman" w:hAnsi="Times New Roman"/>
          <w:color w:val="111111"/>
          <w:sz w:val="28"/>
          <w:szCs w:val="28"/>
          <w:lang w:val="en-US"/>
        </w:rPr>
        <w:t>Pengusung ternama paham ketidakbutuhan terhadap wahyu</w:t>
      </w:r>
    </w:p>
    <w:p>
      <w:pPr>
        <w:pStyle w:val="BookText"/>
        <w:bidi w:val="0"/>
        <w:jc w:val="both"/>
        <w:rPr/>
      </w:pPr>
      <w:r>
        <w:rPr>
          <w:rFonts w:eastAsia="Times New Roman" w:cs="Times New Roman" w:ascii="Times New Roman" w:hAnsi="Times New Roman"/>
          <w:color w:val="111111"/>
          <w:sz w:val="28"/>
          <w:szCs w:val="28"/>
          <w:lang w:val="en-US"/>
        </w:rPr>
        <w:t>adalah sekelompok filsuf India, yang dalam literatur teologi</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disebut Brahmana. Pandangan mereka dibangun di atas </w:t>
      </w:r>
      <w:bookmarkStart w:id="130" w:name="pg5378_50492"/>
    </w:p>
    <w:p>
      <w:pPr>
        <w:pStyle w:val="BookText"/>
        <w:bidi w:val="0"/>
        <w:rPr/>
      </w:pPr>
      <w:bookmarkEnd w:id="130"/>
      <w:r>
        <w:rPr>
          <w:rFonts w:eastAsia="Times New Roman" w:cs="Times New Roman" w:ascii="Times New Roman" w:hAnsi="Times New Roman"/>
          <w:color w:val="111111"/>
          <w:sz w:val="28"/>
          <w:szCs w:val="28"/>
          <w:lang w:val="en-US"/>
        </w:rPr>
        <w:t>asumsi seputar muatan ajaran para nabi yang niscaya berkisar</w:t>
      </w:r>
    </w:p>
    <w:p>
      <w:pPr>
        <w:pStyle w:val="BookText"/>
        <w:bidi w:val="0"/>
        <w:jc w:val="both"/>
        <w:rPr/>
      </w:pPr>
      <w:r>
        <w:rPr>
          <w:rFonts w:eastAsia="Times New Roman" w:cs="Times New Roman" w:ascii="Times New Roman" w:hAnsi="Times New Roman"/>
          <w:color w:val="111111"/>
          <w:sz w:val="28"/>
          <w:szCs w:val="28"/>
          <w:lang w:val="en-US"/>
        </w:rPr>
        <w:t>hanya pada dua kemungkinan; selaras atau bertentangan dengan</w:t>
      </w:r>
    </w:p>
    <w:p>
      <w:pPr>
        <w:pStyle w:val="BookText"/>
        <w:bidi w:val="0"/>
        <w:jc w:val="both"/>
        <w:rPr/>
      </w:pPr>
      <w:r>
        <w:rPr>
          <w:rFonts w:eastAsia="Times New Roman" w:cs="Times New Roman" w:ascii="Times New Roman" w:hAnsi="Times New Roman"/>
          <w:color w:val="111111"/>
          <w:sz w:val="28"/>
          <w:szCs w:val="28"/>
          <w:lang w:val="en-US"/>
        </w:rPr>
        <w:t>hukum akal. Atas dasar kemungkinan pertama, yakni seruan para</w:t>
      </w:r>
    </w:p>
    <w:p>
      <w:pPr>
        <w:pStyle w:val="BookText"/>
        <w:bidi w:val="0"/>
        <w:jc w:val="both"/>
        <w:rPr/>
      </w:pPr>
      <w:r>
        <w:rPr>
          <w:rFonts w:eastAsia="Times New Roman" w:cs="Times New Roman" w:ascii="Times New Roman" w:hAnsi="Times New Roman"/>
          <w:color w:val="111111"/>
          <w:sz w:val="28"/>
          <w:szCs w:val="28"/>
          <w:lang w:val="en-US"/>
        </w:rPr>
        <w:t>nabi selaras dengan hukum akal, maka wahyu dengan sendirinya</w:t>
      </w:r>
    </w:p>
    <w:p>
      <w:pPr>
        <w:pStyle w:val="BookText"/>
        <w:bidi w:val="0"/>
        <w:jc w:val="both"/>
        <w:rPr/>
      </w:pPr>
      <w:r>
        <w:rPr>
          <w:rFonts w:eastAsia="Times New Roman" w:cs="Times New Roman" w:ascii="Times New Roman" w:hAnsi="Times New Roman"/>
          <w:color w:val="111111"/>
          <w:sz w:val="28"/>
          <w:szCs w:val="28"/>
          <w:lang w:val="en-US"/>
        </w:rPr>
        <w:t>tidak lagi dibutuhkan. Karena, lewat bantuan akal, manusia sudah</w:t>
      </w:r>
    </w:p>
    <w:p>
      <w:pPr>
        <w:pStyle w:val="BookText"/>
        <w:bidi w:val="0"/>
        <w:jc w:val="both"/>
        <w:rPr/>
      </w:pPr>
      <w:r>
        <w:rPr>
          <w:rFonts w:eastAsia="Times New Roman" w:cs="Times New Roman" w:ascii="Times New Roman" w:hAnsi="Times New Roman"/>
          <w:color w:val="111111"/>
          <w:sz w:val="28"/>
          <w:szCs w:val="28"/>
          <w:lang w:val="en-US"/>
        </w:rPr>
        <w:t>dapat memahami dan mengaplikasikan sendiri dalam kehidupan</w:t>
      </w:r>
    </w:p>
    <w:p>
      <w:pPr>
        <w:pStyle w:val="BookText"/>
        <w:bidi w:val="0"/>
        <w:jc w:val="both"/>
        <w:rPr/>
      </w:pPr>
      <w:r>
        <w:rPr>
          <w:rFonts w:eastAsia="Times New Roman" w:cs="Times New Roman" w:ascii="Times New Roman" w:hAnsi="Times New Roman"/>
          <w:color w:val="111111"/>
          <w:sz w:val="28"/>
          <w:szCs w:val="28"/>
          <w:lang w:val="en-US"/>
        </w:rPr>
        <w:t>hal-hal yang disampaikan para nabi dengan segala jerih payah</w:t>
      </w:r>
    </w:p>
    <w:p>
      <w:pPr>
        <w:pStyle w:val="BookText"/>
        <w:bidi w:val="0"/>
        <w:jc w:val="both"/>
        <w:rPr/>
      </w:pPr>
      <w:r>
        <w:rPr>
          <w:rFonts w:eastAsia="Times New Roman" w:cs="Times New Roman" w:ascii="Times New Roman" w:hAnsi="Times New Roman"/>
          <w:color w:val="111111"/>
          <w:sz w:val="28"/>
          <w:szCs w:val="28"/>
          <w:lang w:val="en-US"/>
        </w:rPr>
        <w:t>dan kesulitan yang dialaminya. Adapun jika bertentangan dengan</w:t>
      </w:r>
    </w:p>
    <w:p>
      <w:pPr>
        <w:pStyle w:val="BookText"/>
        <w:bidi w:val="0"/>
        <w:jc w:val="both"/>
        <w:rPr/>
      </w:pPr>
      <w:r>
        <w:rPr>
          <w:rFonts w:eastAsia="Times New Roman" w:cs="Times New Roman" w:ascii="Times New Roman" w:hAnsi="Times New Roman"/>
          <w:color w:val="111111"/>
          <w:sz w:val="28"/>
          <w:szCs w:val="28"/>
          <w:lang w:val="en-US"/>
        </w:rPr>
        <w:t>data-data rasional, seruan para nabi jelas mustahil dibenarkan dan</w:t>
      </w:r>
    </w:p>
    <w:p>
      <w:pPr>
        <w:pStyle w:val="BookText"/>
        <w:bidi w:val="0"/>
        <w:jc w:val="both"/>
        <w:rPr/>
      </w:pPr>
      <w:r>
        <w:rPr>
          <w:rFonts w:eastAsia="Times New Roman" w:cs="Times New Roman" w:ascii="Times New Roman" w:hAnsi="Times New Roman"/>
          <w:color w:val="111111"/>
          <w:sz w:val="28"/>
          <w:szCs w:val="28"/>
          <w:lang w:val="en-US"/>
        </w:rPr>
        <w:t>dipatuhi. Karena, tolok ukur kemanusiaan yang membedakannya</w:t>
      </w:r>
    </w:p>
    <w:p>
      <w:pPr>
        <w:pStyle w:val="BookText"/>
        <w:bidi w:val="0"/>
        <w:jc w:val="both"/>
        <w:rPr/>
      </w:pPr>
      <w:r>
        <w:rPr>
          <w:rFonts w:eastAsia="Times New Roman" w:cs="Times New Roman" w:ascii="Times New Roman" w:hAnsi="Times New Roman"/>
          <w:color w:val="111111"/>
          <w:sz w:val="28"/>
          <w:szCs w:val="28"/>
          <w:lang w:val="en-US"/>
        </w:rPr>
        <w:t>dari binatang adalah akal dan pemikirannya. Inilah alasan mengapa</w:t>
      </w:r>
    </w:p>
    <w:p>
      <w:pPr>
        <w:pStyle w:val="BookText"/>
        <w:bidi w:val="0"/>
        <w:jc w:val="both"/>
        <w:rPr/>
      </w:pPr>
      <w:r>
        <w:rPr>
          <w:rFonts w:eastAsia="Times New Roman" w:cs="Times New Roman" w:ascii="Times New Roman" w:hAnsi="Times New Roman"/>
          <w:color w:val="111111"/>
          <w:sz w:val="28"/>
          <w:szCs w:val="28"/>
          <w:lang w:val="en-US"/>
        </w:rPr>
        <w:t>mengabaikan karunia Ilahi berupa akal dan menerima ajaran antiakal</w:t>
      </w:r>
    </w:p>
    <w:p>
      <w:pPr>
        <w:pStyle w:val="BookText"/>
        <w:bidi w:val="0"/>
        <w:jc w:val="both"/>
        <w:rPr/>
      </w:pPr>
      <w:r>
        <w:rPr>
          <w:rFonts w:eastAsia="Times New Roman" w:cs="Times New Roman" w:ascii="Times New Roman" w:hAnsi="Times New Roman"/>
          <w:color w:val="111111"/>
          <w:sz w:val="28"/>
          <w:szCs w:val="28"/>
          <w:lang w:val="en-US"/>
        </w:rPr>
        <w:t>itu identik dengan menyempal dari spesis manusia dan terjun bebas</w:t>
      </w:r>
    </w:p>
    <w:p>
      <w:pPr>
        <w:pStyle w:val="BookText"/>
        <w:bidi w:val="0"/>
        <w:jc w:val="both"/>
        <w:rPr/>
      </w:pPr>
      <w:r>
        <w:rPr>
          <w:rFonts w:eastAsia="Times New Roman" w:cs="Times New Roman" w:ascii="Times New Roman" w:hAnsi="Times New Roman"/>
          <w:color w:val="111111"/>
          <w:sz w:val="28"/>
          <w:szCs w:val="28"/>
          <w:lang w:val="en-US"/>
        </w:rPr>
        <w:t>ke dunia binatang.</w:t>
      </w:r>
    </w:p>
    <w:p>
      <w:pPr>
        <w:pStyle w:val="BookText"/>
        <w:bidi w:val="0"/>
        <w:jc w:val="both"/>
        <w:rPr/>
      </w:pPr>
      <w:r>
        <w:rPr>
          <w:rFonts w:eastAsia="Times New Roman" w:cs="Times New Roman" w:ascii="Times New Roman" w:hAnsi="Times New Roman"/>
          <w:color w:val="111111"/>
          <w:sz w:val="28"/>
          <w:szCs w:val="28"/>
          <w:lang w:val="en-US"/>
        </w:rPr>
        <w:t>Disamping itu, bukankah secara fitriah, Tuhan mampu menuntun</w:t>
      </w:r>
    </w:p>
    <w:p>
      <w:pPr>
        <w:pStyle w:val="BookText"/>
        <w:bidi w:val="0"/>
        <w:jc w:val="both"/>
        <w:rPr/>
      </w:pPr>
      <w:r>
        <w:rPr>
          <w:rFonts w:eastAsia="Times New Roman" w:cs="Times New Roman" w:ascii="Times New Roman" w:hAnsi="Times New Roman"/>
          <w:color w:val="111111"/>
          <w:sz w:val="28"/>
          <w:szCs w:val="28"/>
          <w:lang w:val="en-US"/>
        </w:rPr>
        <w:t>akal manusia kepada realitas dan mengisi nalar dengan rangkaian</w:t>
      </w:r>
    </w:p>
    <w:p>
      <w:pPr>
        <w:pStyle w:val="BookText"/>
        <w:bidi w:val="0"/>
        <w:jc w:val="both"/>
        <w:rPr/>
      </w:pPr>
      <w:r>
        <w:rPr>
          <w:rFonts w:eastAsia="Times New Roman" w:cs="Times New Roman" w:ascii="Times New Roman" w:hAnsi="Times New Roman"/>
          <w:color w:val="111111"/>
          <w:sz w:val="28"/>
          <w:szCs w:val="28"/>
          <w:lang w:val="en-US"/>
        </w:rPr>
        <w:t>pengetahuan yang dibutuhkan? Bila nabi internal sudah ada, lantas</w:t>
      </w:r>
    </w:p>
    <w:p>
      <w:pPr>
        <w:pStyle w:val="BookText"/>
        <w:bidi w:val="0"/>
        <w:jc w:val="both"/>
        <w:rPr/>
      </w:pPr>
      <w:r>
        <w:rPr>
          <w:rFonts w:eastAsia="Times New Roman" w:cs="Times New Roman" w:ascii="Times New Roman" w:hAnsi="Times New Roman"/>
          <w:color w:val="111111"/>
          <w:sz w:val="28"/>
          <w:szCs w:val="28"/>
          <w:lang w:val="en-US"/>
        </w:rPr>
        <w:t>buat apa lagi nabi eksternal?!</w:t>
      </w:r>
      <w:r>
        <w:rPr>
          <w:rStyle w:val="FootnoteAnchor"/>
        </w:rPr>
        <w:footnoteReference w:id="103"/>
      </w:r>
    </w:p>
    <w:p>
      <w:pPr>
        <w:pStyle w:val="Heading4"/>
        <w:numPr>
          <w:ilvl w:val="3"/>
          <w:numId w:val="1"/>
        </w:numPr>
        <w:bidi w:val="0"/>
        <w:jc w:val="left"/>
        <w:rPr/>
      </w:pPr>
      <w:bookmarkStart w:id="131" w:name="__RefHeading___Toc1351140_581953129"/>
      <w:bookmarkStart w:id="132" w:name="_Toc49"/>
      <w:bookmarkEnd w:id="131"/>
      <w:r>
        <w:rPr/>
        <w:t>Deisme</w:t>
      </w:r>
      <w:bookmarkEnd w:id="132"/>
    </w:p>
    <w:p>
      <w:pPr>
        <w:pStyle w:val="BookText"/>
        <w:bidi w:val="0"/>
        <w:jc w:val="both"/>
        <w:rPr/>
      </w:pPr>
      <w:r>
        <w:rPr>
          <w:rFonts w:eastAsia="Times New Roman" w:cs="Times New Roman" w:ascii="Times New Roman" w:hAnsi="Times New Roman"/>
          <w:color w:val="111111"/>
          <w:sz w:val="28"/>
          <w:szCs w:val="28"/>
          <w:lang w:val="en-US"/>
        </w:rPr>
        <w:t>Istilah “deisme” muncul pertama kali pada abad XVI. Terminologi</w:t>
      </w:r>
    </w:p>
    <w:p>
      <w:pPr>
        <w:pStyle w:val="BookText"/>
        <w:bidi w:val="0"/>
        <w:jc w:val="both"/>
        <w:rPr/>
      </w:pPr>
      <w:r>
        <w:rPr>
          <w:rFonts w:eastAsia="Times New Roman" w:cs="Times New Roman" w:ascii="Times New Roman" w:hAnsi="Times New Roman"/>
          <w:color w:val="111111"/>
          <w:sz w:val="28"/>
          <w:szCs w:val="28"/>
          <w:lang w:val="en-US"/>
        </w:rPr>
        <w:t>ini merujuk sekelompok pemikir yang mengklaim wahyu dan ilham</w:t>
      </w:r>
    </w:p>
    <w:p>
      <w:pPr>
        <w:pStyle w:val="BookText"/>
        <w:bidi w:val="0"/>
        <w:jc w:val="both"/>
        <w:rPr/>
      </w:pPr>
      <w:r>
        <w:rPr>
          <w:rFonts w:eastAsia="Times New Roman" w:cs="Times New Roman" w:ascii="Times New Roman" w:hAnsi="Times New Roman"/>
          <w:color w:val="111111"/>
          <w:sz w:val="28"/>
          <w:szCs w:val="28"/>
          <w:lang w:val="en-US"/>
        </w:rPr>
        <w:t>supranatural sebagai sesat dan keliru.</w:t>
      </w:r>
      <w:r>
        <w:rPr>
          <w:rStyle w:val="FootnoteAnchor"/>
        </w:rPr>
        <w:footnoteReference w:id="104"/>
      </w:r>
      <w:r>
        <w:rPr>
          <w:rFonts w:eastAsia="Times New Roman" w:cs="Times New Roman" w:ascii="Times New Roman" w:hAnsi="Times New Roman"/>
          <w:color w:val="111111"/>
          <w:sz w:val="28"/>
          <w:szCs w:val="28"/>
          <w:lang w:val="en-US"/>
        </w:rPr>
        <w:t>Rata-rata mereka menentang</w:t>
      </w:r>
    </w:p>
    <w:p>
      <w:pPr>
        <w:pStyle w:val="BookText"/>
        <w:bidi w:val="0"/>
        <w:jc w:val="both"/>
        <w:rPr/>
      </w:pPr>
      <w:r>
        <w:rPr>
          <w:rFonts w:eastAsia="Times New Roman" w:cs="Times New Roman" w:ascii="Times New Roman" w:hAnsi="Times New Roman"/>
          <w:color w:val="111111"/>
          <w:sz w:val="28"/>
          <w:szCs w:val="28"/>
          <w:lang w:val="en-US"/>
        </w:rPr>
        <w:t>agama wahyuni (proplietic religion) seraya menyodorkan agama</w:t>
      </w:r>
    </w:p>
    <w:p>
      <w:pPr>
        <w:pStyle w:val="BookText"/>
        <w:bidi w:val="0"/>
        <w:jc w:val="both"/>
        <w:rPr/>
      </w:pPr>
      <w:r>
        <w:rPr>
          <w:rFonts w:eastAsia="Times New Roman" w:cs="Times New Roman" w:ascii="Times New Roman" w:hAnsi="Times New Roman"/>
          <w:color w:val="111111"/>
          <w:sz w:val="28"/>
          <w:szCs w:val="28"/>
          <w:lang w:val="en-US"/>
        </w:rPr>
        <w:t>natural (natural religion) sebagai produk tuntunan akal.</w:t>
      </w:r>
    </w:p>
    <w:p>
      <w:pPr>
        <w:pStyle w:val="BookText"/>
        <w:bidi w:val="0"/>
        <w:jc w:val="both"/>
        <w:rPr/>
      </w:pPr>
      <w:r>
        <w:rPr>
          <w:rFonts w:eastAsia="Times New Roman" w:cs="Times New Roman" w:ascii="Times New Roman" w:hAnsi="Times New Roman"/>
          <w:color w:val="111111"/>
          <w:sz w:val="28"/>
          <w:szCs w:val="28"/>
          <w:lang w:val="en-US"/>
        </w:rPr>
        <w:t>Kendati begitu, di kalangan deis terdapat pula sejumlah pemikir</w:t>
      </w:r>
    </w:p>
    <w:p>
      <w:pPr>
        <w:pStyle w:val="BookText"/>
        <w:bidi w:val="0"/>
        <w:jc w:val="both"/>
        <w:rPr/>
      </w:pPr>
      <w:r>
        <w:rPr>
          <w:rFonts w:eastAsia="Times New Roman" w:cs="Times New Roman" w:ascii="Times New Roman" w:hAnsi="Times New Roman"/>
          <w:color w:val="111111"/>
          <w:sz w:val="28"/>
          <w:szCs w:val="28"/>
          <w:lang w:val="en-US"/>
        </w:rPr>
        <w:t>yang bersikap moderat. Salah satunya, John Toland (1670-1722), tokoh</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deis yang menulis Christianity Not Mysterious (1696). Karya tulis ini </w:t>
      </w:r>
    </w:p>
    <w:p>
      <w:pPr>
        <w:pStyle w:val="BookText"/>
        <w:bidi w:val="0"/>
        <w:rPr/>
      </w:pPr>
      <w:r>
        <w:rPr>
          <w:rFonts w:eastAsia="Times New Roman" w:cs="Times New Roman" w:ascii="Times New Roman" w:hAnsi="Times New Roman"/>
          <w:color w:val="111111"/>
          <w:sz w:val="28"/>
          <w:szCs w:val="28"/>
          <w:lang w:val="en-US"/>
        </w:rPr>
        <w:t>dimaksudkan untuk membuktikan tak satu pun ajaran Kristen yang</w:t>
      </w:r>
    </w:p>
    <w:p>
      <w:pPr>
        <w:pStyle w:val="BookText"/>
        <w:bidi w:val="0"/>
        <w:jc w:val="both"/>
        <w:rPr/>
      </w:pPr>
      <w:r>
        <w:rPr>
          <w:rFonts w:eastAsia="Times New Roman" w:cs="Times New Roman" w:ascii="Times New Roman" w:hAnsi="Times New Roman"/>
          <w:color w:val="111111"/>
          <w:sz w:val="28"/>
          <w:szCs w:val="28"/>
          <w:lang w:val="en-US"/>
        </w:rPr>
        <w:t>bertentangan dengan akal atau di luar jangkauan nalar. Kalaupun</w:t>
      </w:r>
    </w:p>
    <w:p>
      <w:pPr>
        <w:pStyle w:val="BookText"/>
        <w:bidi w:val="0"/>
        <w:jc w:val="both"/>
        <w:rPr/>
      </w:pPr>
      <w:r>
        <w:rPr>
          <w:rFonts w:eastAsia="Times New Roman" w:cs="Times New Roman" w:ascii="Times New Roman" w:hAnsi="Times New Roman"/>
          <w:color w:val="111111"/>
          <w:sz w:val="28"/>
          <w:szCs w:val="28"/>
          <w:lang w:val="en-US"/>
        </w:rPr>
        <w:t>termaktub dalam Alkitab, itu tak lain dari produk pemutarbalikkan</w:t>
      </w:r>
    </w:p>
    <w:p>
      <w:pPr>
        <w:pStyle w:val="BookText"/>
        <w:bidi w:val="0"/>
        <w:jc w:val="both"/>
        <w:rPr/>
      </w:pPr>
      <w:r>
        <w:rPr>
          <w:rFonts w:eastAsia="Times New Roman" w:cs="Times New Roman" w:ascii="Times New Roman" w:hAnsi="Times New Roman"/>
          <w:color w:val="111111"/>
          <w:sz w:val="28"/>
          <w:szCs w:val="28"/>
          <w:lang w:val="en-US"/>
        </w:rPr>
        <w:t>para pendeta dan tipudaya orang-orang tak beragama.</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Berdasarkan itu, terminologi “deis” meliputi kalangan yang cukup</w:t>
      </w:r>
    </w:p>
    <w:p>
      <w:pPr>
        <w:pStyle w:val="BookText"/>
        <w:bidi w:val="0"/>
        <w:jc w:val="both"/>
        <w:rPr/>
      </w:pPr>
      <w:r>
        <w:rPr>
          <w:rFonts w:eastAsia="Times New Roman" w:cs="Times New Roman" w:ascii="Times New Roman" w:hAnsi="Times New Roman"/>
          <w:color w:val="111111"/>
          <w:sz w:val="28"/>
          <w:szCs w:val="28"/>
          <w:lang w:val="en-US"/>
        </w:rPr>
        <w:t>luas, termasuk kubu antiagama juga agamawan. Kedua kubu ini me-</w:t>
      </w:r>
    </w:p>
    <w:p>
      <w:pPr>
        <w:pStyle w:val="BookText"/>
        <w:bidi w:val="0"/>
        <w:jc w:val="both"/>
        <w:rPr/>
      </w:pPr>
      <w:r>
        <w:rPr>
          <w:rFonts w:eastAsia="Times New Roman" w:cs="Times New Roman" w:ascii="Times New Roman" w:hAnsi="Times New Roman"/>
          <w:color w:val="111111"/>
          <w:sz w:val="28"/>
          <w:szCs w:val="28"/>
          <w:lang w:val="en-US"/>
        </w:rPr>
        <w:t>miliki ciri yang sama: rasionalisme radikal yang berpihak ekstrim</w:t>
      </w:r>
    </w:p>
    <w:p>
      <w:pPr>
        <w:pStyle w:val="BookText"/>
        <w:bidi w:val="0"/>
        <w:jc w:val="both"/>
        <w:rPr/>
      </w:pPr>
      <w:r>
        <w:rPr>
          <w:rFonts w:eastAsia="Times New Roman" w:cs="Times New Roman" w:ascii="Times New Roman" w:hAnsi="Times New Roman"/>
          <w:color w:val="111111"/>
          <w:sz w:val="28"/>
          <w:szCs w:val="28"/>
          <w:lang w:val="en-US"/>
        </w:rPr>
        <w:t>kepada akal, sekalipun makna literal terminologi ini adalah kaum</w:t>
      </w:r>
    </w:p>
    <w:p>
      <w:pPr>
        <w:pStyle w:val="BookText"/>
        <w:bidi w:val="0"/>
        <w:jc w:val="both"/>
        <w:rPr/>
      </w:pPr>
      <w:r>
        <w:rPr>
          <w:rFonts w:eastAsia="Times New Roman" w:cs="Times New Roman" w:ascii="Times New Roman" w:hAnsi="Times New Roman"/>
          <w:color w:val="111111"/>
          <w:sz w:val="28"/>
          <w:szCs w:val="28"/>
          <w:lang w:val="en-US"/>
        </w:rPr>
        <w:t>yang percaya Tuhan yang mengingkari segala jenis pengetahuan</w:t>
      </w:r>
    </w:p>
    <w:p>
      <w:pPr>
        <w:pStyle w:val="BookText"/>
        <w:bidi w:val="0"/>
        <w:jc w:val="both"/>
        <w:rPr/>
      </w:pPr>
      <w:r>
        <w:rPr>
          <w:rFonts w:eastAsia="Times New Roman" w:cs="Times New Roman" w:ascii="Times New Roman" w:hAnsi="Times New Roman"/>
          <w:color w:val="111111"/>
          <w:sz w:val="28"/>
          <w:szCs w:val="28"/>
          <w:lang w:val="en-US"/>
        </w:rPr>
        <w:t>wahyu dan sangat memuja akal.</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Mazhab Deisme, menurut Samuel Clark (1675-1729), setidaknya</w:t>
      </w:r>
    </w:p>
    <w:p>
      <w:pPr>
        <w:pStyle w:val="BookText"/>
        <w:bidi w:val="0"/>
        <w:jc w:val="both"/>
        <w:rPr/>
      </w:pPr>
      <w:r>
        <w:rPr>
          <w:rFonts w:eastAsia="Times New Roman" w:cs="Times New Roman" w:ascii="Times New Roman" w:hAnsi="Times New Roman"/>
          <w:color w:val="111111"/>
          <w:sz w:val="28"/>
          <w:szCs w:val="28"/>
          <w:lang w:val="en-US"/>
        </w:rPr>
        <w:t>dapat diklasifikasikan ke dalam empat tipe:</w:t>
      </w:r>
    </w:p>
    <w:p>
      <w:pPr>
        <w:pStyle w:val="BookText"/>
        <w:bidi w:val="0"/>
        <w:jc w:val="both"/>
        <w:rPr/>
      </w:pPr>
      <w:r>
        <w:rPr>
          <w:rFonts w:eastAsia="Times New Roman" w:cs="Times New Roman" w:ascii="Times New Roman" w:hAnsi="Times New Roman"/>
          <w:color w:val="111111"/>
          <w:sz w:val="28"/>
          <w:szCs w:val="28"/>
          <w:lang w:val="en-US"/>
        </w:rPr>
        <w:t>i. Meyakini Tuhan sebagai wujud penguasa absolut dan pencipta</w:t>
      </w:r>
    </w:p>
    <w:p>
      <w:pPr>
        <w:pStyle w:val="BookText"/>
        <w:bidi w:val="0"/>
        <w:jc w:val="both"/>
        <w:rPr/>
      </w:pPr>
      <w:r>
        <w:rPr>
          <w:rFonts w:eastAsia="Times New Roman" w:cs="Times New Roman" w:ascii="Times New Roman" w:hAnsi="Times New Roman"/>
          <w:color w:val="111111"/>
          <w:sz w:val="28"/>
          <w:szCs w:val="28"/>
          <w:lang w:val="en-US"/>
        </w:rPr>
        <w:t>alam semesta. Mereka percaya Tuhan tidak “pensiun” dari kerja</w:t>
      </w:r>
    </w:p>
    <w:p>
      <w:pPr>
        <w:pStyle w:val="BookText"/>
        <w:bidi w:val="0"/>
        <w:jc w:val="both"/>
        <w:rPr/>
      </w:pPr>
      <w:r>
        <w:rPr>
          <w:rFonts w:eastAsia="Times New Roman" w:cs="Times New Roman" w:ascii="Times New Roman" w:hAnsi="Times New Roman"/>
          <w:color w:val="111111"/>
          <w:sz w:val="28"/>
          <w:szCs w:val="28"/>
          <w:lang w:val="en-US"/>
        </w:rPr>
        <w:t>mengurus alam. Dia juga menuntut manusia berperilaku etis</w:t>
      </w:r>
    </w:p>
    <w:p>
      <w:pPr>
        <w:pStyle w:val="BookText"/>
        <w:bidi w:val="0"/>
        <w:jc w:val="both"/>
        <w:rPr/>
      </w:pPr>
      <w:r>
        <w:rPr>
          <w:rFonts w:eastAsia="Times New Roman" w:cs="Times New Roman" w:ascii="Times New Roman" w:hAnsi="Times New Roman"/>
          <w:color w:val="111111"/>
          <w:sz w:val="28"/>
          <w:szCs w:val="28"/>
          <w:lang w:val="en-US"/>
        </w:rPr>
        <w:t>dan religius. Itulah alasan mengapa di alam lain, Dia mengganjar</w:t>
      </w:r>
    </w:p>
    <w:p>
      <w:pPr>
        <w:pStyle w:val="BookText"/>
        <w:bidi w:val="0"/>
        <w:jc w:val="both"/>
        <w:rPr/>
      </w:pPr>
      <w:r>
        <w:rPr>
          <w:rFonts w:eastAsia="Times New Roman" w:cs="Times New Roman" w:ascii="Times New Roman" w:hAnsi="Times New Roman"/>
          <w:color w:val="111111"/>
          <w:sz w:val="28"/>
          <w:szCs w:val="28"/>
          <w:lang w:val="en-US"/>
        </w:rPr>
        <w:t>pahala untuk orang baik dan menyiksa yang jahat. Kendati begitu,</w:t>
      </w:r>
    </w:p>
    <w:p>
      <w:pPr>
        <w:pStyle w:val="BookText"/>
        <w:bidi w:val="0"/>
        <w:jc w:val="both"/>
        <w:rPr/>
      </w:pPr>
      <w:r>
        <w:rPr>
          <w:rFonts w:eastAsia="Times New Roman" w:cs="Times New Roman" w:ascii="Times New Roman" w:hAnsi="Times New Roman"/>
          <w:color w:val="111111"/>
          <w:sz w:val="28"/>
          <w:szCs w:val="28"/>
          <w:lang w:val="en-US"/>
        </w:rPr>
        <w:t>kelompok pemikiran ini menyangkal semua agama wahyuni dan</w:t>
      </w:r>
    </w:p>
    <w:p>
      <w:pPr>
        <w:pStyle w:val="BookText"/>
        <w:bidi w:val="0"/>
        <w:jc w:val="both"/>
        <w:rPr/>
      </w:pPr>
      <w:r>
        <w:rPr>
          <w:rFonts w:eastAsia="Times New Roman" w:cs="Times New Roman" w:ascii="Times New Roman" w:hAnsi="Times New Roman"/>
          <w:color w:val="111111"/>
          <w:sz w:val="28"/>
          <w:szCs w:val="28"/>
          <w:lang w:val="en-US"/>
        </w:rPr>
        <w:t>merumuskan agama natural sebagai produk tuntutan akal. Clark</w:t>
      </w:r>
    </w:p>
    <w:p>
      <w:pPr>
        <w:pStyle w:val="BookText"/>
        <w:bidi w:val="0"/>
        <w:jc w:val="both"/>
        <w:rPr/>
      </w:pPr>
      <w:r>
        <w:rPr>
          <w:rFonts w:eastAsia="Times New Roman" w:cs="Times New Roman" w:ascii="Times New Roman" w:hAnsi="Times New Roman"/>
          <w:color w:val="111111"/>
          <w:sz w:val="28"/>
          <w:szCs w:val="28"/>
          <w:lang w:val="en-US"/>
        </w:rPr>
        <w:t>menyebut kelompok ini sebagai deis sejati.</w:t>
      </w:r>
    </w:p>
    <w:p>
      <w:pPr>
        <w:pStyle w:val="BookText"/>
        <w:bidi w:val="0"/>
        <w:jc w:val="both"/>
        <w:rPr/>
      </w:pPr>
      <w:r>
        <w:rPr>
          <w:rFonts w:eastAsia="Times New Roman" w:cs="Times New Roman" w:ascii="Times New Roman" w:hAnsi="Times New Roman"/>
          <w:color w:val="111111"/>
          <w:sz w:val="28"/>
          <w:szCs w:val="28"/>
          <w:lang w:val="en-US"/>
        </w:rPr>
        <w:t>ii. Sekaligus menolak wahyu, juga mengingkari keabadian ruh</w:t>
      </w:r>
    </w:p>
    <w:p>
      <w:pPr>
        <w:pStyle w:val="BookText"/>
        <w:bidi w:val="0"/>
        <w:jc w:val="both"/>
        <w:rPr/>
      </w:pPr>
      <w:r>
        <w:rPr>
          <w:rFonts w:eastAsia="Times New Roman" w:cs="Times New Roman" w:ascii="Times New Roman" w:hAnsi="Times New Roman"/>
          <w:color w:val="111111"/>
          <w:sz w:val="28"/>
          <w:szCs w:val="28"/>
          <w:lang w:val="en-US"/>
        </w:rPr>
        <w:t>manusia dan kehidupan setelah mati. Namun mereka percaya</w:t>
      </w:r>
    </w:p>
    <w:p>
      <w:pPr>
        <w:pStyle w:val="BookText"/>
        <w:bidi w:val="0"/>
        <w:jc w:val="both"/>
        <w:rPr/>
      </w:pPr>
      <w:r>
        <w:rPr>
          <w:rFonts w:eastAsia="Times New Roman" w:cs="Times New Roman" w:ascii="Times New Roman" w:hAnsi="Times New Roman"/>
          <w:color w:val="111111"/>
          <w:sz w:val="28"/>
          <w:szCs w:val="28"/>
          <w:lang w:val="en-US"/>
        </w:rPr>
        <w:t>kalau Tuhan punya kekuasaan mutlak dan pengetahuan absolut,</w:t>
      </w:r>
    </w:p>
    <w:p>
      <w:pPr>
        <w:pStyle w:val="BookText"/>
        <w:bidi w:val="0"/>
        <w:jc w:val="both"/>
        <w:rPr/>
      </w:pPr>
      <w:r>
        <w:rPr>
          <w:rFonts w:eastAsia="Times New Roman" w:cs="Times New Roman" w:ascii="Times New Roman" w:hAnsi="Times New Roman"/>
          <w:color w:val="111111"/>
          <w:sz w:val="28"/>
          <w:szCs w:val="28"/>
          <w:lang w:val="en-US"/>
        </w:rPr>
        <w:t>serta pengelola alam.</w:t>
      </w:r>
    </w:p>
    <w:p>
      <w:pPr>
        <w:pStyle w:val="BookText"/>
        <w:bidi w:val="0"/>
        <w:jc w:val="both"/>
        <w:rPr/>
      </w:pPr>
      <w:r>
        <w:rPr>
          <w:rFonts w:eastAsia="Times New Roman" w:cs="Times New Roman" w:ascii="Times New Roman" w:hAnsi="Times New Roman"/>
          <w:color w:val="111111"/>
          <w:sz w:val="28"/>
          <w:szCs w:val="28"/>
          <w:lang w:val="en-US"/>
        </w:rPr>
        <w:t>iii. Meyakini campur tangan Tuhan sang pencipta dalam proses</w:t>
      </w:r>
    </w:p>
    <w:p>
      <w:pPr>
        <w:pStyle w:val="BookText"/>
        <w:bidi w:val="0"/>
        <w:jc w:val="both"/>
        <w:rPr/>
      </w:pPr>
      <w:r>
        <w:rPr>
          <w:rFonts w:eastAsia="Times New Roman" w:cs="Times New Roman" w:ascii="Times New Roman" w:hAnsi="Times New Roman"/>
          <w:color w:val="111111"/>
          <w:sz w:val="28"/>
          <w:szCs w:val="28"/>
          <w:lang w:val="en-US"/>
        </w:rPr>
        <w:t>pengelolaan alam. Namun Tuhan telah menceraikan manusia</w:t>
      </w:r>
    </w:p>
    <w:p>
      <w:pPr>
        <w:pStyle w:val="BookText"/>
        <w:bidi w:val="0"/>
        <w:jc w:val="both"/>
        <w:rPr/>
      </w:pPr>
      <w:r>
        <w:rPr>
          <w:rFonts w:eastAsia="Times New Roman" w:cs="Times New Roman" w:ascii="Times New Roman" w:hAnsi="Times New Roman"/>
          <w:color w:val="111111"/>
          <w:sz w:val="28"/>
          <w:szCs w:val="28"/>
          <w:lang w:val="en-US"/>
        </w:rPr>
        <w:t>dan tidak lagi mempedulikan nasib kehidupannya.</w:t>
      </w:r>
    </w:p>
    <w:p>
      <w:pPr>
        <w:pStyle w:val="BookText"/>
        <w:bidi w:val="0"/>
        <w:jc w:val="both"/>
        <w:rPr/>
      </w:pPr>
      <w:r>
        <w:rPr>
          <w:rFonts w:eastAsia="Times New Roman" w:cs="Times New Roman" w:ascii="Times New Roman" w:hAnsi="Times New Roman"/>
          <w:color w:val="111111"/>
          <w:sz w:val="28"/>
          <w:szCs w:val="28"/>
          <w:lang w:val="en-US"/>
        </w:rPr>
        <w:t>iv. Kelompok terakhir terbilang paling ekstrim. Dalam pandangan</w:t>
      </w:r>
    </w:p>
    <w:p>
      <w:pPr>
        <w:pStyle w:val="BookText"/>
        <w:bidi w:val="0"/>
        <w:jc w:val="both"/>
        <w:rPr/>
      </w:pPr>
      <w:r>
        <w:rPr>
          <w:rFonts w:eastAsia="Times New Roman" w:cs="Times New Roman" w:ascii="Times New Roman" w:hAnsi="Times New Roman"/>
          <w:color w:val="111111"/>
          <w:sz w:val="28"/>
          <w:szCs w:val="28"/>
          <w:lang w:val="en-US"/>
        </w:rPr>
        <w:t>ini, kendati punya pengetahuan dan kuasa tak terbatas, Tuhan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ambil bagian dalam pengelolaan alam. Jelasnya, setelah </w:t>
      </w:r>
      <w:bookmarkStart w:id="133" w:name="pg5378_50496"/>
    </w:p>
    <w:p>
      <w:pPr>
        <w:pStyle w:val="BookText"/>
        <w:bidi w:val="0"/>
        <w:rPr/>
      </w:pPr>
      <w:bookmarkEnd w:id="133"/>
      <w:r>
        <w:rPr>
          <w:rFonts w:eastAsia="Times New Roman" w:cs="Times New Roman" w:ascii="Times New Roman" w:hAnsi="Times New Roman"/>
          <w:color w:val="111111"/>
          <w:sz w:val="28"/>
          <w:szCs w:val="28"/>
          <w:lang w:val="en-US"/>
        </w:rPr>
        <w:t>menciptakan segala sesuatu, Dia membiarkannya begitu saja.</w:t>
      </w:r>
    </w:p>
    <w:p>
      <w:pPr>
        <w:pStyle w:val="BookText"/>
        <w:bidi w:val="0"/>
        <w:jc w:val="both"/>
        <w:rPr/>
      </w:pPr>
      <w:r>
        <w:rPr>
          <w:rFonts w:eastAsia="Times New Roman" w:cs="Times New Roman" w:ascii="Times New Roman" w:hAnsi="Times New Roman"/>
          <w:color w:val="111111"/>
          <w:sz w:val="28"/>
          <w:szCs w:val="28"/>
          <w:lang w:val="en-US"/>
        </w:rPr>
        <w:t>Terlepas dari lengkap-tidaknya klasifikasi tersebut, yang terang,</w:t>
      </w:r>
    </w:p>
    <w:p>
      <w:pPr>
        <w:pStyle w:val="BookText"/>
        <w:bidi w:val="0"/>
        <w:jc w:val="both"/>
        <w:rPr/>
      </w:pPr>
      <w:r>
        <w:rPr>
          <w:rFonts w:eastAsia="Times New Roman" w:cs="Times New Roman" w:ascii="Times New Roman" w:hAnsi="Times New Roman"/>
          <w:color w:val="111111"/>
          <w:sz w:val="28"/>
          <w:szCs w:val="28"/>
          <w:lang w:val="en-US"/>
        </w:rPr>
        <w:t>keempat tipe itu sama-sama menolak wahyu dan pengetahuan gaib</w:t>
      </w:r>
    </w:p>
    <w:p>
      <w:pPr>
        <w:pStyle w:val="BookText"/>
        <w:bidi w:val="0"/>
        <w:jc w:val="both"/>
        <w:rPr/>
      </w:pPr>
      <w:r>
        <w:rPr>
          <w:rFonts w:eastAsia="Times New Roman" w:cs="Times New Roman" w:ascii="Times New Roman" w:hAnsi="Times New Roman"/>
          <w:color w:val="111111"/>
          <w:sz w:val="28"/>
          <w:szCs w:val="28"/>
          <w:lang w:val="en-US"/>
        </w:rPr>
        <w:t>atau samawi.</w:t>
      </w:r>
      <w:r>
        <w:rPr>
          <w:rStyle w:val="FootnoteAnchor"/>
        </w:rPr>
        <w:footnoteReference w:id="107"/>
      </w:r>
      <w:r>
        <w:rPr>
          <w:rFonts w:eastAsia="Times New Roman" w:cs="Times New Roman" w:ascii="Times New Roman" w:hAnsi="Times New Roman"/>
          <w:color w:val="111111"/>
          <w:sz w:val="28"/>
          <w:szCs w:val="28"/>
          <w:lang w:val="en-US"/>
        </w:rPr>
        <w:t>Tentunya, klasifikasi Clark ini juga dapat dipersepsi</w:t>
      </w:r>
    </w:p>
    <w:p>
      <w:pPr>
        <w:pStyle w:val="BookText"/>
        <w:bidi w:val="0"/>
        <w:jc w:val="both"/>
        <w:rPr/>
      </w:pPr>
      <w:r>
        <w:rPr>
          <w:rFonts w:eastAsia="Times New Roman" w:cs="Times New Roman" w:ascii="Times New Roman" w:hAnsi="Times New Roman"/>
          <w:color w:val="111111"/>
          <w:sz w:val="28"/>
          <w:szCs w:val="28"/>
          <w:lang w:val="en-US"/>
        </w:rPr>
        <w:t>secara berbeda dari sudut pandang yang berbeda pula.</w:t>
      </w:r>
      <w:r>
        <w:rPr>
          <w:rStyle w:val="FootnoteAnchor"/>
        </w:rPr>
        <w:footnoteReference w:id="108"/>
      </w:r>
    </w:p>
    <w:p>
      <w:pPr>
        <w:pStyle w:val="Heading4"/>
        <w:numPr>
          <w:ilvl w:val="3"/>
          <w:numId w:val="1"/>
        </w:numPr>
        <w:bidi w:val="0"/>
        <w:jc w:val="left"/>
        <w:rPr/>
      </w:pPr>
      <w:bookmarkStart w:id="134" w:name="__RefHeading___Toc1351142_581953129"/>
      <w:bookmarkStart w:id="135" w:name="_Toc50"/>
      <w:bookmarkEnd w:id="134"/>
      <w:r>
        <w:rPr/>
        <w:t>Zakaria Razi</w:t>
      </w:r>
      <w:bookmarkEnd w:id="135"/>
    </w:p>
    <w:p>
      <w:pPr>
        <w:pStyle w:val="BookText"/>
        <w:bidi w:val="0"/>
        <w:jc w:val="both"/>
        <w:rPr/>
      </w:pPr>
      <w:r>
        <w:rPr>
          <w:rFonts w:eastAsia="Times New Roman" w:cs="Times New Roman" w:ascii="Times New Roman" w:hAnsi="Times New Roman"/>
          <w:color w:val="111111"/>
          <w:sz w:val="28"/>
          <w:szCs w:val="28"/>
          <w:lang w:val="en-US"/>
        </w:rPr>
        <w:t>Signifikansi kenabian dan kebutuhan pada wahyu menjadi salah</w:t>
      </w:r>
    </w:p>
    <w:p>
      <w:pPr>
        <w:pStyle w:val="BookText"/>
        <w:bidi w:val="0"/>
        <w:jc w:val="both"/>
        <w:rPr/>
      </w:pPr>
      <w:r>
        <w:rPr>
          <w:rFonts w:eastAsia="Times New Roman" w:cs="Times New Roman" w:ascii="Times New Roman" w:hAnsi="Times New Roman"/>
          <w:color w:val="111111"/>
          <w:sz w:val="28"/>
          <w:szCs w:val="28"/>
          <w:lang w:val="en-US"/>
        </w:rPr>
        <w:t>satu topik yang paling sering diperdebatkan dalam sejarah teologi</w:t>
      </w:r>
    </w:p>
    <w:p>
      <w:pPr>
        <w:pStyle w:val="BookText"/>
        <w:bidi w:val="0"/>
        <w:jc w:val="both"/>
        <w:rPr/>
      </w:pPr>
      <w:r>
        <w:rPr>
          <w:rFonts w:eastAsia="Times New Roman" w:cs="Times New Roman" w:ascii="Times New Roman" w:hAnsi="Times New Roman"/>
          <w:color w:val="111111"/>
          <w:sz w:val="28"/>
          <w:szCs w:val="28"/>
          <w:lang w:val="en-US"/>
        </w:rPr>
        <w:t>Islam. Sebenarnya, nyaris tak ada pemikir Muslim yang menolak</w:t>
      </w:r>
    </w:p>
    <w:p>
      <w:pPr>
        <w:pStyle w:val="BookText"/>
        <w:bidi w:val="0"/>
        <w:jc w:val="both"/>
        <w:rPr/>
      </w:pPr>
      <w:r>
        <w:rPr>
          <w:rFonts w:eastAsia="Times New Roman" w:cs="Times New Roman" w:ascii="Times New Roman" w:hAnsi="Times New Roman"/>
          <w:color w:val="111111"/>
          <w:sz w:val="28"/>
          <w:szCs w:val="28"/>
          <w:lang w:val="en-US"/>
        </w:rPr>
        <w:t>prinsip kenabian dan wahyu. Namun begitu, paham ketakbutuhan</w:t>
      </w:r>
    </w:p>
    <w:p>
      <w:pPr>
        <w:pStyle w:val="BookText"/>
        <w:bidi w:val="0"/>
        <w:jc w:val="both"/>
        <w:rPr/>
      </w:pPr>
      <w:r>
        <w:rPr>
          <w:rFonts w:eastAsia="Times New Roman" w:cs="Times New Roman" w:ascii="Times New Roman" w:hAnsi="Times New Roman"/>
          <w:color w:val="111111"/>
          <w:sz w:val="28"/>
          <w:szCs w:val="28"/>
          <w:lang w:val="en-US"/>
        </w:rPr>
        <w:t>pada wahyu sempat disangkutpautkan kepada sejumlah pemikir</w:t>
      </w:r>
    </w:p>
    <w:p>
      <w:pPr>
        <w:pStyle w:val="BookText"/>
        <w:bidi w:val="0"/>
        <w:jc w:val="both"/>
        <w:rPr/>
      </w:pPr>
      <w:r>
        <w:rPr>
          <w:rFonts w:eastAsia="Times New Roman" w:cs="Times New Roman" w:ascii="Times New Roman" w:hAnsi="Times New Roman"/>
          <w:color w:val="111111"/>
          <w:sz w:val="28"/>
          <w:szCs w:val="28"/>
          <w:lang w:val="en-US"/>
        </w:rPr>
        <w:t>Muslim. Salah satunya, Muhammad bin Zakaria Razi (251-313 H).</w:t>
      </w:r>
    </w:p>
    <w:p>
      <w:pPr>
        <w:pStyle w:val="BookText"/>
        <w:bidi w:val="0"/>
        <w:jc w:val="both"/>
        <w:rPr/>
      </w:pPr>
      <w:r>
        <w:rPr>
          <w:rFonts w:eastAsia="Times New Roman" w:cs="Times New Roman" w:ascii="Times New Roman" w:hAnsi="Times New Roman"/>
          <w:color w:val="111111"/>
          <w:sz w:val="28"/>
          <w:szCs w:val="28"/>
          <w:lang w:val="en-US"/>
        </w:rPr>
        <w:t>Sejumlah penulis biografi dan orientalis memasukkan filsuf juga</w:t>
      </w:r>
    </w:p>
    <w:p>
      <w:pPr>
        <w:pStyle w:val="BookText"/>
        <w:bidi w:val="0"/>
        <w:jc w:val="both"/>
        <w:rPr/>
      </w:pPr>
      <w:r>
        <w:rPr>
          <w:rFonts w:eastAsia="Times New Roman" w:cs="Times New Roman" w:ascii="Times New Roman" w:hAnsi="Times New Roman"/>
          <w:color w:val="111111"/>
          <w:sz w:val="28"/>
          <w:szCs w:val="28"/>
          <w:lang w:val="en-US"/>
        </w:rPr>
        <w:t>dokter terkemuka asal Iran ini dalam daftar kaum rasionalis radikal</w:t>
      </w:r>
    </w:p>
    <w:p>
      <w:pPr>
        <w:pStyle w:val="BookText"/>
        <w:bidi w:val="0"/>
        <w:jc w:val="both"/>
        <w:rPr/>
      </w:pPr>
      <w:r>
        <w:rPr>
          <w:rFonts w:eastAsia="Times New Roman" w:cs="Times New Roman" w:ascii="Times New Roman" w:hAnsi="Times New Roman"/>
          <w:color w:val="111111"/>
          <w:sz w:val="28"/>
          <w:szCs w:val="28"/>
          <w:lang w:val="en-US"/>
        </w:rPr>
        <w:t>antiagama.</w:t>
      </w:r>
    </w:p>
    <w:p>
      <w:pPr>
        <w:pStyle w:val="BookText"/>
        <w:bidi w:val="0"/>
        <w:jc w:val="both"/>
        <w:rPr/>
      </w:pPr>
      <w:r>
        <w:rPr>
          <w:rFonts w:eastAsia="Times New Roman" w:cs="Times New Roman" w:ascii="Times New Roman" w:hAnsi="Times New Roman"/>
          <w:color w:val="111111"/>
          <w:sz w:val="28"/>
          <w:szCs w:val="28"/>
          <w:lang w:val="en-US"/>
        </w:rPr>
        <w:t>Razi, menurut mereka, memang percaya kepada Tuhan yang</w:t>
      </w:r>
    </w:p>
    <w:p>
      <w:pPr>
        <w:pStyle w:val="BookText"/>
        <w:bidi w:val="0"/>
        <w:jc w:val="both"/>
        <w:rPr/>
      </w:pPr>
      <w:r>
        <w:rPr>
          <w:rFonts w:eastAsia="Times New Roman" w:cs="Times New Roman" w:ascii="Times New Roman" w:hAnsi="Times New Roman"/>
          <w:color w:val="111111"/>
          <w:sz w:val="28"/>
          <w:szCs w:val="28"/>
          <w:lang w:val="en-US"/>
        </w:rPr>
        <w:t>Maha Esa, namun dia menolak mentah-mentah wahyu dan kenabian.</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Menurut laporan kalangan sejarawan, Razi berkeyakinan: pertama,</w:t>
      </w:r>
    </w:p>
    <w:p>
      <w:pPr>
        <w:pStyle w:val="BookText"/>
        <w:bidi w:val="0"/>
        <w:jc w:val="both"/>
        <w:rPr/>
      </w:pPr>
      <w:r>
        <w:rPr>
          <w:rFonts w:eastAsia="Times New Roman" w:cs="Times New Roman" w:ascii="Times New Roman" w:hAnsi="Times New Roman"/>
          <w:color w:val="111111"/>
          <w:sz w:val="28"/>
          <w:szCs w:val="28"/>
          <w:lang w:val="en-US"/>
        </w:rPr>
        <w:t>akal manusia mampu memilah mana yang benar dan bermanfaat</w:t>
      </w:r>
    </w:p>
    <w:p>
      <w:pPr>
        <w:pStyle w:val="BookText"/>
        <w:bidi w:val="0"/>
        <w:jc w:val="both"/>
        <w:rPr/>
      </w:pPr>
      <w:r>
        <w:rPr>
          <w:rFonts w:eastAsia="Times New Roman" w:cs="Times New Roman" w:ascii="Times New Roman" w:hAnsi="Times New Roman"/>
          <w:color w:val="111111"/>
          <w:sz w:val="28"/>
          <w:szCs w:val="28"/>
          <w:lang w:val="en-US"/>
        </w:rPr>
        <w:t>serta mana yang keliru dan merugikan. Eksistensi Tuhan dapat</w:t>
      </w:r>
    </w:p>
    <w:p>
      <w:pPr>
        <w:pStyle w:val="BookText"/>
        <w:bidi w:val="0"/>
        <w:jc w:val="both"/>
        <w:rPr/>
      </w:pPr>
      <w:r>
        <w:rPr>
          <w:rFonts w:eastAsia="Times New Roman" w:cs="Times New Roman" w:ascii="Times New Roman" w:hAnsi="Times New Roman"/>
          <w:color w:val="111111"/>
          <w:sz w:val="28"/>
          <w:szCs w:val="28"/>
          <w:lang w:val="en-US"/>
        </w:rPr>
        <w:t>dibuktikan akal. Dan kehidupan praktis manusia dapat dikonstruksi</w:t>
      </w:r>
    </w:p>
    <w:p>
      <w:pPr>
        <w:pStyle w:val="BookText"/>
        <w:bidi w:val="0"/>
        <w:jc w:val="both"/>
        <w:rPr/>
      </w:pPr>
      <w:r>
        <w:rPr>
          <w:rFonts w:eastAsia="Times New Roman" w:cs="Times New Roman" w:ascii="Times New Roman" w:hAnsi="Times New Roman"/>
          <w:color w:val="111111"/>
          <w:sz w:val="28"/>
          <w:szCs w:val="28"/>
          <w:lang w:val="en-US"/>
        </w:rPr>
        <w:t>secara ideal tanpa memerlukan bantuan nabi atau tuntunan risalah</w:t>
      </w:r>
    </w:p>
    <w:p>
      <w:pPr>
        <w:pStyle w:val="BookText"/>
        <w:bidi w:val="0"/>
        <w:jc w:val="both"/>
        <w:rPr/>
      </w:pPr>
      <w:r>
        <w:rPr>
          <w:rFonts w:eastAsia="Times New Roman" w:cs="Times New Roman" w:ascii="Times New Roman" w:hAnsi="Times New Roman"/>
          <w:color w:val="111111"/>
          <w:sz w:val="28"/>
          <w:szCs w:val="28"/>
          <w:lang w:val="en-US"/>
        </w:rPr>
        <w:t>samawi.</w:t>
      </w:r>
    </w:p>
    <w:p>
      <w:pPr>
        <w:pStyle w:val="BookText"/>
        <w:bidi w:val="0"/>
        <w:jc w:val="both"/>
        <w:rPr/>
      </w:pPr>
      <w:r>
        <w:rPr>
          <w:rFonts w:eastAsia="Times New Roman" w:cs="Times New Roman" w:ascii="Times New Roman" w:hAnsi="Times New Roman"/>
          <w:color w:val="111111"/>
          <w:sz w:val="28"/>
          <w:szCs w:val="28"/>
          <w:lang w:val="en-US"/>
        </w:rPr>
        <w:t>Kedua, setiap orang punya kemampuan memilah dan sensasi</w:t>
      </w:r>
    </w:p>
    <w:p>
      <w:pPr>
        <w:pStyle w:val="BookText"/>
        <w:bidi w:val="0"/>
        <w:jc w:val="both"/>
        <w:rPr/>
      </w:pPr>
      <w:r>
        <w:rPr>
          <w:rFonts w:eastAsia="Times New Roman" w:cs="Times New Roman" w:ascii="Times New Roman" w:hAnsi="Times New Roman"/>
          <w:color w:val="111111"/>
          <w:sz w:val="28"/>
          <w:szCs w:val="28"/>
          <w:lang w:val="en-US"/>
        </w:rPr>
        <w:t>rasional yang sebangun. Dari perspektif ini, tak seorang pun</w:t>
      </w:r>
    </w:p>
    <w:p>
      <w:pPr>
        <w:pStyle w:val="BookText"/>
        <w:bidi w:val="0"/>
        <w:jc w:val="both"/>
        <w:rPr/>
      </w:pPr>
      <w:r>
        <w:rPr>
          <w:rFonts w:eastAsia="Times New Roman" w:cs="Times New Roman" w:ascii="Times New Roman" w:hAnsi="Times New Roman"/>
          <w:color w:val="111111"/>
          <w:sz w:val="28"/>
          <w:szCs w:val="28"/>
          <w:lang w:val="en-US"/>
        </w:rPr>
        <w:t>mengungguli yang lain. Superioritas hanya mungkin lewat proses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belajar-mengajar. Karena itu, tidak diperlukan orang-orang khusus </w:t>
      </w:r>
    </w:p>
    <w:p>
      <w:pPr>
        <w:pStyle w:val="BookText"/>
        <w:bidi w:val="0"/>
        <w:rPr/>
      </w:pPr>
      <w:r>
        <w:rPr>
          <w:rFonts w:eastAsia="Times New Roman" w:cs="Times New Roman" w:ascii="Times New Roman" w:hAnsi="Times New Roman"/>
          <w:color w:val="111111"/>
          <w:sz w:val="28"/>
          <w:szCs w:val="28"/>
          <w:lang w:val="en-US"/>
        </w:rPr>
        <w:t>yang konon menerima karunia istimewa sehingga dipercaya sebagai</w:t>
      </w:r>
    </w:p>
    <w:p>
      <w:pPr>
        <w:pStyle w:val="BookText"/>
        <w:bidi w:val="0"/>
        <w:jc w:val="both"/>
        <w:rPr/>
      </w:pPr>
      <w:r>
        <w:rPr>
          <w:rFonts w:eastAsia="Times New Roman" w:cs="Times New Roman" w:ascii="Times New Roman" w:hAnsi="Times New Roman"/>
          <w:color w:val="111111"/>
          <w:sz w:val="28"/>
          <w:szCs w:val="28"/>
          <w:lang w:val="en-US"/>
        </w:rPr>
        <w:t>sumber hidayah. Sebaliknya, setiap orang mampu merancang sendiri</w:t>
      </w:r>
    </w:p>
    <w:p>
      <w:pPr>
        <w:pStyle w:val="BookText"/>
        <w:bidi w:val="0"/>
        <w:jc w:val="both"/>
        <w:rPr/>
      </w:pPr>
      <w:r>
        <w:rPr>
          <w:rFonts w:eastAsia="Times New Roman" w:cs="Times New Roman" w:ascii="Times New Roman" w:hAnsi="Times New Roman"/>
          <w:color w:val="111111"/>
          <w:sz w:val="28"/>
          <w:szCs w:val="28"/>
          <w:lang w:val="en-US"/>
        </w:rPr>
        <w:t>kehidupan idealnya lewat bantuan dan tuntunan akal.</w:t>
      </w:r>
    </w:p>
    <w:p>
      <w:pPr>
        <w:pStyle w:val="BookText"/>
        <w:bidi w:val="0"/>
        <w:jc w:val="both"/>
        <w:rPr/>
      </w:pPr>
      <w:r>
        <w:rPr>
          <w:rFonts w:eastAsia="Times New Roman" w:cs="Times New Roman" w:ascii="Times New Roman" w:hAnsi="Times New Roman"/>
          <w:color w:val="111111"/>
          <w:sz w:val="28"/>
          <w:szCs w:val="28"/>
          <w:lang w:val="en-US"/>
        </w:rPr>
        <w:t>Kalaupun manusia tetap memerlukan agama, Razi mengklaim,</w:t>
      </w:r>
    </w:p>
    <w:p>
      <w:pPr>
        <w:pStyle w:val="BookText"/>
        <w:bidi w:val="0"/>
        <w:jc w:val="both"/>
        <w:rPr/>
      </w:pPr>
      <w:r>
        <w:rPr>
          <w:rFonts w:eastAsia="Times New Roman" w:cs="Times New Roman" w:ascii="Times New Roman" w:hAnsi="Times New Roman"/>
          <w:color w:val="111111"/>
          <w:sz w:val="28"/>
          <w:szCs w:val="28"/>
          <w:lang w:val="en-US"/>
        </w:rPr>
        <w:t>itu tak lain dari agama akal. Juga, seandainya wahyu dan nabi</w:t>
      </w:r>
    </w:p>
    <w:p>
      <w:pPr>
        <w:pStyle w:val="BookText"/>
        <w:bidi w:val="0"/>
        <w:jc w:val="both"/>
        <w:rPr/>
      </w:pPr>
      <w:r>
        <w:rPr>
          <w:rFonts w:eastAsia="Times New Roman" w:cs="Times New Roman" w:ascii="Times New Roman" w:hAnsi="Times New Roman"/>
          <w:color w:val="111111"/>
          <w:sz w:val="28"/>
          <w:szCs w:val="28"/>
          <w:lang w:val="en-US"/>
        </w:rPr>
        <w:t>merupakan bagian dari keimanan, maka adakah nabi yang lebih baik</w:t>
      </w:r>
    </w:p>
    <w:p>
      <w:pPr>
        <w:pStyle w:val="BookText"/>
        <w:bidi w:val="0"/>
        <w:jc w:val="both"/>
        <w:rPr/>
      </w:pPr>
      <w:r>
        <w:rPr>
          <w:rFonts w:eastAsia="Times New Roman" w:cs="Times New Roman" w:ascii="Times New Roman" w:hAnsi="Times New Roman"/>
          <w:color w:val="111111"/>
          <w:sz w:val="28"/>
          <w:szCs w:val="28"/>
          <w:lang w:val="en-US"/>
        </w:rPr>
        <w:t>dari akal, dan firman yang lebih menggerakkan ketimbang sabda</w:t>
      </w:r>
    </w:p>
    <w:p>
      <w:pPr>
        <w:pStyle w:val="BookText"/>
        <w:bidi w:val="0"/>
        <w:jc w:val="both"/>
        <w:rPr/>
      </w:pPr>
      <w:r>
        <w:rPr>
          <w:rFonts w:eastAsia="Times New Roman" w:cs="Times New Roman" w:ascii="Times New Roman" w:hAnsi="Times New Roman"/>
          <w:color w:val="111111"/>
          <w:sz w:val="28"/>
          <w:szCs w:val="28"/>
          <w:lang w:val="en-US"/>
        </w:rPr>
        <w:t>akal? Karena itu, jangan pernah mereduksi peran akal yang:</w:t>
      </w:r>
    </w:p>
    <w:p>
      <w:pPr>
        <w:pStyle w:val="BookText"/>
        <w:bidi w:val="0"/>
        <w:jc w:val="both"/>
        <w:rPr/>
      </w:pPr>
      <w:r>
        <w:rPr>
          <w:rFonts w:eastAsia="Times New Roman" w:cs="Times New Roman" w:ascii="Times New Roman" w:hAnsi="Times New Roman"/>
          <w:color w:val="111111"/>
          <w:sz w:val="28"/>
          <w:szCs w:val="28"/>
          <w:lang w:val="en-US"/>
        </w:rPr>
        <w:t>Manakala dia sendiri pemimpin, janganlah kita menawannya</w:t>
      </w:r>
    </w:p>
    <w:p>
      <w:pPr>
        <w:pStyle w:val="BookText"/>
        <w:bidi w:val="0"/>
        <w:jc w:val="both"/>
        <w:rPr/>
      </w:pPr>
      <w:r>
        <w:rPr>
          <w:rFonts w:eastAsia="Times New Roman" w:cs="Times New Roman" w:ascii="Times New Roman" w:hAnsi="Times New Roman"/>
          <w:color w:val="111111"/>
          <w:sz w:val="28"/>
          <w:szCs w:val="28"/>
          <w:lang w:val="en-US"/>
        </w:rPr>
        <w:t>... Manakala keimaman menjadi haknya, janganlah kita</w:t>
      </w:r>
    </w:p>
    <w:p>
      <w:pPr>
        <w:pStyle w:val="BookText"/>
        <w:bidi w:val="0"/>
        <w:jc w:val="both"/>
        <w:rPr/>
      </w:pPr>
      <w:r>
        <w:rPr>
          <w:rFonts w:eastAsia="Times New Roman" w:cs="Times New Roman" w:ascii="Times New Roman" w:hAnsi="Times New Roman"/>
          <w:color w:val="111111"/>
          <w:sz w:val="28"/>
          <w:szCs w:val="28"/>
          <w:lang w:val="en-US"/>
        </w:rPr>
        <w:t>membelenggu lehernya. Jangan ubah majikan menjadi budak</w:t>
      </w:r>
    </w:p>
    <w:p>
      <w:pPr>
        <w:pStyle w:val="BookText"/>
        <w:bidi w:val="0"/>
        <w:jc w:val="both"/>
        <w:rPr/>
      </w:pPr>
      <w:r>
        <w:rPr>
          <w:rFonts w:eastAsia="Times New Roman" w:cs="Times New Roman" w:ascii="Times New Roman" w:hAnsi="Times New Roman"/>
          <w:color w:val="111111"/>
          <w:sz w:val="28"/>
          <w:szCs w:val="28"/>
          <w:lang w:val="en-US"/>
        </w:rPr>
        <w:t>suruhan ... Seyogianya kita rujukkan semua urusan kepadanya.</w:t>
      </w:r>
    </w:p>
    <w:p>
      <w:pPr>
        <w:pStyle w:val="BookText"/>
        <w:bidi w:val="0"/>
        <w:jc w:val="both"/>
        <w:rPr/>
      </w:pPr>
      <w:r>
        <w:rPr>
          <w:rFonts w:eastAsia="Times New Roman" w:cs="Times New Roman" w:ascii="Times New Roman" w:hAnsi="Times New Roman"/>
          <w:color w:val="111111"/>
          <w:sz w:val="28"/>
          <w:szCs w:val="28"/>
          <w:lang w:val="en-US"/>
        </w:rPr>
        <w:t>Hendaknya kita jadikan dia tolok ukur dalam segala hal ...</w:t>
      </w:r>
    </w:p>
    <w:p>
      <w:pPr>
        <w:pStyle w:val="BookText"/>
        <w:bidi w:val="0"/>
        <w:jc w:val="both"/>
        <w:rPr/>
      </w:pPr>
      <w:r>
        <w:rPr>
          <w:rFonts w:eastAsia="Times New Roman" w:cs="Times New Roman" w:ascii="Times New Roman" w:hAnsi="Times New Roman"/>
          <w:color w:val="111111"/>
          <w:sz w:val="28"/>
          <w:szCs w:val="28"/>
          <w:lang w:val="en-US"/>
        </w:rPr>
        <w:t>Seharusnya kita senantiasa bersandar kepadanya.</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Penting dicatat, raibnya sejumlah karya yang dinisbatkan kepada</w:t>
      </w:r>
    </w:p>
    <w:p>
      <w:pPr>
        <w:pStyle w:val="BookText"/>
        <w:bidi w:val="0"/>
        <w:jc w:val="both"/>
        <w:rPr/>
      </w:pPr>
      <w:r>
        <w:rPr>
          <w:rFonts w:eastAsia="Times New Roman" w:cs="Times New Roman" w:ascii="Times New Roman" w:hAnsi="Times New Roman"/>
          <w:color w:val="111111"/>
          <w:sz w:val="28"/>
          <w:szCs w:val="28"/>
          <w:lang w:val="en-US"/>
        </w:rPr>
        <w:t>filsuf ini menyulitkan penilaian yang objektif terhadapnya. Salah</w:t>
      </w:r>
    </w:p>
    <w:p>
      <w:pPr>
        <w:pStyle w:val="BookText"/>
        <w:bidi w:val="0"/>
        <w:jc w:val="both"/>
        <w:rPr/>
      </w:pPr>
      <w:r>
        <w:rPr>
          <w:rFonts w:eastAsia="Times New Roman" w:cs="Times New Roman" w:ascii="Times New Roman" w:hAnsi="Times New Roman"/>
          <w:color w:val="111111"/>
          <w:sz w:val="28"/>
          <w:szCs w:val="28"/>
          <w:lang w:val="en-US"/>
        </w:rPr>
        <w:t>satu literatur kuno yang menggugat pandangan-pandangan Zakaria</w:t>
      </w:r>
    </w:p>
    <w:p>
      <w:pPr>
        <w:pStyle w:val="BookText"/>
        <w:bidi w:val="0"/>
        <w:jc w:val="both"/>
        <w:rPr/>
      </w:pPr>
      <w:r>
        <w:rPr>
          <w:rFonts w:eastAsia="Times New Roman" w:cs="Times New Roman" w:ascii="Times New Roman" w:hAnsi="Times New Roman"/>
          <w:color w:val="111111"/>
          <w:sz w:val="28"/>
          <w:szCs w:val="28"/>
          <w:lang w:val="en-US"/>
        </w:rPr>
        <w:t>Razi adalah A‘lam Al-Nubuwwal, karya Abu Hatim Razi (w. 322</w:t>
      </w:r>
    </w:p>
    <w:p>
      <w:pPr>
        <w:pStyle w:val="BookText"/>
        <w:bidi w:val="0"/>
        <w:jc w:val="both"/>
        <w:rPr/>
      </w:pPr>
      <w:r>
        <w:rPr>
          <w:rFonts w:eastAsia="Times New Roman" w:cs="Times New Roman" w:ascii="Times New Roman" w:hAnsi="Times New Roman"/>
          <w:color w:val="111111"/>
          <w:sz w:val="28"/>
          <w:szCs w:val="28"/>
          <w:lang w:val="en-US"/>
        </w:rPr>
        <w:t>H)—seorang pengikut Syiah Ismailiyah yang hidup satu kota dan</w:t>
      </w:r>
    </w:p>
    <w:p>
      <w:pPr>
        <w:pStyle w:val="BookText"/>
        <w:bidi w:val="0"/>
        <w:jc w:val="both"/>
        <w:rPr/>
      </w:pPr>
      <w:r>
        <w:rPr>
          <w:rFonts w:eastAsia="Times New Roman" w:cs="Times New Roman" w:ascii="Times New Roman" w:hAnsi="Times New Roman"/>
          <w:color w:val="111111"/>
          <w:sz w:val="28"/>
          <w:szCs w:val="28"/>
          <w:lang w:val="en-US"/>
        </w:rPr>
        <w:t>semasa dengan Zakaria Razi. Abu Hatim pernah menuangkan hasil</w:t>
      </w:r>
    </w:p>
    <w:p>
      <w:pPr>
        <w:pStyle w:val="BookText"/>
        <w:bidi w:val="0"/>
        <w:jc w:val="both"/>
        <w:rPr/>
      </w:pPr>
      <w:r>
        <w:rPr>
          <w:rFonts w:eastAsia="Times New Roman" w:cs="Times New Roman" w:ascii="Times New Roman" w:hAnsi="Times New Roman"/>
          <w:color w:val="111111"/>
          <w:sz w:val="28"/>
          <w:szCs w:val="28"/>
          <w:lang w:val="en-US"/>
        </w:rPr>
        <w:t>dialognya dengan seseorang yang disebutnya ateis. Berdasarkan</w:t>
      </w:r>
    </w:p>
    <w:p>
      <w:pPr>
        <w:pStyle w:val="BookText"/>
        <w:bidi w:val="0"/>
        <w:jc w:val="both"/>
        <w:rPr/>
      </w:pPr>
      <w:r>
        <w:rPr>
          <w:rFonts w:eastAsia="Times New Roman" w:cs="Times New Roman" w:ascii="Times New Roman" w:hAnsi="Times New Roman"/>
          <w:color w:val="111111"/>
          <w:sz w:val="28"/>
          <w:szCs w:val="28"/>
          <w:lang w:val="en-US"/>
        </w:rPr>
        <w:t>sejumlah bukti, yang dimaksud orang ateis itu tidak lain dari Zakaria</w:t>
      </w:r>
    </w:p>
    <w:p>
      <w:pPr>
        <w:pStyle w:val="BookText"/>
        <w:bidi w:val="0"/>
        <w:jc w:val="both"/>
        <w:rPr/>
      </w:pPr>
      <w:r>
        <w:rPr>
          <w:rFonts w:eastAsia="Times New Roman" w:cs="Times New Roman" w:ascii="Times New Roman" w:hAnsi="Times New Roman"/>
          <w:color w:val="111111"/>
          <w:sz w:val="28"/>
          <w:szCs w:val="28"/>
          <w:lang w:val="en-US"/>
        </w:rPr>
        <w:t>Razi. Ini yang juga ditegaskan Hamidudin Kirmani, salah satu tokoh</w:t>
      </w:r>
    </w:p>
    <w:p>
      <w:pPr>
        <w:pStyle w:val="BookText"/>
        <w:bidi w:val="0"/>
        <w:jc w:val="both"/>
        <w:rPr/>
      </w:pPr>
      <w:r>
        <w:rPr>
          <w:rFonts w:eastAsia="Times New Roman" w:cs="Times New Roman" w:ascii="Times New Roman" w:hAnsi="Times New Roman"/>
          <w:color w:val="111111"/>
          <w:sz w:val="28"/>
          <w:szCs w:val="28"/>
          <w:lang w:val="en-US"/>
        </w:rPr>
        <w:t>mazhab Isma-iliyah yang hidup satu abad setelah Zakaria Razi.</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Kutipan dari bab pertama buku itu, yang memuat gagasan</w:t>
      </w:r>
    </w:p>
    <w:p>
      <w:pPr>
        <w:pStyle w:val="BookText"/>
        <w:bidi w:val="0"/>
        <w:jc w:val="both"/>
        <w:rPr/>
      </w:pPr>
      <w:r>
        <w:rPr>
          <w:rFonts w:eastAsia="Times New Roman" w:cs="Times New Roman" w:ascii="Times New Roman" w:hAnsi="Times New Roman"/>
          <w:color w:val="111111"/>
          <w:sz w:val="28"/>
          <w:szCs w:val="28"/>
          <w:lang w:val="en-US"/>
        </w:rPr>
        <w:t>tentang tidak diperlukannya wahyu, adalah berikut:</w:t>
      </w:r>
    </w:p>
    <w:p>
      <w:pPr>
        <w:pStyle w:val="BookText"/>
        <w:bidi w:val="0"/>
        <w:jc w:val="both"/>
        <w:rPr/>
      </w:pPr>
      <w:r>
        <w:rPr>
          <w:rFonts w:eastAsia="Times New Roman" w:cs="Times New Roman" w:ascii="Times New Roman" w:hAnsi="Times New Roman"/>
          <w:color w:val="111111"/>
          <w:sz w:val="28"/>
          <w:szCs w:val="28"/>
          <w:lang w:val="en-US"/>
        </w:rPr>
        <w:t>Ateis; Mengapa Tuhan harus memilih sekelompok tertentu</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antara hamba-hamba-Nya untuk diutus sebagai nabi dan </w:t>
      </w:r>
    </w:p>
    <w:p>
      <w:pPr>
        <w:pStyle w:val="BookText"/>
        <w:bidi w:val="0"/>
        <w:rPr/>
      </w:pPr>
      <w:r>
        <w:rPr>
          <w:rFonts w:eastAsia="Times New Roman" w:cs="Times New Roman" w:ascii="Times New Roman" w:hAnsi="Times New Roman"/>
          <w:color w:val="111111"/>
          <w:sz w:val="28"/>
          <w:szCs w:val="28"/>
          <w:lang w:val="en-US"/>
        </w:rPr>
        <w:t>dipertuankan di atas hamba-hamba yang lain? Tindakan ini</w:t>
      </w:r>
    </w:p>
    <w:p>
      <w:pPr>
        <w:pStyle w:val="BookText"/>
        <w:bidi w:val="0"/>
        <w:jc w:val="both"/>
        <w:rPr/>
      </w:pPr>
      <w:r>
        <w:rPr>
          <w:rFonts w:eastAsia="Times New Roman" w:cs="Times New Roman" w:ascii="Times New Roman" w:hAnsi="Times New Roman"/>
          <w:color w:val="111111"/>
          <w:sz w:val="28"/>
          <w:szCs w:val="28"/>
          <w:lang w:val="en-US"/>
        </w:rPr>
        <w:t>menambah daftar peperangan dan permusuhan di kalangan manusia</w:t>
      </w:r>
    </w:p>
    <w:p>
      <w:pPr>
        <w:pStyle w:val="BookText"/>
        <w:bidi w:val="0"/>
        <w:jc w:val="both"/>
        <w:rPr/>
      </w:pPr>
      <w:r>
        <w:rPr>
          <w:rFonts w:eastAsia="Times New Roman" w:cs="Times New Roman" w:ascii="Times New Roman" w:hAnsi="Times New Roman"/>
          <w:color w:val="111111"/>
          <w:sz w:val="28"/>
          <w:szCs w:val="28"/>
          <w:lang w:val="en-US"/>
        </w:rPr>
        <w:t>serta memicu kehancuran; mungkinkah tindakan ini selaras dengan</w:t>
      </w:r>
    </w:p>
    <w:p>
      <w:pPr>
        <w:pStyle w:val="BookText"/>
        <w:bidi w:val="0"/>
        <w:jc w:val="both"/>
        <w:rPr/>
      </w:pPr>
      <w:r>
        <w:rPr>
          <w:rFonts w:eastAsia="Times New Roman" w:cs="Times New Roman" w:ascii="Times New Roman" w:hAnsi="Times New Roman"/>
          <w:color w:val="111111"/>
          <w:sz w:val="28"/>
          <w:szCs w:val="28"/>
          <w:lang w:val="en-US"/>
        </w:rPr>
        <w:t>kebijaksanaan Tuhan?</w:t>
      </w:r>
    </w:p>
    <w:p>
      <w:pPr>
        <w:pStyle w:val="BookText"/>
        <w:bidi w:val="0"/>
        <w:jc w:val="both"/>
        <w:rPr/>
      </w:pPr>
      <w:r>
        <w:rPr>
          <w:rFonts w:eastAsia="Times New Roman" w:cs="Times New Roman" w:ascii="Times New Roman" w:hAnsi="Times New Roman"/>
          <w:color w:val="111111"/>
          <w:sz w:val="28"/>
          <w:szCs w:val="28"/>
          <w:lang w:val="en-US"/>
        </w:rPr>
        <w:t>Abu Hatim: Menurutmu, apa tuntutan kebijaksanaan Tuhan?</w:t>
      </w:r>
    </w:p>
    <w:p>
      <w:pPr>
        <w:pStyle w:val="BookText"/>
        <w:bidi w:val="0"/>
        <w:jc w:val="both"/>
        <w:rPr/>
      </w:pPr>
      <w:r>
        <w:rPr>
          <w:rFonts w:eastAsia="Times New Roman" w:cs="Times New Roman" w:ascii="Times New Roman" w:hAnsi="Times New Roman"/>
          <w:color w:val="111111"/>
          <w:sz w:val="28"/>
          <w:szCs w:val="28"/>
          <w:lang w:val="en-US"/>
        </w:rPr>
        <w:t>Ateis: Ketimbang mengutamakan sebagian orang dari yang lain,</w:t>
      </w:r>
    </w:p>
    <w:p>
      <w:pPr>
        <w:pStyle w:val="BookText"/>
        <w:bidi w:val="0"/>
        <w:jc w:val="both"/>
        <w:rPr/>
      </w:pPr>
      <w:r>
        <w:rPr>
          <w:rFonts w:eastAsia="Times New Roman" w:cs="Times New Roman" w:ascii="Times New Roman" w:hAnsi="Times New Roman"/>
          <w:color w:val="111111"/>
          <w:sz w:val="28"/>
          <w:szCs w:val="28"/>
          <w:lang w:val="en-US"/>
        </w:rPr>
        <w:t>agaknya lebih layak jika Tuhan mengaruniai pengetahuan secara</w:t>
      </w:r>
    </w:p>
    <w:p>
      <w:pPr>
        <w:pStyle w:val="BookText"/>
        <w:bidi w:val="0"/>
        <w:jc w:val="both"/>
        <w:rPr/>
      </w:pPr>
      <w:r>
        <w:rPr>
          <w:rFonts w:eastAsia="Times New Roman" w:cs="Times New Roman" w:ascii="Times New Roman" w:hAnsi="Times New Roman"/>
          <w:color w:val="111111"/>
          <w:sz w:val="28"/>
          <w:szCs w:val="28"/>
          <w:lang w:val="en-US"/>
        </w:rPr>
        <w:t>merata kepada seluruh manusia tentang untung-rugi segala sesuatu</w:t>
      </w:r>
    </w:p>
    <w:p>
      <w:pPr>
        <w:pStyle w:val="BookText"/>
        <w:bidi w:val="0"/>
        <w:jc w:val="both"/>
        <w:rPr/>
      </w:pPr>
      <w:r>
        <w:rPr>
          <w:rFonts w:eastAsia="Times New Roman" w:cs="Times New Roman" w:ascii="Times New Roman" w:hAnsi="Times New Roman"/>
          <w:color w:val="111111"/>
          <w:sz w:val="28"/>
          <w:szCs w:val="28"/>
          <w:lang w:val="en-US"/>
        </w:rPr>
        <w:t>yang terkait dengan dirinya.</w:t>
      </w:r>
    </w:p>
    <w:p>
      <w:pPr>
        <w:pStyle w:val="BookText"/>
        <w:bidi w:val="0"/>
        <w:jc w:val="both"/>
        <w:rPr/>
      </w:pPr>
      <w:r>
        <w:rPr>
          <w:rFonts w:eastAsia="Times New Roman" w:cs="Times New Roman" w:ascii="Times New Roman" w:hAnsi="Times New Roman"/>
          <w:color w:val="111111"/>
          <w:sz w:val="28"/>
          <w:szCs w:val="28"/>
          <w:lang w:val="en-US"/>
        </w:rPr>
        <w:t>Abu Hatim: Bukankah kamu percaya Tuhan itu Mahabijak lagi</w:t>
      </w:r>
    </w:p>
    <w:p>
      <w:pPr>
        <w:pStyle w:val="BookText"/>
        <w:bidi w:val="0"/>
        <w:jc w:val="both"/>
        <w:rPr/>
      </w:pPr>
      <w:r>
        <w:rPr>
          <w:rFonts w:eastAsia="Times New Roman" w:cs="Times New Roman" w:ascii="Times New Roman" w:hAnsi="Times New Roman"/>
          <w:color w:val="111111"/>
          <w:sz w:val="28"/>
          <w:szCs w:val="28"/>
          <w:lang w:val="en-US"/>
        </w:rPr>
        <w:t>Maha Pengasih? Bukankah kamu percaya kapasitas pengetahuan</w:t>
      </w:r>
    </w:p>
    <w:p>
      <w:pPr>
        <w:pStyle w:val="BookText"/>
        <w:bidi w:val="0"/>
        <w:jc w:val="both"/>
        <w:rPr/>
      </w:pPr>
      <w:r>
        <w:rPr>
          <w:rFonts w:eastAsia="Times New Roman" w:cs="Times New Roman" w:ascii="Times New Roman" w:hAnsi="Times New Roman"/>
          <w:color w:val="111111"/>
          <w:sz w:val="28"/>
          <w:szCs w:val="28"/>
          <w:lang w:val="en-US"/>
        </w:rPr>
        <w:t>semua orang diciptakan sama?</w:t>
      </w:r>
    </w:p>
    <w:p>
      <w:pPr>
        <w:pStyle w:val="BookText"/>
        <w:bidi w:val="0"/>
        <w:jc w:val="both"/>
        <w:rPr/>
      </w:pPr>
      <w:r>
        <w:rPr>
          <w:rFonts w:eastAsia="Times New Roman" w:cs="Times New Roman" w:ascii="Times New Roman" w:hAnsi="Times New Roman"/>
          <w:color w:val="111111"/>
          <w:sz w:val="28"/>
          <w:szCs w:val="28"/>
          <w:lang w:val="en-US"/>
        </w:rPr>
        <w:t>Ateis: Ya.</w:t>
      </w:r>
    </w:p>
    <w:p>
      <w:pPr>
        <w:pStyle w:val="BookText"/>
        <w:bidi w:val="0"/>
        <w:jc w:val="both"/>
        <w:rPr/>
      </w:pPr>
      <w:r>
        <w:rPr>
          <w:rFonts w:eastAsia="Times New Roman" w:cs="Times New Roman" w:ascii="Times New Roman" w:hAnsi="Times New Roman"/>
          <w:color w:val="111111"/>
          <w:sz w:val="28"/>
          <w:szCs w:val="28"/>
          <w:lang w:val="en-US"/>
        </w:rPr>
        <w:t>Abu Hatim: Kalau begitu, bagaimana membenarkan kenyataan</w:t>
      </w:r>
    </w:p>
    <w:p>
      <w:pPr>
        <w:pStyle w:val="BookText"/>
        <w:bidi w:val="0"/>
        <w:jc w:val="both"/>
        <w:rPr/>
      </w:pPr>
      <w:r>
        <w:rPr>
          <w:rFonts w:eastAsia="Times New Roman" w:cs="Times New Roman" w:ascii="Times New Roman" w:hAnsi="Times New Roman"/>
          <w:color w:val="111111"/>
          <w:sz w:val="28"/>
          <w:szCs w:val="28"/>
          <w:lang w:val="en-US"/>
        </w:rPr>
        <w:t>adanya imam dan makmum, guru dan murid? Contohnya, bukankah</w:t>
      </w:r>
    </w:p>
    <w:p>
      <w:pPr>
        <w:pStyle w:val="BookText"/>
        <w:bidi w:val="0"/>
        <w:jc w:val="both"/>
        <w:rPr/>
      </w:pPr>
      <w:r>
        <w:rPr>
          <w:rFonts w:eastAsia="Times New Roman" w:cs="Times New Roman" w:ascii="Times New Roman" w:hAnsi="Times New Roman"/>
          <w:color w:val="111111"/>
          <w:sz w:val="28"/>
          <w:szCs w:val="28"/>
          <w:lang w:val="en-US"/>
        </w:rPr>
        <w:t>kamu _ sendiri mengaku paling unggul dalam bidang_filsafat</w:t>
      </w:r>
    </w:p>
    <w:p>
      <w:pPr>
        <w:pStyle w:val="BookText"/>
        <w:bidi w:val="0"/>
        <w:jc w:val="both"/>
        <w:rPr/>
      </w:pPr>
      <w:r>
        <w:rPr>
          <w:rFonts w:eastAsia="Times New Roman" w:cs="Times New Roman" w:ascii="Times New Roman" w:hAnsi="Times New Roman"/>
          <w:color w:val="111111"/>
          <w:sz w:val="28"/>
          <w:szCs w:val="28"/>
          <w:lang w:val="en-US"/>
        </w:rPr>
        <w:t>ketimbang yang lain?</w:t>
      </w:r>
    </w:p>
    <w:p>
      <w:pPr>
        <w:pStyle w:val="BookText"/>
        <w:bidi w:val="0"/>
        <w:jc w:val="both"/>
        <w:rPr/>
      </w:pPr>
      <w:r>
        <w:rPr>
          <w:rFonts w:eastAsia="Times New Roman" w:cs="Times New Roman" w:ascii="Times New Roman" w:hAnsi="Times New Roman"/>
          <w:color w:val="111111"/>
          <w:sz w:val="28"/>
          <w:szCs w:val="28"/>
          <w:lang w:val="en-US"/>
        </w:rPr>
        <w:t>Ateis: Dari segi rasio dan semangat (hlmmah), semua orang setara.</w:t>
      </w:r>
    </w:p>
    <w:p>
      <w:pPr>
        <w:pStyle w:val="BookText"/>
        <w:bidi w:val="0"/>
        <w:jc w:val="both"/>
        <w:rPr/>
      </w:pPr>
      <w:r>
        <w:rPr>
          <w:rFonts w:eastAsia="Times New Roman" w:cs="Times New Roman" w:ascii="Times New Roman" w:hAnsi="Times New Roman"/>
          <w:color w:val="111111"/>
          <w:sz w:val="28"/>
          <w:szCs w:val="28"/>
          <w:lang w:val="en-US"/>
        </w:rPr>
        <w:t>Bedanya, saya mengerahkan semangat di jalur filsafat, sementara</w:t>
      </w:r>
    </w:p>
    <w:p>
      <w:pPr>
        <w:pStyle w:val="BookText"/>
        <w:bidi w:val="0"/>
        <w:jc w:val="both"/>
        <w:rPr/>
      </w:pPr>
      <w:r>
        <w:rPr>
          <w:rFonts w:eastAsia="Times New Roman" w:cs="Times New Roman" w:ascii="Times New Roman" w:hAnsi="Times New Roman"/>
          <w:color w:val="111111"/>
          <w:sz w:val="28"/>
          <w:szCs w:val="28"/>
          <w:lang w:val="en-US"/>
        </w:rPr>
        <w:t>mereka di jalur dunia.</w:t>
      </w:r>
    </w:p>
    <w:p>
      <w:pPr>
        <w:pStyle w:val="BookText"/>
        <w:bidi w:val="0"/>
        <w:jc w:val="both"/>
        <w:rPr/>
      </w:pPr>
      <w:r>
        <w:rPr>
          <w:rFonts w:eastAsia="Times New Roman" w:cs="Times New Roman" w:ascii="Times New Roman" w:hAnsi="Times New Roman"/>
          <w:color w:val="111111"/>
          <w:sz w:val="28"/>
          <w:szCs w:val="28"/>
          <w:lang w:val="en-US"/>
        </w:rPr>
        <w:t>Abu Hatim: Perbedaan kadar pengetahuan dan level pemikiran</w:t>
      </w:r>
    </w:p>
    <w:p>
      <w:pPr>
        <w:pStyle w:val="BookText"/>
        <w:bidi w:val="0"/>
        <w:jc w:val="both"/>
        <w:rPr/>
      </w:pPr>
      <w:r>
        <w:rPr>
          <w:rFonts w:eastAsia="Times New Roman" w:cs="Times New Roman" w:ascii="Times New Roman" w:hAnsi="Times New Roman"/>
          <w:color w:val="111111"/>
          <w:sz w:val="28"/>
          <w:szCs w:val="28"/>
          <w:lang w:val="en-US"/>
        </w:rPr>
        <w:t>tentunya tak dapat disangkal siapapun. Karena itu, memilih sebagian</w:t>
      </w:r>
    </w:p>
    <w:p>
      <w:pPr>
        <w:pStyle w:val="BookText"/>
        <w:bidi w:val="0"/>
        <w:jc w:val="both"/>
        <w:rPr/>
      </w:pPr>
      <w:r>
        <w:rPr>
          <w:rFonts w:eastAsia="Times New Roman" w:cs="Times New Roman" w:ascii="Times New Roman" w:hAnsi="Times New Roman"/>
          <w:color w:val="111111"/>
          <w:sz w:val="28"/>
          <w:szCs w:val="28"/>
          <w:lang w:val="en-US"/>
        </w:rPr>
        <w:t>orang menjadi nabi dan memberinya pengetahuan wahyuni yang</w:t>
      </w:r>
    </w:p>
    <w:p>
      <w:pPr>
        <w:pStyle w:val="BookText"/>
        <w:bidi w:val="0"/>
        <w:jc w:val="both"/>
        <w:rPr/>
      </w:pPr>
      <w:r>
        <w:rPr>
          <w:rFonts w:eastAsia="Times New Roman" w:cs="Times New Roman" w:ascii="Times New Roman" w:hAnsi="Times New Roman"/>
          <w:color w:val="111111"/>
          <w:sz w:val="28"/>
          <w:szCs w:val="28"/>
          <w:lang w:val="en-US"/>
        </w:rPr>
        <w:t>melampaui kesanggupan manusia biasa, jelas, sesuai dengan</w:t>
      </w:r>
    </w:p>
    <w:p>
      <w:pPr>
        <w:pStyle w:val="BookText"/>
        <w:bidi w:val="0"/>
        <w:jc w:val="both"/>
        <w:rPr/>
      </w:pPr>
      <w:r>
        <w:rPr>
          <w:rFonts w:eastAsia="Times New Roman" w:cs="Times New Roman" w:ascii="Times New Roman" w:hAnsi="Times New Roman"/>
          <w:color w:val="111111"/>
          <w:sz w:val="28"/>
          <w:szCs w:val="28"/>
          <w:lang w:val="en-US"/>
        </w:rPr>
        <w:t>kemahabijakan dan rahmat Tuhan.</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Abu Raihan Biruni juga ikut menggugat pemikiran Zakaria</w:t>
      </w:r>
    </w:p>
    <w:p>
      <w:pPr>
        <w:pStyle w:val="BookText"/>
        <w:bidi w:val="0"/>
        <w:jc w:val="both"/>
        <w:rPr/>
      </w:pPr>
      <w:r>
        <w:rPr>
          <w:rFonts w:eastAsia="Times New Roman" w:cs="Times New Roman" w:ascii="Times New Roman" w:hAnsi="Times New Roman"/>
          <w:color w:val="111111"/>
          <w:sz w:val="28"/>
          <w:szCs w:val="28"/>
          <w:lang w:val="en-US"/>
        </w:rPr>
        <w:t>Razi. Dalam pengantar tesisnya yang memuat daftar koleksi karya-</w:t>
      </w:r>
    </w:p>
    <w:p>
      <w:pPr>
        <w:pStyle w:val="BookText"/>
        <w:bidi w:val="0"/>
        <w:jc w:val="both"/>
        <w:rPr/>
      </w:pPr>
      <w:r>
        <w:rPr>
          <w:rFonts w:eastAsia="Times New Roman" w:cs="Times New Roman" w:ascii="Times New Roman" w:hAnsi="Times New Roman"/>
          <w:color w:val="111111"/>
          <w:sz w:val="28"/>
          <w:szCs w:val="28"/>
          <w:lang w:val="en-US"/>
        </w:rPr>
        <w:t>karya Razi, sembari menyoroti satu karyanya, Fi Al-Nubuwwiat, dia</w:t>
      </w:r>
    </w:p>
    <w:p>
      <w:pPr>
        <w:pStyle w:val="BookText"/>
        <w:bidi w:val="0"/>
        <w:jc w:val="both"/>
        <w:rPr/>
      </w:pPr>
      <w:r>
        <w:rPr>
          <w:rFonts w:eastAsia="Times New Roman" w:cs="Times New Roman" w:ascii="Times New Roman" w:hAnsi="Times New Roman"/>
          <w:color w:val="111111"/>
          <w:sz w:val="28"/>
          <w:szCs w:val="28"/>
          <w:lang w:val="en-US"/>
        </w:rPr>
        <w:t>menyinggung sikap antiagama Zakaria Razi—seraya menyatakan</w:t>
      </w:r>
    </w:p>
    <w:p>
      <w:pPr>
        <w:pStyle w:val="BookText"/>
        <w:bidi w:val="0"/>
        <w:jc w:val="both"/>
        <w:rPr/>
      </w:pPr>
      <w:r>
        <w:rPr>
          <w:rFonts w:eastAsia="Times New Roman" w:cs="Times New Roman" w:ascii="Times New Roman" w:hAnsi="Times New Roman"/>
          <w:color w:val="111111"/>
          <w:sz w:val="28"/>
          <w:szCs w:val="28"/>
          <w:lang w:val="en-US"/>
        </w:rPr>
        <w:t>kekecewaan jika dengan menulis buku itu, dia telah mengotori</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bahasa dan pena dengan ‘sesuatu’ yang seyogianya dihindari orang </w:t>
      </w:r>
    </w:p>
    <w:p>
      <w:pPr>
        <w:pStyle w:val="BookText"/>
        <w:bidi w:val="0"/>
        <w:rPr/>
      </w:pPr>
      <w:r>
        <w:rPr>
          <w:rFonts w:eastAsia="Times New Roman" w:cs="Times New Roman" w:ascii="Times New Roman" w:hAnsi="Times New Roman"/>
          <w:color w:val="111111"/>
          <w:sz w:val="28"/>
          <w:szCs w:val="28"/>
          <w:lang w:val="en-US"/>
        </w:rPr>
        <w:t>berakal.</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Biruni mengklasifikasikan buku Fi Al-Nubuwwat (tentang</w:t>
      </w:r>
    </w:p>
    <w:p>
      <w:pPr>
        <w:pStyle w:val="BookText"/>
        <w:bidi w:val="0"/>
        <w:jc w:val="both"/>
        <w:rPr/>
      </w:pPr>
      <w:r>
        <w:rPr>
          <w:rFonts w:eastAsia="Times New Roman" w:cs="Times New Roman" w:ascii="Times New Roman" w:hAnsi="Times New Roman"/>
          <w:color w:val="111111"/>
          <w:sz w:val="28"/>
          <w:szCs w:val="28"/>
          <w:lang w:val="en-US"/>
        </w:rPr>
        <w:t>kena-bian) dan buku Fi Hiyal Al-Mutanabbi‘in (Muslihat Para</w:t>
      </w:r>
    </w:p>
    <w:p>
      <w:pPr>
        <w:pStyle w:val="BookText"/>
        <w:bidi w:val="0"/>
        <w:jc w:val="both"/>
        <w:rPr/>
      </w:pPr>
      <w:r>
        <w:rPr>
          <w:rFonts w:eastAsia="Times New Roman" w:cs="Times New Roman" w:ascii="Times New Roman" w:hAnsi="Times New Roman"/>
          <w:color w:val="111111"/>
          <w:sz w:val="28"/>
          <w:szCs w:val="28"/>
          <w:lang w:val="en-US"/>
        </w:rPr>
        <w:t>Pengaku Kenabian) sebagai buku-buku_ kekafiran (kufriyydat).</w:t>
      </w:r>
    </w:p>
    <w:p>
      <w:pPr>
        <w:pStyle w:val="BookText"/>
        <w:bidi w:val="0"/>
        <w:jc w:val="both"/>
        <w:rPr/>
      </w:pPr>
      <w:r>
        <w:rPr>
          <w:rFonts w:eastAsia="Times New Roman" w:cs="Times New Roman" w:ascii="Times New Roman" w:hAnsi="Times New Roman"/>
          <w:color w:val="111111"/>
          <w:sz w:val="28"/>
          <w:szCs w:val="28"/>
          <w:lang w:val="en-US"/>
        </w:rPr>
        <w:t>Masih menurutnya, kedua buku itu dibubuhi judul lain oleh para</w:t>
      </w:r>
    </w:p>
    <w:p>
      <w:pPr>
        <w:pStyle w:val="BookText"/>
        <w:bidi w:val="0"/>
        <w:jc w:val="both"/>
        <w:rPr/>
      </w:pPr>
      <w:r>
        <w:rPr>
          <w:rFonts w:eastAsia="Times New Roman" w:cs="Times New Roman" w:ascii="Times New Roman" w:hAnsi="Times New Roman"/>
          <w:color w:val="111111"/>
          <w:sz w:val="28"/>
          <w:szCs w:val="28"/>
          <w:lang w:val="en-US"/>
        </w:rPr>
        <w:t>penggugatnya; Naqdh Al-Adyan (Membantah Agama) dan Makhériq</w:t>
      </w:r>
    </w:p>
    <w:p>
      <w:pPr>
        <w:pStyle w:val="BookText"/>
        <w:bidi w:val="0"/>
        <w:jc w:val="both"/>
        <w:rPr/>
      </w:pPr>
      <w:r>
        <w:rPr>
          <w:rFonts w:eastAsia="Times New Roman" w:cs="Times New Roman" w:ascii="Times New Roman" w:hAnsi="Times New Roman"/>
          <w:color w:val="111111"/>
          <w:sz w:val="28"/>
          <w:szCs w:val="28"/>
          <w:lang w:val="en-US"/>
        </w:rPr>
        <w:t>Al-Anbiya’ (Tipu Muslihat Para Nabi).</w:t>
      </w:r>
      <w:r>
        <w:rPr>
          <w:rStyle w:val="FootnoteAnchor"/>
        </w:rPr>
        <w:footnoteReference w:id="114"/>
      </w:r>
      <w:r>
        <w:rPr>
          <w:rFonts w:eastAsia="Times New Roman" w:cs="Times New Roman" w:ascii="Times New Roman" w:hAnsi="Times New Roman"/>
          <w:color w:val="111111"/>
          <w:sz w:val="28"/>
          <w:szCs w:val="28"/>
          <w:lang w:val="en-US"/>
        </w:rPr>
        <w:t>Alasan mereka, judul-judul</w:t>
      </w:r>
    </w:p>
    <w:p>
      <w:pPr>
        <w:pStyle w:val="BookText"/>
        <w:bidi w:val="0"/>
        <w:jc w:val="both"/>
        <w:rPr/>
      </w:pPr>
      <w:r>
        <w:rPr>
          <w:rFonts w:eastAsia="Times New Roman" w:cs="Times New Roman" w:ascii="Times New Roman" w:hAnsi="Times New Roman"/>
          <w:color w:val="111111"/>
          <w:sz w:val="28"/>
          <w:szCs w:val="28"/>
          <w:lang w:val="en-US"/>
        </w:rPr>
        <w:t>baru itu lebih mewakili kandungan kedua buku tersebut.</w:t>
      </w:r>
    </w:p>
    <w:p>
      <w:pPr>
        <w:pStyle w:val="BookText"/>
        <w:bidi w:val="0"/>
        <w:jc w:val="both"/>
        <w:rPr/>
      </w:pPr>
      <w:r>
        <w:rPr>
          <w:rFonts w:eastAsia="Times New Roman" w:cs="Times New Roman" w:ascii="Times New Roman" w:hAnsi="Times New Roman"/>
          <w:color w:val="111111"/>
          <w:sz w:val="28"/>
          <w:szCs w:val="28"/>
          <w:lang w:val="en-US"/>
        </w:rPr>
        <w:t>Nasir Khosru Qubadiyani (w. 481 H) yang juga penganut mazhab</w:t>
      </w:r>
    </w:p>
    <w:p>
      <w:pPr>
        <w:pStyle w:val="BookText"/>
        <w:bidi w:val="0"/>
        <w:jc w:val="both"/>
        <w:rPr/>
      </w:pPr>
      <w:r>
        <w:rPr>
          <w:rFonts w:eastAsia="Times New Roman" w:cs="Times New Roman" w:ascii="Times New Roman" w:hAnsi="Times New Roman"/>
          <w:color w:val="111111"/>
          <w:sz w:val="28"/>
          <w:szCs w:val="28"/>
          <w:lang w:val="en-US"/>
        </w:rPr>
        <w:t>Ismailiyah, turut menggugat pandangan Zakaria Razi dalam berbagai</w:t>
      </w:r>
    </w:p>
    <w:p>
      <w:pPr>
        <w:pStyle w:val="BookText"/>
        <w:bidi w:val="0"/>
        <w:jc w:val="both"/>
        <w:rPr/>
      </w:pPr>
      <w:r>
        <w:rPr>
          <w:rFonts w:eastAsia="Times New Roman" w:cs="Times New Roman" w:ascii="Times New Roman" w:hAnsi="Times New Roman"/>
          <w:color w:val="111111"/>
          <w:sz w:val="28"/>
          <w:szCs w:val="28"/>
          <w:lang w:val="en-US"/>
        </w:rPr>
        <w:t>bukunya. Dalam Jami’ Al-Hikmatain, misalnya, dia mengatakan:</w:t>
      </w:r>
    </w:p>
    <w:p>
      <w:pPr>
        <w:pStyle w:val="BookText"/>
        <w:bidi w:val="0"/>
        <w:jc w:val="both"/>
        <w:rPr/>
      </w:pPr>
      <w:r>
        <w:rPr>
          <w:rFonts w:eastAsia="Times New Roman" w:cs="Times New Roman" w:ascii="Times New Roman" w:hAnsi="Times New Roman"/>
          <w:color w:val="111111"/>
          <w:sz w:val="28"/>
          <w:szCs w:val="28"/>
          <w:lang w:val="en-US"/>
        </w:rPr>
        <w:t>Muhammad bin Zakaria Razi mengatakan dalam kitab 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 Al-illahi bahwa jiwa-jiwa jahat yang sudah menjadi hantu</w:t>
      </w:r>
    </w:p>
    <w:p>
      <w:pPr>
        <w:pStyle w:val="BookText"/>
        <w:bidi w:val="0"/>
        <w:jc w:val="both"/>
        <w:rPr/>
      </w:pPr>
      <w:r>
        <w:rPr>
          <w:rFonts w:eastAsia="Times New Roman" w:cs="Times New Roman" w:ascii="Times New Roman" w:hAnsi="Times New Roman"/>
          <w:color w:val="111111"/>
          <w:sz w:val="28"/>
          <w:szCs w:val="28"/>
          <w:lang w:val="en-US"/>
        </w:rPr>
        <w:t>menampakkan diri di hadapan orang-orang tertentu, lalu</w:t>
      </w:r>
    </w:p>
    <w:p>
      <w:pPr>
        <w:pStyle w:val="BookText"/>
        <w:bidi w:val="0"/>
        <w:jc w:val="both"/>
        <w:rPr/>
      </w:pPr>
      <w:r>
        <w:rPr>
          <w:rFonts w:eastAsia="Times New Roman" w:cs="Times New Roman" w:ascii="Times New Roman" w:hAnsi="Times New Roman"/>
          <w:color w:val="111111"/>
          <w:sz w:val="28"/>
          <w:szCs w:val="28"/>
          <w:lang w:val="en-US"/>
        </w:rPr>
        <w:t>memerintahkan mereka, “Pergilah! Katakan pada khalayak</w:t>
      </w:r>
    </w:p>
    <w:p>
      <w:pPr>
        <w:pStyle w:val="BookText"/>
        <w:bidi w:val="0"/>
        <w:jc w:val="both"/>
        <w:rPr/>
      </w:pPr>
      <w:r>
        <w:rPr>
          <w:rFonts w:eastAsia="Times New Roman" w:cs="Times New Roman" w:ascii="Times New Roman" w:hAnsi="Times New Roman"/>
          <w:color w:val="111111"/>
          <w:sz w:val="28"/>
          <w:szCs w:val="28"/>
          <w:lang w:val="en-US"/>
        </w:rPr>
        <w:t>bahwa malaikat telah datang kepa-daku seraya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Tuhan mengutusmu sebagai nabi, dan aku malaikat itu."” Berkat</w:t>
      </w:r>
    </w:p>
    <w:p>
      <w:pPr>
        <w:pStyle w:val="BookText"/>
        <w:bidi w:val="0"/>
        <w:jc w:val="both"/>
        <w:rPr/>
      </w:pPr>
      <w:r>
        <w:rPr>
          <w:rFonts w:eastAsia="Times New Roman" w:cs="Times New Roman" w:ascii="Times New Roman" w:hAnsi="Times New Roman"/>
          <w:color w:val="111111"/>
          <w:sz w:val="28"/>
          <w:szCs w:val="28"/>
          <w:lang w:val="en-US"/>
        </w:rPr>
        <w:t>perintah jiwa yang telah jadi hantu itu, terjadilah perselisihan</w:t>
      </w:r>
    </w:p>
    <w:p>
      <w:pPr>
        <w:pStyle w:val="BookText"/>
        <w:bidi w:val="0"/>
        <w:jc w:val="both"/>
        <w:rPr/>
      </w:pPr>
      <w:r>
        <w:rPr>
          <w:rFonts w:eastAsia="Times New Roman" w:cs="Times New Roman" w:ascii="Times New Roman" w:hAnsi="Times New Roman"/>
          <w:color w:val="111111"/>
          <w:sz w:val="28"/>
          <w:szCs w:val="28"/>
          <w:lang w:val="en-US"/>
        </w:rPr>
        <w:t>di tengah khalayak yang menyebabkan banyak sekali di antara</w:t>
      </w:r>
    </w:p>
    <w:p>
      <w:pPr>
        <w:pStyle w:val="BookText"/>
        <w:bidi w:val="0"/>
        <w:jc w:val="both"/>
        <w:rPr/>
      </w:pPr>
      <w:r>
        <w:rPr>
          <w:rFonts w:eastAsia="Times New Roman" w:cs="Times New Roman" w:ascii="Times New Roman" w:hAnsi="Times New Roman"/>
          <w:color w:val="111111"/>
          <w:sz w:val="28"/>
          <w:szCs w:val="28"/>
          <w:lang w:val="en-US"/>
        </w:rPr>
        <w:t>mereka yang terbunuh. Kami telah menulis tanggapan terhadap</w:t>
      </w:r>
    </w:p>
    <w:p>
      <w:pPr>
        <w:pStyle w:val="BookText"/>
        <w:bidi w:val="0"/>
        <w:jc w:val="both"/>
        <w:rPr/>
      </w:pPr>
      <w:r>
        <w:rPr>
          <w:rFonts w:eastAsia="Times New Roman" w:cs="Times New Roman" w:ascii="Times New Roman" w:hAnsi="Times New Roman"/>
          <w:color w:val="111111"/>
          <w:sz w:val="28"/>
          <w:szCs w:val="28"/>
          <w:lang w:val="en-US"/>
        </w:rPr>
        <w:t>kata-kata orang bernafsu yang tak punya rasa takut ini dalam</w:t>
      </w:r>
    </w:p>
    <w:p>
      <w:pPr>
        <w:pStyle w:val="BookText"/>
        <w:bidi w:val="0"/>
        <w:jc w:val="both"/>
        <w:rPr/>
      </w:pPr>
      <w:r>
        <w:rPr>
          <w:rFonts w:eastAsia="Times New Roman" w:cs="Times New Roman" w:ascii="Times New Roman" w:hAnsi="Times New Roman"/>
          <w:color w:val="111111"/>
          <w:sz w:val="28"/>
          <w:szCs w:val="28"/>
          <w:lang w:val="en-US"/>
        </w:rPr>
        <w:t>buku Bustén Al-‘Uqul.</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Selain menolak kenabian, doktrin-doktrin seperti “reinkarnasi</w:t>
      </w:r>
    </w:p>
    <w:p>
      <w:pPr>
        <w:pStyle w:val="BookText"/>
        <w:bidi w:val="0"/>
        <w:jc w:val="both"/>
        <w:rPr/>
      </w:pPr>
      <w:r>
        <w:rPr>
          <w:rFonts w:eastAsia="Times New Roman" w:cs="Times New Roman" w:ascii="Times New Roman" w:hAnsi="Times New Roman"/>
          <w:color w:val="111111"/>
          <w:sz w:val="28"/>
          <w:szCs w:val="28"/>
          <w:lang w:val="en-US"/>
        </w:rPr>
        <w:t>arwah” (tanasukh), “kemusyrikan dan menyembah dua tuhan”, “di</w:t>
      </w:r>
    </w:p>
    <w:p>
      <w:pPr>
        <w:pStyle w:val="BookText"/>
        <w:bidi w:val="0"/>
        <w:jc w:val="both"/>
        <w:rPr/>
      </w:pPr>
      <w:r>
        <w:rPr>
          <w:rFonts w:eastAsia="Times New Roman" w:cs="Times New Roman" w:ascii="Times New Roman" w:hAnsi="Times New Roman"/>
          <w:color w:val="111111"/>
          <w:sz w:val="28"/>
          <w:szCs w:val="28"/>
          <w:lang w:val="en-US"/>
        </w:rPr>
        <w:t>alam lebih banyak buruk ketimbang baik”, dan “penolakan Hari</w:t>
      </w:r>
    </w:p>
    <w:p>
      <w:pPr>
        <w:pStyle w:val="BookText"/>
        <w:bidi w:val="0"/>
        <w:jc w:val="both"/>
        <w:rPr/>
      </w:pPr>
      <w:r>
        <w:rPr>
          <w:rFonts w:eastAsia="Times New Roman" w:cs="Times New Roman" w:ascii="Times New Roman" w:hAnsi="Times New Roman"/>
          <w:color w:val="111111"/>
          <w:sz w:val="28"/>
          <w:szCs w:val="28"/>
          <w:lang w:val="en-US"/>
        </w:rPr>
        <w:t>Kebangkitan” juga dituduhkan kepada Zakaria Razi.</w:t>
      </w:r>
      <w:r>
        <w:rPr>
          <w:rStyle w:val="FootnoteAnchor"/>
        </w:rPr>
        <w:footnoteReference w:id="11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496; S. Safadi: Nukat Al-Ham-yan fi Nukat Al-‘Amyan, hlm. 250.</w:t>
      </w:r>
    </w:p>
    <w:p>
      <w:pPr>
        <w:pStyle w:val="BookText"/>
        <w:bidi w:val="0"/>
        <w:rPr/>
      </w:pPr>
      <w:r>
        <w:rPr>
          <w:rFonts w:eastAsia="Times New Roman" w:cs="Times New Roman" w:ascii="Times New Roman" w:hAnsi="Times New Roman"/>
          <w:color w:val="111111"/>
          <w:sz w:val="28"/>
          <w:szCs w:val="28"/>
          <w:lang w:val="en-US"/>
        </w:rPr>
        <w:t>Di pihak yang berseberangan, terdapat beberapa pemikir yang</w:t>
      </w:r>
    </w:p>
    <w:p>
      <w:pPr>
        <w:pStyle w:val="BookText"/>
        <w:bidi w:val="0"/>
        <w:jc w:val="both"/>
        <w:rPr/>
      </w:pPr>
      <w:r>
        <w:rPr>
          <w:rFonts w:eastAsia="Times New Roman" w:cs="Times New Roman" w:ascii="Times New Roman" w:hAnsi="Times New Roman"/>
          <w:color w:val="111111"/>
          <w:sz w:val="28"/>
          <w:szCs w:val="28"/>
          <w:lang w:val="en-US"/>
        </w:rPr>
        <w:t>justru mengadvokasi Zakaria Razi. Mereka menyodorkan sejumlah</w:t>
      </w:r>
    </w:p>
    <w:p>
      <w:pPr>
        <w:pStyle w:val="BookText"/>
        <w:bidi w:val="0"/>
        <w:jc w:val="both"/>
        <w:rPr/>
      </w:pPr>
      <w:r>
        <w:rPr>
          <w:rFonts w:eastAsia="Times New Roman" w:cs="Times New Roman" w:ascii="Times New Roman" w:hAnsi="Times New Roman"/>
          <w:color w:val="111111"/>
          <w:sz w:val="28"/>
          <w:szCs w:val="28"/>
          <w:lang w:val="en-US"/>
        </w:rPr>
        <w:t>bukti untuk membersihkannya dari semua tuduhan itu. Menurut</w:t>
      </w:r>
    </w:p>
    <w:p>
      <w:pPr>
        <w:pStyle w:val="BookText"/>
        <w:bidi w:val="0"/>
        <w:jc w:val="both"/>
        <w:rPr/>
      </w:pPr>
      <w:r>
        <w:rPr>
          <w:rFonts w:eastAsia="Times New Roman" w:cs="Times New Roman" w:ascii="Times New Roman" w:hAnsi="Times New Roman"/>
          <w:color w:val="111111"/>
          <w:sz w:val="28"/>
          <w:szCs w:val="28"/>
          <w:lang w:val="en-US"/>
        </w:rPr>
        <w:t>Ibnu Abi Ushaibaah (600-668 H), sebagian buku yang konon ditulis</w:t>
      </w:r>
    </w:p>
    <w:p>
      <w:pPr>
        <w:pStyle w:val="BookText"/>
        <w:bidi w:val="0"/>
        <w:jc w:val="both"/>
        <w:rPr/>
      </w:pPr>
      <w:r>
        <w:rPr>
          <w:rFonts w:eastAsia="Times New Roman" w:cs="Times New Roman" w:ascii="Times New Roman" w:hAnsi="Times New Roman"/>
          <w:color w:val="111111"/>
          <w:sz w:val="28"/>
          <w:szCs w:val="28"/>
          <w:lang w:val="en-US"/>
        </w:rPr>
        <w:t>Razi senyatanya merupakan buku karangan musuh-musuhnya.</w:t>
      </w:r>
    </w:p>
    <w:p>
      <w:pPr>
        <w:pStyle w:val="BookText"/>
        <w:bidi w:val="0"/>
        <w:jc w:val="both"/>
        <w:rPr/>
      </w:pPr>
      <w:r>
        <w:rPr>
          <w:rFonts w:eastAsia="Times New Roman" w:cs="Times New Roman" w:ascii="Times New Roman" w:hAnsi="Times New Roman"/>
          <w:color w:val="111111"/>
          <w:sz w:val="28"/>
          <w:szCs w:val="28"/>
          <w:lang w:val="en-US"/>
        </w:rPr>
        <w:t>Semua itu dimaksudkan untuk merusak nama baik pemikir besar</w:t>
      </w:r>
    </w:p>
    <w:p>
      <w:pPr>
        <w:pStyle w:val="BookText"/>
        <w:bidi w:val="0"/>
        <w:jc w:val="both"/>
        <w:rPr/>
      </w:pPr>
      <w:r>
        <w:rPr>
          <w:rFonts w:eastAsia="Times New Roman" w:cs="Times New Roman" w:ascii="Times New Roman" w:hAnsi="Times New Roman"/>
          <w:color w:val="111111"/>
          <w:sz w:val="28"/>
          <w:szCs w:val="28"/>
          <w:lang w:val="en-US"/>
        </w:rPr>
        <w:t xml:space="preserve">ini </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Sejumlah pemikir kontemporer malah melangkah lebih jauh dan</w:t>
      </w:r>
    </w:p>
    <w:p>
      <w:pPr>
        <w:pStyle w:val="BookText"/>
        <w:bidi w:val="0"/>
        <w:jc w:val="both"/>
        <w:rPr/>
      </w:pPr>
      <w:r>
        <w:rPr>
          <w:rFonts w:eastAsia="Times New Roman" w:cs="Times New Roman" w:ascii="Times New Roman" w:hAnsi="Times New Roman"/>
          <w:color w:val="111111"/>
          <w:sz w:val="28"/>
          <w:szCs w:val="28"/>
          <w:lang w:val="en-US"/>
        </w:rPr>
        <w:t>menilai Zakaria Razi bermazhab Syiah.</w:t>
      </w:r>
      <w:r>
        <w:rPr>
          <w:rStyle w:val="FootnoteAnchor"/>
        </w:rPr>
        <w:footnoteReference w:id="118"/>
      </w:r>
      <w:r>
        <w:rPr>
          <w:rFonts w:eastAsia="Times New Roman" w:cs="Times New Roman" w:ascii="Times New Roman" w:hAnsi="Times New Roman"/>
          <w:color w:val="111111"/>
          <w:sz w:val="28"/>
          <w:szCs w:val="28"/>
          <w:lang w:val="en-US"/>
        </w:rPr>
        <w:t>Alasannya, pertama, sebagian</w:t>
      </w:r>
    </w:p>
    <w:p>
      <w:pPr>
        <w:pStyle w:val="BookText"/>
        <w:bidi w:val="0"/>
        <w:jc w:val="both"/>
        <w:rPr/>
      </w:pPr>
      <w:r>
        <w:rPr>
          <w:rFonts w:eastAsia="Times New Roman" w:cs="Times New Roman" w:ascii="Times New Roman" w:hAnsi="Times New Roman"/>
          <w:color w:val="111111"/>
          <w:sz w:val="28"/>
          <w:szCs w:val="28"/>
          <w:lang w:val="en-US"/>
        </w:rPr>
        <w:t>karya yang dinisbatkan pada Razi, seperti Atsér Al-Imdam Al-Fédhil</w:t>
      </w:r>
    </w:p>
    <w:p>
      <w:pPr>
        <w:pStyle w:val="BookText"/>
        <w:bidi w:val="0"/>
        <w:jc w:val="both"/>
        <w:rPr/>
      </w:pPr>
      <w:r>
        <w:rPr>
          <w:rFonts w:eastAsia="Times New Roman" w:cs="Times New Roman" w:ascii="Times New Roman" w:hAnsi="Times New Roman"/>
          <w:color w:val="111111"/>
          <w:sz w:val="28"/>
          <w:szCs w:val="28"/>
          <w:lang w:val="en-US"/>
        </w:rPr>
        <w:t>Al-Ma'shum,</w:t>
      </w:r>
      <w:r>
        <w:rPr>
          <w:rStyle w:val="FootnoteAnchor"/>
        </w:rPr>
        <w:footnoteReference w:id="119"/>
      </w:r>
      <w:r>
        <w:rPr>
          <w:rFonts w:eastAsia="Times New Roman" w:cs="Times New Roman" w:ascii="Times New Roman" w:hAnsi="Times New Roman"/>
          <w:color w:val="111111"/>
          <w:sz w:val="28"/>
          <w:szCs w:val="28"/>
          <w:lang w:val="en-US"/>
        </w:rPr>
        <w:t>mencerminkan keyakinannya pada keimamahan dan</w:t>
      </w:r>
    </w:p>
    <w:p>
      <w:pPr>
        <w:pStyle w:val="BookText"/>
        <w:bidi w:val="0"/>
        <w:jc w:val="both"/>
        <w:rPr/>
      </w:pPr>
      <w:r>
        <w:rPr>
          <w:rFonts w:eastAsia="Times New Roman" w:cs="Times New Roman" w:ascii="Times New Roman" w:hAnsi="Times New Roman"/>
          <w:color w:val="111111"/>
          <w:sz w:val="28"/>
          <w:szCs w:val="28"/>
          <w:lang w:val="en-US"/>
        </w:rPr>
        <w:t>ke-maksuman (imamah dan ismah) orang-orang tertentu. Selain itu,</w:t>
      </w:r>
    </w:p>
    <w:p>
      <w:pPr>
        <w:pStyle w:val="BookText"/>
        <w:bidi w:val="0"/>
        <w:jc w:val="both"/>
        <w:rPr/>
      </w:pPr>
      <w:r>
        <w:rPr>
          <w:rFonts w:eastAsia="Times New Roman" w:cs="Times New Roman" w:ascii="Times New Roman" w:hAnsi="Times New Roman"/>
          <w:color w:val="111111"/>
          <w:sz w:val="28"/>
          <w:szCs w:val="28"/>
          <w:lang w:val="en-US"/>
        </w:rPr>
        <w:t>dia juga menuliskan penolakannya terhadap Ahmad bin Kayyal,</w:t>
      </w:r>
    </w:p>
    <w:p>
      <w:pPr>
        <w:pStyle w:val="BookText"/>
        <w:bidi w:val="0"/>
        <w:jc w:val="both"/>
        <w:rPr/>
      </w:pPr>
      <w:r>
        <w:rPr>
          <w:rFonts w:eastAsia="Times New Roman" w:cs="Times New Roman" w:ascii="Times New Roman" w:hAnsi="Times New Roman"/>
          <w:color w:val="111111"/>
          <w:sz w:val="28"/>
          <w:szCs w:val="28"/>
          <w:lang w:val="en-US"/>
        </w:rPr>
        <w:t>pemikir abad III Hijriah yang punya kecenderungan Ismailiyah, lalu</w:t>
      </w:r>
    </w:p>
    <w:p>
      <w:pPr>
        <w:pStyle w:val="BookText"/>
        <w:bidi w:val="0"/>
        <w:jc w:val="both"/>
        <w:rPr/>
      </w:pPr>
      <w:r>
        <w:rPr>
          <w:rFonts w:eastAsia="Times New Roman" w:cs="Times New Roman" w:ascii="Times New Roman" w:hAnsi="Times New Roman"/>
          <w:color w:val="111111"/>
          <w:sz w:val="28"/>
          <w:szCs w:val="28"/>
          <w:lang w:val="en-US"/>
        </w:rPr>
        <w:t>mendiri-kan aliran Kayyaliyah.</w:t>
      </w:r>
      <w:r>
        <w:rPr>
          <w:rStyle w:val="FootnoteAnchor"/>
        </w:rPr>
        <w:footnoteReference w:id="120"/>
      </w:r>
      <w:r>
        <w:rPr>
          <w:rFonts w:eastAsia="Times New Roman" w:cs="Times New Roman" w:ascii="Times New Roman" w:hAnsi="Times New Roman"/>
          <w:color w:val="111111"/>
          <w:sz w:val="28"/>
          <w:szCs w:val="28"/>
          <w:lang w:val="en-US"/>
        </w:rPr>
        <w:t>Dalam buku itu, Razi menggugat</w:t>
      </w:r>
    </w:p>
    <w:p>
      <w:pPr>
        <w:pStyle w:val="BookText"/>
        <w:bidi w:val="0"/>
        <w:jc w:val="both"/>
        <w:rPr/>
      </w:pPr>
      <w:r>
        <w:rPr>
          <w:rFonts w:eastAsia="Times New Roman" w:cs="Times New Roman" w:ascii="Times New Roman" w:hAnsi="Times New Roman"/>
          <w:color w:val="111111"/>
          <w:sz w:val="28"/>
          <w:szCs w:val="28"/>
          <w:lang w:val="en-US"/>
        </w:rPr>
        <w:t>konsep imamah yang diusung I[smailiyah. Razi juga pernah menulis</w:t>
      </w:r>
    </w:p>
    <w:p>
      <w:pPr>
        <w:pStyle w:val="BookText"/>
        <w:bidi w:val="0"/>
        <w:jc w:val="both"/>
        <w:rPr/>
      </w:pPr>
      <w:r>
        <w:rPr>
          <w:rFonts w:eastAsia="Times New Roman" w:cs="Times New Roman" w:ascii="Times New Roman" w:hAnsi="Times New Roman"/>
          <w:color w:val="111111"/>
          <w:sz w:val="28"/>
          <w:szCs w:val="28"/>
          <w:lang w:val="en-US"/>
        </w:rPr>
        <w:t>buksu Ila Ali bin Syahid Al-Balkli fi Tatsbit Al-Ma‘ad.</w:t>
      </w:r>
      <w:r>
        <w:rPr>
          <w:rStyle w:val="FootnoteAnchor"/>
        </w:rPr>
        <w:footnoteReference w:id="121"/>
      </w:r>
      <w:r>
        <w:rPr>
          <w:rFonts w:eastAsia="Times New Roman" w:cs="Times New Roman" w:ascii="Times New Roman" w:hAnsi="Times New Roman"/>
          <w:color w:val="111111"/>
          <w:sz w:val="28"/>
          <w:szCs w:val="28"/>
          <w:lang w:val="en-US"/>
        </w:rPr>
        <w:t>Dalam karya</w:t>
      </w:r>
    </w:p>
    <w:p>
      <w:pPr>
        <w:pStyle w:val="BookText"/>
        <w:bidi w:val="0"/>
        <w:jc w:val="both"/>
        <w:rPr/>
      </w:pPr>
      <w:r>
        <w:rPr>
          <w:rFonts w:eastAsia="Times New Roman" w:cs="Times New Roman" w:ascii="Times New Roman" w:hAnsi="Times New Roman"/>
          <w:color w:val="111111"/>
          <w:sz w:val="28"/>
          <w:szCs w:val="28"/>
          <w:lang w:val="en-US"/>
        </w:rPr>
        <w:t>ini, terbukti bahwa dirinya—tidak sebagaimana yang dituduhkan—</w:t>
      </w:r>
    </w:p>
    <w:p>
      <w:pPr>
        <w:pStyle w:val="BookText"/>
        <w:bidi w:val="0"/>
        <w:jc w:val="both"/>
        <w:rPr/>
      </w:pPr>
      <w:r>
        <w:rPr>
          <w:rFonts w:eastAsia="Times New Roman" w:cs="Times New Roman" w:ascii="Times New Roman" w:hAnsi="Times New Roman"/>
          <w:color w:val="111111"/>
          <w:sz w:val="28"/>
          <w:szCs w:val="28"/>
          <w:lang w:val="en-US"/>
        </w:rPr>
        <w:t>mem-percayai Hari Kebangkitan.</w:t>
      </w:r>
    </w:p>
    <w:p>
      <w:pPr>
        <w:pStyle w:val="BookText"/>
        <w:bidi w:val="0"/>
        <w:jc w:val="both"/>
        <w:rPr/>
      </w:pPr>
      <w:r>
        <w:rPr>
          <w:rFonts w:eastAsia="Times New Roman" w:cs="Times New Roman" w:ascii="Times New Roman" w:hAnsi="Times New Roman"/>
          <w:color w:val="111111"/>
          <w:sz w:val="28"/>
          <w:szCs w:val="28"/>
          <w:lang w:val="en-US"/>
        </w:rPr>
        <w:t>Kedua, salah satu guru filsafat Zakaria Razi adalah Abu Zaid Balkhi</w:t>
      </w:r>
    </w:p>
    <w:p>
      <w:pPr>
        <w:pStyle w:val="BookText"/>
        <w:bidi w:val="0"/>
        <w:jc w:val="both"/>
        <w:rPr/>
      </w:pPr>
      <w:r>
        <w:rPr>
          <w:rFonts w:eastAsia="Times New Roman" w:cs="Times New Roman" w:ascii="Times New Roman" w:hAnsi="Times New Roman"/>
          <w:color w:val="111111"/>
          <w:sz w:val="28"/>
          <w:szCs w:val="28"/>
          <w:lang w:val="en-US"/>
        </w:rPr>
        <w:t>(w. 322 H)</w:t>
      </w:r>
      <w:r>
        <w:rPr>
          <w:rStyle w:val="FootnoteAnchor"/>
        </w:rPr>
        <w:footnoteReference w:id="122"/>
      </w:r>
      <w:r>
        <w:rPr>
          <w:rFonts w:eastAsia="Times New Roman" w:cs="Times New Roman" w:ascii="Times New Roman" w:hAnsi="Times New Roman"/>
          <w:color w:val="111111"/>
          <w:sz w:val="28"/>
          <w:szCs w:val="28"/>
          <w:lang w:val="en-US"/>
        </w:rPr>
        <w:t>yang bermazhab Syiah. Ini menjadi salah satu rujukan</w:t>
      </w:r>
    </w:p>
    <w:p>
      <w:pPr>
        <w:pStyle w:val="BookText"/>
        <w:bidi w:val="0"/>
        <w:jc w:val="both"/>
        <w:rPr/>
      </w:pPr>
      <w:r>
        <w:rPr>
          <w:rFonts w:eastAsia="Times New Roman" w:cs="Times New Roman" w:ascii="Times New Roman" w:hAnsi="Times New Roman"/>
          <w:color w:val="111111"/>
          <w:sz w:val="28"/>
          <w:szCs w:val="28"/>
          <w:lang w:val="en-US"/>
        </w:rPr>
        <w:t>yang menguatkan dugaan kesyiahan Razi.</w:t>
      </w:r>
    </w:p>
    <w:p>
      <w:pPr>
        <w:pStyle w:val="BookText"/>
        <w:bidi w:val="0"/>
        <w:jc w:val="both"/>
        <w:rPr/>
      </w:pPr>
      <w:r>
        <w:rPr>
          <w:rFonts w:eastAsia="Times New Roman" w:cs="Times New Roman" w:ascii="Times New Roman" w:hAnsi="Times New Roman"/>
          <w:color w:val="111111"/>
          <w:sz w:val="28"/>
          <w:szCs w:val="28"/>
          <w:lang w:val="en-US"/>
        </w:rPr>
        <w:t>Ketiga, pada pengantar dan penutup salah satu makalah (risalah)</w:t>
      </w:r>
    </w:p>
    <w:p>
      <w:pPr>
        <w:pStyle w:val="BookText"/>
        <w:bidi w:val="0"/>
        <w:jc w:val="both"/>
        <w:rPr/>
      </w:pPr>
      <w:r>
        <w:rPr>
          <w:rFonts w:eastAsia="Times New Roman" w:cs="Times New Roman" w:ascii="Times New Roman" w:hAnsi="Times New Roman"/>
          <w:color w:val="111111"/>
          <w:sz w:val="28"/>
          <w:szCs w:val="28"/>
          <w:lang w:val="en-US"/>
        </w:rPr>
        <w:t>Zakaria Razi yang dinukil Ibnu Thawus (w. 664 H) secara utuh dalam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Al-Amdan, tertera ungkapan yang lazimnya digunakan kalangan </w:t>
      </w:r>
      <w:bookmarkStart w:id="136" w:name="pg5378_50506"/>
    </w:p>
    <w:p>
      <w:pPr>
        <w:pStyle w:val="BookText"/>
        <w:bidi w:val="0"/>
        <w:rPr/>
      </w:pPr>
      <w:bookmarkEnd w:id="136"/>
      <w:r>
        <w:rPr>
          <w:rFonts w:eastAsia="Times New Roman" w:cs="Times New Roman" w:ascii="Times New Roman" w:hAnsi="Times New Roman"/>
          <w:color w:val="111111"/>
          <w:sz w:val="28"/>
          <w:szCs w:val="28"/>
          <w:lang w:val="en-US"/>
        </w:rPr>
        <w:t>penulis Syiah; yaitu shalawat kepada Rasulullah saw beserta keluarga</w:t>
      </w:r>
    </w:p>
    <w:p>
      <w:pPr>
        <w:pStyle w:val="BookText"/>
        <w:bidi w:val="0"/>
        <w:jc w:val="both"/>
        <w:rPr/>
      </w:pPr>
      <w:r>
        <w:rPr>
          <w:rFonts w:eastAsia="Times New Roman" w:cs="Times New Roman" w:ascii="Times New Roman" w:hAnsi="Times New Roman"/>
          <w:color w:val="111111"/>
          <w:sz w:val="28"/>
          <w:szCs w:val="28"/>
          <w:lang w:val="en-US"/>
        </w:rPr>
        <w:t>beliau.</w:t>
      </w:r>
    </w:p>
    <w:p>
      <w:pPr>
        <w:pStyle w:val="BookText"/>
        <w:bidi w:val="0"/>
        <w:jc w:val="both"/>
        <w:rPr/>
      </w:pPr>
      <w:r>
        <w:rPr>
          <w:rFonts w:eastAsia="Times New Roman" w:cs="Times New Roman" w:ascii="Times New Roman" w:hAnsi="Times New Roman"/>
          <w:color w:val="111111"/>
          <w:sz w:val="28"/>
          <w:szCs w:val="28"/>
          <w:lang w:val="en-US"/>
        </w:rPr>
        <w:t>Keempat, fakta bahwa semua penggugat gagasan religius Razi</w:t>
      </w:r>
    </w:p>
    <w:p>
      <w:pPr>
        <w:pStyle w:val="BookText"/>
        <w:bidi w:val="0"/>
        <w:jc w:val="both"/>
        <w:rPr/>
      </w:pPr>
      <w:r>
        <w:rPr>
          <w:rFonts w:eastAsia="Times New Roman" w:cs="Times New Roman" w:ascii="Times New Roman" w:hAnsi="Times New Roman"/>
          <w:color w:val="111111"/>
          <w:sz w:val="28"/>
          <w:szCs w:val="28"/>
          <w:lang w:val="en-US"/>
        </w:rPr>
        <w:t>bermazhab Ismailiyah, justru menyulut sikap skeptis terhadap</w:t>
      </w:r>
    </w:p>
    <w:p>
      <w:pPr>
        <w:pStyle w:val="BookText"/>
        <w:bidi w:val="0"/>
        <w:jc w:val="both"/>
        <w:rPr/>
      </w:pPr>
      <w:r>
        <w:rPr>
          <w:rFonts w:eastAsia="Times New Roman" w:cs="Times New Roman" w:ascii="Times New Roman" w:hAnsi="Times New Roman"/>
          <w:color w:val="111111"/>
          <w:sz w:val="28"/>
          <w:szCs w:val="28"/>
          <w:lang w:val="en-US"/>
        </w:rPr>
        <w:t>gugatan mereka yang sepihak itu. Mengapa dari seluruh teolog</w:t>
      </w:r>
    </w:p>
    <w:p>
      <w:pPr>
        <w:pStyle w:val="BookText"/>
        <w:bidi w:val="0"/>
        <w:jc w:val="both"/>
        <w:rPr/>
      </w:pPr>
      <w:r>
        <w:rPr>
          <w:rFonts w:eastAsia="Times New Roman" w:cs="Times New Roman" w:ascii="Times New Roman" w:hAnsi="Times New Roman"/>
          <w:color w:val="111111"/>
          <w:sz w:val="28"/>
          <w:szCs w:val="28"/>
          <w:lang w:val="en-US"/>
        </w:rPr>
        <w:t>sepanjang sejarah Islam, hanya orang-orang yang dikenal sebagai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kaum ateis”</w:t>
      </w:r>
      <w:r>
        <w:rPr>
          <w:rStyle w:val="FootnoteAnchor"/>
        </w:rPr>
        <w:footnoteReference w:id="123"/>
      </w:r>
      <w:r>
        <w:rPr>
          <w:rFonts w:eastAsia="Times New Roman" w:cs="Times New Roman" w:ascii="Times New Roman" w:hAnsi="Times New Roman"/>
          <w:color w:val="111111"/>
          <w:sz w:val="28"/>
          <w:szCs w:val="28"/>
          <w:lang w:val="en-US"/>
        </w:rPr>
        <w:t>saja yang menyebut Razi kafir dan tidak beragama?</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hangat gugatan kelompok Ismailiyah terhadapnya.</w:t>
      </w:r>
    </w:p>
    <w:p>
      <w:pPr>
        <w:pStyle w:val="Heading3"/>
        <w:numPr>
          <w:ilvl w:val="2"/>
          <w:numId w:val="1"/>
        </w:numPr>
        <w:bidi w:val="0"/>
        <w:jc w:val="left"/>
        <w:rPr/>
      </w:pPr>
      <w:bookmarkStart w:id="137" w:name="__RefHeading___Toc1351144_581953129"/>
      <w:bookmarkStart w:id="138" w:name="_Toc51"/>
      <w:bookmarkEnd w:id="137"/>
      <w:r>
        <w:rPr/>
        <w:t>Agama, Nihil Tolok Ukur Rasional</w:t>
      </w:r>
      <w:bookmarkEnd w:id="138"/>
    </w:p>
    <w:p>
      <w:pPr>
        <w:pStyle w:val="Heading4"/>
        <w:numPr>
          <w:ilvl w:val="3"/>
          <w:numId w:val="1"/>
        </w:numPr>
        <w:bidi w:val="0"/>
        <w:jc w:val="left"/>
        <w:rPr/>
      </w:pPr>
      <w:bookmarkStart w:id="139" w:name="__RefHeading___Toc1351146_581953129"/>
      <w:bookmarkStart w:id="140" w:name="_Toc52"/>
      <w:bookmarkEnd w:id="139"/>
      <w:r>
        <w:rPr/>
        <w:t>Point</w:t>
      </w:r>
      <w:bookmarkEnd w:id="140"/>
    </w:p>
    <w:p>
      <w:pPr>
        <w:pStyle w:val="BookText"/>
        <w:bidi w:val="0"/>
        <w:jc w:val="both"/>
        <w:rPr/>
      </w:pPr>
      <w:r>
        <w:rPr>
          <w:rFonts w:eastAsia="Times New Roman" w:cs="Times New Roman" w:ascii="Times New Roman" w:hAnsi="Times New Roman"/>
          <w:color w:val="111111"/>
          <w:sz w:val="28"/>
          <w:szCs w:val="28"/>
          <w:lang w:val="en-US"/>
        </w:rPr>
        <w:t>Kaum rasionalis radikal berusaha mengenyahkan agama dengan</w:t>
      </w:r>
    </w:p>
    <w:p>
      <w:pPr>
        <w:pStyle w:val="BookText"/>
        <w:bidi w:val="0"/>
        <w:jc w:val="both"/>
        <w:rPr/>
      </w:pPr>
      <w:r>
        <w:rPr>
          <w:rFonts w:eastAsia="Times New Roman" w:cs="Times New Roman" w:ascii="Times New Roman" w:hAnsi="Times New Roman"/>
          <w:color w:val="111111"/>
          <w:sz w:val="28"/>
          <w:szCs w:val="28"/>
          <w:lang w:val="en-US"/>
        </w:rPr>
        <w:t>menyebut ajarannya sebagai antiakal (antirasio). Dalam klaim</w:t>
      </w:r>
    </w:p>
    <w:p>
      <w:pPr>
        <w:pStyle w:val="BookText"/>
        <w:bidi w:val="0"/>
        <w:jc w:val="both"/>
        <w:rPr/>
      </w:pPr>
      <w:r>
        <w:rPr>
          <w:rFonts w:eastAsia="Times New Roman" w:cs="Times New Roman" w:ascii="Times New Roman" w:hAnsi="Times New Roman"/>
          <w:color w:val="111111"/>
          <w:sz w:val="28"/>
          <w:szCs w:val="28"/>
          <w:lang w:val="en-US"/>
        </w:rPr>
        <w:t>mereka, rasionalisme berbeda dengan religiusisme. Orang cerdas</w:t>
      </w:r>
    </w:p>
    <w:p>
      <w:pPr>
        <w:pStyle w:val="BookText"/>
        <w:bidi w:val="0"/>
        <w:jc w:val="both"/>
        <w:rPr/>
      </w:pPr>
      <w:r>
        <w:rPr>
          <w:rFonts w:eastAsia="Times New Roman" w:cs="Times New Roman" w:ascii="Times New Roman" w:hAnsi="Times New Roman"/>
          <w:color w:val="111111"/>
          <w:sz w:val="28"/>
          <w:szCs w:val="28"/>
          <w:lang w:val="en-US"/>
        </w:rPr>
        <w:t>yang ber-pegang teguh pada pokok-pokok dan tolok ukur rasional</w:t>
      </w:r>
    </w:p>
    <w:p>
      <w:pPr>
        <w:pStyle w:val="BookText"/>
        <w:bidi w:val="0"/>
        <w:jc w:val="both"/>
        <w:rPr/>
      </w:pPr>
      <w:r>
        <w:rPr>
          <w:rFonts w:eastAsia="Times New Roman" w:cs="Times New Roman" w:ascii="Times New Roman" w:hAnsi="Times New Roman"/>
          <w:color w:val="111111"/>
          <w:sz w:val="28"/>
          <w:szCs w:val="28"/>
          <w:lang w:val="en-US"/>
        </w:rPr>
        <w:t>mustahil menoleh ke religius. Ongkos intelektual dari keberagamaan</w:t>
      </w:r>
    </w:p>
    <w:p>
      <w:pPr>
        <w:pStyle w:val="BookText"/>
        <w:bidi w:val="0"/>
        <w:jc w:val="both"/>
        <w:rPr/>
      </w:pPr>
      <w:r>
        <w:rPr>
          <w:rFonts w:eastAsia="Times New Roman" w:cs="Times New Roman" w:ascii="Times New Roman" w:hAnsi="Times New Roman"/>
          <w:color w:val="111111"/>
          <w:sz w:val="28"/>
          <w:szCs w:val="28"/>
          <w:lang w:val="en-US"/>
        </w:rPr>
        <w:t>dan kepercayaan pada wahyu adalah dikorbankannya akal dan</w:t>
      </w:r>
    </w:p>
    <w:p>
      <w:pPr>
        <w:pStyle w:val="BookText"/>
        <w:bidi w:val="0"/>
        <w:jc w:val="both"/>
        <w:rPr/>
      </w:pPr>
      <w:r>
        <w:rPr>
          <w:rFonts w:eastAsia="Times New Roman" w:cs="Times New Roman" w:ascii="Times New Roman" w:hAnsi="Times New Roman"/>
          <w:color w:val="111111"/>
          <w:sz w:val="28"/>
          <w:szCs w:val="28"/>
          <w:lang w:val="en-US"/>
        </w:rPr>
        <w:t>realitas.</w:t>
      </w:r>
      <w:r>
        <w:rPr>
          <w:rStyle w:val="FootnoteAnchor"/>
        </w:rPr>
        <w:footnoteReference w:id="125"/>
      </w:r>
      <w:r>
        <w:rPr>
          <w:rFonts w:eastAsia="Times New Roman" w:cs="Times New Roman" w:ascii="Times New Roman" w:hAnsi="Times New Roman"/>
          <w:color w:val="111111"/>
          <w:sz w:val="28"/>
          <w:szCs w:val="28"/>
          <w:lang w:val="en-US"/>
        </w:rPr>
        <w:t>' Tak ada keharusan untuk percaya pada wahyu. Lebih</w:t>
      </w:r>
    </w:p>
    <w:p>
      <w:pPr>
        <w:pStyle w:val="BookText"/>
        <w:bidi w:val="0"/>
        <w:jc w:val="both"/>
        <w:rPr/>
      </w:pPr>
      <w:r>
        <w:rPr>
          <w:rFonts w:eastAsia="Times New Roman" w:cs="Times New Roman" w:ascii="Times New Roman" w:hAnsi="Times New Roman"/>
          <w:color w:val="111111"/>
          <w:sz w:val="28"/>
          <w:szCs w:val="28"/>
          <w:lang w:val="en-US"/>
        </w:rPr>
        <w:t>dari itu, karakter agama yang antiakal meniscayakan kita untuk</w:t>
      </w:r>
    </w:p>
    <w:p>
      <w:pPr>
        <w:pStyle w:val="BookText"/>
        <w:bidi w:val="0"/>
        <w:jc w:val="both"/>
        <w:rPr/>
      </w:pPr>
      <w:r>
        <w:rPr>
          <w:rFonts w:eastAsia="Times New Roman" w:cs="Times New Roman" w:ascii="Times New Roman" w:hAnsi="Times New Roman"/>
          <w:color w:val="111111"/>
          <w:sz w:val="28"/>
          <w:szCs w:val="28"/>
          <w:lang w:val="en-US"/>
        </w:rPr>
        <w:t>menjauhi akal. Karenanya, mereka mengimbau orang yang berakal</w:t>
      </w:r>
    </w:p>
    <w:p>
      <w:pPr>
        <w:pStyle w:val="BookText"/>
        <w:bidi w:val="0"/>
        <w:jc w:val="both"/>
        <w:rPr/>
      </w:pPr>
      <w:r>
        <w:rPr>
          <w:rFonts w:eastAsia="Times New Roman" w:cs="Times New Roman" w:ascii="Times New Roman" w:hAnsi="Times New Roman"/>
          <w:color w:val="111111"/>
          <w:sz w:val="28"/>
          <w:szCs w:val="28"/>
          <w:lang w:val="en-US"/>
        </w:rPr>
        <w:t>untuk mengubah prasasti hidup mereka dari “iman, harapan dan</w:t>
      </w:r>
    </w:p>
    <w:p>
      <w:pPr>
        <w:pStyle w:val="BookText"/>
        <w:bidi w:val="0"/>
        <w:jc w:val="both"/>
        <w:rPr/>
      </w:pPr>
      <w:r>
        <w:rPr>
          <w:rFonts w:eastAsia="Times New Roman" w:cs="Times New Roman" w:ascii="Times New Roman" w:hAnsi="Times New Roman"/>
          <w:color w:val="111111"/>
          <w:sz w:val="28"/>
          <w:szCs w:val="28"/>
          <w:lang w:val="en-US"/>
        </w:rPr>
        <w:t>kerinduan” menjadi “akal, kerinduan dan kelezatan”.</w:t>
      </w:r>
      <w:r>
        <w:rPr>
          <w:rStyle w:val="FootnoteAnchor"/>
        </w:rPr>
        <w:footnoteReference w:id="126"/>
      </w:r>
      <w:r>
        <w:rPr>
          <w:rFonts w:eastAsia="Times New Roman" w:cs="Times New Roman" w:ascii="Times New Roman" w:hAnsi="Times New Roman"/>
          <w:color w:val="111111"/>
          <w:sz w:val="28"/>
          <w:szCs w:val="28"/>
          <w:lang w:val="en-US"/>
        </w:rPr>
        <w:t>Paradigma</w:t>
      </w:r>
    </w:p>
    <w:p>
      <w:pPr>
        <w:pStyle w:val="BookText"/>
        <w:bidi w:val="0"/>
        <w:jc w:val="both"/>
        <w:rPr/>
      </w:pPr>
      <w:r>
        <w:rPr>
          <w:rFonts w:eastAsia="Times New Roman" w:cs="Times New Roman" w:ascii="Times New Roman" w:hAnsi="Times New Roman"/>
          <w:color w:val="111111"/>
          <w:sz w:val="28"/>
          <w:szCs w:val="28"/>
          <w:lang w:val="en-US"/>
        </w:rPr>
        <w:t>berpikir semacam ini bisa dilihat salah satunya dalam Evidensialisme</w:t>
      </w:r>
      <w:r>
        <w:rPr>
          <w:rStyle w:val="FootnoteAnchor"/>
        </w:rPr>
        <w:footnoteReference w:id="12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menjadi kriterium Abad Pencerahan (Enlightenment). </w:t>
      </w:r>
      <w:bookmarkStart w:id="141" w:name="pg5378_50508"/>
    </w:p>
    <w:p>
      <w:pPr>
        <w:pStyle w:val="Heading4"/>
        <w:numPr>
          <w:ilvl w:val="3"/>
          <w:numId w:val="1"/>
        </w:numPr>
        <w:bidi w:val="0"/>
        <w:jc w:val="left"/>
        <w:rPr/>
      </w:pPr>
      <w:bookmarkStart w:id="142" w:name="__RefHeading___Toc1351148_581953129"/>
      <w:bookmarkStart w:id="143" w:name="_Toc53"/>
      <w:bookmarkEnd w:id="141"/>
      <w:bookmarkEnd w:id="142"/>
      <w:r>
        <w:rPr/>
        <w:t>Evidensialisme</w:t>
      </w:r>
      <w:bookmarkEnd w:id="143"/>
    </w:p>
    <w:p>
      <w:pPr>
        <w:pStyle w:val="BookText"/>
        <w:bidi w:val="0"/>
        <w:jc w:val="both"/>
        <w:rPr/>
      </w:pPr>
      <w:r>
        <w:rPr>
          <w:rFonts w:eastAsia="Times New Roman" w:cs="Times New Roman" w:ascii="Times New Roman" w:hAnsi="Times New Roman"/>
          <w:color w:val="111111"/>
          <w:sz w:val="28"/>
          <w:szCs w:val="28"/>
          <w:lang w:val="en-US"/>
        </w:rPr>
        <w:t>Para penulis sejarah pada umumnya mengklasifikasi sejarah Eropa</w:t>
      </w:r>
    </w:p>
    <w:p>
      <w:pPr>
        <w:pStyle w:val="BookText"/>
        <w:bidi w:val="0"/>
        <w:jc w:val="both"/>
        <w:rPr/>
      </w:pPr>
      <w:r>
        <w:rPr>
          <w:rFonts w:eastAsia="Times New Roman" w:cs="Times New Roman" w:ascii="Times New Roman" w:hAnsi="Times New Roman"/>
          <w:color w:val="111111"/>
          <w:sz w:val="28"/>
          <w:szCs w:val="28"/>
          <w:lang w:val="en-US"/>
        </w:rPr>
        <w:t>ke dalam beberapa periode seperti: masa kuno, abad pertengahan</w:t>
      </w:r>
    </w:p>
    <w:p>
      <w:pPr>
        <w:pStyle w:val="BookText"/>
        <w:bidi w:val="0"/>
        <w:jc w:val="both"/>
        <w:rPr/>
      </w:pPr>
      <w:r>
        <w:rPr>
          <w:rFonts w:eastAsia="Times New Roman" w:cs="Times New Roman" w:ascii="Times New Roman" w:hAnsi="Times New Roman"/>
          <w:color w:val="111111"/>
          <w:sz w:val="28"/>
          <w:szCs w:val="28"/>
          <w:lang w:val="en-US"/>
        </w:rPr>
        <w:t>(medieval), dan era modern. Sementara era modern sendiri diklasifikasi</w:t>
      </w:r>
    </w:p>
    <w:p>
      <w:pPr>
        <w:pStyle w:val="BookText"/>
        <w:bidi w:val="0"/>
        <w:jc w:val="both"/>
        <w:rPr/>
      </w:pPr>
      <w:r>
        <w:rPr>
          <w:rFonts w:eastAsia="Times New Roman" w:cs="Times New Roman" w:ascii="Times New Roman" w:hAnsi="Times New Roman"/>
          <w:color w:val="111111"/>
          <w:sz w:val="28"/>
          <w:szCs w:val="28"/>
          <w:lang w:val="en-US"/>
        </w:rPr>
        <w:t>dalam beberapa era: renaisans (kebangkitan kembali), reformasi, dan</w:t>
      </w:r>
    </w:p>
    <w:p>
      <w:pPr>
        <w:pStyle w:val="BookText"/>
        <w:bidi w:val="0"/>
        <w:jc w:val="both"/>
        <w:rPr/>
      </w:pPr>
      <w:r>
        <w:rPr>
          <w:rFonts w:eastAsia="Times New Roman" w:cs="Times New Roman" w:ascii="Times New Roman" w:hAnsi="Times New Roman"/>
          <w:color w:val="111111"/>
          <w:sz w:val="28"/>
          <w:szCs w:val="28"/>
          <w:lang w:val="en-US"/>
        </w:rPr>
        <w:t>pencerahan. Kendati periode-periode sejarah itu bersifat longgar,</w:t>
      </w:r>
    </w:p>
    <w:p>
      <w:pPr>
        <w:pStyle w:val="BookText"/>
        <w:bidi w:val="0"/>
        <w:jc w:val="both"/>
        <w:rPr/>
      </w:pPr>
      <w:r>
        <w:rPr>
          <w:rFonts w:eastAsia="Times New Roman" w:cs="Times New Roman" w:ascii="Times New Roman" w:hAnsi="Times New Roman"/>
          <w:color w:val="111111"/>
          <w:sz w:val="28"/>
          <w:szCs w:val="28"/>
          <w:lang w:val="en-US"/>
        </w:rPr>
        <w:t>namun pada umumnya, sejak abad XVIII, sejarah memasuki era</w:t>
      </w:r>
    </w:p>
    <w:p>
      <w:pPr>
        <w:pStyle w:val="BookText"/>
        <w:bidi w:val="0"/>
        <w:jc w:val="both"/>
        <w:rPr/>
      </w:pPr>
      <w:r>
        <w:rPr>
          <w:rFonts w:eastAsia="Times New Roman" w:cs="Times New Roman" w:ascii="Times New Roman" w:hAnsi="Times New Roman"/>
          <w:color w:val="111111"/>
          <w:sz w:val="28"/>
          <w:szCs w:val="28"/>
          <w:lang w:val="en-US"/>
        </w:rPr>
        <w:t>baru yang disebut Abad Pencerahan itu. Kekhasan diskursif pada</w:t>
      </w:r>
    </w:p>
    <w:p>
      <w:pPr>
        <w:pStyle w:val="BookText"/>
        <w:bidi w:val="0"/>
        <w:jc w:val="both"/>
        <w:rPr/>
      </w:pPr>
      <w:r>
        <w:rPr>
          <w:rFonts w:eastAsia="Times New Roman" w:cs="Times New Roman" w:ascii="Times New Roman" w:hAnsi="Times New Roman"/>
          <w:color w:val="111111"/>
          <w:sz w:val="28"/>
          <w:szCs w:val="28"/>
          <w:lang w:val="en-US"/>
        </w:rPr>
        <w:t>era ini adalah usaha membebaskan rasio dari belenggu tahayul</w:t>
      </w:r>
    </w:p>
    <w:p>
      <w:pPr>
        <w:pStyle w:val="BookText"/>
        <w:bidi w:val="0"/>
        <w:jc w:val="both"/>
        <w:rPr/>
      </w:pPr>
      <w:r>
        <w:rPr>
          <w:rFonts w:eastAsia="Times New Roman" w:cs="Times New Roman" w:ascii="Times New Roman" w:hAnsi="Times New Roman"/>
          <w:color w:val="111111"/>
          <w:sz w:val="28"/>
          <w:szCs w:val="28"/>
          <w:lang w:val="en-US"/>
        </w:rPr>
        <w:t>(khurafat). Dan menurut sejumlah pemikirnya, salah satu tahayul</w:t>
      </w:r>
    </w:p>
    <w:p>
      <w:pPr>
        <w:pStyle w:val="BookText"/>
        <w:bidi w:val="0"/>
        <w:jc w:val="both"/>
        <w:rPr/>
      </w:pPr>
      <w:r>
        <w:rPr>
          <w:rFonts w:eastAsia="Times New Roman" w:cs="Times New Roman" w:ascii="Times New Roman" w:hAnsi="Times New Roman"/>
          <w:color w:val="111111"/>
          <w:sz w:val="28"/>
          <w:szCs w:val="28"/>
          <w:lang w:val="en-US"/>
        </w:rPr>
        <w:t>paling berbahaya dan merintangi kemajuan umat manusia adalah</w:t>
      </w:r>
    </w:p>
    <w:p>
      <w:pPr>
        <w:pStyle w:val="BookText"/>
        <w:bidi w:val="0"/>
        <w:jc w:val="both"/>
        <w:rPr/>
      </w:pPr>
      <w:r>
        <w:rPr>
          <w:rFonts w:eastAsia="Times New Roman" w:cs="Times New Roman" w:ascii="Times New Roman" w:hAnsi="Times New Roman"/>
          <w:color w:val="111111"/>
          <w:sz w:val="28"/>
          <w:szCs w:val="28"/>
          <w:lang w:val="en-US"/>
        </w:rPr>
        <w:t>agama dan keberagamaan. Salah seorang tokohnya, Denis Diderot</w:t>
      </w:r>
    </w:p>
    <w:p>
      <w:pPr>
        <w:pStyle w:val="BookText"/>
        <w:bidi w:val="0"/>
        <w:jc w:val="both"/>
        <w:rPr/>
      </w:pPr>
      <w:r>
        <w:rPr>
          <w:rFonts w:eastAsia="Times New Roman" w:cs="Times New Roman" w:ascii="Times New Roman" w:hAnsi="Times New Roman"/>
          <w:color w:val="111111"/>
          <w:sz w:val="28"/>
          <w:szCs w:val="28"/>
          <w:lang w:val="en-US"/>
        </w:rPr>
        <w:t>(1713-1784), mengungkapkan pesan alam untuk manusia modern:</w:t>
      </w:r>
    </w:p>
    <w:p>
      <w:pPr>
        <w:pStyle w:val="BookText"/>
        <w:bidi w:val="0"/>
        <w:jc w:val="both"/>
        <w:rPr/>
      </w:pPr>
      <w:r>
        <w:rPr>
          <w:rFonts w:eastAsia="Times New Roman" w:cs="Times New Roman" w:ascii="Times New Roman" w:hAnsi="Times New Roman"/>
          <w:color w:val="111111"/>
          <w:sz w:val="28"/>
          <w:szCs w:val="28"/>
          <w:lang w:val="en-US"/>
        </w:rPr>
        <w:t>Hai budak tahayul! Jangan cari kebahagiaan di luar batas dunia ini.</w:t>
      </w:r>
    </w:p>
    <w:p>
      <w:pPr>
        <w:pStyle w:val="BookText"/>
        <w:bidi w:val="0"/>
        <w:jc w:val="both"/>
        <w:rPr/>
      </w:pPr>
      <w:r>
        <w:rPr>
          <w:rFonts w:eastAsia="Times New Roman" w:cs="Times New Roman" w:ascii="Times New Roman" w:hAnsi="Times New Roman"/>
          <w:color w:val="111111"/>
          <w:sz w:val="28"/>
          <w:szCs w:val="28"/>
          <w:lang w:val="en-US"/>
        </w:rPr>
        <w:t>Dirimu telah kutetapkan di sana. Beranilah dan bebaskan dirimu</w:t>
      </w:r>
    </w:p>
    <w:p>
      <w:pPr>
        <w:pStyle w:val="BookText"/>
        <w:bidi w:val="0"/>
        <w:jc w:val="both"/>
        <w:rPr/>
      </w:pPr>
      <w:r>
        <w:rPr>
          <w:rFonts w:eastAsia="Times New Roman" w:cs="Times New Roman" w:ascii="Times New Roman" w:hAnsi="Times New Roman"/>
          <w:color w:val="111111"/>
          <w:sz w:val="28"/>
          <w:szCs w:val="28"/>
          <w:lang w:val="en-US"/>
        </w:rPr>
        <w:t>dari tindasan agama; musuh bebuyutanku yang sama sekali tidak</w:t>
      </w:r>
    </w:p>
    <w:p>
      <w:pPr>
        <w:pStyle w:val="BookText"/>
        <w:bidi w:val="0"/>
        <w:jc w:val="both"/>
        <w:rPr/>
      </w:pPr>
      <w:r>
        <w:rPr>
          <w:rFonts w:eastAsia="Times New Roman" w:cs="Times New Roman" w:ascii="Times New Roman" w:hAnsi="Times New Roman"/>
          <w:color w:val="111111"/>
          <w:sz w:val="28"/>
          <w:szCs w:val="28"/>
          <w:lang w:val="en-US"/>
        </w:rPr>
        <w:t>mengenal hak-hakku. Hempaskan tuhan-tuhan yang merampas</w:t>
      </w:r>
    </w:p>
    <w:p>
      <w:pPr>
        <w:pStyle w:val="BookText"/>
        <w:bidi w:val="0"/>
        <w:jc w:val="both"/>
        <w:rPr/>
      </w:pPr>
      <w:r>
        <w:rPr>
          <w:rFonts w:eastAsia="Times New Roman" w:cs="Times New Roman" w:ascii="Times New Roman" w:hAnsi="Times New Roman"/>
          <w:color w:val="111111"/>
          <w:sz w:val="28"/>
          <w:szCs w:val="28"/>
          <w:lang w:val="en-US"/>
        </w:rPr>
        <w:t>kekuasaan-ku dan kembalilah pada hukum-hukumku ... serahkan</w:t>
      </w:r>
    </w:p>
    <w:p>
      <w:pPr>
        <w:pStyle w:val="BookText"/>
        <w:bidi w:val="0"/>
        <w:jc w:val="both"/>
        <w:rPr/>
      </w:pPr>
      <w:r>
        <w:rPr>
          <w:rFonts w:eastAsia="Times New Roman" w:cs="Times New Roman" w:ascii="Times New Roman" w:hAnsi="Times New Roman"/>
          <w:color w:val="111111"/>
          <w:sz w:val="28"/>
          <w:szCs w:val="28"/>
          <w:lang w:val="en-US"/>
        </w:rPr>
        <w:t>kembali dirimu kepada kemanusiaan dan kepadaku. Saat itu kau</w:t>
      </w:r>
    </w:p>
    <w:p>
      <w:pPr>
        <w:pStyle w:val="BookText"/>
        <w:bidi w:val="0"/>
        <w:jc w:val="both"/>
        <w:rPr/>
      </w:pPr>
      <w:r>
        <w:rPr>
          <w:rFonts w:eastAsia="Times New Roman" w:cs="Times New Roman" w:ascii="Times New Roman" w:hAnsi="Times New Roman"/>
          <w:color w:val="111111"/>
          <w:sz w:val="28"/>
          <w:szCs w:val="28"/>
          <w:lang w:val="en-US"/>
        </w:rPr>
        <w:t>akan temukan jalan hidupmu diguyur hujan bunga.</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Mayoritas pakar dan pemikir Abad Pencerahan memusuhi gereja</w:t>
      </w:r>
    </w:p>
    <w:p>
      <w:pPr>
        <w:pStyle w:val="BookText"/>
        <w:bidi w:val="0"/>
        <w:jc w:val="both"/>
        <w:rPr/>
      </w:pPr>
      <w:r>
        <w:rPr>
          <w:rFonts w:eastAsia="Times New Roman" w:cs="Times New Roman" w:ascii="Times New Roman" w:hAnsi="Times New Roman"/>
          <w:color w:val="111111"/>
          <w:sz w:val="28"/>
          <w:szCs w:val="28"/>
          <w:lang w:val="en-US"/>
        </w:rPr>
        <w:t>dan melawan manipulasi para pendeta; bukan terhadap agama dan</w:t>
      </w:r>
    </w:p>
    <w:p>
      <w:pPr>
        <w:pStyle w:val="BookText"/>
        <w:bidi w:val="0"/>
        <w:jc w:val="both"/>
        <w:rPr/>
      </w:pPr>
      <w:r>
        <w:rPr>
          <w:rFonts w:eastAsia="Times New Roman" w:cs="Times New Roman" w:ascii="Times New Roman" w:hAnsi="Times New Roman"/>
          <w:color w:val="111111"/>
          <w:sz w:val="28"/>
          <w:szCs w:val="28"/>
          <w:lang w:val="en-US"/>
        </w:rPr>
        <w:t>iman. Namun, generasi-generasi pemikir setelahnya tidak terlalu</w:t>
      </w:r>
    </w:p>
    <w:p>
      <w:pPr>
        <w:pStyle w:val="BookText"/>
        <w:bidi w:val="0"/>
        <w:jc w:val="both"/>
        <w:rPr/>
      </w:pPr>
      <w:r>
        <w:rPr>
          <w:rFonts w:eastAsia="Times New Roman" w:cs="Times New Roman" w:ascii="Times New Roman" w:hAnsi="Times New Roman"/>
          <w:color w:val="111111"/>
          <w:sz w:val="28"/>
          <w:szCs w:val="28"/>
          <w:lang w:val="en-US"/>
        </w:rPr>
        <w:t>mem-persoalkan perbedaan ini. Ujung-ujungnya mereka percaya,</w:t>
      </w:r>
    </w:p>
    <w:p>
      <w:pPr>
        <w:pStyle w:val="BookText"/>
        <w:bidi w:val="0"/>
        <w:jc w:val="both"/>
        <w:rPr/>
      </w:pPr>
      <w:r>
        <w:rPr>
          <w:rFonts w:eastAsia="Times New Roman" w:cs="Times New Roman" w:ascii="Times New Roman" w:hAnsi="Times New Roman"/>
          <w:color w:val="111111"/>
          <w:sz w:val="28"/>
          <w:szCs w:val="28"/>
          <w:lang w:val="en-US"/>
        </w:rPr>
        <w:t>melawan agama wahyuni merupakan tugas manusia rasional dan</w:t>
      </w:r>
    </w:p>
    <w:p>
      <w:pPr>
        <w:pStyle w:val="BookText"/>
        <w:bidi w:val="0"/>
        <w:jc w:val="both"/>
        <w:rPr/>
      </w:pPr>
      <w:r>
        <w:rPr>
          <w:rFonts w:eastAsia="Times New Roman" w:cs="Times New Roman" w:ascii="Times New Roman" w:hAnsi="Times New Roman"/>
          <w:color w:val="111111"/>
          <w:sz w:val="28"/>
          <w:szCs w:val="28"/>
          <w:lang w:val="en-US"/>
        </w:rPr>
        <w:t>tercerahkan.</w:t>
      </w:r>
    </w:p>
    <w:p>
      <w:pPr>
        <w:pStyle w:val="BookText"/>
        <w:bidi w:val="0"/>
        <w:jc w:val="both"/>
        <w:rPr/>
      </w:pPr>
      <w:r>
        <w:rPr>
          <w:rFonts w:eastAsia="Times New Roman" w:cs="Times New Roman" w:ascii="Times New Roman" w:hAnsi="Times New Roman"/>
          <w:color w:val="111111"/>
          <w:sz w:val="28"/>
          <w:szCs w:val="28"/>
          <w:lang w:val="en-US"/>
        </w:rPr>
        <w:t>Alhasil, ciri utama dan dasar pemikiran Abad Pencerahan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adalah Evidensialisme.</w:t>
      </w:r>
      <w:r>
        <w:rPr>
          <w:rStyle w:val="FootnoteAnchor"/>
        </w:rPr>
        <w:footnoteReference w:id="129"/>
      </w:r>
      <w:r>
        <w:rPr>
          <w:rFonts w:eastAsia="Times New Roman" w:cs="Times New Roman" w:ascii="Times New Roman" w:hAnsi="Times New Roman"/>
          <w:color w:val="111111"/>
          <w:sz w:val="28"/>
          <w:szCs w:val="28"/>
          <w:lang w:val="en-US"/>
        </w:rPr>
        <w:t xml:space="preserve">Maksudnya, manusia rasional tidak boleh </w:t>
      </w:r>
    </w:p>
    <w:p>
      <w:pPr>
        <w:pStyle w:val="BookText"/>
        <w:bidi w:val="0"/>
        <w:rPr/>
      </w:pPr>
      <w:r>
        <w:rPr>
          <w:rFonts w:eastAsia="Times New Roman" w:cs="Times New Roman" w:ascii="Times New Roman" w:hAnsi="Times New Roman"/>
          <w:color w:val="111111"/>
          <w:sz w:val="28"/>
          <w:szCs w:val="28"/>
          <w:lang w:val="en-US"/>
        </w:rPr>
        <w:t>meyakini dan mengimani sesuatu tanpa saksi dan bukti memadai.</w:t>
      </w:r>
    </w:p>
    <w:p>
      <w:pPr>
        <w:pStyle w:val="BookText"/>
        <w:bidi w:val="0"/>
        <w:jc w:val="both"/>
        <w:rPr/>
      </w:pPr>
      <w:r>
        <w:rPr>
          <w:rFonts w:eastAsia="Times New Roman" w:cs="Times New Roman" w:ascii="Times New Roman" w:hAnsi="Times New Roman"/>
          <w:color w:val="111111"/>
          <w:sz w:val="28"/>
          <w:szCs w:val="28"/>
          <w:lang w:val="en-US"/>
        </w:rPr>
        <w:t>Motto gerakan wacana ini terwakili dalam diktum termasyhur W.</w:t>
      </w:r>
    </w:p>
    <w:p>
      <w:pPr>
        <w:pStyle w:val="BookText"/>
        <w:bidi w:val="0"/>
        <w:jc w:val="both"/>
        <w:rPr/>
      </w:pPr>
      <w:r>
        <w:rPr>
          <w:rFonts w:eastAsia="Times New Roman" w:cs="Times New Roman" w:ascii="Times New Roman" w:hAnsi="Times New Roman"/>
          <w:color w:val="111111"/>
          <w:sz w:val="28"/>
          <w:szCs w:val="28"/>
          <w:lang w:val="en-US"/>
        </w:rPr>
        <w:t>K. Clifford (1845-1879):</w:t>
      </w:r>
    </w:p>
    <w:p>
      <w:pPr>
        <w:pStyle w:val="BookText"/>
        <w:bidi w:val="0"/>
        <w:jc w:val="both"/>
        <w:rPr/>
      </w:pPr>
      <w:r>
        <w:rPr>
          <w:rFonts w:eastAsia="Times New Roman" w:cs="Times New Roman" w:ascii="Times New Roman" w:hAnsi="Times New Roman"/>
          <w:color w:val="111111"/>
          <w:sz w:val="28"/>
          <w:szCs w:val="28"/>
          <w:lang w:val="en-US"/>
        </w:rPr>
        <w:t>Sungguh keliru bila kapanpun, di manapun, dan siapapun,</w:t>
      </w:r>
    </w:p>
    <w:p>
      <w:pPr>
        <w:pStyle w:val="BookText"/>
        <w:bidi w:val="0"/>
        <w:jc w:val="both"/>
        <w:rPr/>
      </w:pPr>
      <w:r>
        <w:rPr>
          <w:rFonts w:eastAsia="Times New Roman" w:cs="Times New Roman" w:ascii="Times New Roman" w:hAnsi="Times New Roman"/>
          <w:color w:val="111111"/>
          <w:sz w:val="28"/>
          <w:szCs w:val="28"/>
          <w:lang w:val="en-US"/>
        </w:rPr>
        <w:t>mempercayai apa pun dengan bukti yang tidak memadai.</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Clifford dan kalangan pemikir yang sealiran dengannya menan</w:t>
      </w:r>
    </w:p>
    <w:p>
      <w:pPr>
        <w:pStyle w:val="BookText"/>
        <w:bidi w:val="0"/>
        <w:jc w:val="both"/>
        <w:rPr/>
      </w:pPr>
      <w:r>
        <w:rPr>
          <w:rFonts w:eastAsia="Times New Roman" w:cs="Times New Roman" w:ascii="Times New Roman" w:hAnsi="Times New Roman"/>
          <w:color w:val="111111"/>
          <w:sz w:val="28"/>
          <w:szCs w:val="28"/>
          <w:lang w:val="en-US"/>
        </w:rPr>
        <w:t>daskan bahwa rasionalitas setiap proposisi bergantung pada bukti</w:t>
      </w:r>
    </w:p>
    <w:p>
      <w:pPr>
        <w:pStyle w:val="BookText"/>
        <w:bidi w:val="0"/>
        <w:jc w:val="both"/>
        <w:rPr/>
      </w:pPr>
      <w:r>
        <w:rPr>
          <w:rFonts w:eastAsia="Times New Roman" w:cs="Times New Roman" w:ascii="Times New Roman" w:hAnsi="Times New Roman"/>
          <w:color w:val="111111"/>
          <w:sz w:val="28"/>
          <w:szCs w:val="28"/>
          <w:lang w:val="en-US"/>
        </w:rPr>
        <w:t>pendukung yang memadai. Entah secara implisit maupun eksplisit,</w:t>
      </w:r>
    </w:p>
    <w:p>
      <w:pPr>
        <w:pStyle w:val="BookText"/>
        <w:bidi w:val="0"/>
        <w:jc w:val="both"/>
        <w:rPr/>
      </w:pPr>
      <w:r>
        <w:rPr>
          <w:rFonts w:eastAsia="Times New Roman" w:cs="Times New Roman" w:ascii="Times New Roman" w:hAnsi="Times New Roman"/>
          <w:color w:val="111111"/>
          <w:sz w:val="28"/>
          <w:szCs w:val="28"/>
          <w:lang w:val="en-US"/>
        </w:rPr>
        <w:t>mereka menggugat ajaran agama. Kepercayaan religius, salah satunya,</w:t>
      </w:r>
    </w:p>
    <w:p>
      <w:pPr>
        <w:pStyle w:val="BookText"/>
        <w:bidi w:val="0"/>
        <w:jc w:val="both"/>
        <w:rPr/>
      </w:pPr>
      <w:r>
        <w:rPr>
          <w:rFonts w:eastAsia="Times New Roman" w:cs="Times New Roman" w:ascii="Times New Roman" w:hAnsi="Times New Roman"/>
          <w:color w:val="111111"/>
          <w:sz w:val="28"/>
          <w:szCs w:val="28"/>
          <w:lang w:val="en-US"/>
        </w:rPr>
        <w:t>kepada eksistensi Tuhan tidaklah rasional, karena tidak ada bukti</w:t>
      </w:r>
    </w:p>
    <w:p>
      <w:pPr>
        <w:pStyle w:val="BookText"/>
        <w:bidi w:val="0"/>
        <w:jc w:val="both"/>
        <w:rPr/>
      </w:pPr>
      <w:r>
        <w:rPr>
          <w:rFonts w:eastAsia="Times New Roman" w:cs="Times New Roman" w:ascii="Times New Roman" w:hAnsi="Times New Roman"/>
          <w:color w:val="111111"/>
          <w:sz w:val="28"/>
          <w:szCs w:val="28"/>
          <w:lang w:val="en-US"/>
        </w:rPr>
        <w:t>yang memuaskan akal. Konon, Bertrand Russell (1872-1970) pernah</w:t>
      </w:r>
    </w:p>
    <w:p>
      <w:pPr>
        <w:pStyle w:val="BookText"/>
        <w:bidi w:val="0"/>
        <w:jc w:val="both"/>
        <w:rPr/>
      </w:pPr>
      <w:r>
        <w:rPr>
          <w:rFonts w:eastAsia="Times New Roman" w:cs="Times New Roman" w:ascii="Times New Roman" w:hAnsi="Times New Roman"/>
          <w:color w:val="111111"/>
          <w:sz w:val="28"/>
          <w:szCs w:val="28"/>
          <w:lang w:val="en-US"/>
        </w:rPr>
        <w:t>ditanya, “Bila setelah mati Anda dipanggil ke hadapan Tuhan lalu</w:t>
      </w:r>
    </w:p>
    <w:p>
      <w:pPr>
        <w:pStyle w:val="BookText"/>
        <w:bidi w:val="0"/>
        <w:jc w:val="both"/>
        <w:rPr/>
      </w:pPr>
      <w:r>
        <w:rPr>
          <w:rFonts w:eastAsia="Times New Roman" w:cs="Times New Roman" w:ascii="Times New Roman" w:hAnsi="Times New Roman"/>
          <w:color w:val="111111"/>
          <w:sz w:val="28"/>
          <w:szCs w:val="28"/>
          <w:lang w:val="en-US"/>
        </w:rPr>
        <w:t>ditanya, ‘Mengapa tidak percaya pada eksistensi Tuhan dan nilai</w:t>
      </w:r>
    </w:p>
    <w:p>
      <w:pPr>
        <w:pStyle w:val="BookText"/>
        <w:bidi w:val="0"/>
        <w:jc w:val="both"/>
        <w:rPr/>
      </w:pPr>
      <w:r>
        <w:rPr>
          <w:rFonts w:eastAsia="Times New Roman" w:cs="Times New Roman" w:ascii="Times New Roman" w:hAnsi="Times New Roman"/>
          <w:color w:val="111111"/>
          <w:sz w:val="28"/>
          <w:szCs w:val="28"/>
          <w:lang w:val="en-US"/>
        </w:rPr>
        <w:t>wahyu, apa jawaban Anda?” Dengan tenang dia menjawab, “Saya</w:t>
      </w:r>
    </w:p>
    <w:p>
      <w:pPr>
        <w:pStyle w:val="BookText"/>
        <w:bidi w:val="0"/>
        <w:jc w:val="both"/>
        <w:rPr/>
      </w:pPr>
      <w:r>
        <w:rPr>
          <w:rFonts w:eastAsia="Times New Roman" w:cs="Times New Roman" w:ascii="Times New Roman" w:hAnsi="Times New Roman"/>
          <w:color w:val="111111"/>
          <w:sz w:val="28"/>
          <w:szCs w:val="28"/>
          <w:lang w:val="en-US"/>
        </w:rPr>
        <w:t>akan menjawab pertanyaan itu, ‘Oh Tuhan! Bukti-bukti tidak cukup,</w:t>
      </w:r>
    </w:p>
    <w:p>
      <w:pPr>
        <w:pStyle w:val="BookText"/>
        <w:bidi w:val="0"/>
        <w:jc w:val="both"/>
        <w:rPr/>
      </w:pPr>
      <w:r>
        <w:rPr>
          <w:rFonts w:eastAsia="Times New Roman" w:cs="Times New Roman" w:ascii="Times New Roman" w:hAnsi="Times New Roman"/>
          <w:color w:val="111111"/>
          <w:sz w:val="28"/>
          <w:szCs w:val="28"/>
          <w:lang w:val="en-US"/>
        </w:rPr>
        <w:t>bukti-bukti tidak cukup!’</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Clifford yang begitu gigih dan efektif membela Evidensialisme</w:t>
      </w:r>
    </w:p>
    <w:p>
      <w:pPr>
        <w:pStyle w:val="BookText"/>
        <w:bidi w:val="0"/>
        <w:jc w:val="both"/>
        <w:rPr/>
      </w:pPr>
      <w:r>
        <w:rPr>
          <w:rFonts w:eastAsia="Times New Roman" w:cs="Times New Roman" w:ascii="Times New Roman" w:hAnsi="Times New Roman"/>
          <w:color w:val="111111"/>
          <w:sz w:val="28"/>
          <w:szCs w:val="28"/>
          <w:lang w:val="en-US"/>
        </w:rPr>
        <w:t>antiagama mempublikasikan prinsip pemikirannya dalam makalah</w:t>
      </w:r>
    </w:p>
    <w:p>
      <w:pPr>
        <w:pStyle w:val="BookText"/>
        <w:bidi w:val="0"/>
        <w:jc w:val="both"/>
        <w:rPr/>
      </w:pPr>
      <w:r>
        <w:rPr>
          <w:rFonts w:eastAsia="Times New Roman" w:cs="Times New Roman" w:ascii="Times New Roman" w:hAnsi="Times New Roman"/>
          <w:color w:val="111111"/>
          <w:sz w:val="28"/>
          <w:szCs w:val="28"/>
          <w:lang w:val="en-US"/>
        </w:rPr>
        <w:t>yang bertajuk Ethics of Belief. Uraian dalam makalah ini dimulai dengan</w:t>
      </w:r>
    </w:p>
    <w:p>
      <w:pPr>
        <w:pStyle w:val="BookText"/>
        <w:bidi w:val="0"/>
        <w:jc w:val="both"/>
        <w:rPr/>
      </w:pPr>
      <w:r>
        <w:rPr>
          <w:rFonts w:eastAsia="Times New Roman" w:cs="Times New Roman" w:ascii="Times New Roman" w:hAnsi="Times New Roman"/>
          <w:color w:val="111111"/>
          <w:sz w:val="28"/>
          <w:szCs w:val="28"/>
          <w:lang w:val="en-US"/>
        </w:rPr>
        <w:t>cerita sederhana tentang sebuah kapal. Alkisah, kapal yang disiapkan</w:t>
      </w:r>
    </w:p>
    <w:p>
      <w:pPr>
        <w:pStyle w:val="BookText"/>
        <w:bidi w:val="0"/>
        <w:jc w:val="both"/>
        <w:rPr/>
      </w:pPr>
      <w:r>
        <w:rPr>
          <w:rFonts w:eastAsia="Times New Roman" w:cs="Times New Roman" w:ascii="Times New Roman" w:hAnsi="Times New Roman"/>
          <w:color w:val="111111"/>
          <w:sz w:val="28"/>
          <w:szCs w:val="28"/>
          <w:lang w:val="en-US"/>
        </w:rPr>
        <w:t>untuk mengarungi samudera ini ternyata sudah tua dan rapuh. Kondisi</w:t>
      </w:r>
    </w:p>
    <w:p>
      <w:pPr>
        <w:pStyle w:val="BookText"/>
        <w:bidi w:val="0"/>
        <w:jc w:val="both"/>
        <w:rPr/>
      </w:pPr>
      <w:r>
        <w:rPr>
          <w:rFonts w:eastAsia="Times New Roman" w:cs="Times New Roman" w:ascii="Times New Roman" w:hAnsi="Times New Roman"/>
          <w:color w:val="111111"/>
          <w:sz w:val="28"/>
          <w:szCs w:val="28"/>
          <w:lang w:val="en-US"/>
        </w:rPr>
        <w:t>kapal mengundang kecemasan si pemilik. Bayangan seperti: jangan-</w:t>
      </w:r>
    </w:p>
    <w:p>
      <w:pPr>
        <w:pStyle w:val="BookText"/>
        <w:bidi w:val="0"/>
        <w:jc w:val="both"/>
        <w:rPr/>
      </w:pPr>
      <w:r>
        <w:rPr>
          <w:rFonts w:eastAsia="Times New Roman" w:cs="Times New Roman" w:ascii="Times New Roman" w:hAnsi="Times New Roman"/>
          <w:color w:val="111111"/>
          <w:sz w:val="28"/>
          <w:szCs w:val="28"/>
          <w:lang w:val="en-US"/>
        </w:rPr>
        <w:t>jangan rangka kapal tidak mampu menahan gempuran ombak laut</w:t>
      </w:r>
    </w:p>
    <w:p>
      <w:pPr>
        <w:pStyle w:val="BookText"/>
        <w:bidi w:val="0"/>
        <w:jc w:val="both"/>
        <w:rPr/>
      </w:pPr>
      <w:r>
        <w:rPr>
          <w:rFonts w:eastAsia="Times New Roman" w:cs="Times New Roman" w:ascii="Times New Roman" w:hAnsi="Times New Roman"/>
          <w:color w:val="111111"/>
          <w:sz w:val="28"/>
          <w:szCs w:val="28"/>
          <w:lang w:val="en-US"/>
        </w:rPr>
        <w:t>sehingga mengakibatkan banyaknya korban jatuh, sangat mengganggu</w:t>
      </w:r>
    </w:p>
    <w:p>
      <w:pPr>
        <w:pStyle w:val="BookText"/>
        <w:bidi w:val="0"/>
        <w:jc w:val="both"/>
        <w:rPr/>
      </w:pPr>
      <w:r>
        <w:rPr>
          <w:rFonts w:eastAsia="Times New Roman" w:cs="Times New Roman" w:ascii="Times New Roman" w:hAnsi="Times New Roman"/>
          <w:color w:val="111111"/>
          <w:sz w:val="28"/>
          <w:szCs w:val="28"/>
          <w:lang w:val="en-US"/>
        </w:rPr>
        <w:t>benaknya. Secara moral dan rasional, dia berkewajiban memeriksa</w:t>
      </w:r>
    </w:p>
    <w:p>
      <w:pPr>
        <w:pStyle w:val="BookText"/>
        <w:bidi w:val="0"/>
        <w:jc w:val="both"/>
        <w:rPr/>
      </w:pPr>
      <w:r>
        <w:rPr>
          <w:rFonts w:eastAsia="Times New Roman" w:cs="Times New Roman" w:ascii="Times New Roman" w:hAnsi="Times New Roman"/>
          <w:color w:val="111111"/>
          <w:sz w:val="28"/>
          <w:szCs w:val="28"/>
          <w:lang w:val="en-US"/>
        </w:rPr>
        <w:t>kembali kapalnya atau, kalau perlu, memperbaiki kerusakan-keru-</w:t>
      </w:r>
    </w:p>
    <w:p>
      <w:pPr>
        <w:pStyle w:val="BookText"/>
        <w:bidi w:val="0"/>
        <w:jc w:val="both"/>
        <w:rPr/>
      </w:pPr>
      <w:r>
        <w:rPr>
          <w:rFonts w:eastAsia="Times New Roman" w:cs="Times New Roman" w:ascii="Times New Roman" w:hAnsi="Times New Roman"/>
          <w:color w:val="111111"/>
          <w:sz w:val="28"/>
          <w:szCs w:val="28"/>
          <w:lang w:val="en-US"/>
        </w:rPr>
        <w:t>sakannya. Namun biaya pemeriksaan dan perbaikan sangatlah ma-</w:t>
      </w:r>
    </w:p>
    <w:p>
      <w:pPr>
        <w:pStyle w:val="BookText"/>
        <w:bidi w:val="0"/>
        <w:jc w:val="both"/>
        <w:rPr/>
      </w:pPr>
      <w:r>
        <w:rPr>
          <w:rFonts w:eastAsia="Times New Roman" w:cs="Times New Roman" w:ascii="Times New Roman" w:hAnsi="Times New Roman"/>
          <w:color w:val="111111"/>
          <w:sz w:val="28"/>
          <w:szCs w:val="28"/>
          <w:lang w:val="en-US"/>
        </w:rPr>
        <w:t>hal. Akhirnya, dia berhasil meredam kecemasannya dan menghibur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 dengan beranggapan bahwa selama ini, kapalnya </w:t>
      </w:r>
    </w:p>
    <w:p>
      <w:pPr>
        <w:pStyle w:val="BookText"/>
        <w:bidi w:val="0"/>
        <w:rPr/>
      </w:pPr>
      <w:r>
        <w:rPr>
          <w:rFonts w:eastAsia="Times New Roman" w:cs="Times New Roman" w:ascii="Times New Roman" w:hAnsi="Times New Roman"/>
          <w:color w:val="111111"/>
          <w:sz w:val="28"/>
          <w:szCs w:val="28"/>
          <w:lang w:val="en-US"/>
        </w:rPr>
        <w:t>aman-aman Saja dan selalu selamat sampai tujuan. Toh Tuhan Yang</w:t>
      </w:r>
    </w:p>
    <w:p>
      <w:pPr>
        <w:pStyle w:val="BookText"/>
        <w:bidi w:val="0"/>
        <w:jc w:val="both"/>
        <w:rPr/>
      </w:pPr>
      <w:r>
        <w:rPr>
          <w:rFonts w:eastAsia="Times New Roman" w:cs="Times New Roman" w:ascii="Times New Roman" w:hAnsi="Times New Roman"/>
          <w:color w:val="111111"/>
          <w:sz w:val="28"/>
          <w:szCs w:val="28"/>
          <w:lang w:val="en-US"/>
        </w:rPr>
        <w:t>Maha Penyayang mustahil akan mengaramkan kapalnya, karena</w:t>
      </w:r>
    </w:p>
    <w:p>
      <w:pPr>
        <w:pStyle w:val="BookText"/>
        <w:bidi w:val="0"/>
        <w:jc w:val="both"/>
        <w:rPr/>
      </w:pPr>
      <w:r>
        <w:rPr>
          <w:rFonts w:eastAsia="Times New Roman" w:cs="Times New Roman" w:ascii="Times New Roman" w:hAnsi="Times New Roman"/>
          <w:color w:val="111111"/>
          <w:sz w:val="28"/>
          <w:szCs w:val="28"/>
          <w:lang w:val="en-US"/>
        </w:rPr>
        <w:t>akan membuat banyak keluarga harus berduka. Namun, tak lama</w:t>
      </w:r>
    </w:p>
    <w:p>
      <w:pPr>
        <w:pStyle w:val="BookText"/>
        <w:bidi w:val="0"/>
        <w:jc w:val="both"/>
        <w:rPr/>
      </w:pPr>
      <w:r>
        <w:rPr>
          <w:rFonts w:eastAsia="Times New Roman" w:cs="Times New Roman" w:ascii="Times New Roman" w:hAnsi="Times New Roman"/>
          <w:color w:val="111111"/>
          <w:sz w:val="28"/>
          <w:szCs w:val="28"/>
          <w:lang w:val="en-US"/>
        </w:rPr>
        <w:t>berselang, dia diberitahu bahwa kapalnya tenggelam di tengah laut.</w:t>
      </w:r>
    </w:p>
    <w:p>
      <w:pPr>
        <w:pStyle w:val="BookText"/>
        <w:bidi w:val="0"/>
        <w:jc w:val="both"/>
        <w:rPr/>
      </w:pPr>
      <w:r>
        <w:rPr>
          <w:rFonts w:eastAsia="Times New Roman" w:cs="Times New Roman" w:ascii="Times New Roman" w:hAnsi="Times New Roman"/>
          <w:color w:val="111111"/>
          <w:sz w:val="28"/>
          <w:szCs w:val="28"/>
          <w:lang w:val="en-US"/>
        </w:rPr>
        <w:t>Dengan ekspresi muka biasa saja, dia bergegas mendatangi kantor</w:t>
      </w:r>
    </w:p>
    <w:p>
      <w:pPr>
        <w:pStyle w:val="BookText"/>
        <w:bidi w:val="0"/>
        <w:jc w:val="both"/>
        <w:rPr/>
      </w:pPr>
      <w:r>
        <w:rPr>
          <w:rFonts w:eastAsia="Times New Roman" w:cs="Times New Roman" w:ascii="Times New Roman" w:hAnsi="Times New Roman"/>
          <w:color w:val="111111"/>
          <w:sz w:val="28"/>
          <w:szCs w:val="28"/>
          <w:lang w:val="en-US"/>
        </w:rPr>
        <w:t>asuransi. Setelah menerima biaya asuransi, dia kembali melanjutkan</w:t>
      </w:r>
    </w:p>
    <w:p>
      <w:pPr>
        <w:pStyle w:val="BookText"/>
        <w:bidi w:val="0"/>
        <w:jc w:val="both"/>
        <w:rPr/>
      </w:pPr>
      <w:r>
        <w:rPr>
          <w:rFonts w:eastAsia="Times New Roman" w:cs="Times New Roman" w:ascii="Times New Roman" w:hAnsi="Times New Roman"/>
          <w:color w:val="111111"/>
          <w:sz w:val="28"/>
          <w:szCs w:val="28"/>
          <w:lang w:val="en-US"/>
        </w:rPr>
        <w:t>hidupnya seperti biasa.</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Setelah menyampaikan cerita ini, Clifford menyatakan bahwa</w:t>
      </w:r>
    </w:p>
    <w:p>
      <w:pPr>
        <w:pStyle w:val="BookText"/>
        <w:bidi w:val="0"/>
        <w:jc w:val="both"/>
        <w:rPr/>
      </w:pPr>
      <w:r>
        <w:rPr>
          <w:rFonts w:eastAsia="Times New Roman" w:cs="Times New Roman" w:ascii="Times New Roman" w:hAnsi="Times New Roman"/>
          <w:color w:val="111111"/>
          <w:sz w:val="28"/>
          <w:szCs w:val="28"/>
          <w:lang w:val="en-US"/>
        </w:rPr>
        <w:t>sudah tentu kita semua, menurut akal sehat, akan menilai pemilik</w:t>
      </w:r>
    </w:p>
    <w:p>
      <w:pPr>
        <w:pStyle w:val="BookText"/>
        <w:bidi w:val="0"/>
        <w:jc w:val="both"/>
        <w:rPr/>
      </w:pPr>
      <w:r>
        <w:rPr>
          <w:rFonts w:eastAsia="Times New Roman" w:cs="Times New Roman" w:ascii="Times New Roman" w:hAnsi="Times New Roman"/>
          <w:color w:val="111111"/>
          <w:sz w:val="28"/>
          <w:szCs w:val="28"/>
          <w:lang w:val="en-US"/>
        </w:rPr>
        <w:t>kapal itu bertanggung jawab atas kematian penumpang kapal.</w:t>
      </w:r>
    </w:p>
    <w:p>
      <w:pPr>
        <w:pStyle w:val="BookText"/>
        <w:bidi w:val="0"/>
        <w:jc w:val="both"/>
        <w:rPr/>
      </w:pPr>
      <w:r>
        <w:rPr>
          <w:rFonts w:eastAsia="Times New Roman" w:cs="Times New Roman" w:ascii="Times New Roman" w:hAnsi="Times New Roman"/>
          <w:color w:val="111111"/>
          <w:sz w:val="28"/>
          <w:szCs w:val="28"/>
          <w:lang w:val="en-US"/>
        </w:rPr>
        <w:t>Benar, dia memang jujur meyakini keselamatan dan ketangguhan</w:t>
      </w:r>
    </w:p>
    <w:p>
      <w:pPr>
        <w:pStyle w:val="BookText"/>
        <w:bidi w:val="0"/>
        <w:jc w:val="both"/>
        <w:rPr/>
      </w:pPr>
      <w:r>
        <w:rPr>
          <w:rFonts w:eastAsia="Times New Roman" w:cs="Times New Roman" w:ascii="Times New Roman" w:hAnsi="Times New Roman"/>
          <w:color w:val="111111"/>
          <w:sz w:val="28"/>
          <w:szCs w:val="28"/>
          <w:lang w:val="en-US"/>
        </w:rPr>
        <w:t>kapalnya. Namun, semua itu sama sekali tidak dapat membantunya,</w:t>
      </w:r>
    </w:p>
    <w:p>
      <w:pPr>
        <w:pStyle w:val="BookText"/>
        <w:bidi w:val="0"/>
        <w:jc w:val="both"/>
        <w:rPr/>
      </w:pPr>
      <w:r>
        <w:rPr>
          <w:rFonts w:eastAsia="Times New Roman" w:cs="Times New Roman" w:ascii="Times New Roman" w:hAnsi="Times New Roman"/>
          <w:color w:val="111111"/>
          <w:sz w:val="28"/>
          <w:szCs w:val="28"/>
          <w:lang w:val="en-US"/>
        </w:rPr>
        <w:t>karena dirinya tidak berhak memiliki keyakinan seperti itu hanya</w:t>
      </w:r>
    </w:p>
    <w:p>
      <w:pPr>
        <w:pStyle w:val="BookText"/>
        <w:bidi w:val="0"/>
        <w:jc w:val="both"/>
        <w:rPr/>
      </w:pPr>
      <w:r>
        <w:rPr>
          <w:rFonts w:eastAsia="Times New Roman" w:cs="Times New Roman" w:ascii="Times New Roman" w:hAnsi="Times New Roman"/>
          <w:color w:val="111111"/>
          <w:sz w:val="28"/>
          <w:szCs w:val="28"/>
          <w:lang w:val="en-US"/>
        </w:rPr>
        <w:t>dengan dasar bukti-bukti tersebut. Artinya, intisari setiap keyakinan</w:t>
      </w:r>
    </w:p>
    <w:p>
      <w:pPr>
        <w:pStyle w:val="BookText"/>
        <w:bidi w:val="0"/>
        <w:jc w:val="both"/>
        <w:rPr/>
      </w:pPr>
      <w:r>
        <w:rPr>
          <w:rFonts w:eastAsia="Times New Roman" w:cs="Times New Roman" w:ascii="Times New Roman" w:hAnsi="Times New Roman"/>
          <w:color w:val="111111"/>
          <w:sz w:val="28"/>
          <w:szCs w:val="28"/>
          <w:lang w:val="en-US"/>
        </w:rPr>
        <w:t>bukanlah keyakinan itu sendiri, melainkan bagaimana keyakinan</w:t>
      </w:r>
    </w:p>
    <w:p>
      <w:pPr>
        <w:pStyle w:val="BookText"/>
        <w:bidi w:val="0"/>
        <w:jc w:val="both"/>
        <w:rPr/>
      </w:pPr>
      <w:r>
        <w:rPr>
          <w:rFonts w:eastAsia="Times New Roman" w:cs="Times New Roman" w:ascii="Times New Roman" w:hAnsi="Times New Roman"/>
          <w:color w:val="111111"/>
          <w:sz w:val="28"/>
          <w:szCs w:val="28"/>
          <w:lang w:val="en-US"/>
        </w:rPr>
        <w:t>itu diperoleh. Pemilik kapal itu memperoleh keyakinan ihwal</w:t>
      </w:r>
    </w:p>
    <w:p>
      <w:pPr>
        <w:pStyle w:val="BookText"/>
        <w:bidi w:val="0"/>
        <w:jc w:val="both"/>
        <w:rPr/>
      </w:pPr>
      <w:r>
        <w:rPr>
          <w:rFonts w:eastAsia="Times New Roman" w:cs="Times New Roman" w:ascii="Times New Roman" w:hAnsi="Times New Roman"/>
          <w:color w:val="111111"/>
          <w:sz w:val="28"/>
          <w:szCs w:val="28"/>
          <w:lang w:val="en-US"/>
        </w:rPr>
        <w:t>keselamatan dan ketangguhan kapal dengan cara menggugurkan</w:t>
      </w:r>
    </w:p>
    <w:p>
      <w:pPr>
        <w:pStyle w:val="BookText"/>
        <w:bidi w:val="0"/>
        <w:jc w:val="both"/>
        <w:rPr/>
      </w:pPr>
      <w:r>
        <w:rPr>
          <w:rFonts w:eastAsia="Times New Roman" w:cs="Times New Roman" w:ascii="Times New Roman" w:hAnsi="Times New Roman"/>
          <w:color w:val="111111"/>
          <w:sz w:val="28"/>
          <w:szCs w:val="28"/>
          <w:lang w:val="en-US"/>
        </w:rPr>
        <w:t>bukti-bukti sebaliknya, sekaligus meredam pelbagai keraguan yang</w:t>
      </w:r>
    </w:p>
    <w:p>
      <w:pPr>
        <w:pStyle w:val="BookText"/>
        <w:bidi w:val="0"/>
        <w:jc w:val="both"/>
        <w:rPr/>
      </w:pPr>
      <w:r>
        <w:rPr>
          <w:rFonts w:eastAsia="Times New Roman" w:cs="Times New Roman" w:ascii="Times New Roman" w:hAnsi="Times New Roman"/>
          <w:color w:val="111111"/>
          <w:sz w:val="28"/>
          <w:szCs w:val="28"/>
          <w:lang w:val="en-US"/>
        </w:rPr>
        <w:t>menyelimutinya. Semestinya bukti-bukti itu ditelaah secara cermat;</w:t>
      </w:r>
    </w:p>
    <w:p>
      <w:pPr>
        <w:pStyle w:val="BookText"/>
        <w:bidi w:val="0"/>
        <w:jc w:val="both"/>
        <w:rPr/>
      </w:pPr>
      <w:r>
        <w:rPr>
          <w:rFonts w:eastAsia="Times New Roman" w:cs="Times New Roman" w:ascii="Times New Roman" w:hAnsi="Times New Roman"/>
          <w:color w:val="111111"/>
          <w:sz w:val="28"/>
          <w:szCs w:val="28"/>
          <w:lang w:val="en-US"/>
        </w:rPr>
        <w:t>namun dia tidak melakukannya lantaran bertentangan dengan</w:t>
      </w:r>
    </w:p>
    <w:p>
      <w:pPr>
        <w:pStyle w:val="BookText"/>
        <w:bidi w:val="0"/>
        <w:jc w:val="both"/>
        <w:rPr/>
      </w:pPr>
      <w:r>
        <w:rPr>
          <w:rFonts w:eastAsia="Times New Roman" w:cs="Times New Roman" w:ascii="Times New Roman" w:hAnsi="Times New Roman"/>
          <w:color w:val="111111"/>
          <w:sz w:val="28"/>
          <w:szCs w:val="28"/>
          <w:lang w:val="en-US"/>
        </w:rPr>
        <w:t>keyakinannya. Kesim-pulannya, tolok ukur rasional tiada lain dari</w:t>
      </w:r>
    </w:p>
    <w:p>
      <w:pPr>
        <w:pStyle w:val="BookText"/>
        <w:bidi w:val="0"/>
        <w:jc w:val="both"/>
        <w:rPr/>
      </w:pPr>
      <w:r>
        <w:rPr>
          <w:rFonts w:eastAsia="Times New Roman" w:cs="Times New Roman" w:ascii="Times New Roman" w:hAnsi="Times New Roman"/>
          <w:color w:val="111111"/>
          <w:sz w:val="28"/>
          <w:szCs w:val="28"/>
          <w:lang w:val="en-US"/>
        </w:rPr>
        <w:t>adanya bukti-bukti yang memadai.</w:t>
      </w:r>
    </w:p>
    <w:p>
      <w:pPr>
        <w:pStyle w:val="BookText"/>
        <w:bidi w:val="0"/>
        <w:jc w:val="both"/>
        <w:rPr/>
      </w:pPr>
      <w:r>
        <w:rPr>
          <w:rFonts w:eastAsia="Times New Roman" w:cs="Times New Roman" w:ascii="Times New Roman" w:hAnsi="Times New Roman"/>
          <w:color w:val="111111"/>
          <w:sz w:val="28"/>
          <w:szCs w:val="28"/>
          <w:lang w:val="en-US"/>
        </w:rPr>
        <w:t>Selanjutnya, Clifford mengatakan, kalaupun kapal pesiar itu</w:t>
      </w:r>
    </w:p>
    <w:p>
      <w:pPr>
        <w:pStyle w:val="BookText"/>
        <w:bidi w:val="0"/>
        <w:jc w:val="both"/>
        <w:rPr/>
      </w:pPr>
      <w:r>
        <w:rPr>
          <w:rFonts w:eastAsia="Times New Roman" w:cs="Times New Roman" w:ascii="Times New Roman" w:hAnsi="Times New Roman"/>
          <w:color w:val="111111"/>
          <w:sz w:val="28"/>
          <w:szCs w:val="28"/>
          <w:lang w:val="en-US"/>
        </w:rPr>
        <w:t>berhasil selamat sampai tujuan, itu tidak sampai mengurangi</w:t>
      </w:r>
    </w:p>
    <w:p>
      <w:pPr>
        <w:pStyle w:val="BookText"/>
        <w:bidi w:val="0"/>
        <w:jc w:val="both"/>
        <w:rPr/>
      </w:pPr>
      <w:r>
        <w:rPr>
          <w:rFonts w:eastAsia="Times New Roman" w:cs="Times New Roman" w:ascii="Times New Roman" w:hAnsi="Times New Roman"/>
          <w:color w:val="111111"/>
          <w:sz w:val="28"/>
          <w:szCs w:val="28"/>
          <w:lang w:val="en-US"/>
        </w:rPr>
        <w:t>keteledoran pemiliknya dan kesalahan tindakannya, walau hanya</w:t>
      </w:r>
    </w:p>
    <w:p>
      <w:pPr>
        <w:pStyle w:val="BookText"/>
        <w:bidi w:val="0"/>
        <w:jc w:val="both"/>
        <w:rPr/>
      </w:pPr>
      <w:r>
        <w:rPr>
          <w:rFonts w:eastAsia="Times New Roman" w:cs="Times New Roman" w:ascii="Times New Roman" w:hAnsi="Times New Roman"/>
          <w:color w:val="111111"/>
          <w:sz w:val="28"/>
          <w:szCs w:val="28"/>
          <w:lang w:val="en-US"/>
        </w:rPr>
        <w:t>seujung jarum. Alasannya:</w:t>
      </w:r>
    </w:p>
    <w:p>
      <w:pPr>
        <w:pStyle w:val="BookText"/>
        <w:bidi w:val="0"/>
        <w:jc w:val="both"/>
        <w:rPr/>
      </w:pPr>
      <w:r>
        <w:rPr>
          <w:rFonts w:eastAsia="Times New Roman" w:cs="Times New Roman" w:ascii="Times New Roman" w:hAnsi="Times New Roman"/>
          <w:color w:val="111111"/>
          <w:sz w:val="28"/>
          <w:szCs w:val="28"/>
          <w:lang w:val="en-US"/>
        </w:rPr>
        <w:t>Persoalan benar-salah tergantung pada sumber keyakinan, bukan</w:t>
      </w:r>
    </w:p>
    <w:p>
      <w:pPr>
        <w:pStyle w:val="BookText"/>
        <w:bidi w:val="0"/>
        <w:jc w:val="both"/>
        <w:rPr/>
      </w:pPr>
      <w:r>
        <w:rPr>
          <w:rFonts w:eastAsia="Times New Roman" w:cs="Times New Roman" w:ascii="Times New Roman" w:hAnsi="Times New Roman"/>
          <w:color w:val="111111"/>
          <w:sz w:val="28"/>
          <w:szCs w:val="28"/>
          <w:lang w:val="en-US"/>
        </w:rPr>
        <w:t>pada apa yang diyakini; tergantung pada cara memperoleh</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keyakinan, bukan pada jenis keyakinan itu sendiri.</w:t>
      </w:r>
      <w:r>
        <w:rPr>
          <w:rStyle w:val="FootnoteAnchor"/>
        </w:rPr>
        <w:footnoteReference w:id="133"/>
      </w:r>
      <w:bookmarkStart w:id="144" w:name="pg5378_50514"/>
    </w:p>
    <w:p>
      <w:pPr>
        <w:pStyle w:val="BookText"/>
        <w:bidi w:val="0"/>
        <w:rPr/>
      </w:pPr>
      <w:bookmarkEnd w:id="144"/>
      <w:r>
        <w:rPr>
          <w:rFonts w:eastAsia="Times New Roman" w:cs="Times New Roman" w:ascii="Times New Roman" w:hAnsi="Times New Roman"/>
          <w:color w:val="111111"/>
          <w:sz w:val="28"/>
          <w:szCs w:val="28"/>
          <w:lang w:val="en-US"/>
        </w:rPr>
        <w:t>Di kalangan filsuf kontemporer, J. L. Mackie</w:t>
      </w:r>
      <w:r>
        <w:rPr>
          <w:rStyle w:val="FootnoteAnchor"/>
        </w:rPr>
        <w:footnoteReference w:id="134"/>
      </w:r>
      <w:r>
        <w:rPr>
          <w:rFonts w:eastAsia="Times New Roman" w:cs="Times New Roman" w:ascii="Times New Roman" w:hAnsi="Times New Roman"/>
          <w:color w:val="111111"/>
          <w:sz w:val="28"/>
          <w:szCs w:val="28"/>
          <w:lang w:val="en-US"/>
        </w:rPr>
        <w:t>dan Anthony</w:t>
      </w:r>
    </w:p>
    <w:p>
      <w:pPr>
        <w:pStyle w:val="BookText"/>
        <w:bidi w:val="0"/>
        <w:jc w:val="both"/>
        <w:rPr/>
      </w:pPr>
      <w:r>
        <w:rPr>
          <w:rFonts w:eastAsia="Times New Roman" w:cs="Times New Roman" w:ascii="Times New Roman" w:hAnsi="Times New Roman"/>
          <w:color w:val="111111"/>
          <w:sz w:val="28"/>
          <w:szCs w:val="28"/>
          <w:lang w:val="en-US"/>
        </w:rPr>
        <w:t>Flew</w:t>
      </w:r>
      <w:r>
        <w:rPr>
          <w:rStyle w:val="FootnoteAnchor"/>
        </w:rPr>
        <w:footnoteReference w:id="135"/>
      </w:r>
      <w:r>
        <w:rPr>
          <w:rFonts w:eastAsia="Times New Roman" w:cs="Times New Roman" w:ascii="Times New Roman" w:hAnsi="Times New Roman"/>
          <w:color w:val="111111"/>
          <w:sz w:val="28"/>
          <w:szCs w:val="28"/>
          <w:lang w:val="en-US"/>
        </w:rPr>
        <w:t>mendukung pandangan Clifford. Mereka menolak ajaran</w:t>
      </w:r>
    </w:p>
    <w:p>
      <w:pPr>
        <w:pStyle w:val="BookText"/>
        <w:bidi w:val="0"/>
        <w:jc w:val="both"/>
        <w:rPr/>
      </w:pPr>
      <w:r>
        <w:rPr>
          <w:rFonts w:eastAsia="Times New Roman" w:cs="Times New Roman" w:ascii="Times New Roman" w:hAnsi="Times New Roman"/>
          <w:color w:val="111111"/>
          <w:sz w:val="28"/>
          <w:szCs w:val="28"/>
          <w:lang w:val="en-US"/>
        </w:rPr>
        <w:t>agama dengan alasan: bukti untuk melegitimasinya tidaklah</w:t>
      </w:r>
    </w:p>
    <w:p>
      <w:pPr>
        <w:pStyle w:val="BookText"/>
        <w:bidi w:val="0"/>
        <w:jc w:val="both"/>
        <w:rPr/>
      </w:pPr>
      <w:r>
        <w:rPr>
          <w:rFonts w:eastAsia="Times New Roman" w:cs="Times New Roman" w:ascii="Times New Roman" w:hAnsi="Times New Roman"/>
          <w:color w:val="111111"/>
          <w:sz w:val="28"/>
          <w:szCs w:val="28"/>
          <w:lang w:val="en-US"/>
        </w:rPr>
        <w:t>memadai. Pada saat bersamaan, muncul gugatan seragam terhadap</w:t>
      </w:r>
    </w:p>
    <w:p>
      <w:pPr>
        <w:pStyle w:val="BookText"/>
        <w:bidi w:val="0"/>
        <w:jc w:val="both"/>
        <w:rPr/>
      </w:pPr>
      <w:r>
        <w:rPr>
          <w:rFonts w:eastAsia="Times New Roman" w:cs="Times New Roman" w:ascii="Times New Roman" w:hAnsi="Times New Roman"/>
          <w:color w:val="111111"/>
          <w:sz w:val="28"/>
          <w:szCs w:val="28"/>
          <w:lang w:val="en-US"/>
        </w:rPr>
        <w:t>pandangan mereka ini: bagaimana mereka sendiri ternyata berpaling</w:t>
      </w:r>
    </w:p>
    <w:p>
      <w:pPr>
        <w:pStyle w:val="BookText"/>
        <w:bidi w:val="0"/>
        <w:jc w:val="both"/>
        <w:rPr/>
      </w:pPr>
      <w:r>
        <w:rPr>
          <w:rFonts w:eastAsia="Times New Roman" w:cs="Times New Roman" w:ascii="Times New Roman" w:hAnsi="Times New Roman"/>
          <w:color w:val="111111"/>
          <w:sz w:val="28"/>
          <w:szCs w:val="28"/>
          <w:lang w:val="en-US"/>
        </w:rPr>
        <w:t>dari prinsip epistemologis itu hanya setelah menemukan beberapa</w:t>
      </w:r>
    </w:p>
    <w:p>
      <w:pPr>
        <w:pStyle w:val="BookText"/>
        <w:bidi w:val="0"/>
        <w:jc w:val="both"/>
        <w:rPr/>
      </w:pPr>
      <w:r>
        <w:rPr>
          <w:rFonts w:eastAsia="Times New Roman" w:cs="Times New Roman" w:ascii="Times New Roman" w:hAnsi="Times New Roman"/>
          <w:color w:val="111111"/>
          <w:sz w:val="28"/>
          <w:szCs w:val="28"/>
          <w:lang w:val="en-US"/>
        </w:rPr>
        <w:t>ajaran antiakal dalam sebuali agama—tanpa menyertakan bukti</w:t>
      </w:r>
    </w:p>
    <w:p>
      <w:pPr>
        <w:pStyle w:val="BookText"/>
        <w:bidi w:val="0"/>
        <w:jc w:val="both"/>
        <w:rPr/>
      </w:pPr>
      <w:r>
        <w:rPr>
          <w:rFonts w:eastAsia="Times New Roman" w:cs="Times New Roman" w:ascii="Times New Roman" w:hAnsi="Times New Roman"/>
          <w:color w:val="111111"/>
          <w:sz w:val="28"/>
          <w:szCs w:val="28"/>
          <w:lang w:val="en-US"/>
        </w:rPr>
        <w:t>yang mendukung generalisasi itu untuk semua agama, atau bahkan</w:t>
      </w:r>
    </w:p>
    <w:p>
      <w:pPr>
        <w:pStyle w:val="BookText"/>
        <w:bidi w:val="0"/>
        <w:jc w:val="both"/>
        <w:rPr/>
      </w:pPr>
      <w:r>
        <w:rPr>
          <w:rFonts w:eastAsia="Times New Roman" w:cs="Times New Roman" w:ascii="Times New Roman" w:hAnsi="Times New Roman"/>
          <w:color w:val="111111"/>
          <w:sz w:val="28"/>
          <w:szCs w:val="28"/>
          <w:lang w:val="en-US"/>
        </w:rPr>
        <w:t>untuk semua ajaran agama tertentu. Darinya, mereka berkesimpulan</w:t>
      </w:r>
    </w:p>
    <w:p>
      <w:pPr>
        <w:pStyle w:val="BookText"/>
        <w:bidi w:val="0"/>
        <w:jc w:val="both"/>
        <w:rPr/>
      </w:pPr>
      <w:r>
        <w:rPr>
          <w:rFonts w:eastAsia="Times New Roman" w:cs="Times New Roman" w:ascii="Times New Roman" w:hAnsi="Times New Roman"/>
          <w:color w:val="111111"/>
          <w:sz w:val="28"/>
          <w:szCs w:val="28"/>
          <w:lang w:val="en-US"/>
        </w:rPr>
        <w:t>bahwa semua agama itu nihil tolok ukur rasional. Tentunya</w:t>
      </w:r>
    </w:p>
    <w:p>
      <w:pPr>
        <w:pStyle w:val="BookText"/>
        <w:bidi w:val="0"/>
        <w:jc w:val="both"/>
        <w:rPr/>
      </w:pPr>
      <w:r>
        <w:rPr>
          <w:rFonts w:eastAsia="Times New Roman" w:cs="Times New Roman" w:ascii="Times New Roman" w:hAnsi="Times New Roman"/>
          <w:color w:val="111111"/>
          <w:sz w:val="28"/>
          <w:szCs w:val="28"/>
          <w:lang w:val="en-US"/>
        </w:rPr>
        <w:t>beberapa agamawan Kristen ikut berperan dalam menyiapkan latar</w:t>
      </w:r>
    </w:p>
    <w:p>
      <w:pPr>
        <w:pStyle w:val="BookText"/>
        <w:bidi w:val="0"/>
        <w:jc w:val="both"/>
        <w:rPr/>
      </w:pPr>
      <w:r>
        <w:rPr>
          <w:rFonts w:eastAsia="Times New Roman" w:cs="Times New Roman" w:ascii="Times New Roman" w:hAnsi="Times New Roman"/>
          <w:color w:val="111111"/>
          <w:sz w:val="28"/>
          <w:szCs w:val="28"/>
          <w:lang w:val="en-US"/>
        </w:rPr>
        <w:t>kemunculan pemikiran-pemikiran keliru. semacam ini—karena</w:t>
      </w:r>
    </w:p>
    <w:p>
      <w:pPr>
        <w:pStyle w:val="BookText"/>
        <w:bidi w:val="0"/>
        <w:jc w:val="both"/>
        <w:rPr/>
      </w:pPr>
      <w:r>
        <w:rPr>
          <w:rFonts w:eastAsia="Times New Roman" w:cs="Times New Roman" w:ascii="Times New Roman" w:hAnsi="Times New Roman"/>
          <w:color w:val="111111"/>
          <w:sz w:val="28"/>
          <w:szCs w:val="28"/>
          <w:lang w:val="en-US"/>
        </w:rPr>
        <w:t>pendirian keras mereka bahwa sebagian prinsip kepercayaan agama</w:t>
      </w:r>
    </w:p>
    <w:p>
      <w:pPr>
        <w:pStyle w:val="BookText"/>
        <w:bidi w:val="0"/>
        <w:jc w:val="both"/>
        <w:rPr/>
      </w:pPr>
      <w:r>
        <w:rPr>
          <w:rFonts w:eastAsia="Times New Roman" w:cs="Times New Roman" w:ascii="Times New Roman" w:hAnsi="Times New Roman"/>
          <w:color w:val="111111"/>
          <w:sz w:val="28"/>
          <w:szCs w:val="28"/>
          <w:lang w:val="en-US"/>
        </w:rPr>
        <w:t>hanya mungkin dicapai lewat iman dan menyepelekan peran akal</w:t>
      </w:r>
    </w:p>
    <w:p>
      <w:pPr>
        <w:pStyle w:val="BookText"/>
        <w:bidi w:val="0"/>
        <w:jc w:val="both"/>
        <w:rPr/>
      </w:pPr>
      <w:r>
        <w:rPr>
          <w:rFonts w:eastAsia="Times New Roman" w:cs="Times New Roman" w:ascii="Times New Roman" w:hAnsi="Times New Roman"/>
          <w:color w:val="111111"/>
          <w:sz w:val="28"/>
          <w:szCs w:val="28"/>
          <w:lang w:val="en-US"/>
        </w:rPr>
        <w:t>atau rasio.</w:t>
      </w:r>
    </w:p>
    <w:p>
      <w:pPr>
        <w:pStyle w:val="BookText"/>
        <w:bidi w:val="0"/>
        <w:jc w:val="both"/>
        <w:rPr/>
      </w:pPr>
      <w:r>
        <w:rPr>
          <w:rFonts w:eastAsia="Times New Roman" w:cs="Times New Roman" w:ascii="Times New Roman" w:hAnsi="Times New Roman"/>
          <w:color w:val="111111"/>
          <w:sz w:val="28"/>
          <w:szCs w:val="28"/>
          <w:lang w:val="en-US"/>
        </w:rPr>
        <w:t>Menariknya, di dunia Islam, terdapat pula sejumlah orang yang</w:t>
      </w:r>
    </w:p>
    <w:p>
      <w:pPr>
        <w:pStyle w:val="BookText"/>
        <w:bidi w:val="0"/>
        <w:jc w:val="both"/>
        <w:rPr/>
      </w:pPr>
      <w:r>
        <w:rPr>
          <w:rFonts w:eastAsia="Times New Roman" w:cs="Times New Roman" w:ascii="Times New Roman" w:hAnsi="Times New Roman"/>
          <w:color w:val="111111"/>
          <w:sz w:val="28"/>
          <w:szCs w:val="28"/>
          <w:lang w:val="en-US"/>
        </w:rPr>
        <w:t>mempercayai akal dan agama saling menentang. Alasannya, ajaran</w:t>
      </w:r>
    </w:p>
    <w:p>
      <w:pPr>
        <w:pStyle w:val="BookText"/>
        <w:bidi w:val="0"/>
        <w:jc w:val="both"/>
        <w:rPr/>
      </w:pPr>
      <w:r>
        <w:rPr>
          <w:rFonts w:eastAsia="Times New Roman" w:cs="Times New Roman" w:ascii="Times New Roman" w:hAnsi="Times New Roman"/>
          <w:color w:val="111111"/>
          <w:sz w:val="28"/>
          <w:szCs w:val="28"/>
          <w:lang w:val="en-US"/>
        </w:rPr>
        <w:t>agama berkarakter antiakal. Pandangan semacam ini, di antaranya,</w:t>
      </w:r>
    </w:p>
    <w:p>
      <w:pPr>
        <w:pStyle w:val="BookText"/>
        <w:bidi w:val="0"/>
        <w:jc w:val="both"/>
        <w:rPr/>
      </w:pPr>
      <w:r>
        <w:rPr>
          <w:rFonts w:eastAsia="Times New Roman" w:cs="Times New Roman" w:ascii="Times New Roman" w:hAnsi="Times New Roman"/>
          <w:color w:val="111111"/>
          <w:sz w:val="28"/>
          <w:szCs w:val="28"/>
          <w:lang w:val="en-US"/>
        </w:rPr>
        <w:t>dapat disimpulkan dari rangkaian statemen Abul Ala’ Ma‘arri.</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A.A. Dehkhuda: Lughatnomeh, jid. 1, hlm. 553-557; dan K.M. Bujnurdi: Da‘iro-tul Ma‘aref-e Bozorg-e Eslomi, jld. 6, hlm. 10-25.</w:t>
      </w:r>
    </w:p>
    <w:p>
      <w:pPr>
        <w:pStyle w:val="Heading4"/>
        <w:numPr>
          <w:ilvl w:val="3"/>
          <w:numId w:val="1"/>
        </w:numPr>
        <w:bidi w:val="0"/>
        <w:jc w:val="left"/>
        <w:rPr/>
      </w:pPr>
      <w:bookmarkStart w:id="145" w:name="__RefHeading___Toc1351150_581953129"/>
      <w:bookmarkStart w:id="146" w:name="_Toc54"/>
      <w:bookmarkEnd w:id="145"/>
      <w:r>
        <w:rPr/>
        <w:t>Abul Ala’ Ma’arri</w:t>
      </w:r>
      <w:bookmarkEnd w:id="146"/>
    </w:p>
    <w:p>
      <w:pPr>
        <w:pStyle w:val="BookText"/>
        <w:bidi w:val="0"/>
        <w:jc w:val="both"/>
        <w:rPr/>
      </w:pPr>
      <w:r>
        <w:rPr>
          <w:rFonts w:eastAsia="Times New Roman" w:cs="Times New Roman" w:ascii="Times New Roman" w:hAnsi="Times New Roman"/>
          <w:color w:val="111111"/>
          <w:sz w:val="28"/>
          <w:szCs w:val="28"/>
          <w:lang w:val="en-US"/>
        </w:rPr>
        <w:t>Abul Ala’ Ma‘arri (363-449 H) termasuk pemikir dan penyair ter-</w:t>
      </w:r>
    </w:p>
    <w:p>
      <w:pPr>
        <w:pStyle w:val="BookText"/>
        <w:bidi w:val="0"/>
        <w:jc w:val="both"/>
        <w:rPr/>
      </w:pPr>
      <w:r>
        <w:rPr>
          <w:rFonts w:eastAsia="Times New Roman" w:cs="Times New Roman" w:ascii="Times New Roman" w:hAnsi="Times New Roman"/>
          <w:color w:val="111111"/>
          <w:sz w:val="28"/>
          <w:szCs w:val="28"/>
          <w:lang w:val="en-US"/>
        </w:rPr>
        <w:t>kemuka Arab. Sejak kecil telah kehilangan penglihatannya. Namun</w:t>
      </w:r>
    </w:p>
    <w:p>
      <w:pPr>
        <w:pStyle w:val="BookText"/>
        <w:bidi w:val="0"/>
        <w:jc w:val="both"/>
        <w:rPr/>
      </w:pPr>
      <w:r>
        <w:rPr>
          <w:rFonts w:eastAsia="Times New Roman" w:cs="Times New Roman" w:ascii="Times New Roman" w:hAnsi="Times New Roman"/>
          <w:color w:val="111111"/>
          <w:sz w:val="28"/>
          <w:szCs w:val="28"/>
          <w:lang w:val="en-US"/>
        </w:rPr>
        <w:t>begitu, bakatnya yang luar biasa dan semangatnya yang menggebu</w:t>
      </w:r>
    </w:p>
    <w:p>
      <w:pPr>
        <w:pStyle w:val="BookText"/>
        <w:bidi w:val="0"/>
        <w:jc w:val="both"/>
        <w:rPr/>
      </w:pPr>
      <w:r>
        <w:rPr>
          <w:rFonts w:eastAsia="Times New Roman" w:cs="Times New Roman" w:ascii="Times New Roman" w:hAnsi="Times New Roman"/>
          <w:color w:val="111111"/>
          <w:sz w:val="28"/>
          <w:szCs w:val="28"/>
          <w:lang w:val="en-US"/>
        </w:rPr>
        <w:t>melambungkan dirinya ke posisi pakar dalam bidang budaya dan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sastra Arab. Warisan intelektualnya terbilang cukup banyak, dan </w:t>
      </w:r>
    </w:p>
    <w:p>
      <w:pPr>
        <w:pStyle w:val="BookText"/>
        <w:bidi w:val="0"/>
        <w:rPr/>
      </w:pPr>
      <w:r>
        <w:rPr>
          <w:rFonts w:eastAsia="Times New Roman" w:cs="Times New Roman" w:ascii="Times New Roman" w:hAnsi="Times New Roman"/>
          <w:color w:val="111111"/>
          <w:sz w:val="28"/>
          <w:szCs w:val="28"/>
          <w:lang w:val="en-US"/>
        </w:rPr>
        <w:t>umumnya terdiri dari puisi dan prosa. Sepanjang hidup, dia lebih</w:t>
      </w:r>
    </w:p>
    <w:p>
      <w:pPr>
        <w:pStyle w:val="BookText"/>
        <w:bidi w:val="0"/>
        <w:jc w:val="both"/>
        <w:rPr/>
      </w:pPr>
      <w:r>
        <w:rPr>
          <w:rFonts w:eastAsia="Times New Roman" w:cs="Times New Roman" w:ascii="Times New Roman" w:hAnsi="Times New Roman"/>
          <w:color w:val="111111"/>
          <w:sz w:val="28"/>
          <w:szCs w:val="28"/>
          <w:lang w:val="en-US"/>
        </w:rPr>
        <w:t>banyak menghabiskan umurnya di tanah kelahirannya, Maerrah</w:t>
      </w:r>
    </w:p>
    <w:p>
      <w:pPr>
        <w:pStyle w:val="BookText"/>
        <w:bidi w:val="0"/>
        <w:jc w:val="both"/>
        <w:rPr/>
      </w:pPr>
      <w:r>
        <w:rPr>
          <w:rFonts w:eastAsia="Times New Roman" w:cs="Times New Roman" w:ascii="Times New Roman" w:hAnsi="Times New Roman"/>
          <w:color w:val="111111"/>
          <w:sz w:val="28"/>
          <w:szCs w:val="28"/>
          <w:lang w:val="en-US"/>
        </w:rPr>
        <w:t>Nukman, dan sekitar dua tahun (399-401 H) menetap di Baghdad.</w:t>
      </w:r>
    </w:p>
    <w:p>
      <w:pPr>
        <w:pStyle w:val="BookText"/>
        <w:bidi w:val="0"/>
        <w:jc w:val="both"/>
        <w:rPr/>
      </w:pPr>
      <w:r>
        <w:rPr>
          <w:rFonts w:eastAsia="Times New Roman" w:cs="Times New Roman" w:ascii="Times New Roman" w:hAnsi="Times New Roman"/>
          <w:color w:val="111111"/>
          <w:sz w:val="28"/>
          <w:szCs w:val="28"/>
          <w:lang w:val="en-US"/>
        </w:rPr>
        <w:t>Untuk lebih mengetahui riwayat hidup pemikir Arab ini, kami</w:t>
      </w:r>
    </w:p>
    <w:p>
      <w:pPr>
        <w:pStyle w:val="BookText"/>
        <w:bidi w:val="0"/>
        <w:jc w:val="both"/>
        <w:rPr/>
      </w:pPr>
      <w:r>
        <w:rPr>
          <w:rFonts w:eastAsia="Times New Roman" w:cs="Times New Roman" w:ascii="Times New Roman" w:hAnsi="Times New Roman"/>
          <w:color w:val="111111"/>
          <w:sz w:val="28"/>
          <w:szCs w:val="28"/>
          <w:lang w:val="en-US"/>
        </w:rPr>
        <w:t>akan mengutip kisah yang ditulis Nasir Khosru Qubadiani. Kisah</w:t>
      </w:r>
    </w:p>
    <w:p>
      <w:pPr>
        <w:pStyle w:val="BookText"/>
        <w:bidi w:val="0"/>
        <w:jc w:val="both"/>
        <w:rPr/>
      </w:pPr>
      <w:r>
        <w:rPr>
          <w:rFonts w:eastAsia="Times New Roman" w:cs="Times New Roman" w:ascii="Times New Roman" w:hAnsi="Times New Roman"/>
          <w:color w:val="111111"/>
          <w:sz w:val="28"/>
          <w:szCs w:val="28"/>
          <w:lang w:val="en-US"/>
        </w:rPr>
        <w:t>ini termaktub dalam buku petualangannya (safarnomeh) setelah</w:t>
      </w:r>
    </w:p>
    <w:p>
      <w:pPr>
        <w:pStyle w:val="BookText"/>
        <w:bidi w:val="0"/>
        <w:jc w:val="both"/>
        <w:rPr/>
      </w:pPr>
      <w:r>
        <w:rPr>
          <w:rFonts w:eastAsia="Times New Roman" w:cs="Times New Roman" w:ascii="Times New Roman" w:hAnsi="Times New Roman"/>
          <w:color w:val="111111"/>
          <w:sz w:val="28"/>
          <w:szCs w:val="28"/>
          <w:lang w:val="en-US"/>
        </w:rPr>
        <w:t>dirinya mengunjungi Maerrah pada Rajab 438 H:</w:t>
      </w:r>
    </w:p>
    <w:p>
      <w:pPr>
        <w:pStyle w:val="BookText"/>
        <w:bidi w:val="0"/>
        <w:jc w:val="both"/>
        <w:rPr/>
      </w:pPr>
      <w:r>
        <w:rPr>
          <w:rFonts w:eastAsia="Times New Roman" w:cs="Times New Roman" w:ascii="Times New Roman" w:hAnsi="Times New Roman"/>
          <w:color w:val="111111"/>
          <w:sz w:val="28"/>
          <w:szCs w:val="28"/>
          <w:lang w:val="en-US"/>
        </w:rPr>
        <w:t>Di kota itu, hidup seorang lelaki yang dijuluki Abul Ala’ Ma‘arri.</w:t>
      </w:r>
    </w:p>
    <w:p>
      <w:pPr>
        <w:pStyle w:val="BookText"/>
        <w:bidi w:val="0"/>
        <w:jc w:val="both"/>
        <w:rPr/>
      </w:pPr>
      <w:r>
        <w:rPr>
          <w:rFonts w:eastAsia="Times New Roman" w:cs="Times New Roman" w:ascii="Times New Roman" w:hAnsi="Times New Roman"/>
          <w:color w:val="111111"/>
          <w:sz w:val="28"/>
          <w:szCs w:val="28"/>
          <w:lang w:val="en-US"/>
        </w:rPr>
        <w:t>Walau buta, dialah pemimpin kota itu. Dia memiliki banyak</w:t>
      </w:r>
    </w:p>
    <w:p>
      <w:pPr>
        <w:pStyle w:val="BookText"/>
        <w:bidi w:val="0"/>
        <w:jc w:val="both"/>
        <w:rPr/>
      </w:pPr>
      <w:r>
        <w:rPr>
          <w:rFonts w:eastAsia="Times New Roman" w:cs="Times New Roman" w:ascii="Times New Roman" w:hAnsi="Times New Roman"/>
          <w:color w:val="111111"/>
          <w:sz w:val="28"/>
          <w:szCs w:val="28"/>
          <w:lang w:val="en-US"/>
        </w:rPr>
        <w:t>fasilitas, pelayan dan pekerja; seakan-akan seluruh penduduk</w:t>
      </w:r>
    </w:p>
    <w:p>
      <w:pPr>
        <w:pStyle w:val="BookText"/>
        <w:bidi w:val="0"/>
        <w:jc w:val="both"/>
        <w:rPr/>
      </w:pPr>
      <w:r>
        <w:rPr>
          <w:rFonts w:eastAsia="Times New Roman" w:cs="Times New Roman" w:ascii="Times New Roman" w:hAnsi="Times New Roman"/>
          <w:color w:val="111111"/>
          <w:sz w:val="28"/>
          <w:szCs w:val="28"/>
          <w:lang w:val="en-US"/>
        </w:rPr>
        <w:t>kota itu pelayannya. Namun di saat yang sama, dia memilih</w:t>
      </w:r>
    </w:p>
    <w:p>
      <w:pPr>
        <w:pStyle w:val="BookText"/>
        <w:bidi w:val="0"/>
        <w:jc w:val="both"/>
        <w:rPr/>
      </w:pPr>
      <w:r>
        <w:rPr>
          <w:rFonts w:eastAsia="Times New Roman" w:cs="Times New Roman" w:ascii="Times New Roman" w:hAnsi="Times New Roman"/>
          <w:color w:val="111111"/>
          <w:sz w:val="28"/>
          <w:szCs w:val="28"/>
          <w:lang w:val="en-US"/>
        </w:rPr>
        <w:t>hidup sangat sederhana (zuhud). Duduk di rumah dengan</w:t>
      </w:r>
    </w:p>
    <w:p>
      <w:pPr>
        <w:pStyle w:val="BookText"/>
        <w:bidi w:val="0"/>
        <w:jc w:val="both"/>
        <w:rPr/>
      </w:pPr>
      <w:r>
        <w:rPr>
          <w:rFonts w:eastAsia="Times New Roman" w:cs="Times New Roman" w:ascii="Times New Roman" w:hAnsi="Times New Roman"/>
          <w:color w:val="111111"/>
          <w:sz w:val="28"/>
          <w:szCs w:val="28"/>
          <w:lang w:val="en-US"/>
        </w:rPr>
        <w:t>dibalut kain wol, satu setengah kilo roti dengan bahan gandum</w:t>
      </w:r>
    </w:p>
    <w:p>
      <w:pPr>
        <w:pStyle w:val="BookText"/>
        <w:bidi w:val="0"/>
        <w:jc w:val="both"/>
        <w:rPr/>
      </w:pPr>
      <w:r>
        <w:rPr>
          <w:rFonts w:eastAsia="Times New Roman" w:cs="Times New Roman" w:ascii="Times New Roman" w:hAnsi="Times New Roman"/>
          <w:color w:val="111111"/>
          <w:sz w:val="28"/>
          <w:szCs w:val="28"/>
          <w:lang w:val="en-US"/>
        </w:rPr>
        <w:t>juw dibiarkannya dan sama sekali tidak disentuhnya. Saya</w:t>
      </w:r>
    </w:p>
    <w:p>
      <w:pPr>
        <w:pStyle w:val="BookText"/>
        <w:bidi w:val="0"/>
        <w:jc w:val="both"/>
        <w:rPr/>
      </w:pPr>
      <w:r>
        <w:rPr>
          <w:rFonts w:eastAsia="Times New Roman" w:cs="Times New Roman" w:ascii="Times New Roman" w:hAnsi="Times New Roman"/>
          <w:color w:val="111111"/>
          <w:sz w:val="28"/>
          <w:szCs w:val="28"/>
          <w:lang w:val="en-US"/>
        </w:rPr>
        <w:t>mendengar pintu rumahnya terbuka setiap waktu. Para wakil</w:t>
      </w:r>
    </w:p>
    <w:p>
      <w:pPr>
        <w:pStyle w:val="BookText"/>
        <w:bidi w:val="0"/>
        <w:jc w:val="both"/>
        <w:rPr/>
      </w:pPr>
      <w:r>
        <w:rPr>
          <w:rFonts w:eastAsia="Times New Roman" w:cs="Times New Roman" w:ascii="Times New Roman" w:hAnsi="Times New Roman"/>
          <w:color w:val="111111"/>
          <w:sz w:val="28"/>
          <w:szCs w:val="28"/>
          <w:lang w:val="en-US"/>
        </w:rPr>
        <w:t>dan pembantunya mengelola kota, hanya mereka merujuknya</w:t>
      </w:r>
    </w:p>
    <w:p>
      <w:pPr>
        <w:pStyle w:val="BookText"/>
        <w:bidi w:val="0"/>
        <w:jc w:val="both"/>
        <w:rPr/>
      </w:pPr>
      <w:r>
        <w:rPr>
          <w:rFonts w:eastAsia="Times New Roman" w:cs="Times New Roman" w:ascii="Times New Roman" w:hAnsi="Times New Roman"/>
          <w:color w:val="111111"/>
          <w:sz w:val="28"/>
          <w:szCs w:val="28"/>
          <w:lang w:val="en-US"/>
        </w:rPr>
        <w:t>dalam urusan-urusan besar. Dia tidak pernah enggan membagi</w:t>
      </w:r>
    </w:p>
    <w:p>
      <w:pPr>
        <w:pStyle w:val="BookText"/>
        <w:bidi w:val="0"/>
        <w:jc w:val="both"/>
        <w:rPr/>
      </w:pPr>
      <w:r>
        <w:rPr>
          <w:rFonts w:eastAsia="Times New Roman" w:cs="Times New Roman" w:ascii="Times New Roman" w:hAnsi="Times New Roman"/>
          <w:color w:val="111111"/>
          <w:sz w:val="28"/>
          <w:szCs w:val="28"/>
          <w:lang w:val="en-US"/>
        </w:rPr>
        <w:t>kenikmatannya dengan orang lain. Dia sendiri selalu berpuasa</w:t>
      </w:r>
    </w:p>
    <w:p>
      <w:pPr>
        <w:pStyle w:val="BookText"/>
        <w:bidi w:val="0"/>
        <w:jc w:val="both"/>
        <w:rPr/>
      </w:pPr>
      <w:r>
        <w:rPr>
          <w:rFonts w:eastAsia="Times New Roman" w:cs="Times New Roman" w:ascii="Times New Roman" w:hAnsi="Times New Roman"/>
          <w:color w:val="111111"/>
          <w:sz w:val="28"/>
          <w:szCs w:val="28"/>
          <w:lang w:val="en-US"/>
        </w:rPr>
        <w:t>sepanjang siang (sd‘im al-dahr) dan terjaga sepanjang malam</w:t>
      </w:r>
    </w:p>
    <w:p>
      <w:pPr>
        <w:pStyle w:val="BookText"/>
        <w:bidi w:val="0"/>
        <w:jc w:val="both"/>
        <w:rPr/>
      </w:pPr>
      <w:r>
        <w:rPr>
          <w:rFonts w:eastAsia="Times New Roman" w:cs="Times New Roman" w:ascii="Times New Roman" w:hAnsi="Times New Roman"/>
          <w:color w:val="111111"/>
          <w:sz w:val="28"/>
          <w:szCs w:val="28"/>
          <w:lang w:val="en-US"/>
        </w:rPr>
        <w:t>(qo'im al-layl). Dia tidak mau menyibukkan diri dengan dunia.</w:t>
      </w:r>
    </w:p>
    <w:p>
      <w:pPr>
        <w:pStyle w:val="BookText"/>
        <w:bidi w:val="0"/>
        <w:jc w:val="both"/>
        <w:rPr/>
      </w:pPr>
      <w:r>
        <w:rPr>
          <w:rFonts w:eastAsia="Times New Roman" w:cs="Times New Roman" w:ascii="Times New Roman" w:hAnsi="Times New Roman"/>
          <w:color w:val="111111"/>
          <w:sz w:val="28"/>
          <w:szCs w:val="28"/>
          <w:lang w:val="en-US"/>
        </w:rPr>
        <w:t>Dalam bidang puisi dan sastra, dia telah mencapai kedudukan</w:t>
      </w:r>
    </w:p>
    <w:p>
      <w:pPr>
        <w:pStyle w:val="BookText"/>
        <w:bidi w:val="0"/>
        <w:jc w:val="both"/>
        <w:rPr/>
      </w:pPr>
      <w:r>
        <w:rPr>
          <w:rFonts w:eastAsia="Times New Roman" w:cs="Times New Roman" w:ascii="Times New Roman" w:hAnsi="Times New Roman"/>
          <w:color w:val="111111"/>
          <w:sz w:val="28"/>
          <w:szCs w:val="28"/>
          <w:lang w:val="en-US"/>
        </w:rPr>
        <w:t>tinggi. Kalangan pembesar Syam, Maroko, dan Irak mengakui</w:t>
      </w:r>
    </w:p>
    <w:p>
      <w:pPr>
        <w:pStyle w:val="BookText"/>
        <w:bidi w:val="0"/>
        <w:jc w:val="both"/>
        <w:rPr/>
      </w:pPr>
      <w:r>
        <w:rPr>
          <w:rFonts w:eastAsia="Times New Roman" w:cs="Times New Roman" w:ascii="Times New Roman" w:hAnsi="Times New Roman"/>
          <w:color w:val="111111"/>
          <w:sz w:val="28"/>
          <w:szCs w:val="28"/>
          <w:lang w:val="en-US"/>
        </w:rPr>
        <w:t>pada masa itu tak ada dan belum pernah ada orang yang mampu</w:t>
      </w:r>
    </w:p>
    <w:p>
      <w:pPr>
        <w:pStyle w:val="BookText"/>
        <w:bidi w:val="0"/>
        <w:jc w:val="both"/>
        <w:rPr/>
      </w:pPr>
      <w:r>
        <w:rPr>
          <w:rFonts w:eastAsia="Times New Roman" w:cs="Times New Roman" w:ascii="Times New Roman" w:hAnsi="Times New Roman"/>
          <w:color w:val="111111"/>
          <w:sz w:val="28"/>
          <w:szCs w:val="28"/>
          <w:lang w:val="en-US"/>
        </w:rPr>
        <w:t>menandinginya. Dia menulis Al-Fushul wa Al-Ghayat yang sarat</w:t>
      </w:r>
    </w:p>
    <w:p>
      <w:pPr>
        <w:pStyle w:val="BookText"/>
        <w:bidi w:val="0"/>
        <w:jc w:val="both"/>
        <w:rPr/>
      </w:pPr>
      <w:r>
        <w:rPr>
          <w:rFonts w:eastAsia="Times New Roman" w:cs="Times New Roman" w:ascii="Times New Roman" w:hAnsi="Times New Roman"/>
          <w:color w:val="111111"/>
          <w:sz w:val="28"/>
          <w:szCs w:val="28"/>
          <w:lang w:val="en-US"/>
        </w:rPr>
        <w:t>ungkapan-ungkapan rahasia. Kiasan-kiasannya begitu fasih</w:t>
      </w:r>
    </w:p>
    <w:p>
      <w:pPr>
        <w:pStyle w:val="BookText"/>
        <w:bidi w:val="0"/>
        <w:jc w:val="both"/>
        <w:rPr/>
      </w:pPr>
      <w:r>
        <w:rPr>
          <w:rFonts w:eastAsia="Times New Roman" w:cs="Times New Roman" w:ascii="Times New Roman" w:hAnsi="Times New Roman"/>
          <w:color w:val="111111"/>
          <w:sz w:val="28"/>
          <w:szCs w:val="28"/>
          <w:lang w:val="en-US"/>
        </w:rPr>
        <w:t>dan menakjubkan sehingga acapkali orang lain tidak sanggup</w:t>
      </w:r>
    </w:p>
    <w:p>
      <w:pPr>
        <w:pStyle w:val="BookText"/>
        <w:bidi w:val="0"/>
        <w:jc w:val="both"/>
        <w:rPr/>
      </w:pPr>
      <w:r>
        <w:rPr>
          <w:rFonts w:eastAsia="Times New Roman" w:cs="Times New Roman" w:ascii="Times New Roman" w:hAnsi="Times New Roman"/>
          <w:color w:val="111111"/>
          <w:sz w:val="28"/>
          <w:szCs w:val="28"/>
          <w:lang w:val="en-US"/>
        </w:rPr>
        <w:t>mencernanya ... Bahkan sebagian orang sempat menuduhnya</w:t>
      </w:r>
    </w:p>
    <w:p>
      <w:pPr>
        <w:pStyle w:val="BookText"/>
        <w:bidi w:val="0"/>
        <w:jc w:val="both"/>
        <w:rPr/>
      </w:pPr>
      <w:r>
        <w:rPr>
          <w:rFonts w:eastAsia="Times New Roman" w:cs="Times New Roman" w:ascii="Times New Roman" w:hAnsi="Times New Roman"/>
          <w:color w:val="111111"/>
          <w:sz w:val="28"/>
          <w:szCs w:val="28"/>
          <w:lang w:val="en-US"/>
        </w:rPr>
        <w:t>menulis buku itu untuk menandingi Alquran. Lebih dari 200</w:t>
      </w:r>
    </w:p>
    <w:p>
      <w:pPr>
        <w:pStyle w:val="BookText"/>
        <w:bidi w:val="0"/>
        <w:jc w:val="both"/>
        <w:rPr/>
      </w:pPr>
      <w:r>
        <w:rPr>
          <w:rFonts w:eastAsia="Times New Roman" w:cs="Times New Roman" w:ascii="Times New Roman" w:hAnsi="Times New Roman"/>
          <w:color w:val="111111"/>
          <w:sz w:val="28"/>
          <w:szCs w:val="28"/>
          <w:lang w:val="en-US"/>
        </w:rPr>
        <w:t>orang senantiasa datang dari berbagai penjuru untuk menimba</w:t>
      </w:r>
    </w:p>
    <w:p>
      <w:pPr>
        <w:pStyle w:val="BookText"/>
        <w:bidi w:val="0"/>
        <w:jc w:val="both"/>
        <w:rPr/>
      </w:pPr>
      <w:r>
        <w:rPr>
          <w:rFonts w:eastAsia="Times New Roman" w:cs="Times New Roman" w:ascii="Times New Roman" w:hAnsi="Times New Roman"/>
          <w:color w:val="111111"/>
          <w:sz w:val="28"/>
          <w:szCs w:val="28"/>
          <w:lang w:val="en-US"/>
        </w:rPr>
        <w:t>ilmu sastra dan puisi darinya. Saya mendengar, jumlah puisinya</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lebih dari seratus ribu bait ... Ketika saya datang ke sana, lelaki </w:t>
      </w:r>
    </w:p>
    <w:p>
      <w:pPr>
        <w:pStyle w:val="BookText"/>
        <w:bidi w:val="0"/>
        <w:rPr/>
      </w:pPr>
      <w:r>
        <w:rPr>
          <w:rFonts w:eastAsia="Times New Roman" w:cs="Times New Roman" w:ascii="Times New Roman" w:hAnsi="Times New Roman"/>
          <w:color w:val="111111"/>
          <w:sz w:val="28"/>
          <w:szCs w:val="28"/>
          <w:lang w:val="en-US"/>
        </w:rPr>
        <w:t>tu masih hidup.</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Dalam beberapa hal, deskripsi Nasir Khosru ini tidak sesuai dengan</w:t>
      </w:r>
    </w:p>
    <w:p>
      <w:pPr>
        <w:pStyle w:val="BookText"/>
        <w:bidi w:val="0"/>
        <w:jc w:val="both"/>
        <w:rPr/>
      </w:pPr>
      <w:r>
        <w:rPr>
          <w:rFonts w:eastAsia="Times New Roman" w:cs="Times New Roman" w:ascii="Times New Roman" w:hAnsi="Times New Roman"/>
          <w:color w:val="111111"/>
          <w:sz w:val="28"/>
          <w:szCs w:val="28"/>
          <w:lang w:val="en-US"/>
        </w:rPr>
        <w:t>hasil riset kalangan pemikir kontemporer berdasarkan karyakary-</w:t>
      </w:r>
    </w:p>
    <w:p>
      <w:pPr>
        <w:pStyle w:val="BookText"/>
        <w:bidi w:val="0"/>
        <w:jc w:val="both"/>
        <w:rPr/>
      </w:pPr>
      <w:r>
        <w:rPr>
          <w:rFonts w:eastAsia="Times New Roman" w:cs="Times New Roman" w:ascii="Times New Roman" w:hAnsi="Times New Roman"/>
          <w:color w:val="111111"/>
          <w:sz w:val="28"/>
          <w:szCs w:val="28"/>
          <w:lang w:val="en-US"/>
        </w:rPr>
        <w:t>anya yang masih tersisa. Misalkan dalam sebagian puisinya, Abul</w:t>
      </w:r>
    </w:p>
    <w:p>
      <w:pPr>
        <w:pStyle w:val="BookText"/>
        <w:bidi w:val="0"/>
        <w:jc w:val="both"/>
        <w:rPr/>
      </w:pPr>
      <w:r>
        <w:rPr>
          <w:rFonts w:eastAsia="Times New Roman" w:cs="Times New Roman" w:ascii="Times New Roman" w:hAnsi="Times New Roman"/>
          <w:color w:val="111111"/>
          <w:sz w:val="28"/>
          <w:szCs w:val="28"/>
          <w:lang w:val="en-US"/>
        </w:rPr>
        <w:t>Ala’ menyinggung tiga penjara: buta, mendekam dalam rumah, dan</w:t>
      </w:r>
    </w:p>
    <w:p>
      <w:pPr>
        <w:pStyle w:val="BookText"/>
        <w:bidi w:val="0"/>
        <w:jc w:val="both"/>
        <w:rPr/>
      </w:pPr>
      <w:r>
        <w:rPr>
          <w:rFonts w:eastAsia="Times New Roman" w:cs="Times New Roman" w:ascii="Times New Roman" w:hAnsi="Times New Roman"/>
          <w:color w:val="111111"/>
          <w:sz w:val="28"/>
          <w:szCs w:val="28"/>
          <w:lang w:val="en-US"/>
        </w:rPr>
        <w:t>terjeratnya ruh dalam tubuh yang kotor.</w:t>
      </w:r>
      <w:r>
        <w:rPr>
          <w:rStyle w:val="FootnoteAnchor"/>
        </w:rPr>
        <w:footnoteReference w:id="138"/>
      </w:r>
      <w:r>
        <w:rPr>
          <w:rFonts w:eastAsia="Times New Roman" w:cs="Times New Roman" w:ascii="Times New Roman" w:hAnsi="Times New Roman"/>
          <w:color w:val="111111"/>
          <w:sz w:val="28"/>
          <w:szCs w:val="28"/>
          <w:lang w:val="en-US"/>
        </w:rPr>
        <w:t>Juga dalam sepucuk surat</w:t>
      </w:r>
    </w:p>
    <w:p>
      <w:pPr>
        <w:pStyle w:val="BookText"/>
        <w:bidi w:val="0"/>
        <w:jc w:val="both"/>
        <w:rPr/>
      </w:pPr>
      <w:r>
        <w:rPr>
          <w:rFonts w:eastAsia="Times New Roman" w:cs="Times New Roman" w:ascii="Times New Roman" w:hAnsi="Times New Roman"/>
          <w:color w:val="111111"/>
          <w:sz w:val="28"/>
          <w:szCs w:val="28"/>
          <w:lang w:val="en-US"/>
        </w:rPr>
        <w:t>yang dikirimkannya kepada warga sekota saat akan pulang ke sana.</w:t>
      </w:r>
    </w:p>
    <w:p>
      <w:pPr>
        <w:pStyle w:val="BookText"/>
        <w:bidi w:val="0"/>
        <w:jc w:val="both"/>
        <w:rPr/>
      </w:pPr>
      <w:r>
        <w:rPr>
          <w:rFonts w:eastAsia="Times New Roman" w:cs="Times New Roman" w:ascii="Times New Roman" w:hAnsi="Times New Roman"/>
          <w:color w:val="111111"/>
          <w:sz w:val="28"/>
          <w:szCs w:val="28"/>
          <w:lang w:val="en-US"/>
        </w:rPr>
        <w:t>Dia meminta mereka tidak menyambut kedatangannya serta mem-</w:t>
      </w:r>
    </w:p>
    <w:p>
      <w:pPr>
        <w:pStyle w:val="BookText"/>
        <w:bidi w:val="0"/>
        <w:jc w:val="both"/>
        <w:rPr/>
      </w:pPr>
      <w:r>
        <w:rPr>
          <w:rFonts w:eastAsia="Times New Roman" w:cs="Times New Roman" w:ascii="Times New Roman" w:hAnsi="Times New Roman"/>
          <w:color w:val="111111"/>
          <w:sz w:val="28"/>
          <w:szCs w:val="28"/>
          <w:lang w:val="en-US"/>
        </w:rPr>
        <w:t>biarkannya sendiri. Karena setelah sekian tahun merenung, dia lalu</w:t>
      </w:r>
    </w:p>
    <w:p>
      <w:pPr>
        <w:pStyle w:val="BookText"/>
        <w:bidi w:val="0"/>
        <w:jc w:val="both"/>
        <w:rPr/>
      </w:pPr>
      <w:r>
        <w:rPr>
          <w:rFonts w:eastAsia="Times New Roman" w:cs="Times New Roman" w:ascii="Times New Roman" w:hAnsi="Times New Roman"/>
          <w:color w:val="111111"/>
          <w:sz w:val="28"/>
          <w:szCs w:val="28"/>
          <w:lang w:val="en-US"/>
        </w:rPr>
        <w:t>berkesimpulan bahwa dirinya harus menyendiri dan menghabiskan</w:t>
      </w:r>
    </w:p>
    <w:p>
      <w:pPr>
        <w:pStyle w:val="BookText"/>
        <w:bidi w:val="0"/>
        <w:jc w:val="both"/>
        <w:rPr/>
      </w:pPr>
      <w:r>
        <w:rPr>
          <w:rFonts w:eastAsia="Times New Roman" w:cs="Times New Roman" w:ascii="Times New Roman" w:hAnsi="Times New Roman"/>
          <w:color w:val="111111"/>
          <w:sz w:val="28"/>
          <w:szCs w:val="28"/>
          <w:lang w:val="en-US"/>
        </w:rPr>
        <w:t>sisa umurnya dalam kesendirian.</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Kembali ke inti persoalan. Dalam sebuah puisi masyhurnya,</w:t>
      </w:r>
    </w:p>
    <w:p>
      <w:pPr>
        <w:pStyle w:val="BookText"/>
        <w:bidi w:val="0"/>
        <w:jc w:val="both"/>
        <w:rPr/>
      </w:pPr>
      <w:r>
        <w:rPr>
          <w:rFonts w:eastAsia="Times New Roman" w:cs="Times New Roman" w:ascii="Times New Roman" w:hAnsi="Times New Roman"/>
          <w:color w:val="111111"/>
          <w:sz w:val="28"/>
          <w:szCs w:val="28"/>
          <w:lang w:val="en-US"/>
        </w:rPr>
        <w:t>Abul Ala’ memvonis semua agama sesat dan agama hanif,</w:t>
      </w:r>
      <w:r>
        <w:rPr>
          <w:rStyle w:val="FootnoteAnchor"/>
        </w:rPr>
        <w:footnoteReference w:id="140"/>
      </w:r>
      <w:r>
        <w:rPr>
          <w:rFonts w:eastAsia="Times New Roman" w:cs="Times New Roman" w:ascii="Times New Roman" w:hAnsi="Times New Roman"/>
          <w:color w:val="111111"/>
          <w:sz w:val="28"/>
          <w:szCs w:val="28"/>
          <w:lang w:val="en-US"/>
        </w:rPr>
        <w:t>Yahudi,</w:t>
      </w:r>
    </w:p>
    <w:p>
      <w:pPr>
        <w:pStyle w:val="BookText"/>
        <w:bidi w:val="0"/>
        <w:jc w:val="both"/>
        <w:rPr/>
      </w:pPr>
      <w:r>
        <w:rPr>
          <w:rFonts w:eastAsia="Times New Roman" w:cs="Times New Roman" w:ascii="Times New Roman" w:hAnsi="Times New Roman"/>
          <w:color w:val="111111"/>
          <w:sz w:val="28"/>
          <w:szCs w:val="28"/>
          <w:lang w:val="en-US"/>
        </w:rPr>
        <w:t>Kristen, dan Majusi adalah penyebab kesesatan. Lalu dia berkata:</w:t>
      </w:r>
    </w:p>
    <w:p>
      <w:pPr>
        <w:pStyle w:val="BookText"/>
        <w:bidi w:val="0"/>
        <w:jc w:val="both"/>
        <w:rPr/>
      </w:pPr>
      <w:r>
        <w:rPr>
          <w:rFonts w:eastAsia="Times New Roman" w:cs="Times New Roman" w:ascii="Times New Roman" w:hAnsi="Times New Roman"/>
          <w:color w:val="111111"/>
          <w:sz w:val="28"/>
          <w:szCs w:val="28"/>
          <w:lang w:val="en-US"/>
        </w:rPr>
        <w:t>Dua penduduk bumi, satu berakal tak beragama</w:t>
      </w:r>
    </w:p>
    <w:p>
      <w:pPr>
        <w:pStyle w:val="BookText"/>
        <w:bidi w:val="0"/>
        <w:jc w:val="both"/>
        <w:rPr/>
      </w:pPr>
      <w:r>
        <w:rPr>
          <w:rFonts w:eastAsia="Times New Roman" w:cs="Times New Roman" w:ascii="Times New Roman" w:hAnsi="Times New Roman"/>
          <w:color w:val="111111"/>
          <w:sz w:val="28"/>
          <w:szCs w:val="28"/>
          <w:lang w:val="en-US"/>
        </w:rPr>
        <w:t>yang lain beragama tak berakal.</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Di tempat lain, dia menyerang doktrin Syiah seputar prinsip</w:t>
      </w:r>
    </w:p>
    <w:p>
      <w:pPr>
        <w:pStyle w:val="BookText"/>
        <w:bidi w:val="0"/>
        <w:jc w:val="both"/>
        <w:rPr/>
      </w:pPr>
      <w:r>
        <w:rPr>
          <w:rFonts w:eastAsia="Times New Roman" w:cs="Times New Roman" w:ascii="Times New Roman" w:hAnsi="Times New Roman"/>
          <w:color w:val="111111"/>
          <w:sz w:val="28"/>
          <w:szCs w:val="28"/>
          <w:lang w:val="en-US"/>
        </w:rPr>
        <w:t>Imamah:</w:t>
      </w:r>
    </w:p>
    <w:p>
      <w:pPr>
        <w:pStyle w:val="BookText"/>
        <w:bidi w:val="0"/>
        <w:jc w:val="both"/>
        <w:rPr/>
      </w:pPr>
      <w:r>
        <w:rPr>
          <w:rFonts w:eastAsia="Times New Roman" w:cs="Times New Roman" w:ascii="Times New Roman" w:hAnsi="Times New Roman"/>
          <w:color w:val="111111"/>
          <w:sz w:val="28"/>
          <w:szCs w:val="28"/>
          <w:lang w:val="en-US"/>
        </w:rPr>
        <w:t>Orang-orang berharap di antara balatentara yang padam, bangkit</w:t>
      </w:r>
    </w:p>
    <w:p>
      <w:pPr>
        <w:pStyle w:val="BookText"/>
        <w:bidi w:val="0"/>
        <w:jc w:val="both"/>
        <w:rPr/>
      </w:pPr>
      <w:r>
        <w:rPr>
          <w:rFonts w:eastAsia="Times New Roman" w:cs="Times New Roman" w:ascii="Times New Roman" w:hAnsi="Times New Roman"/>
          <w:color w:val="111111"/>
          <w:sz w:val="28"/>
          <w:szCs w:val="28"/>
          <w:lang w:val="en-US"/>
        </w:rPr>
        <w:t>se-orang imam yang berbicara lugas. Ini dugaan yang batil; kar-</w:t>
      </w:r>
    </w:p>
    <w:p>
      <w:pPr>
        <w:pStyle w:val="BookText"/>
        <w:bidi w:val="0"/>
        <w:jc w:val="both"/>
        <w:rPr/>
      </w:pPr>
      <w:r>
        <w:rPr>
          <w:rFonts w:eastAsia="Times New Roman" w:cs="Times New Roman" w:ascii="Times New Roman" w:hAnsi="Times New Roman"/>
          <w:color w:val="111111"/>
          <w:sz w:val="28"/>
          <w:szCs w:val="28"/>
          <w:lang w:val="en-US"/>
        </w:rPr>
        <w:t>ena tidak ada pemimpin selain akal.</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Orang-orang agama hanif tergelincir</w:t>
      </w:r>
    </w:p>
    <w:p>
      <w:pPr>
        <w:pStyle w:val="BookText"/>
        <w:bidi w:val="0"/>
        <w:jc w:val="both"/>
        <w:rPr/>
      </w:pPr>
      <w:r>
        <w:rPr>
          <w:rFonts w:eastAsia="Times New Roman" w:cs="Times New Roman" w:ascii="Times New Roman" w:hAnsi="Times New Roman"/>
          <w:color w:val="111111"/>
          <w:sz w:val="28"/>
          <w:szCs w:val="28"/>
          <w:lang w:val="en-US"/>
        </w:rPr>
        <w:t>orang-orang Kristen tak tertuntun. Or-</w:t>
      </w:r>
    </w:p>
    <w:p>
      <w:pPr>
        <w:pStyle w:val="BookText"/>
        <w:bidi w:val="0"/>
        <w:jc w:val="both"/>
        <w:rPr/>
      </w:pPr>
      <w:r>
        <w:rPr>
          <w:rFonts w:eastAsia="Times New Roman" w:cs="Times New Roman" w:ascii="Times New Roman" w:hAnsi="Times New Roman"/>
          <w:color w:val="111111"/>
          <w:sz w:val="28"/>
          <w:szCs w:val="28"/>
          <w:lang w:val="en-US"/>
        </w:rPr>
        <w:t>ang-orang Yahudi terombang-ambing</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orang-orang Majusi tanpa jalan. </w:t>
      </w:r>
    </w:p>
    <w:p>
      <w:pPr>
        <w:pStyle w:val="BookText"/>
        <w:bidi w:val="0"/>
        <w:rPr/>
      </w:pPr>
      <w:r>
        <w:rPr>
          <w:rFonts w:eastAsia="Times New Roman" w:cs="Times New Roman" w:ascii="Times New Roman" w:hAnsi="Times New Roman"/>
          <w:color w:val="111111"/>
          <w:sz w:val="28"/>
          <w:szCs w:val="28"/>
          <w:lang w:val="en-US"/>
        </w:rPr>
        <w:t>Di samping rangkaian puisi seperti itu, terdapat pula statemen</w:t>
      </w:r>
    </w:p>
    <w:p>
      <w:pPr>
        <w:pStyle w:val="BookText"/>
        <w:bidi w:val="0"/>
        <w:jc w:val="both"/>
        <w:rPr/>
      </w:pPr>
      <w:r>
        <w:rPr>
          <w:rFonts w:eastAsia="Times New Roman" w:cs="Times New Roman" w:ascii="Times New Roman" w:hAnsi="Times New Roman"/>
          <w:color w:val="111111"/>
          <w:sz w:val="28"/>
          <w:szCs w:val="28"/>
          <w:lang w:val="en-US"/>
        </w:rPr>
        <w:t>Abul Ala’ yang mengesankan sikap menghormati agama-agama</w:t>
      </w:r>
    </w:p>
    <w:p>
      <w:pPr>
        <w:pStyle w:val="BookText"/>
        <w:bidi w:val="0"/>
        <w:jc w:val="both"/>
        <w:rPr/>
      </w:pPr>
      <w:r>
        <w:rPr>
          <w:rFonts w:eastAsia="Times New Roman" w:cs="Times New Roman" w:ascii="Times New Roman" w:hAnsi="Times New Roman"/>
          <w:color w:val="111111"/>
          <w:sz w:val="28"/>
          <w:szCs w:val="28"/>
          <w:lang w:val="en-US"/>
        </w:rPr>
        <w:t>samawi dan keteguhannya menganut Islam. Umpama, pujiannya</w:t>
      </w:r>
    </w:p>
    <w:p>
      <w:pPr>
        <w:pStyle w:val="BookText"/>
        <w:bidi w:val="0"/>
        <w:jc w:val="both"/>
        <w:rPr/>
      </w:pPr>
      <w:r>
        <w:rPr>
          <w:rFonts w:eastAsia="Times New Roman" w:cs="Times New Roman" w:ascii="Times New Roman" w:hAnsi="Times New Roman"/>
          <w:color w:val="111111"/>
          <w:sz w:val="28"/>
          <w:szCs w:val="28"/>
          <w:lang w:val="en-US"/>
        </w:rPr>
        <w:t>terhadap Islam dan Pembawanya</w:t>
      </w:r>
      <w:r>
        <w:rPr>
          <w:rStyle w:val="FootnoteAnchor"/>
        </w:rPr>
        <w:footnoteReference w:id="143"/>
      </w:r>
      <w:r>
        <w:rPr>
          <w:rFonts w:eastAsia="Times New Roman" w:cs="Times New Roman" w:ascii="Times New Roman" w:hAnsi="Times New Roman"/>
          <w:color w:val="111111"/>
          <w:sz w:val="28"/>
          <w:szCs w:val="28"/>
          <w:lang w:val="en-US"/>
        </w:rPr>
        <w:t>, sanjungan untuk Imam Ali bin</w:t>
      </w:r>
    </w:p>
    <w:p>
      <w:pPr>
        <w:pStyle w:val="BookText"/>
        <w:bidi w:val="0"/>
        <w:jc w:val="both"/>
        <w:rPr/>
      </w:pPr>
      <w:r>
        <w:rPr>
          <w:rFonts w:eastAsia="Times New Roman" w:cs="Times New Roman" w:ascii="Times New Roman" w:hAnsi="Times New Roman"/>
          <w:color w:val="111111"/>
          <w:sz w:val="28"/>
          <w:szCs w:val="28"/>
          <w:lang w:val="en-US"/>
        </w:rPr>
        <w:t>Abi Thalib dan putranya, Imam Husain</w:t>
      </w:r>
      <w:r>
        <w:rPr>
          <w:rStyle w:val="FootnoteAnchor"/>
        </w:rPr>
        <w:footnoteReference w:id="144"/>
      </w:r>
      <w:r>
        <w:rPr>
          <w:rFonts w:eastAsia="Times New Roman" w:cs="Times New Roman" w:ascii="Times New Roman" w:hAnsi="Times New Roman"/>
          <w:color w:val="111111"/>
          <w:sz w:val="28"/>
          <w:szCs w:val="28"/>
          <w:lang w:val="en-US"/>
        </w:rPr>
        <w:t>, isyarat tentang penciptaan</w:t>
      </w:r>
    </w:p>
    <w:p>
      <w:pPr>
        <w:pStyle w:val="BookText"/>
        <w:bidi w:val="0"/>
        <w:jc w:val="both"/>
        <w:rPr/>
      </w:pPr>
      <w:r>
        <w:rPr>
          <w:rFonts w:eastAsia="Times New Roman" w:cs="Times New Roman" w:ascii="Times New Roman" w:hAnsi="Times New Roman"/>
          <w:color w:val="111111"/>
          <w:sz w:val="28"/>
          <w:szCs w:val="28"/>
          <w:lang w:val="en-US"/>
        </w:rPr>
        <w:t>lima cahaya suci sebelum langit dan bumi dicipta</w:t>
      </w:r>
      <w:r>
        <w:rPr>
          <w:rStyle w:val="FootnoteAnchor"/>
        </w:rPr>
        <w:footnoteReference w:id="145"/>
      </w:r>
      <w:r>
        <w:rPr>
          <w:rFonts w:eastAsia="Times New Roman" w:cs="Times New Roman" w:ascii="Times New Roman" w:hAnsi="Times New Roman"/>
          <w:color w:val="111111"/>
          <w:sz w:val="28"/>
          <w:szCs w:val="28"/>
          <w:lang w:val="en-US"/>
        </w:rPr>
        <w:t>, shalawat kepada</w:t>
      </w:r>
    </w:p>
    <w:p>
      <w:pPr>
        <w:pStyle w:val="BookText"/>
        <w:bidi w:val="0"/>
        <w:jc w:val="both"/>
        <w:rPr/>
      </w:pPr>
      <w:r>
        <w:rPr>
          <w:rFonts w:eastAsia="Times New Roman" w:cs="Times New Roman" w:ascii="Times New Roman" w:hAnsi="Times New Roman"/>
          <w:color w:val="111111"/>
          <w:sz w:val="28"/>
          <w:szCs w:val="28"/>
          <w:lang w:val="en-US"/>
        </w:rPr>
        <w:t>Nabi Saw dan keluarga beliau</w:t>
      </w:r>
      <w:r>
        <w:rPr>
          <w:rStyle w:val="FootnoteAnchor"/>
        </w:rPr>
        <w:footnoteReference w:id="146"/>
      </w:r>
      <w:r>
        <w:rPr>
          <w:rFonts w:eastAsia="Times New Roman" w:cs="Times New Roman" w:ascii="Times New Roman" w:hAnsi="Times New Roman"/>
          <w:color w:val="111111"/>
          <w:sz w:val="28"/>
          <w:szCs w:val="28"/>
          <w:lang w:val="en-US"/>
        </w:rPr>
        <w:t>, serta penghargaan terhadap para</w:t>
      </w:r>
    </w:p>
    <w:p>
      <w:pPr>
        <w:pStyle w:val="BookText"/>
        <w:bidi w:val="0"/>
        <w:jc w:val="both"/>
        <w:rPr/>
      </w:pPr>
      <w:r>
        <w:rPr>
          <w:rFonts w:eastAsia="Times New Roman" w:cs="Times New Roman" w:ascii="Times New Roman" w:hAnsi="Times New Roman"/>
          <w:color w:val="111111"/>
          <w:sz w:val="28"/>
          <w:szCs w:val="28"/>
          <w:lang w:val="en-US"/>
        </w:rPr>
        <w:t>nabi Ilahi</w:t>
      </w:r>
      <w:r>
        <w:rPr>
          <w:rStyle w:val="FootnoteAnchor"/>
        </w:rPr>
        <w:footnoteReference w:id="1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Abul Ala’ juga acap mengungkapkan gagasan yang multitafsir.</w:t>
      </w:r>
    </w:p>
    <w:p>
      <w:pPr>
        <w:pStyle w:val="BookText"/>
        <w:bidi w:val="0"/>
        <w:jc w:val="both"/>
        <w:rPr/>
      </w:pPr>
      <w:r>
        <w:rPr>
          <w:rFonts w:eastAsia="Times New Roman" w:cs="Times New Roman" w:ascii="Times New Roman" w:hAnsi="Times New Roman"/>
          <w:color w:val="111111"/>
          <w:sz w:val="28"/>
          <w:szCs w:val="28"/>
          <w:lang w:val="en-US"/>
        </w:rPr>
        <w:t>Menurut kalangan komentator, Abul Ala’ sengaja mengaburkan</w:t>
      </w:r>
    </w:p>
    <w:p>
      <w:pPr>
        <w:pStyle w:val="BookText"/>
        <w:bidi w:val="0"/>
        <w:jc w:val="both"/>
        <w:rPr/>
      </w:pPr>
      <w:r>
        <w:rPr>
          <w:rFonts w:eastAsia="Times New Roman" w:cs="Times New Roman" w:ascii="Times New Roman" w:hAnsi="Times New Roman"/>
          <w:color w:val="111111"/>
          <w:sz w:val="28"/>
          <w:szCs w:val="28"/>
          <w:lang w:val="en-US"/>
        </w:rPr>
        <w:t>maksud gagasannya untuk menghindari serangan kaum</w:t>
      </w:r>
    </w:p>
    <w:p>
      <w:pPr>
        <w:pStyle w:val="BookText"/>
        <w:bidi w:val="0"/>
        <w:jc w:val="both"/>
        <w:rPr/>
      </w:pPr>
      <w:r>
        <w:rPr>
          <w:rFonts w:eastAsia="Times New Roman" w:cs="Times New Roman" w:ascii="Times New Roman" w:hAnsi="Times New Roman"/>
          <w:color w:val="111111"/>
          <w:sz w:val="28"/>
          <w:szCs w:val="28"/>
          <w:lang w:val="en-US"/>
        </w:rPr>
        <w:t>agamawan.</w:t>
      </w:r>
    </w:p>
    <w:p>
      <w:pPr>
        <w:pStyle w:val="BookText"/>
        <w:bidi w:val="0"/>
        <w:jc w:val="both"/>
        <w:rPr/>
      </w:pPr>
      <w:r>
        <w:rPr>
          <w:rFonts w:eastAsia="Times New Roman" w:cs="Times New Roman" w:ascii="Times New Roman" w:hAnsi="Times New Roman"/>
          <w:color w:val="111111"/>
          <w:sz w:val="28"/>
          <w:szCs w:val="28"/>
          <w:lang w:val="en-US"/>
        </w:rPr>
        <w:t>Bagaimanapun, menilai tokoh sejarah berdasarkan karyanya</w:t>
      </w:r>
    </w:p>
    <w:p>
      <w:pPr>
        <w:pStyle w:val="BookText"/>
        <w:bidi w:val="0"/>
        <w:jc w:val="both"/>
        <w:rPr/>
      </w:pPr>
      <w:r>
        <w:rPr>
          <w:rFonts w:eastAsia="Times New Roman" w:cs="Times New Roman" w:ascii="Times New Roman" w:hAnsi="Times New Roman"/>
          <w:color w:val="111111"/>
          <w:sz w:val="28"/>
          <w:szCs w:val="28"/>
          <w:lang w:val="en-US"/>
        </w:rPr>
        <w:t>yang masih tersisa merupakan pekerjaan yang cukup sulit. Kendati</w:t>
      </w:r>
    </w:p>
    <w:p>
      <w:pPr>
        <w:pStyle w:val="BookText"/>
        <w:bidi w:val="0"/>
        <w:jc w:val="both"/>
        <w:rPr/>
      </w:pPr>
      <w:r>
        <w:rPr>
          <w:rFonts w:eastAsia="Times New Roman" w:cs="Times New Roman" w:ascii="Times New Roman" w:hAnsi="Times New Roman"/>
          <w:color w:val="111111"/>
          <w:sz w:val="28"/>
          <w:szCs w:val="28"/>
          <w:lang w:val="en-US"/>
        </w:rPr>
        <w:t>begitu, dapat dipastikan bahwa Abul Ala’ Ma’arri percaya Tuhan</w:t>
      </w:r>
    </w:p>
    <w:p>
      <w:pPr>
        <w:pStyle w:val="BookText"/>
        <w:bidi w:val="0"/>
        <w:jc w:val="both"/>
        <w:rPr/>
      </w:pPr>
      <w:r>
        <w:rPr>
          <w:rFonts w:eastAsia="Times New Roman" w:cs="Times New Roman" w:ascii="Times New Roman" w:hAnsi="Times New Roman"/>
          <w:color w:val="111111"/>
          <w:sz w:val="28"/>
          <w:szCs w:val="28"/>
          <w:lang w:val="en-US"/>
        </w:rPr>
        <w:t>yang Maha Esa. Kehidupannya juga serbasederhana (zuliud) dan</w:t>
      </w:r>
    </w:p>
    <w:p>
      <w:pPr>
        <w:pStyle w:val="BookText"/>
        <w:bidi w:val="0"/>
        <w:jc w:val="both"/>
        <w:rPr/>
      </w:pPr>
      <w:r>
        <w:rPr>
          <w:rFonts w:eastAsia="Times New Roman" w:cs="Times New Roman" w:ascii="Times New Roman" w:hAnsi="Times New Roman"/>
          <w:color w:val="111111"/>
          <w:sz w:val="28"/>
          <w:szCs w:val="28"/>
          <w:lang w:val="en-US"/>
        </w:rPr>
        <w:t>cenderung tidak peduli pada ihwal duniawi. Sayang, kejeniusan dan</w:t>
      </w:r>
    </w:p>
    <w:p>
      <w:pPr>
        <w:pStyle w:val="BookText"/>
        <w:bidi w:val="0"/>
        <w:jc w:val="both"/>
        <w:rPr/>
      </w:pPr>
      <w:r>
        <w:rPr>
          <w:rFonts w:eastAsia="Times New Roman" w:cs="Times New Roman" w:ascii="Times New Roman" w:hAnsi="Times New Roman"/>
          <w:color w:val="111111"/>
          <w:sz w:val="28"/>
          <w:szCs w:val="28"/>
          <w:lang w:val="en-US"/>
        </w:rPr>
        <w:t>kekuatan nalarnya, yang berbaur dengan pelbagai kesulitan yang</w:t>
      </w:r>
    </w:p>
    <w:p>
      <w:pPr>
        <w:pStyle w:val="BookText"/>
        <w:bidi w:val="0"/>
        <w:jc w:val="both"/>
        <w:rPr/>
      </w:pPr>
      <w:r>
        <w:rPr>
          <w:rFonts w:eastAsia="Times New Roman" w:cs="Times New Roman" w:ascii="Times New Roman" w:hAnsi="Times New Roman"/>
          <w:color w:val="111111"/>
          <w:sz w:val="28"/>
          <w:szCs w:val="28"/>
          <w:lang w:val="en-US"/>
        </w:rPr>
        <w:t>dialami (seperti kebutaan), telah mengonstruksi dirinya sebagai</w:t>
      </w:r>
    </w:p>
    <w:p>
      <w:pPr>
        <w:pStyle w:val="BookText"/>
        <w:bidi w:val="0"/>
        <w:jc w:val="both"/>
        <w:rPr/>
      </w:pPr>
      <w:r>
        <w:rPr>
          <w:rFonts w:eastAsia="Times New Roman" w:cs="Times New Roman" w:ascii="Times New Roman" w:hAnsi="Times New Roman"/>
          <w:color w:val="111111"/>
          <w:sz w:val="28"/>
          <w:szCs w:val="28"/>
          <w:lang w:val="en-US"/>
        </w:rPr>
        <w:t>seorang skeptis. Akhirnya, dia pun menderita tekanan jiwa yang</w:t>
      </w:r>
    </w:p>
    <w:p>
      <w:pPr>
        <w:pStyle w:val="BookText"/>
        <w:bidi w:val="0"/>
        <w:jc w:val="both"/>
        <w:rPr/>
      </w:pPr>
      <w:r>
        <w:rPr>
          <w:rFonts w:eastAsia="Times New Roman" w:cs="Times New Roman" w:ascii="Times New Roman" w:hAnsi="Times New Roman"/>
          <w:color w:val="111111"/>
          <w:sz w:val="28"/>
          <w:szCs w:val="28"/>
          <w:lang w:val="en-US"/>
        </w:rPr>
        <w:t>cukup akut. Thaha Husain, penulis tunanetra terkenal asal Mesir</w:t>
      </w:r>
    </w:p>
    <w:p>
      <w:pPr>
        <w:pStyle w:val="BookText"/>
        <w:bidi w:val="0"/>
        <w:jc w:val="both"/>
        <w:rPr/>
      </w:pPr>
      <w:r>
        <w:rPr>
          <w:rFonts w:eastAsia="Times New Roman" w:cs="Times New Roman" w:ascii="Times New Roman" w:hAnsi="Times New Roman"/>
          <w:color w:val="111111"/>
          <w:sz w:val="28"/>
          <w:szCs w:val="28"/>
          <w:lang w:val="en-US"/>
        </w:rPr>
        <w:t>yang disertasi doktoralnya mengenai riwayat hidup Abul Ala’</w:t>
      </w:r>
    </w:p>
    <w:p>
      <w:pPr>
        <w:pStyle w:val="BookText"/>
        <w:bidi w:val="0"/>
        <w:jc w:val="both"/>
        <w:rPr/>
      </w:pPr>
      <w:r>
        <w:rPr>
          <w:rFonts w:eastAsia="Times New Roman" w:cs="Times New Roman" w:ascii="Times New Roman" w:hAnsi="Times New Roman"/>
          <w:color w:val="111111"/>
          <w:sz w:val="28"/>
          <w:szCs w:val="28"/>
          <w:lang w:val="en-US"/>
        </w:rPr>
        <w:t>Ma‘arri, menerangkan skeptisismenya terhadap Hari Kebangkitan:</w:t>
      </w:r>
    </w:p>
    <w:p>
      <w:pPr>
        <w:pStyle w:val="BookText"/>
        <w:bidi w:val="0"/>
        <w:jc w:val="both"/>
        <w:rPr/>
      </w:pPr>
      <w:r>
        <w:rPr>
          <w:rFonts w:eastAsia="Times New Roman" w:cs="Times New Roman" w:ascii="Times New Roman" w:hAnsi="Times New Roman"/>
          <w:color w:val="111111"/>
          <w:sz w:val="28"/>
          <w:szCs w:val="28"/>
          <w:lang w:val="en-US"/>
        </w:rPr>
        <w:t>Orang beriman yang percaya Hari Kebangkitan ... adalah berhati</w:t>
      </w:r>
    </w:p>
    <w:p>
      <w:pPr>
        <w:pStyle w:val="BookText"/>
        <w:bidi w:val="0"/>
        <w:jc w:val="both"/>
        <w:rPr/>
      </w:pPr>
      <w:r>
        <w:rPr>
          <w:rFonts w:eastAsia="Times New Roman" w:cs="Times New Roman" w:ascii="Times New Roman" w:hAnsi="Times New Roman"/>
          <w:color w:val="111111"/>
          <w:sz w:val="28"/>
          <w:szCs w:val="28"/>
          <w:lang w:val="en-US"/>
        </w:rPr>
        <w:t>tenang ..; adapun seorang skeptis tidak dapat percaya dan</w:t>
      </w:r>
    </w:p>
    <w:p>
      <w:pPr>
        <w:pStyle w:val="BookText"/>
        <w:bidi w:val="0"/>
        <w:jc w:val="both"/>
        <w:rPr/>
      </w:pPr>
      <w:r>
        <w:rPr>
          <w:rFonts w:eastAsia="Times New Roman" w:cs="Times New Roman" w:ascii="Times New Roman" w:hAnsi="Times New Roman"/>
          <w:color w:val="111111"/>
          <w:sz w:val="28"/>
          <w:szCs w:val="28"/>
          <w:lang w:val="en-US"/>
        </w:rPr>
        <w:t>mengimani itu ... nalarnya sesaat pun tidak pernah berhenti mencari</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menggali ... seringkali ... mereka terombang-ambing di antara </w:t>
      </w:r>
    </w:p>
    <w:p>
      <w:pPr>
        <w:pStyle w:val="BookText"/>
        <w:bidi w:val="0"/>
        <w:rPr/>
      </w:pPr>
      <w:r>
        <w:rPr>
          <w:rFonts w:eastAsia="Times New Roman" w:cs="Times New Roman" w:ascii="Times New Roman" w:hAnsi="Times New Roman"/>
          <w:color w:val="111111"/>
          <w:sz w:val="28"/>
          <w:szCs w:val="28"/>
          <w:lang w:val="en-US"/>
        </w:rPr>
        <w:t>pengakuan dan penolakan</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mengatakan:</w:t>
      </w:r>
    </w:p>
    <w:p>
      <w:pPr>
        <w:pStyle w:val="BookText"/>
        <w:bidi w:val="0"/>
        <w:jc w:val="both"/>
        <w:rPr/>
      </w:pPr>
      <w:r>
        <w:rPr>
          <w:rFonts w:eastAsia="Times New Roman" w:cs="Times New Roman" w:ascii="Times New Roman" w:hAnsi="Times New Roman"/>
          <w:color w:val="111111"/>
          <w:sz w:val="28"/>
          <w:szCs w:val="28"/>
          <w:lang w:val="en-US"/>
        </w:rPr>
        <w:t>Ahli astronomi dan dokter, dua-duanya berkata:</w:t>
      </w:r>
    </w:p>
    <w:p>
      <w:pPr>
        <w:pStyle w:val="BookText"/>
        <w:bidi w:val="0"/>
        <w:jc w:val="both"/>
        <w:rPr/>
      </w:pPr>
      <w:r>
        <w:rPr>
          <w:rFonts w:eastAsia="Times New Roman" w:cs="Times New Roman" w:ascii="Times New Roman" w:hAnsi="Times New Roman"/>
          <w:color w:val="111111"/>
          <w:sz w:val="28"/>
          <w:szCs w:val="28"/>
          <w:lang w:val="en-US"/>
        </w:rPr>
        <w:t>mayat tak dibangkitkan lagi, kukatakan, terserah kamu.</w:t>
      </w:r>
    </w:p>
    <w:p>
      <w:pPr>
        <w:pStyle w:val="BookText"/>
        <w:bidi w:val="0"/>
        <w:jc w:val="both"/>
        <w:rPr/>
      </w:pPr>
      <w:r>
        <w:rPr>
          <w:rFonts w:eastAsia="Times New Roman" w:cs="Times New Roman" w:ascii="Times New Roman" w:hAnsi="Times New Roman"/>
          <w:color w:val="111111"/>
          <w:sz w:val="28"/>
          <w:szCs w:val="28"/>
          <w:lang w:val="en-US"/>
        </w:rPr>
        <w:t>Jika katamu benar itu, aku tidak rugi</w:t>
      </w:r>
    </w:p>
    <w:p>
      <w:pPr>
        <w:pStyle w:val="BookText"/>
        <w:bidi w:val="0"/>
        <w:jc w:val="both"/>
        <w:rPr/>
      </w:pPr>
      <w:r>
        <w:rPr>
          <w:rFonts w:eastAsia="Times New Roman" w:cs="Times New Roman" w:ascii="Times New Roman" w:hAnsi="Times New Roman"/>
          <w:color w:val="111111"/>
          <w:sz w:val="28"/>
          <w:szCs w:val="28"/>
          <w:lang w:val="en-US"/>
        </w:rPr>
        <w:t>tapi jika kataku benar, kamu pasti rugi.</w:t>
      </w:r>
    </w:p>
    <w:p>
      <w:pPr>
        <w:pStyle w:val="BookText"/>
        <w:bidi w:val="0"/>
        <w:jc w:val="both"/>
        <w:rPr/>
      </w:pPr>
      <w:r>
        <w:rPr>
          <w:rFonts w:eastAsia="Times New Roman" w:cs="Times New Roman" w:ascii="Times New Roman" w:hAnsi="Times New Roman"/>
          <w:color w:val="111111"/>
          <w:sz w:val="28"/>
          <w:szCs w:val="28"/>
          <w:lang w:val="en-US"/>
        </w:rPr>
        <w:t>... orang seperti ini selalu mengalami</w:t>
      </w:r>
    </w:p>
    <w:p>
      <w:pPr>
        <w:pStyle w:val="BookText"/>
        <w:bidi w:val="0"/>
        <w:jc w:val="both"/>
        <w:rPr/>
      </w:pPr>
      <w:r>
        <w:rPr>
          <w:rFonts w:eastAsia="Times New Roman" w:cs="Times New Roman" w:ascii="Times New Roman" w:hAnsi="Times New Roman"/>
          <w:color w:val="111111"/>
          <w:sz w:val="28"/>
          <w:szCs w:val="28"/>
          <w:lang w:val="en-US"/>
        </w:rPr>
        <w:t>siksa yang berat dan gangguan jiwa ... satu-satunya hal yang</w:t>
      </w:r>
    </w:p>
    <w:p>
      <w:pPr>
        <w:pStyle w:val="BookText"/>
        <w:bidi w:val="0"/>
        <w:jc w:val="both"/>
        <w:rPr/>
      </w:pPr>
      <w:r>
        <w:rPr>
          <w:rFonts w:eastAsia="Times New Roman" w:cs="Times New Roman" w:ascii="Times New Roman" w:hAnsi="Times New Roman"/>
          <w:color w:val="111111"/>
          <w:sz w:val="28"/>
          <w:szCs w:val="28"/>
          <w:lang w:val="en-US"/>
        </w:rPr>
        <w:t>mempersulit penelitian Abul Ala’ dan membuatnya skeptis adalah</w:t>
      </w:r>
    </w:p>
    <w:p>
      <w:pPr>
        <w:pStyle w:val="BookText"/>
        <w:bidi w:val="0"/>
        <w:jc w:val="both"/>
        <w:rPr/>
      </w:pPr>
      <w:r>
        <w:rPr>
          <w:rFonts w:eastAsia="Times New Roman" w:cs="Times New Roman" w:ascii="Times New Roman" w:hAnsi="Times New Roman"/>
          <w:color w:val="111111"/>
          <w:sz w:val="28"/>
          <w:szCs w:val="28"/>
          <w:lang w:val="en-US"/>
        </w:rPr>
        <w:t>akal ... seandainya Abul Ala’ merendah dalam kehidupan rasional</w:t>
      </w:r>
    </w:p>
    <w:p>
      <w:pPr>
        <w:pStyle w:val="BookText"/>
        <w:bidi w:val="0"/>
        <w:jc w:val="both"/>
        <w:rPr/>
      </w:pPr>
      <w:r>
        <w:rPr>
          <w:rFonts w:eastAsia="Times New Roman" w:cs="Times New Roman" w:ascii="Times New Roman" w:hAnsi="Times New Roman"/>
          <w:color w:val="111111"/>
          <w:sz w:val="28"/>
          <w:szCs w:val="28"/>
          <w:lang w:val="en-US"/>
        </w:rPr>
        <w:t>dan filosofisnya, sebagaimana dalam kehidupan praktisnya, serta</w:t>
      </w:r>
    </w:p>
    <w:p>
      <w:pPr>
        <w:pStyle w:val="BookText"/>
        <w:bidi w:val="0"/>
        <w:jc w:val="both"/>
        <w:rPr/>
      </w:pPr>
      <w:r>
        <w:rPr>
          <w:rFonts w:eastAsia="Times New Roman" w:cs="Times New Roman" w:ascii="Times New Roman" w:hAnsi="Times New Roman"/>
          <w:color w:val="111111"/>
          <w:sz w:val="28"/>
          <w:szCs w:val="28"/>
          <w:lang w:val="en-US"/>
        </w:rPr>
        <w:t>meyakini batas daya jangkau nalarnya ... niscaya dia akan selamat</w:t>
      </w:r>
    </w:p>
    <w:p>
      <w:pPr>
        <w:pStyle w:val="BookText"/>
        <w:bidi w:val="0"/>
        <w:jc w:val="both"/>
        <w:rPr/>
      </w:pPr>
      <w:r>
        <w:rPr>
          <w:rFonts w:eastAsia="Times New Roman" w:cs="Times New Roman" w:ascii="Times New Roman" w:hAnsi="Times New Roman"/>
          <w:color w:val="111111"/>
          <w:sz w:val="28"/>
          <w:szCs w:val="28"/>
          <w:lang w:val="en-US"/>
        </w:rPr>
        <w:t>dari siksa dan derita ini.</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Persoalan utama Abul Ala’ terletak pada kecenderungan kuatnya</w:t>
      </w:r>
    </w:p>
    <w:p>
      <w:pPr>
        <w:pStyle w:val="BookText"/>
        <w:bidi w:val="0"/>
        <w:jc w:val="both"/>
        <w:rPr/>
      </w:pPr>
      <w:r>
        <w:rPr>
          <w:rFonts w:eastAsia="Times New Roman" w:cs="Times New Roman" w:ascii="Times New Roman" w:hAnsi="Times New Roman"/>
          <w:color w:val="111111"/>
          <w:sz w:val="28"/>
          <w:szCs w:val="28"/>
          <w:lang w:val="en-US"/>
        </w:rPr>
        <w:t>menakar semua ajaran agama secara rasional. Dia sama sekali enggan</w:t>
      </w:r>
    </w:p>
    <w:p>
      <w:pPr>
        <w:pStyle w:val="BookText"/>
        <w:bidi w:val="0"/>
        <w:jc w:val="both"/>
        <w:rPr/>
      </w:pPr>
      <w:r>
        <w:rPr>
          <w:rFonts w:eastAsia="Times New Roman" w:cs="Times New Roman" w:ascii="Times New Roman" w:hAnsi="Times New Roman"/>
          <w:color w:val="111111"/>
          <w:sz w:val="28"/>
          <w:szCs w:val="28"/>
          <w:lang w:val="en-US"/>
        </w:rPr>
        <w:t>mengakui adanya ajaran yang melampaui akal. Karena itu, ketika</w:t>
      </w:r>
    </w:p>
    <w:p>
      <w:pPr>
        <w:pStyle w:val="BookText"/>
        <w:bidi w:val="0"/>
        <w:jc w:val="both"/>
        <w:rPr/>
      </w:pPr>
      <w:r>
        <w:rPr>
          <w:rFonts w:eastAsia="Times New Roman" w:cs="Times New Roman" w:ascii="Times New Roman" w:hAnsi="Times New Roman"/>
          <w:color w:val="111111"/>
          <w:sz w:val="28"/>
          <w:szCs w:val="28"/>
          <w:lang w:val="en-US"/>
        </w:rPr>
        <w:t>tidak sanggup mencecap hikmah di balik sejumlah hukum fikih,</w:t>
      </w:r>
    </w:p>
    <w:p>
      <w:pPr>
        <w:pStyle w:val="BookText"/>
        <w:bidi w:val="0"/>
        <w:jc w:val="both"/>
        <w:rPr/>
      </w:pPr>
      <w:r>
        <w:rPr>
          <w:rFonts w:eastAsia="Times New Roman" w:cs="Times New Roman" w:ascii="Times New Roman" w:hAnsi="Times New Roman"/>
          <w:color w:val="111111"/>
          <w:sz w:val="28"/>
          <w:szCs w:val="28"/>
          <w:lang w:val="en-US"/>
        </w:rPr>
        <w:t>dia langsung menuding Islam mengandung kontradiksi (tanaqudh)</w:t>
      </w:r>
    </w:p>
    <w:p>
      <w:pPr>
        <w:pStyle w:val="BookText"/>
        <w:bidi w:val="0"/>
        <w:jc w:val="both"/>
        <w:rPr/>
      </w:pPr>
      <w:r>
        <w:rPr>
          <w:rFonts w:eastAsia="Times New Roman" w:cs="Times New Roman" w:ascii="Times New Roman" w:hAnsi="Times New Roman"/>
          <w:color w:val="111111"/>
          <w:sz w:val="28"/>
          <w:szCs w:val="28"/>
          <w:lang w:val="en-US"/>
        </w:rPr>
        <w:t>antara satu ajaran dengan ajarannya yang lain:</w:t>
      </w:r>
    </w:p>
    <w:p>
      <w:pPr>
        <w:pStyle w:val="BookText"/>
        <w:bidi w:val="0"/>
        <w:jc w:val="both"/>
        <w:rPr/>
      </w:pPr>
      <w:r>
        <w:rPr>
          <w:rFonts w:eastAsia="Times New Roman" w:cs="Times New Roman" w:ascii="Times New Roman" w:hAnsi="Times New Roman"/>
          <w:color w:val="111111"/>
          <w:sz w:val="28"/>
          <w:szCs w:val="28"/>
          <w:lang w:val="en-US"/>
        </w:rPr>
        <w:t>Ada pertentangan, apalah hak kita selain diam</w:t>
      </w:r>
    </w:p>
    <w:p>
      <w:pPr>
        <w:pStyle w:val="BookText"/>
        <w:bidi w:val="0"/>
        <w:jc w:val="both"/>
        <w:rPr/>
      </w:pPr>
      <w:r>
        <w:rPr>
          <w:rFonts w:eastAsia="Times New Roman" w:cs="Times New Roman" w:ascii="Times New Roman" w:hAnsi="Times New Roman"/>
          <w:color w:val="111111"/>
          <w:sz w:val="28"/>
          <w:szCs w:val="28"/>
          <w:lang w:val="en-US"/>
        </w:rPr>
        <w:t>dan berlindung pada Tuhan dari api jahanam.</w:t>
      </w:r>
    </w:p>
    <w:p>
      <w:pPr>
        <w:pStyle w:val="BookText"/>
        <w:bidi w:val="0"/>
        <w:jc w:val="both"/>
        <w:rPr/>
      </w:pPr>
      <w:r>
        <w:rPr>
          <w:rFonts w:eastAsia="Times New Roman" w:cs="Times New Roman" w:ascii="Times New Roman" w:hAnsi="Times New Roman"/>
          <w:color w:val="111111"/>
          <w:sz w:val="28"/>
          <w:szCs w:val="28"/>
          <w:lang w:val="en-US"/>
        </w:rPr>
        <w:t>Tangan didenda lima ratus miskal emas</w:t>
      </w:r>
    </w:p>
    <w:p>
      <w:pPr>
        <w:pStyle w:val="BookText"/>
        <w:bidi w:val="0"/>
        <w:jc w:val="both"/>
        <w:rPr/>
      </w:pPr>
      <w:r>
        <w:rPr>
          <w:rFonts w:eastAsia="Times New Roman" w:cs="Times New Roman" w:ascii="Times New Roman" w:hAnsi="Times New Roman"/>
          <w:color w:val="111111"/>
          <w:sz w:val="28"/>
          <w:szCs w:val="28"/>
          <w:lang w:val="en-US"/>
        </w:rPr>
        <w:t>gerangan apa dipotong karena seperempat miskal emas.</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Maksudnya, berdasarkan hukum Islam, khususnya dari</w:t>
      </w:r>
    </w:p>
    <w:p>
      <w:pPr>
        <w:pStyle w:val="BookText"/>
        <w:bidi w:val="0"/>
        <w:jc w:val="both"/>
        <w:rPr/>
      </w:pPr>
      <w:r>
        <w:rPr>
          <w:rFonts w:eastAsia="Times New Roman" w:cs="Times New Roman" w:ascii="Times New Roman" w:hAnsi="Times New Roman"/>
          <w:color w:val="111111"/>
          <w:sz w:val="28"/>
          <w:szCs w:val="28"/>
          <w:lang w:val="en-US"/>
        </w:rPr>
        <w:t>keterangan para imam Ahlul Bait, jika seseorang memotong tangan</w:t>
      </w:r>
    </w:p>
    <w:p>
      <w:pPr>
        <w:pStyle w:val="BookText"/>
        <w:bidi w:val="0"/>
        <w:jc w:val="both"/>
        <w:rPr/>
      </w:pPr>
      <w:r>
        <w:rPr>
          <w:rFonts w:eastAsia="Times New Roman" w:cs="Times New Roman" w:ascii="Times New Roman" w:hAnsi="Times New Roman"/>
          <w:color w:val="111111"/>
          <w:sz w:val="28"/>
          <w:szCs w:val="28"/>
          <w:lang w:val="en-US"/>
        </w:rPr>
        <w:t>orang lain [yang tak berdosa], sebagai gantinya, harus membayar</w:t>
      </w:r>
    </w:p>
    <w:p>
      <w:pPr>
        <w:pStyle w:val="BookText"/>
        <w:bidi w:val="0"/>
        <w:jc w:val="both"/>
        <w:rPr/>
      </w:pPr>
      <w:r>
        <w:rPr>
          <w:rFonts w:eastAsia="Times New Roman" w:cs="Times New Roman" w:ascii="Times New Roman" w:hAnsi="Times New Roman"/>
          <w:color w:val="111111"/>
          <w:sz w:val="28"/>
          <w:szCs w:val="28"/>
          <w:lang w:val="en-US"/>
        </w:rPr>
        <w:t>diyat lima ratus miskal emas. Di pihak lain, seseorang yang terbukti</w:t>
      </w:r>
    </w:p>
    <w:p>
      <w:pPr>
        <w:pStyle w:val="BookText"/>
        <w:bidi w:val="0"/>
        <w:jc w:val="both"/>
        <w:rPr/>
      </w:pPr>
      <w:r>
        <w:rPr>
          <w:rFonts w:eastAsia="Times New Roman" w:cs="Times New Roman" w:ascii="Times New Roman" w:hAnsi="Times New Roman"/>
          <w:color w:val="111111"/>
          <w:sz w:val="28"/>
          <w:szCs w:val="28"/>
          <w:lang w:val="en-US"/>
        </w:rPr>
        <w:t>mencuri barang — yang harganya tidak lebih dari seperempat miskal</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emas—harus dipotong tangannya. Maka pertanyaan yang muncul: </w:t>
      </w:r>
      <w:bookmarkStart w:id="147" w:name="pg5378_50524"/>
    </w:p>
    <w:p>
      <w:pPr>
        <w:pStyle w:val="BookText"/>
        <w:bidi w:val="0"/>
        <w:rPr/>
      </w:pPr>
      <w:bookmarkEnd w:id="147"/>
      <w:r>
        <w:rPr>
          <w:rFonts w:eastAsia="Times New Roman" w:cs="Times New Roman" w:ascii="Times New Roman" w:hAnsi="Times New Roman"/>
          <w:color w:val="111111"/>
          <w:sz w:val="28"/>
          <w:szCs w:val="28"/>
          <w:lang w:val="en-US"/>
        </w:rPr>
        <w:t>sebenar-nya berapa harga tangan manusia: lima ratus ataukah</w:t>
      </w:r>
    </w:p>
    <w:p>
      <w:pPr>
        <w:pStyle w:val="BookText"/>
        <w:bidi w:val="0"/>
        <w:jc w:val="both"/>
        <w:rPr/>
      </w:pPr>
      <w:r>
        <w:rPr>
          <w:rFonts w:eastAsia="Times New Roman" w:cs="Times New Roman" w:ascii="Times New Roman" w:hAnsi="Times New Roman"/>
          <w:color w:val="111111"/>
          <w:sz w:val="28"/>
          <w:szCs w:val="28"/>
          <w:lang w:val="en-US"/>
        </w:rPr>
        <w:t>seperempat miskal emas?</w:t>
      </w:r>
    </w:p>
    <w:p>
      <w:pPr>
        <w:pStyle w:val="BookText"/>
        <w:bidi w:val="0"/>
        <w:jc w:val="both"/>
        <w:rPr/>
      </w:pPr>
      <w:r>
        <w:rPr>
          <w:rFonts w:eastAsia="Times New Roman" w:cs="Times New Roman" w:ascii="Times New Roman" w:hAnsi="Times New Roman"/>
          <w:color w:val="111111"/>
          <w:sz w:val="28"/>
          <w:szCs w:val="28"/>
          <w:lang w:val="en-US"/>
        </w:rPr>
        <w:t>Sudah tentu, ada beragam hikmah dalam rangkaian hukum fikih</w:t>
      </w:r>
    </w:p>
    <w:p>
      <w:pPr>
        <w:pStyle w:val="BookText"/>
        <w:bidi w:val="0"/>
        <w:jc w:val="both"/>
        <w:rPr/>
      </w:pPr>
      <w:r>
        <w:rPr>
          <w:rFonts w:eastAsia="Times New Roman" w:cs="Times New Roman" w:ascii="Times New Roman" w:hAnsi="Times New Roman"/>
          <w:color w:val="111111"/>
          <w:sz w:val="28"/>
          <w:szCs w:val="28"/>
          <w:lang w:val="en-US"/>
        </w:rPr>
        <w:t>yang belum terungkap. Di sini, penalaran yang adil menuntut sikap</w:t>
      </w:r>
    </w:p>
    <w:p>
      <w:pPr>
        <w:pStyle w:val="BookText"/>
        <w:bidi w:val="0"/>
        <w:jc w:val="both"/>
        <w:rPr/>
      </w:pPr>
      <w:r>
        <w:rPr>
          <w:rFonts w:eastAsia="Times New Roman" w:cs="Times New Roman" w:ascii="Times New Roman" w:hAnsi="Times New Roman"/>
          <w:color w:val="111111"/>
          <w:sz w:val="28"/>
          <w:szCs w:val="28"/>
          <w:lang w:val="en-US"/>
        </w:rPr>
        <w:t>pasrah di hadapan semua hal yang melampaui kemampuannya</w:t>
      </w:r>
    </w:p>
    <w:p>
      <w:pPr>
        <w:pStyle w:val="BookText"/>
        <w:bidi w:val="0"/>
        <w:jc w:val="both"/>
        <w:rPr/>
      </w:pPr>
      <w:r>
        <w:rPr>
          <w:rFonts w:eastAsia="Times New Roman" w:cs="Times New Roman" w:ascii="Times New Roman" w:hAnsi="Times New Roman"/>
          <w:color w:val="111111"/>
          <w:sz w:val="28"/>
          <w:szCs w:val="28"/>
          <w:lang w:val="en-US"/>
        </w:rPr>
        <w:t>seraya tidak pukul rata antara apa yang “nonakal” dengan yang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antiakal”.</w:t>
      </w:r>
    </w:p>
    <w:p>
      <w:pPr>
        <w:pStyle w:val="BookText"/>
        <w:bidi w:val="0"/>
        <w:jc w:val="both"/>
        <w:rPr/>
      </w:pPr>
      <w:r>
        <w:rPr>
          <w:rFonts w:eastAsia="Times New Roman" w:cs="Times New Roman" w:ascii="Times New Roman" w:hAnsi="Times New Roman"/>
          <w:color w:val="111111"/>
          <w:sz w:val="28"/>
          <w:szCs w:val="28"/>
          <w:lang w:val="en-US"/>
        </w:rPr>
        <w:t>Sebagian ulama yang hidup semasa dengan Abul Ala’, memberi</w:t>
      </w:r>
    </w:p>
    <w:p>
      <w:pPr>
        <w:pStyle w:val="BookText"/>
        <w:bidi w:val="0"/>
        <w:jc w:val="both"/>
        <w:rPr/>
      </w:pPr>
      <w:r>
        <w:rPr>
          <w:rFonts w:eastAsia="Times New Roman" w:cs="Times New Roman" w:ascii="Times New Roman" w:hAnsi="Times New Roman"/>
          <w:color w:val="111111"/>
          <w:sz w:val="28"/>
          <w:szCs w:val="28"/>
          <w:lang w:val="en-US"/>
        </w:rPr>
        <w:t>tanggapan sembari mengutarakan hikmah rasional di balik hukum</w:t>
      </w:r>
    </w:p>
    <w:p>
      <w:pPr>
        <w:pStyle w:val="BookText"/>
        <w:bidi w:val="0"/>
        <w:jc w:val="both"/>
        <w:rPr/>
      </w:pPr>
      <w:r>
        <w:rPr>
          <w:rFonts w:eastAsia="Times New Roman" w:cs="Times New Roman" w:ascii="Times New Roman" w:hAnsi="Times New Roman"/>
          <w:color w:val="111111"/>
          <w:sz w:val="28"/>
          <w:szCs w:val="28"/>
          <w:lang w:val="en-US"/>
        </w:rPr>
        <w:t>itu. Sayid Murtadha (355-436 H), ulama besar Syiah, memberikan</w:t>
      </w:r>
    </w:p>
    <w:p>
      <w:pPr>
        <w:pStyle w:val="BookText"/>
        <w:bidi w:val="0"/>
        <w:jc w:val="both"/>
        <w:rPr/>
      </w:pPr>
      <w:r>
        <w:rPr>
          <w:rFonts w:eastAsia="Times New Roman" w:cs="Times New Roman" w:ascii="Times New Roman" w:hAnsi="Times New Roman"/>
          <w:color w:val="111111"/>
          <w:sz w:val="28"/>
          <w:szCs w:val="28"/>
          <w:lang w:val="en-US"/>
        </w:rPr>
        <w:t>tanggapannya secara puitis:</w:t>
      </w:r>
    </w:p>
    <w:p>
      <w:pPr>
        <w:pStyle w:val="BookText"/>
        <w:bidi w:val="0"/>
        <w:jc w:val="both"/>
        <w:rPr/>
      </w:pPr>
      <w:r>
        <w:rPr>
          <w:rFonts w:eastAsia="Times New Roman" w:cs="Times New Roman" w:ascii="Times New Roman" w:hAnsi="Times New Roman"/>
          <w:color w:val="111111"/>
          <w:sz w:val="28"/>
          <w:szCs w:val="28"/>
          <w:lang w:val="en-US"/>
        </w:rPr>
        <w:t>Kemuliaan amanat naikkan harga tangan</w:t>
      </w:r>
    </w:p>
    <w:p>
      <w:pPr>
        <w:pStyle w:val="BookText"/>
        <w:bidi w:val="0"/>
        <w:jc w:val="both"/>
        <w:rPr/>
      </w:pPr>
      <w:r>
        <w:rPr>
          <w:rFonts w:eastAsia="Times New Roman" w:cs="Times New Roman" w:ascii="Times New Roman" w:hAnsi="Times New Roman"/>
          <w:color w:val="111111"/>
          <w:sz w:val="28"/>
          <w:szCs w:val="28"/>
          <w:lang w:val="en-US"/>
        </w:rPr>
        <w:t>kala kehinaan khianat jatuhkan harganya.</w:t>
      </w:r>
    </w:p>
    <w:p>
      <w:pPr>
        <w:pStyle w:val="BookText"/>
        <w:bidi w:val="0"/>
        <w:jc w:val="both"/>
        <w:rPr/>
      </w:pPr>
      <w:r>
        <w:rPr>
          <w:rFonts w:eastAsia="Times New Roman" w:cs="Times New Roman" w:ascii="Times New Roman" w:hAnsi="Times New Roman"/>
          <w:color w:val="111111"/>
          <w:sz w:val="28"/>
          <w:szCs w:val="28"/>
          <w:lang w:val="en-US"/>
        </w:rPr>
        <w:t>Lihatlah hikmah Tuhan itu demikian.</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Benar, tangan yang dipotong akibat mencuri seperempat miskal</w:t>
      </w:r>
    </w:p>
    <w:p>
      <w:pPr>
        <w:pStyle w:val="BookText"/>
        <w:bidi w:val="0"/>
        <w:jc w:val="both"/>
        <w:rPr/>
      </w:pPr>
      <w:r>
        <w:rPr>
          <w:rFonts w:eastAsia="Times New Roman" w:cs="Times New Roman" w:ascii="Times New Roman" w:hAnsi="Times New Roman"/>
          <w:color w:val="111111"/>
          <w:sz w:val="28"/>
          <w:szCs w:val="28"/>
          <w:lang w:val="en-US"/>
        </w:rPr>
        <w:t>emas terlihat setara dengan tangan yang diyat-nya lima ratus miskal</w:t>
      </w:r>
    </w:p>
    <w:p>
      <w:pPr>
        <w:pStyle w:val="BookText"/>
        <w:bidi w:val="0"/>
        <w:jc w:val="both"/>
        <w:rPr/>
      </w:pPr>
      <w:r>
        <w:rPr>
          <w:rFonts w:eastAsia="Times New Roman" w:cs="Times New Roman" w:ascii="Times New Roman" w:hAnsi="Times New Roman"/>
          <w:color w:val="111111"/>
          <w:sz w:val="28"/>
          <w:szCs w:val="28"/>
          <w:lang w:val="en-US"/>
        </w:rPr>
        <w:t>emas. Namun nilai tangan yang dipotong sewenang-wenang jauh</w:t>
      </w:r>
    </w:p>
    <w:p>
      <w:pPr>
        <w:pStyle w:val="BookText"/>
        <w:bidi w:val="0"/>
        <w:jc w:val="both"/>
        <w:rPr/>
      </w:pPr>
      <w:r>
        <w:rPr>
          <w:rFonts w:eastAsia="Times New Roman" w:cs="Times New Roman" w:ascii="Times New Roman" w:hAnsi="Times New Roman"/>
          <w:color w:val="111111"/>
          <w:sz w:val="28"/>
          <w:szCs w:val="28"/>
          <w:lang w:val="en-US"/>
        </w:rPr>
        <w:t>lebih besar nilainya dari tangan yang ternoda dosa pencurian.</w:t>
      </w:r>
    </w:p>
    <w:p>
      <w:pPr>
        <w:pStyle w:val="Heading3"/>
        <w:numPr>
          <w:ilvl w:val="2"/>
          <w:numId w:val="1"/>
        </w:numPr>
        <w:bidi w:val="0"/>
        <w:jc w:val="left"/>
        <w:rPr/>
      </w:pPr>
      <w:bookmarkStart w:id="148" w:name="__RefHeading___Toc1351152_581953129"/>
      <w:bookmarkStart w:id="149" w:name="_Toc55"/>
      <w:bookmarkEnd w:id="148"/>
      <w:r>
        <w:rPr/>
        <w:t>Respon Agamawan</w:t>
      </w:r>
      <w:bookmarkEnd w:id="149"/>
    </w:p>
    <w:p>
      <w:pPr>
        <w:pStyle w:val="Heading4"/>
        <w:numPr>
          <w:ilvl w:val="3"/>
          <w:numId w:val="1"/>
        </w:numPr>
        <w:bidi w:val="0"/>
        <w:jc w:val="left"/>
        <w:rPr/>
      </w:pPr>
      <w:bookmarkStart w:id="150" w:name="__RefHeading___Toc1351154_581953129"/>
      <w:bookmarkStart w:id="151" w:name="_Toc56"/>
      <w:bookmarkEnd w:id="150"/>
      <w:r>
        <w:rPr/>
        <w:t>Point</w:t>
      </w:r>
      <w:bookmarkEnd w:id="151"/>
    </w:p>
    <w:p>
      <w:pPr>
        <w:pStyle w:val="BookText"/>
        <w:bidi w:val="0"/>
        <w:jc w:val="both"/>
        <w:rPr/>
      </w:pPr>
      <w:r>
        <w:rPr>
          <w:rFonts w:eastAsia="Times New Roman" w:cs="Times New Roman" w:ascii="Times New Roman" w:hAnsi="Times New Roman"/>
          <w:color w:val="111111"/>
          <w:sz w:val="28"/>
          <w:szCs w:val="28"/>
          <w:lang w:val="en-US"/>
        </w:rPr>
        <w:t>Kalangan agamawan tak tinggal diam. Berbagai sikap dan</w:t>
      </w:r>
    </w:p>
    <w:p>
      <w:pPr>
        <w:pStyle w:val="BookText"/>
        <w:bidi w:val="0"/>
        <w:jc w:val="both"/>
        <w:rPr/>
      </w:pPr>
      <w:r>
        <w:rPr>
          <w:rFonts w:eastAsia="Times New Roman" w:cs="Times New Roman" w:ascii="Times New Roman" w:hAnsi="Times New Roman"/>
          <w:color w:val="111111"/>
          <w:sz w:val="28"/>
          <w:szCs w:val="28"/>
          <w:lang w:val="en-US"/>
        </w:rPr>
        <w:t>tanggapan mereka nyatakan, khususnya terhadap pihak yang</w:t>
      </w:r>
    </w:p>
    <w:p>
      <w:pPr>
        <w:pStyle w:val="BookText"/>
        <w:bidi w:val="0"/>
        <w:jc w:val="both"/>
        <w:rPr/>
      </w:pPr>
      <w:r>
        <w:rPr>
          <w:rFonts w:eastAsia="Times New Roman" w:cs="Times New Roman" w:ascii="Times New Roman" w:hAnsi="Times New Roman"/>
          <w:color w:val="111111"/>
          <w:sz w:val="28"/>
          <w:szCs w:val="28"/>
          <w:lang w:val="en-US"/>
        </w:rPr>
        <w:t>begitu mengandalkan peran akal dalam kehidupan manusia; agama</w:t>
      </w:r>
    </w:p>
    <w:p>
      <w:pPr>
        <w:pStyle w:val="BookText"/>
        <w:bidi w:val="0"/>
        <w:jc w:val="both"/>
        <w:rPr/>
      </w:pPr>
      <w:r>
        <w:rPr>
          <w:rFonts w:eastAsia="Times New Roman" w:cs="Times New Roman" w:ascii="Times New Roman" w:hAnsi="Times New Roman"/>
          <w:color w:val="111111"/>
          <w:sz w:val="28"/>
          <w:szCs w:val="28"/>
          <w:lang w:val="en-US"/>
        </w:rPr>
        <w:t>divonis nihil tolok ukur rasional dan ajaran wahyu dicap antiakal.</w:t>
      </w:r>
    </w:p>
    <w:p>
      <w:pPr>
        <w:pStyle w:val="BookText"/>
        <w:bidi w:val="0"/>
        <w:jc w:val="both"/>
        <w:rPr/>
      </w:pPr>
      <w:r>
        <w:rPr>
          <w:rFonts w:eastAsia="Times New Roman" w:cs="Times New Roman" w:ascii="Times New Roman" w:hAnsi="Times New Roman"/>
          <w:color w:val="111111"/>
          <w:sz w:val="28"/>
          <w:szCs w:val="28"/>
          <w:lang w:val="en-US"/>
        </w:rPr>
        <w:t>Pada kesempatan ini, akan dikemukakan tiga tanggapan yang</w:t>
      </w:r>
    </w:p>
    <w:p>
      <w:pPr>
        <w:pStyle w:val="BookText"/>
        <w:bidi w:val="0"/>
        <w:jc w:val="both"/>
        <w:rPr/>
      </w:pPr>
      <w:r>
        <w:rPr>
          <w:rFonts w:eastAsia="Times New Roman" w:cs="Times New Roman" w:ascii="Times New Roman" w:hAnsi="Times New Roman"/>
          <w:color w:val="111111"/>
          <w:sz w:val="28"/>
          <w:szCs w:val="28"/>
          <w:lang w:val="en-US"/>
        </w:rPr>
        <w:t>dianggap paling penting. Tentu saja masing-masing merupakan</w:t>
      </w:r>
    </w:p>
    <w:p>
      <w:pPr>
        <w:pStyle w:val="BookText"/>
        <w:bidi w:val="0"/>
        <w:jc w:val="both"/>
        <w:rPr/>
      </w:pPr>
      <w:r>
        <w:rPr>
          <w:rFonts w:eastAsia="Times New Roman" w:cs="Times New Roman" w:ascii="Times New Roman" w:hAnsi="Times New Roman"/>
          <w:color w:val="111111"/>
          <w:sz w:val="28"/>
          <w:szCs w:val="28"/>
          <w:lang w:val="en-US"/>
        </w:rPr>
        <w:t>topik pembahasan tersendiri yang memerlukan kajian lebih jauh.</w:t>
      </w:r>
    </w:p>
    <w:p>
      <w:pPr>
        <w:pStyle w:val="BookText"/>
        <w:bidi w:val="0"/>
        <w:jc w:val="both"/>
        <w:rPr/>
      </w:pPr>
      <w:r>
        <w:rPr>
          <w:rFonts w:eastAsia="Times New Roman" w:cs="Times New Roman" w:ascii="Times New Roman" w:hAnsi="Times New Roman"/>
          <w:color w:val="111111"/>
          <w:sz w:val="28"/>
          <w:szCs w:val="28"/>
          <w:lang w:val="en-US"/>
        </w:rPr>
        <w:t>Namun mengingat keterbatasan ruang dan waktu, semua itu akan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dibahas secara ringkas. </w:t>
      </w:r>
      <w:bookmarkStart w:id="152" w:name="pg5378_50526"/>
    </w:p>
    <w:p>
      <w:pPr>
        <w:pStyle w:val="Heading4"/>
        <w:numPr>
          <w:ilvl w:val="3"/>
          <w:numId w:val="1"/>
        </w:numPr>
        <w:bidi w:val="0"/>
        <w:jc w:val="left"/>
        <w:rPr/>
      </w:pPr>
      <w:bookmarkStart w:id="153" w:name="__RefHeading___Toc1351156_581953129"/>
      <w:bookmarkStart w:id="154" w:name="_Toc57"/>
      <w:bookmarkEnd w:id="152"/>
      <w:bookmarkEnd w:id="153"/>
      <w:r>
        <w:rPr/>
        <w:t>Menakar Rasionalitas Agama</w:t>
      </w:r>
      <w:bookmarkEnd w:id="154"/>
    </w:p>
    <w:p>
      <w:pPr>
        <w:pStyle w:val="BookText"/>
        <w:bidi w:val="0"/>
        <w:jc w:val="both"/>
        <w:rPr/>
      </w:pPr>
      <w:r>
        <w:rPr>
          <w:rFonts w:eastAsia="Times New Roman" w:cs="Times New Roman" w:ascii="Times New Roman" w:hAnsi="Times New Roman"/>
          <w:color w:val="111111"/>
          <w:sz w:val="28"/>
          <w:szCs w:val="28"/>
          <w:lang w:val="en-US"/>
        </w:rPr>
        <w:t>Menanggapi gugatan kaum rasionalis antiagama, sejumlah pemikir</w:t>
      </w:r>
    </w:p>
    <w:p>
      <w:pPr>
        <w:pStyle w:val="BookText"/>
        <w:bidi w:val="0"/>
        <w:jc w:val="both"/>
        <w:rPr/>
      </w:pPr>
      <w:r>
        <w:rPr>
          <w:rFonts w:eastAsia="Times New Roman" w:cs="Times New Roman" w:ascii="Times New Roman" w:hAnsi="Times New Roman"/>
          <w:color w:val="111111"/>
          <w:sz w:val="28"/>
          <w:szCs w:val="28"/>
          <w:lang w:val="en-US"/>
        </w:rPr>
        <w:t>keagamaan cenderung berpendapat bahwa seluruh ajaran agama itu</w:t>
      </w:r>
    </w:p>
    <w:p>
      <w:pPr>
        <w:pStyle w:val="BookText"/>
        <w:bidi w:val="0"/>
        <w:jc w:val="both"/>
        <w:rPr/>
      </w:pPr>
      <w:r>
        <w:rPr>
          <w:rFonts w:eastAsia="Times New Roman" w:cs="Times New Roman" w:ascii="Times New Roman" w:hAnsi="Times New Roman"/>
          <w:color w:val="111111"/>
          <w:sz w:val="28"/>
          <w:szCs w:val="28"/>
          <w:lang w:val="en-US"/>
        </w:rPr>
        <w:t>masuk akal. Dengan kata lain, mereka menerima paradigma yang</w:t>
      </w:r>
    </w:p>
    <w:p>
      <w:pPr>
        <w:pStyle w:val="BookText"/>
        <w:bidi w:val="0"/>
        <w:jc w:val="both"/>
        <w:rPr/>
      </w:pPr>
      <w:r>
        <w:rPr>
          <w:rFonts w:eastAsia="Times New Roman" w:cs="Times New Roman" w:ascii="Times New Roman" w:hAnsi="Times New Roman"/>
          <w:color w:val="111111"/>
          <w:sz w:val="28"/>
          <w:szCs w:val="28"/>
          <w:lang w:val="en-US"/>
        </w:rPr>
        <w:t>diusung kaum rasionalis radikal, juga sama sekali tidak menyangkal</w:t>
      </w:r>
    </w:p>
    <w:p>
      <w:pPr>
        <w:pStyle w:val="BookText"/>
        <w:bidi w:val="0"/>
        <w:jc w:val="both"/>
        <w:rPr/>
      </w:pPr>
      <w:r>
        <w:rPr>
          <w:rFonts w:eastAsia="Times New Roman" w:cs="Times New Roman" w:ascii="Times New Roman" w:hAnsi="Times New Roman"/>
          <w:color w:val="111111"/>
          <w:sz w:val="28"/>
          <w:szCs w:val="28"/>
          <w:lang w:val="en-US"/>
        </w:rPr>
        <w:t>praduga mereka, melainkan meyakini seluruh ajaran agama dapat</w:t>
      </w:r>
    </w:p>
    <w:p>
      <w:pPr>
        <w:pStyle w:val="BookText"/>
        <w:bidi w:val="0"/>
        <w:jc w:val="both"/>
        <w:rPr/>
      </w:pPr>
      <w:r>
        <w:rPr>
          <w:rFonts w:eastAsia="Times New Roman" w:cs="Times New Roman" w:ascii="Times New Roman" w:hAnsi="Times New Roman"/>
          <w:color w:val="111111"/>
          <w:sz w:val="28"/>
          <w:szCs w:val="28"/>
          <w:lang w:val="en-US"/>
        </w:rPr>
        <w:t>melintasi jalur rasionalitas.</w:t>
      </w:r>
    </w:p>
    <w:p>
      <w:pPr>
        <w:pStyle w:val="BookText"/>
        <w:bidi w:val="0"/>
        <w:jc w:val="both"/>
        <w:rPr/>
      </w:pPr>
      <w:r>
        <w:rPr>
          <w:rFonts w:eastAsia="Times New Roman" w:cs="Times New Roman" w:ascii="Times New Roman" w:hAnsi="Times New Roman"/>
          <w:color w:val="111111"/>
          <w:sz w:val="28"/>
          <w:szCs w:val="28"/>
          <w:lang w:val="en-US"/>
        </w:rPr>
        <w:t>Menurut mereka, jalan terbaik untuk menghadapi kelompok</w:t>
      </w:r>
    </w:p>
    <w:p>
      <w:pPr>
        <w:pStyle w:val="BookText"/>
        <w:bidi w:val="0"/>
        <w:jc w:val="both"/>
        <w:rPr/>
      </w:pPr>
      <w:r>
        <w:rPr>
          <w:rFonts w:eastAsia="Times New Roman" w:cs="Times New Roman" w:ascii="Times New Roman" w:hAnsi="Times New Roman"/>
          <w:color w:val="111111"/>
          <w:sz w:val="28"/>
          <w:szCs w:val="28"/>
          <w:lang w:val="en-US"/>
        </w:rPr>
        <w:t>rasionalis radikal antiagama adalah berada dalam struktur</w:t>
      </w:r>
    </w:p>
    <w:p>
      <w:pPr>
        <w:pStyle w:val="BookText"/>
        <w:bidi w:val="0"/>
        <w:jc w:val="both"/>
        <w:rPr/>
      </w:pPr>
      <w:r>
        <w:rPr>
          <w:rFonts w:eastAsia="Times New Roman" w:cs="Times New Roman" w:ascii="Times New Roman" w:hAnsi="Times New Roman"/>
          <w:color w:val="111111"/>
          <w:sz w:val="28"/>
          <w:szCs w:val="28"/>
          <w:lang w:val="en-US"/>
        </w:rPr>
        <w:t>pemikirannya sendiri.</w:t>
      </w:r>
      <w:r>
        <w:rPr>
          <w:rStyle w:val="FootnoteAnchor"/>
        </w:rPr>
        <w:footnoteReference w:id="152"/>
      </w:r>
      <w:r>
        <w:rPr>
          <w:rFonts w:eastAsia="Times New Roman" w:cs="Times New Roman" w:ascii="Times New Roman" w:hAnsi="Times New Roman"/>
          <w:color w:val="111111"/>
          <w:sz w:val="28"/>
          <w:szCs w:val="28"/>
          <w:lang w:val="en-US"/>
        </w:rPr>
        <w:t>Dengan kata lain, kapanpun dan di manapun,</w:t>
      </w:r>
    </w:p>
    <w:p>
      <w:pPr>
        <w:pStyle w:val="BookText"/>
        <w:bidi w:val="0"/>
        <w:jc w:val="both"/>
        <w:rPr/>
      </w:pPr>
      <w:r>
        <w:rPr>
          <w:rFonts w:eastAsia="Times New Roman" w:cs="Times New Roman" w:ascii="Times New Roman" w:hAnsi="Times New Roman"/>
          <w:color w:val="111111"/>
          <w:sz w:val="28"/>
          <w:szCs w:val="28"/>
          <w:lang w:val="en-US"/>
        </w:rPr>
        <w:t>akal layak dijadikan satu-satunya tolok ukur untuk menerima</w:t>
      </w:r>
    </w:p>
    <w:p>
      <w:pPr>
        <w:pStyle w:val="BookText"/>
        <w:bidi w:val="0"/>
        <w:jc w:val="both"/>
        <w:rPr/>
      </w:pPr>
      <w:r>
        <w:rPr>
          <w:rFonts w:eastAsia="Times New Roman" w:cs="Times New Roman" w:ascii="Times New Roman" w:hAnsi="Times New Roman"/>
          <w:color w:val="111111"/>
          <w:sz w:val="28"/>
          <w:szCs w:val="28"/>
          <w:lang w:val="en-US"/>
        </w:rPr>
        <w:t>sesuatu, tanpa keharusan menarik diri dari kepercayaan agama.</w:t>
      </w:r>
    </w:p>
    <w:p>
      <w:pPr>
        <w:pStyle w:val="BookText"/>
        <w:bidi w:val="0"/>
        <w:jc w:val="both"/>
        <w:rPr/>
      </w:pPr>
      <w:r>
        <w:rPr>
          <w:rFonts w:eastAsia="Times New Roman" w:cs="Times New Roman" w:ascii="Times New Roman" w:hAnsi="Times New Roman"/>
          <w:color w:val="111111"/>
          <w:sz w:val="28"/>
          <w:szCs w:val="28"/>
          <w:lang w:val="en-US"/>
        </w:rPr>
        <w:t>John Locke, misal-nya, meyakini akal (rasio) sebagai satu-satunya</w:t>
      </w:r>
    </w:p>
    <w:p>
      <w:pPr>
        <w:pStyle w:val="BookText"/>
        <w:bidi w:val="0"/>
        <w:jc w:val="both"/>
        <w:rPr/>
      </w:pPr>
      <w:r>
        <w:rPr>
          <w:rFonts w:eastAsia="Times New Roman" w:cs="Times New Roman" w:ascii="Times New Roman" w:hAnsi="Times New Roman"/>
          <w:color w:val="111111"/>
          <w:sz w:val="28"/>
          <w:szCs w:val="28"/>
          <w:lang w:val="en-US"/>
        </w:rPr>
        <w:t>tolok ukur untuk menerima kepercayaan agama. Filsuf ini yakin,</w:t>
      </w:r>
    </w:p>
    <w:p>
      <w:pPr>
        <w:pStyle w:val="BookText"/>
        <w:bidi w:val="0"/>
        <w:jc w:val="both"/>
        <w:rPr/>
      </w:pPr>
      <w:r>
        <w:rPr>
          <w:rFonts w:eastAsia="Times New Roman" w:cs="Times New Roman" w:ascii="Times New Roman" w:hAnsi="Times New Roman"/>
          <w:color w:val="111111"/>
          <w:sz w:val="28"/>
          <w:szCs w:val="28"/>
          <w:lang w:val="en-US"/>
        </w:rPr>
        <w:t>jika ajaran Kristen dipahami dengan benar dan dibela selayaknya,</w:t>
      </w:r>
    </w:p>
    <w:p>
      <w:pPr>
        <w:pStyle w:val="BookText"/>
        <w:bidi w:val="0"/>
        <w:jc w:val="both"/>
        <w:rPr/>
      </w:pPr>
      <w:r>
        <w:rPr>
          <w:rFonts w:eastAsia="Times New Roman" w:cs="Times New Roman" w:ascii="Times New Roman" w:hAnsi="Times New Roman"/>
          <w:color w:val="111111"/>
          <w:sz w:val="28"/>
          <w:szCs w:val="28"/>
          <w:lang w:val="en-US"/>
        </w:rPr>
        <w:t>niscaya akan lulus dari tolok ukur akal dan berhasil melewati jalur</w:t>
      </w:r>
    </w:p>
    <w:p>
      <w:pPr>
        <w:pStyle w:val="BookText"/>
        <w:bidi w:val="0"/>
        <w:jc w:val="both"/>
        <w:rPr/>
      </w:pPr>
      <w:r>
        <w:rPr>
          <w:rFonts w:eastAsia="Times New Roman" w:cs="Times New Roman" w:ascii="Times New Roman" w:hAnsi="Times New Roman"/>
          <w:color w:val="111111"/>
          <w:sz w:val="28"/>
          <w:szCs w:val="28"/>
          <w:lang w:val="en-US"/>
        </w:rPr>
        <w:t>rasional. Menurutnya, disharmoni beberapa ajaran Kristen dengan</w:t>
      </w:r>
    </w:p>
    <w:p>
      <w:pPr>
        <w:pStyle w:val="BookText"/>
        <w:bidi w:val="0"/>
        <w:jc w:val="both"/>
        <w:rPr/>
      </w:pPr>
      <w:r>
        <w:rPr>
          <w:rFonts w:eastAsia="Times New Roman" w:cs="Times New Roman" w:ascii="Times New Roman" w:hAnsi="Times New Roman"/>
          <w:color w:val="111111"/>
          <w:sz w:val="28"/>
          <w:szCs w:val="28"/>
          <w:lang w:val="en-US"/>
        </w:rPr>
        <w:t>tolok ukur akal bukan lantaran ajaran Almasih itu antiakal, tetapi</w:t>
      </w:r>
    </w:p>
    <w:p>
      <w:pPr>
        <w:pStyle w:val="BookText"/>
        <w:bidi w:val="0"/>
        <w:jc w:val="both"/>
        <w:rPr/>
      </w:pPr>
      <w:r>
        <w:rPr>
          <w:rFonts w:eastAsia="Times New Roman" w:cs="Times New Roman" w:ascii="Times New Roman" w:hAnsi="Times New Roman"/>
          <w:color w:val="111111"/>
          <w:sz w:val="28"/>
          <w:szCs w:val="28"/>
          <w:lang w:val="en-US"/>
        </w:rPr>
        <w:t>karena kesalahpahaman terhadap sabda-sabdanya, atau karena</w:t>
      </w:r>
    </w:p>
    <w:p>
      <w:pPr>
        <w:pStyle w:val="BookText"/>
        <w:bidi w:val="0"/>
        <w:jc w:val="both"/>
        <w:rPr/>
      </w:pPr>
      <w:r>
        <w:rPr>
          <w:rFonts w:eastAsia="Times New Roman" w:cs="Times New Roman" w:ascii="Times New Roman" w:hAnsi="Times New Roman"/>
          <w:color w:val="111111"/>
          <w:sz w:val="28"/>
          <w:szCs w:val="28"/>
          <w:lang w:val="en-US"/>
        </w:rPr>
        <w:t>kekeliruan kalangan teolog dan agamawan dalam berapologi dan</w:t>
      </w:r>
    </w:p>
    <w:p>
      <w:pPr>
        <w:pStyle w:val="BookText"/>
        <w:bidi w:val="0"/>
        <w:jc w:val="both"/>
        <w:rPr/>
      </w:pPr>
      <w:r>
        <w:rPr>
          <w:rFonts w:eastAsia="Times New Roman" w:cs="Times New Roman" w:ascii="Times New Roman" w:hAnsi="Times New Roman"/>
          <w:color w:val="111111"/>
          <w:sz w:val="28"/>
          <w:szCs w:val="28"/>
          <w:lang w:val="en-US"/>
        </w:rPr>
        <w:t>menjustifikasi ajaran Kristen.</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Di kalangan pemikir Muslim, kaum Muktazilah masuk dalam</w:t>
      </w:r>
    </w:p>
    <w:p>
      <w:pPr>
        <w:pStyle w:val="BookText"/>
        <w:bidi w:val="0"/>
        <w:jc w:val="both"/>
        <w:rPr/>
      </w:pPr>
      <w:r>
        <w:rPr>
          <w:rFonts w:eastAsia="Times New Roman" w:cs="Times New Roman" w:ascii="Times New Roman" w:hAnsi="Times New Roman"/>
          <w:color w:val="111111"/>
          <w:sz w:val="28"/>
          <w:szCs w:val="28"/>
          <w:lang w:val="en-US"/>
        </w:rPr>
        <w:t>kategori ini. Namun, gagasan itu lebih tersebar luas di kalangan</w:t>
      </w:r>
    </w:p>
    <w:p>
      <w:pPr>
        <w:pStyle w:val="BookText"/>
        <w:bidi w:val="0"/>
        <w:jc w:val="both"/>
        <w:rPr/>
      </w:pPr>
      <w:r>
        <w:rPr>
          <w:rFonts w:eastAsia="Times New Roman" w:cs="Times New Roman" w:ascii="Times New Roman" w:hAnsi="Times New Roman"/>
          <w:color w:val="111111"/>
          <w:sz w:val="28"/>
          <w:szCs w:val="28"/>
          <w:lang w:val="en-US"/>
        </w:rPr>
        <w:t>agamawan Kristen. Cara pandang yang ekstrim terhadap peran</w:t>
      </w:r>
    </w:p>
    <w:p>
      <w:pPr>
        <w:pStyle w:val="BookText"/>
        <w:bidi w:val="0"/>
        <w:jc w:val="both"/>
        <w:rPr/>
      </w:pPr>
      <w:r>
        <w:rPr>
          <w:rFonts w:eastAsia="Times New Roman" w:cs="Times New Roman" w:ascii="Times New Roman" w:hAnsi="Times New Roman"/>
          <w:color w:val="111111"/>
          <w:sz w:val="28"/>
          <w:szCs w:val="28"/>
          <w:lang w:val="en-US"/>
        </w:rPr>
        <w:t>akal—sampai mengingkari persoalan parsial agama yang tidak</w:t>
      </w:r>
    </w:p>
    <w:p>
      <w:pPr>
        <w:pStyle w:val="BookText"/>
        <w:bidi w:val="0"/>
        <w:jc w:val="both"/>
        <w:rPr/>
      </w:pPr>
      <w:r>
        <w:rPr>
          <w:rFonts w:eastAsia="Times New Roman" w:cs="Times New Roman" w:ascii="Times New Roman" w:hAnsi="Times New Roman"/>
          <w:color w:val="111111"/>
          <w:sz w:val="28"/>
          <w:szCs w:val="28"/>
          <w:lang w:val="en-US"/>
        </w:rPr>
        <w:t>signifikan lantaran tidak mampu dicerna nalar— ini merupakan arus</w:t>
      </w:r>
    </w:p>
    <w:p>
      <w:pPr>
        <w:pStyle w:val="BookText"/>
        <w:bidi w:val="0"/>
        <w:jc w:val="both"/>
        <w:rPr/>
      </w:pPr>
      <w:r>
        <w:rPr>
          <w:rFonts w:eastAsia="Times New Roman" w:cs="Times New Roman" w:ascii="Times New Roman" w:hAnsi="Times New Roman"/>
          <w:color w:val="111111"/>
          <w:sz w:val="28"/>
          <w:szCs w:val="28"/>
          <w:lang w:val="en-US"/>
        </w:rPr>
        <w:t>balik dari kemunculan gerakan Fideisme yang sebelumnya juga telah</w:t>
      </w:r>
    </w:p>
    <w:p>
      <w:pPr>
        <w:pStyle w:val="BookText"/>
        <w:bidi w:val="0"/>
        <w:jc w:val="both"/>
        <w:rPr/>
      </w:pPr>
      <w:r>
        <w:rPr>
          <w:rFonts w:eastAsia="Times New Roman" w:cs="Times New Roman" w:ascii="Times New Roman" w:hAnsi="Times New Roman"/>
          <w:color w:val="111111"/>
          <w:sz w:val="28"/>
          <w:szCs w:val="28"/>
          <w:lang w:val="en-US"/>
        </w:rPr>
        <w:t>menge-luarkan sebagian prinsip agama dari ranah akal.</w:t>
      </w:r>
    </w:p>
    <w:p>
      <w:pPr>
        <w:pStyle w:val="BookText"/>
        <w:bidi w:val="0"/>
        <w:jc w:val="both"/>
        <w:rPr/>
      </w:pPr>
      <w:r>
        <w:rPr>
          <w:rFonts w:eastAsia="Times New Roman" w:cs="Times New Roman" w:ascii="Times New Roman" w:hAnsi="Times New Roman"/>
          <w:color w:val="111111"/>
          <w:sz w:val="28"/>
          <w:szCs w:val="28"/>
          <w:lang w:val="en-US"/>
        </w:rPr>
        <w:t>Perlu digarisbawahi, bila sedikit saja dimoderasi, perspektif</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ekstrim ini kiranya dapat diterima. Caranya, setelah menguji secara </w:t>
      </w:r>
      <w:bookmarkStart w:id="155" w:name="pg5378_50528"/>
    </w:p>
    <w:p>
      <w:pPr>
        <w:pStyle w:val="BookText"/>
        <w:bidi w:val="0"/>
        <w:rPr/>
      </w:pPr>
      <w:bookmarkEnd w:id="155"/>
      <w:r>
        <w:rPr>
          <w:rFonts w:eastAsia="Times New Roman" w:cs="Times New Roman" w:ascii="Times New Roman" w:hAnsi="Times New Roman"/>
          <w:color w:val="111111"/>
          <w:sz w:val="28"/>
          <w:szCs w:val="28"/>
          <w:lang w:val="en-US"/>
        </w:rPr>
        <w:t>rasional [kebenaran] segenap prinsip agama, sudah cukup untuk</w:t>
      </w:r>
    </w:p>
    <w:p>
      <w:pPr>
        <w:pStyle w:val="BookText"/>
        <w:bidi w:val="0"/>
        <w:jc w:val="both"/>
        <w:rPr/>
      </w:pPr>
      <w:r>
        <w:rPr>
          <w:rFonts w:eastAsia="Times New Roman" w:cs="Times New Roman" w:ascii="Times New Roman" w:hAnsi="Times New Roman"/>
          <w:color w:val="111111"/>
          <w:sz w:val="28"/>
          <w:szCs w:val="28"/>
          <w:lang w:val="en-US"/>
        </w:rPr>
        <w:t>meyakini bahwa hukum-hukum lain dan parsial agama itu bukan</w:t>
      </w:r>
    </w:p>
    <w:p>
      <w:pPr>
        <w:pStyle w:val="BookText"/>
        <w:bidi w:val="0"/>
        <w:jc w:val="both"/>
        <w:rPr/>
      </w:pPr>
      <w:r>
        <w:rPr>
          <w:rFonts w:eastAsia="Times New Roman" w:cs="Times New Roman" w:ascii="Times New Roman" w:hAnsi="Times New Roman"/>
          <w:color w:val="111111"/>
          <w:sz w:val="28"/>
          <w:szCs w:val="28"/>
          <w:lang w:val="en-US"/>
        </w:rPr>
        <w:t>anti-akal. Karenanya, “keharusan dapat dicerna akal” tidak perlu</w:t>
      </w:r>
    </w:p>
    <w:p>
      <w:pPr>
        <w:pStyle w:val="BookText"/>
        <w:bidi w:val="0"/>
        <w:jc w:val="both"/>
        <w:rPr/>
      </w:pPr>
      <w:r>
        <w:rPr>
          <w:rFonts w:eastAsia="Times New Roman" w:cs="Times New Roman" w:ascii="Times New Roman" w:hAnsi="Times New Roman"/>
          <w:color w:val="111111"/>
          <w:sz w:val="28"/>
          <w:szCs w:val="28"/>
          <w:lang w:val="en-US"/>
        </w:rPr>
        <w:t>dijadikan tolok ukur dalam menerima ajaran agama.</w:t>
      </w:r>
    </w:p>
    <w:p>
      <w:pPr>
        <w:pStyle w:val="Heading4"/>
        <w:numPr>
          <w:ilvl w:val="3"/>
          <w:numId w:val="1"/>
        </w:numPr>
        <w:bidi w:val="0"/>
        <w:jc w:val="left"/>
        <w:rPr/>
      </w:pPr>
      <w:bookmarkStart w:id="156" w:name="__RefHeading___Toc1351158_581953129"/>
      <w:bookmarkStart w:id="157" w:name="_Toc58"/>
      <w:bookmarkEnd w:id="156"/>
      <w:r>
        <w:rPr/>
        <w:t>Berlindung di Balik Iman</w:t>
      </w:r>
      <w:bookmarkEnd w:id="157"/>
    </w:p>
    <w:p>
      <w:pPr>
        <w:pStyle w:val="BookText"/>
        <w:bidi w:val="0"/>
        <w:jc w:val="both"/>
        <w:rPr/>
      </w:pPr>
      <w:r>
        <w:rPr>
          <w:rFonts w:eastAsia="Times New Roman" w:cs="Times New Roman" w:ascii="Times New Roman" w:hAnsi="Times New Roman"/>
          <w:color w:val="111111"/>
          <w:sz w:val="28"/>
          <w:szCs w:val="28"/>
          <w:lang w:val="en-US"/>
        </w:rPr>
        <w:t>Sejumlah agamawan, khususnya Kristen, menganggap agama tidak</w:t>
      </w:r>
    </w:p>
    <w:p>
      <w:pPr>
        <w:pStyle w:val="BookText"/>
        <w:bidi w:val="0"/>
        <w:jc w:val="both"/>
        <w:rPr/>
      </w:pPr>
      <w:r>
        <w:rPr>
          <w:rFonts w:eastAsia="Times New Roman" w:cs="Times New Roman" w:ascii="Times New Roman" w:hAnsi="Times New Roman"/>
          <w:color w:val="111111"/>
          <w:sz w:val="28"/>
          <w:szCs w:val="28"/>
          <w:lang w:val="en-US"/>
        </w:rPr>
        <w:t>dapat ditakar secara rasional. Akibatnya, demi membela agama,</w:t>
      </w:r>
    </w:p>
    <w:p>
      <w:pPr>
        <w:pStyle w:val="BookText"/>
        <w:bidi w:val="0"/>
        <w:jc w:val="both"/>
        <w:rPr/>
      </w:pPr>
      <w:r>
        <w:rPr>
          <w:rFonts w:eastAsia="Times New Roman" w:cs="Times New Roman" w:ascii="Times New Roman" w:hAnsi="Times New Roman"/>
          <w:color w:val="111111"/>
          <w:sz w:val="28"/>
          <w:szCs w:val="28"/>
          <w:lang w:val="en-US"/>
        </w:rPr>
        <w:t>mereka terpaksa meminta bantuan iman. Sadar atau tidak, kalangan</w:t>
      </w:r>
    </w:p>
    <w:p>
      <w:pPr>
        <w:pStyle w:val="BookText"/>
        <w:bidi w:val="0"/>
        <w:jc w:val="both"/>
        <w:rPr/>
      </w:pPr>
      <w:r>
        <w:rPr>
          <w:rFonts w:eastAsia="Times New Roman" w:cs="Times New Roman" w:ascii="Times New Roman" w:hAnsi="Times New Roman"/>
          <w:color w:val="111111"/>
          <w:sz w:val="28"/>
          <w:szCs w:val="28"/>
          <w:lang w:val="en-US"/>
        </w:rPr>
        <w:t>ini takluk manakala disodorkan serangkaian bukti [yang melawan</w:t>
      </w:r>
    </w:p>
    <w:p>
      <w:pPr>
        <w:pStyle w:val="BookText"/>
        <w:bidi w:val="0"/>
        <w:jc w:val="both"/>
        <w:rPr/>
      </w:pPr>
      <w:r>
        <w:rPr>
          <w:rFonts w:eastAsia="Times New Roman" w:cs="Times New Roman" w:ascii="Times New Roman" w:hAnsi="Times New Roman"/>
          <w:color w:val="111111"/>
          <w:sz w:val="28"/>
          <w:szCs w:val="28"/>
          <w:lang w:val="en-US"/>
        </w:rPr>
        <w:t>agama yang mereka pahami] oleh kaum rasionalis radikal antiagama.</w:t>
      </w:r>
    </w:p>
    <w:p>
      <w:pPr>
        <w:pStyle w:val="BookText"/>
        <w:bidi w:val="0"/>
        <w:jc w:val="both"/>
        <w:rPr/>
      </w:pPr>
      <w:r>
        <w:rPr>
          <w:rFonts w:eastAsia="Times New Roman" w:cs="Times New Roman" w:ascii="Times New Roman" w:hAnsi="Times New Roman"/>
          <w:color w:val="111111"/>
          <w:sz w:val="28"/>
          <w:szCs w:val="28"/>
          <w:lang w:val="en-US"/>
        </w:rPr>
        <w:t>Mereka benar-benar menemui jalan buntu. Namun, itu tidak berarti</w:t>
      </w:r>
    </w:p>
    <w:p>
      <w:pPr>
        <w:pStyle w:val="BookText"/>
        <w:bidi w:val="0"/>
        <w:jc w:val="both"/>
        <w:rPr/>
      </w:pPr>
      <w:r>
        <w:rPr>
          <w:rFonts w:eastAsia="Times New Roman" w:cs="Times New Roman" w:ascii="Times New Roman" w:hAnsi="Times New Roman"/>
          <w:color w:val="111111"/>
          <w:sz w:val="28"/>
          <w:szCs w:val="28"/>
          <w:lang w:val="en-US"/>
        </w:rPr>
        <w:t>mereka menanggalkan kepercayaan agamanya. Mereka mengklaim,</w:t>
      </w:r>
    </w:p>
    <w:p>
      <w:pPr>
        <w:pStyle w:val="BookText"/>
        <w:bidi w:val="0"/>
        <w:jc w:val="both"/>
        <w:rPr/>
      </w:pPr>
      <w:r>
        <w:rPr>
          <w:rFonts w:eastAsia="Times New Roman" w:cs="Times New Roman" w:ascii="Times New Roman" w:hAnsi="Times New Roman"/>
          <w:color w:val="111111"/>
          <w:sz w:val="28"/>
          <w:szCs w:val="28"/>
          <w:lang w:val="en-US"/>
        </w:rPr>
        <w:t>mengenal Tuhan dan kepercayaan agamis lainnya_ mustahil</w:t>
      </w:r>
    </w:p>
    <w:p>
      <w:pPr>
        <w:pStyle w:val="BookText"/>
        <w:bidi w:val="0"/>
        <w:jc w:val="both"/>
        <w:rPr/>
      </w:pPr>
      <w:r>
        <w:rPr>
          <w:rFonts w:eastAsia="Times New Roman" w:cs="Times New Roman" w:ascii="Times New Roman" w:hAnsi="Times New Roman"/>
          <w:color w:val="111111"/>
          <w:sz w:val="28"/>
          <w:szCs w:val="28"/>
          <w:lang w:val="en-US"/>
        </w:rPr>
        <w:t>ditempuh via akal. Dengan kata lain, semua itu hanya mungkin</w:t>
      </w:r>
    </w:p>
    <w:p>
      <w:pPr>
        <w:pStyle w:val="BookText"/>
        <w:bidi w:val="0"/>
        <w:jc w:val="both"/>
        <w:rPr/>
      </w:pPr>
      <w:r>
        <w:rPr>
          <w:rFonts w:eastAsia="Times New Roman" w:cs="Times New Roman" w:ascii="Times New Roman" w:hAnsi="Times New Roman"/>
          <w:color w:val="111111"/>
          <w:sz w:val="28"/>
          <w:szCs w:val="28"/>
          <w:lang w:val="en-US"/>
        </w:rPr>
        <w:t>ditempuh secara emosional, atau lewat jalur hati. Berdasarkan sudut</w:t>
      </w:r>
    </w:p>
    <w:p>
      <w:pPr>
        <w:pStyle w:val="BookText"/>
        <w:bidi w:val="0"/>
        <w:jc w:val="both"/>
        <w:rPr/>
      </w:pPr>
      <w:r>
        <w:rPr>
          <w:rFonts w:eastAsia="Times New Roman" w:cs="Times New Roman" w:ascii="Times New Roman" w:hAnsi="Times New Roman"/>
          <w:color w:val="111111"/>
          <w:sz w:val="28"/>
          <w:szCs w:val="28"/>
          <w:lang w:val="en-US"/>
        </w:rPr>
        <w:t>pandang ini, satu-satunya cara untuk mempercayai Tuhan dan ihwal</w:t>
      </w:r>
    </w:p>
    <w:p>
      <w:pPr>
        <w:pStyle w:val="BookText"/>
        <w:bidi w:val="0"/>
        <w:jc w:val="both"/>
        <w:rPr/>
      </w:pPr>
      <w:r>
        <w:rPr>
          <w:rFonts w:eastAsia="Times New Roman" w:cs="Times New Roman" w:ascii="Times New Roman" w:hAnsi="Times New Roman"/>
          <w:color w:val="111111"/>
          <w:sz w:val="28"/>
          <w:szCs w:val="28"/>
          <w:lang w:val="en-US"/>
        </w:rPr>
        <w:t>keagamaan adalah lewat bantuan iman.</w:t>
      </w:r>
    </w:p>
    <w:p>
      <w:pPr>
        <w:pStyle w:val="BookText"/>
        <w:bidi w:val="0"/>
        <w:jc w:val="both"/>
        <w:rPr/>
      </w:pPr>
      <w:r>
        <w:rPr>
          <w:rFonts w:eastAsia="Times New Roman" w:cs="Times New Roman" w:ascii="Times New Roman" w:hAnsi="Times New Roman"/>
          <w:color w:val="111111"/>
          <w:sz w:val="28"/>
          <w:szCs w:val="28"/>
          <w:lang w:val="en-US"/>
        </w:rPr>
        <w:t>Sebagaimana telah berulangkali dikemukakan, dalam agama</w:t>
      </w:r>
    </w:p>
    <w:p>
      <w:pPr>
        <w:pStyle w:val="BookText"/>
        <w:bidi w:val="0"/>
        <w:jc w:val="both"/>
        <w:rPr/>
      </w:pPr>
      <w:r>
        <w:rPr>
          <w:rFonts w:eastAsia="Times New Roman" w:cs="Times New Roman" w:ascii="Times New Roman" w:hAnsi="Times New Roman"/>
          <w:color w:val="111111"/>
          <w:sz w:val="28"/>
          <w:szCs w:val="28"/>
          <w:lang w:val="en-US"/>
        </w:rPr>
        <w:t>Kristen, iman memiliki makna yang khas, yaitu menerima sesuatu</w:t>
      </w:r>
    </w:p>
    <w:p>
      <w:pPr>
        <w:pStyle w:val="BookText"/>
        <w:bidi w:val="0"/>
        <w:jc w:val="both"/>
        <w:rPr/>
      </w:pPr>
      <w:r>
        <w:rPr>
          <w:rFonts w:eastAsia="Times New Roman" w:cs="Times New Roman" w:ascii="Times New Roman" w:hAnsi="Times New Roman"/>
          <w:color w:val="111111"/>
          <w:sz w:val="28"/>
          <w:szCs w:val="28"/>
          <w:lang w:val="en-US"/>
        </w:rPr>
        <w:t>yang tidak didukung demonstrasi rasional secara memadai, atau</w:t>
      </w:r>
    </w:p>
    <w:p>
      <w:pPr>
        <w:pStyle w:val="BookText"/>
        <w:bidi w:val="0"/>
        <w:jc w:val="both"/>
        <w:rPr/>
      </w:pPr>
      <w:r>
        <w:rPr>
          <w:rFonts w:eastAsia="Times New Roman" w:cs="Times New Roman" w:ascii="Times New Roman" w:hAnsi="Times New Roman"/>
          <w:color w:val="111111"/>
          <w:sz w:val="28"/>
          <w:szCs w:val="28"/>
          <w:lang w:val="en-US"/>
        </w:rPr>
        <w:t>malah ditentang rasio. Gerakan iman atau Fideisme ini percaya, satu-</w:t>
      </w:r>
    </w:p>
    <w:p>
      <w:pPr>
        <w:pStyle w:val="BookText"/>
        <w:bidi w:val="0"/>
        <w:jc w:val="both"/>
        <w:rPr/>
      </w:pPr>
      <w:r>
        <w:rPr>
          <w:rFonts w:eastAsia="Times New Roman" w:cs="Times New Roman" w:ascii="Times New Roman" w:hAnsi="Times New Roman"/>
          <w:color w:val="111111"/>
          <w:sz w:val="28"/>
          <w:szCs w:val="28"/>
          <w:lang w:val="en-US"/>
        </w:rPr>
        <w:t>satunya cara mengenal Tuhan hanyalah lewat penyaksian hati dan</w:t>
      </w:r>
    </w:p>
    <w:p>
      <w:pPr>
        <w:pStyle w:val="BookText"/>
        <w:bidi w:val="0"/>
        <w:jc w:val="both"/>
        <w:rPr/>
      </w:pPr>
      <w:r>
        <w:rPr>
          <w:rFonts w:eastAsia="Times New Roman" w:cs="Times New Roman" w:ascii="Times New Roman" w:hAnsi="Times New Roman"/>
          <w:color w:val="111111"/>
          <w:sz w:val="28"/>
          <w:szCs w:val="28"/>
          <w:lang w:val="en-US"/>
        </w:rPr>
        <w:t>keimanan; bukan pembuktian rasional dan demonstratif (burhdni).</w:t>
      </w:r>
    </w:p>
    <w:p>
      <w:pPr>
        <w:pStyle w:val="BookText"/>
        <w:bidi w:val="0"/>
        <w:jc w:val="both"/>
        <w:rPr/>
      </w:pPr>
      <w:r>
        <w:rPr>
          <w:rFonts w:eastAsia="Times New Roman" w:cs="Times New Roman" w:ascii="Times New Roman" w:hAnsi="Times New Roman"/>
          <w:color w:val="111111"/>
          <w:sz w:val="28"/>
          <w:szCs w:val="28"/>
          <w:lang w:val="en-US"/>
        </w:rPr>
        <w:t>Ranah akal terpisah dari ranah agama. Menjelajah ranah agama</w:t>
      </w:r>
    </w:p>
    <w:p>
      <w:pPr>
        <w:pStyle w:val="BookText"/>
        <w:bidi w:val="0"/>
        <w:jc w:val="both"/>
        <w:rPr/>
      </w:pPr>
      <w:r>
        <w:rPr>
          <w:rFonts w:eastAsia="Times New Roman" w:cs="Times New Roman" w:ascii="Times New Roman" w:hAnsi="Times New Roman"/>
          <w:color w:val="111111"/>
          <w:sz w:val="28"/>
          <w:szCs w:val="28"/>
          <w:lang w:val="en-US"/>
        </w:rPr>
        <w:t>dengan sarana akal, karenanya, mustahil.</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Beberapa fideis</w:t>
      </w:r>
      <w:r>
        <w:rPr>
          <w:rStyle w:val="FootnoteAnchor"/>
        </w:rPr>
        <w:footnoteReference w:id="155"/>
      </w:r>
      <w:r>
        <w:rPr>
          <w:rFonts w:eastAsia="Times New Roman" w:cs="Times New Roman" w:ascii="Times New Roman" w:hAnsi="Times New Roman"/>
          <w:color w:val="111111"/>
          <w:sz w:val="28"/>
          <w:szCs w:val="28"/>
          <w:lang w:val="en-US"/>
        </w:rPr>
        <w:t>membedakan antara “rasional” dan “bersandar</w:t>
      </w:r>
    </w:p>
    <w:p>
      <w:pPr>
        <w:pStyle w:val="BookText"/>
        <w:bidi w:val="0"/>
        <w:jc w:val="both"/>
        <w:rPr/>
      </w:pPr>
      <w:r>
        <w:rPr>
          <w:rFonts w:eastAsia="Times New Roman" w:cs="Times New Roman" w:ascii="Times New Roman" w:hAnsi="Times New Roman"/>
          <w:color w:val="111111"/>
          <w:sz w:val="28"/>
          <w:szCs w:val="28"/>
          <w:lang w:val="en-US"/>
        </w:rPr>
        <w:t>pada premis-premis rasional”. Keimanan pada Tuhan dan ajaran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religius lainnya jelas rasional, meski tidak bersandar pada premis </w:t>
      </w:r>
    </w:p>
    <w:p>
      <w:pPr>
        <w:pStyle w:val="BookText"/>
        <w:bidi w:val="0"/>
        <w:rPr/>
      </w:pPr>
      <w:r>
        <w:rPr>
          <w:rFonts w:eastAsia="Times New Roman" w:cs="Times New Roman" w:ascii="Times New Roman" w:hAnsi="Times New Roman"/>
          <w:color w:val="111111"/>
          <w:sz w:val="28"/>
          <w:szCs w:val="28"/>
          <w:lang w:val="en-US"/>
        </w:rPr>
        <w:t>rasional,</w:t>
      </w:r>
      <w:r>
        <w:rPr>
          <w:rStyle w:val="FootnoteAnchor"/>
        </w:rPr>
        <w:footnoteReference w:id="156"/>
      </w:r>
      <w:r>
        <w:rPr>
          <w:rFonts w:eastAsia="Times New Roman" w:cs="Times New Roman" w:ascii="Times New Roman" w:hAnsi="Times New Roman"/>
          <w:color w:val="111111"/>
          <w:sz w:val="28"/>
          <w:szCs w:val="28"/>
          <w:lang w:val="en-US"/>
        </w:rPr>
        <w:t>karena rangkaian keimanan ini tergolong kepercayaan</w:t>
      </w:r>
    </w:p>
    <w:p>
      <w:pPr>
        <w:pStyle w:val="BookText"/>
        <w:bidi w:val="0"/>
        <w:jc w:val="both"/>
        <w:rPr/>
      </w:pPr>
      <w:r>
        <w:rPr>
          <w:rFonts w:eastAsia="Times New Roman" w:cs="Times New Roman" w:ascii="Times New Roman" w:hAnsi="Times New Roman"/>
          <w:color w:val="111111"/>
          <w:sz w:val="28"/>
          <w:szCs w:val="28"/>
          <w:lang w:val="en-US"/>
        </w:rPr>
        <w:t>dasar (basic beliefs) yang tidak dapat dilandasi bukti tertentu.</w:t>
      </w:r>
    </w:p>
    <w:p>
      <w:pPr>
        <w:pStyle w:val="BookText"/>
        <w:bidi w:val="0"/>
        <w:jc w:val="both"/>
        <w:rPr/>
      </w:pPr>
      <w:r>
        <w:rPr>
          <w:rFonts w:eastAsia="Times New Roman" w:cs="Times New Roman" w:ascii="Times New Roman" w:hAnsi="Times New Roman"/>
          <w:color w:val="111111"/>
          <w:sz w:val="28"/>
          <w:szCs w:val="28"/>
          <w:lang w:val="en-US"/>
        </w:rPr>
        <w:t>Penjelasannya, sesuatu yang menjadi premis dalam satu demonstrasi</w:t>
      </w:r>
    </w:p>
    <w:p>
      <w:pPr>
        <w:pStyle w:val="BookText"/>
        <w:bidi w:val="0"/>
        <w:jc w:val="both"/>
        <w:rPr/>
      </w:pPr>
      <w:r>
        <w:rPr>
          <w:rFonts w:eastAsia="Times New Roman" w:cs="Times New Roman" w:ascii="Times New Roman" w:hAnsi="Times New Roman"/>
          <w:color w:val="111111"/>
          <w:sz w:val="28"/>
          <w:szCs w:val="28"/>
          <w:lang w:val="en-US"/>
        </w:rPr>
        <w:t>rasional, pada fase sebelumnya, adalah hasil dari premis-premis lain.</w:t>
      </w:r>
    </w:p>
    <w:p>
      <w:pPr>
        <w:pStyle w:val="BookText"/>
        <w:bidi w:val="0"/>
        <w:jc w:val="both"/>
        <w:rPr/>
      </w:pPr>
      <w:r>
        <w:rPr>
          <w:rFonts w:eastAsia="Times New Roman" w:cs="Times New Roman" w:ascii="Times New Roman" w:hAnsi="Times New Roman"/>
          <w:color w:val="111111"/>
          <w:sz w:val="28"/>
          <w:szCs w:val="28"/>
          <w:lang w:val="en-US"/>
        </w:rPr>
        <w:t>Namun mata-rantai demonstrasi ini—dengan asumsi: hasil suatu</w:t>
      </w:r>
    </w:p>
    <w:p>
      <w:pPr>
        <w:pStyle w:val="BookText"/>
        <w:bidi w:val="0"/>
        <w:jc w:val="both"/>
        <w:rPr/>
      </w:pPr>
      <w:r>
        <w:rPr>
          <w:rFonts w:eastAsia="Times New Roman" w:cs="Times New Roman" w:ascii="Times New Roman" w:hAnsi="Times New Roman"/>
          <w:color w:val="111111"/>
          <w:sz w:val="28"/>
          <w:szCs w:val="28"/>
          <w:lang w:val="en-US"/>
        </w:rPr>
        <w:t>demonstrasi menjadi premis bagi demonstrasi berikutnya — mustahil</w:t>
      </w:r>
    </w:p>
    <w:p>
      <w:pPr>
        <w:pStyle w:val="BookText"/>
        <w:bidi w:val="0"/>
        <w:jc w:val="both"/>
        <w:rPr/>
      </w:pPr>
      <w:r>
        <w:rPr>
          <w:rFonts w:eastAsia="Times New Roman" w:cs="Times New Roman" w:ascii="Times New Roman" w:hAnsi="Times New Roman"/>
          <w:color w:val="111111"/>
          <w:sz w:val="28"/>
          <w:szCs w:val="28"/>
          <w:lang w:val="en-US"/>
        </w:rPr>
        <w:t>continuum ad infinitum (berlangsung tanpa akhir). Mata rantai sekian</w:t>
      </w:r>
    </w:p>
    <w:p>
      <w:pPr>
        <w:pStyle w:val="BookText"/>
        <w:bidi w:val="0"/>
        <w:jc w:val="both"/>
        <w:rPr/>
      </w:pPr>
      <w:r>
        <w:rPr>
          <w:rFonts w:eastAsia="Times New Roman" w:cs="Times New Roman" w:ascii="Times New Roman" w:hAnsi="Times New Roman"/>
          <w:color w:val="111111"/>
          <w:sz w:val="28"/>
          <w:szCs w:val="28"/>
          <w:lang w:val="en-US"/>
        </w:rPr>
        <w:t>premis itu mau tak mau akan berhenti pada kepercayaan dasar yang</w:t>
      </w:r>
    </w:p>
    <w:p>
      <w:pPr>
        <w:pStyle w:val="BookText"/>
        <w:bidi w:val="0"/>
        <w:jc w:val="both"/>
        <w:rPr/>
      </w:pPr>
      <w:r>
        <w:rPr>
          <w:rFonts w:eastAsia="Times New Roman" w:cs="Times New Roman" w:ascii="Times New Roman" w:hAnsi="Times New Roman"/>
          <w:color w:val="111111"/>
          <w:sz w:val="28"/>
          <w:szCs w:val="28"/>
          <w:lang w:val="en-US"/>
        </w:rPr>
        <w:t>tidak lagi dilandasi kepercayaan lain. Menurut sekelompok pengikut</w:t>
      </w:r>
    </w:p>
    <w:p>
      <w:pPr>
        <w:pStyle w:val="BookText"/>
        <w:bidi w:val="0"/>
        <w:jc w:val="both"/>
        <w:rPr/>
      </w:pPr>
      <w:r>
        <w:rPr>
          <w:rFonts w:eastAsia="Times New Roman" w:cs="Times New Roman" w:ascii="Times New Roman" w:hAnsi="Times New Roman"/>
          <w:color w:val="111111"/>
          <w:sz w:val="28"/>
          <w:szCs w:val="28"/>
          <w:lang w:val="en-US"/>
        </w:rPr>
        <w:t>Fideisme itu, keimanan-keimanan agama tergolong kepercayaan</w:t>
      </w:r>
    </w:p>
    <w:p>
      <w:pPr>
        <w:pStyle w:val="BookText"/>
        <w:bidi w:val="0"/>
        <w:jc w:val="both"/>
        <w:rPr/>
      </w:pPr>
      <w:r>
        <w:rPr>
          <w:rFonts w:eastAsia="Times New Roman" w:cs="Times New Roman" w:ascii="Times New Roman" w:hAnsi="Times New Roman"/>
          <w:color w:val="111111"/>
          <w:sz w:val="28"/>
          <w:szCs w:val="28"/>
          <w:lang w:val="en-US"/>
        </w:rPr>
        <w:t>dasar (basic beliefs) yang tidak bisa dibuktikan secara rasional. Setiap</w:t>
      </w:r>
    </w:p>
    <w:p>
      <w:pPr>
        <w:pStyle w:val="BookText"/>
        <w:bidi w:val="0"/>
        <w:jc w:val="both"/>
        <w:rPr/>
      </w:pPr>
      <w:r>
        <w:rPr>
          <w:rFonts w:eastAsia="Times New Roman" w:cs="Times New Roman" w:ascii="Times New Roman" w:hAnsi="Times New Roman"/>
          <w:color w:val="111111"/>
          <w:sz w:val="28"/>
          <w:szCs w:val="28"/>
          <w:lang w:val="en-US"/>
        </w:rPr>
        <w:t>orang yang menguji ajaran agama secara logis dan ilmiah senyatanya</w:t>
      </w:r>
    </w:p>
    <w:p>
      <w:pPr>
        <w:pStyle w:val="BookText"/>
        <w:bidi w:val="0"/>
        <w:jc w:val="both"/>
        <w:rPr/>
      </w:pPr>
      <w:r>
        <w:rPr>
          <w:rFonts w:eastAsia="Times New Roman" w:cs="Times New Roman" w:ascii="Times New Roman" w:hAnsi="Times New Roman"/>
          <w:color w:val="111111"/>
          <w:sz w:val="28"/>
          <w:szCs w:val="28"/>
          <w:lang w:val="en-US"/>
        </w:rPr>
        <w:t>telah menyembah logika dan sains, bukan Tuhan.</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Kajian kritis seputar pandangan Fideisme akan dibahas lebih</w:t>
      </w:r>
    </w:p>
    <w:p>
      <w:pPr>
        <w:pStyle w:val="BookText"/>
        <w:bidi w:val="0"/>
        <w:jc w:val="both"/>
        <w:rPr/>
      </w:pPr>
      <w:r>
        <w:rPr>
          <w:rFonts w:eastAsia="Times New Roman" w:cs="Times New Roman" w:ascii="Times New Roman" w:hAnsi="Times New Roman"/>
          <w:color w:val="111111"/>
          <w:sz w:val="28"/>
          <w:szCs w:val="28"/>
          <w:lang w:val="en-US"/>
        </w:rPr>
        <w:t>terperinci dalam bab berikutnya. Sebelumnya perlu dicatat, ketidak-</w:t>
      </w:r>
    </w:p>
    <w:p>
      <w:pPr>
        <w:pStyle w:val="BookText"/>
        <w:bidi w:val="0"/>
        <w:jc w:val="both"/>
        <w:rPr/>
      </w:pPr>
      <w:r>
        <w:rPr>
          <w:rFonts w:eastAsia="Times New Roman" w:cs="Times New Roman" w:ascii="Times New Roman" w:hAnsi="Times New Roman"/>
          <w:color w:val="111111"/>
          <w:sz w:val="28"/>
          <w:szCs w:val="28"/>
          <w:lang w:val="en-US"/>
        </w:rPr>
        <w:t>mungkinan memperoleh demonstrasi rasional tanpa kepercayaan</w:t>
      </w:r>
    </w:p>
    <w:p>
      <w:pPr>
        <w:pStyle w:val="BookText"/>
        <w:bidi w:val="0"/>
        <w:jc w:val="both"/>
        <w:rPr/>
      </w:pPr>
      <w:r>
        <w:rPr>
          <w:rFonts w:eastAsia="Times New Roman" w:cs="Times New Roman" w:ascii="Times New Roman" w:hAnsi="Times New Roman"/>
          <w:color w:val="111111"/>
          <w:sz w:val="28"/>
          <w:szCs w:val="28"/>
          <w:lang w:val="en-US"/>
        </w:rPr>
        <w:t>dasar (basic beliefs) memang benar adanya. Namun, perumusan</w:t>
      </w:r>
    </w:p>
    <w:p>
      <w:pPr>
        <w:pStyle w:val="BookText"/>
        <w:bidi w:val="0"/>
        <w:jc w:val="both"/>
        <w:rPr/>
      </w:pPr>
      <w:r>
        <w:rPr>
          <w:rFonts w:eastAsia="Times New Roman" w:cs="Times New Roman" w:ascii="Times New Roman" w:hAnsi="Times New Roman"/>
          <w:color w:val="111111"/>
          <w:sz w:val="28"/>
          <w:szCs w:val="28"/>
          <w:lang w:val="en-US"/>
        </w:rPr>
        <w:t>persoalan ini seyogianya bertolak dari logika aristotelian. Yaitu,</w:t>
      </w:r>
    </w:p>
    <w:p>
      <w:pPr>
        <w:pStyle w:val="BookText"/>
        <w:bidi w:val="0"/>
        <w:jc w:val="both"/>
        <w:rPr/>
      </w:pPr>
      <w:r>
        <w:rPr>
          <w:rFonts w:eastAsia="Times New Roman" w:cs="Times New Roman" w:ascii="Times New Roman" w:hAnsi="Times New Roman"/>
          <w:color w:val="111111"/>
          <w:sz w:val="28"/>
          <w:szCs w:val="28"/>
          <w:lang w:val="en-US"/>
        </w:rPr>
        <w:t>jika semua pengetahuan itu bersifat spekulatif (nazdari) yang</w:t>
      </w:r>
    </w:p>
    <w:p>
      <w:pPr>
        <w:pStyle w:val="BookText"/>
        <w:bidi w:val="0"/>
        <w:jc w:val="both"/>
        <w:rPr/>
      </w:pPr>
      <w:r>
        <w:rPr>
          <w:rFonts w:eastAsia="Times New Roman" w:cs="Times New Roman" w:ascii="Times New Roman" w:hAnsi="Times New Roman"/>
          <w:color w:val="111111"/>
          <w:sz w:val="28"/>
          <w:szCs w:val="28"/>
          <w:lang w:val="en-US"/>
        </w:rPr>
        <w:t>membutuhkan pembuktian dan demonstrasi, niscaya tidak akan</w:t>
      </w:r>
    </w:p>
    <w:p>
      <w:pPr>
        <w:pStyle w:val="BookText"/>
        <w:bidi w:val="0"/>
        <w:jc w:val="both"/>
        <w:rPr/>
      </w:pPr>
      <w:r>
        <w:rPr>
          <w:rFonts w:eastAsia="Times New Roman" w:cs="Times New Roman" w:ascii="Times New Roman" w:hAnsi="Times New Roman"/>
          <w:color w:val="111111"/>
          <w:sz w:val="28"/>
          <w:szCs w:val="28"/>
          <w:lang w:val="en-US"/>
        </w:rPr>
        <w:t>diperoleh pengetahuan apa pun. Karena itu, matarantai ini harus</w:t>
      </w:r>
    </w:p>
    <w:p>
      <w:pPr>
        <w:pStyle w:val="BookText"/>
        <w:bidi w:val="0"/>
        <w:jc w:val="both"/>
        <w:rPr/>
      </w:pPr>
      <w:r>
        <w:rPr>
          <w:rFonts w:eastAsia="Times New Roman" w:cs="Times New Roman" w:ascii="Times New Roman" w:hAnsi="Times New Roman"/>
          <w:color w:val="111111"/>
          <w:sz w:val="28"/>
          <w:szCs w:val="28"/>
          <w:lang w:val="en-US"/>
        </w:rPr>
        <w:t>berhenti di satu titik (stop place). Dengan kata lain, dari suatu</w:t>
      </w:r>
    </w:p>
    <w:p>
      <w:pPr>
        <w:pStyle w:val="BookText"/>
        <w:bidi w:val="0"/>
        <w:jc w:val="both"/>
        <w:rPr/>
      </w:pPr>
      <w:r>
        <w:rPr>
          <w:rFonts w:eastAsia="Times New Roman" w:cs="Times New Roman" w:ascii="Times New Roman" w:hAnsi="Times New Roman"/>
          <w:color w:val="111111"/>
          <w:sz w:val="28"/>
          <w:szCs w:val="28"/>
          <w:lang w:val="en-US"/>
        </w:rPr>
        <w:t>rangkaian pengetahuan, harus dicapai pengetahuan yang tidak lagi</w:t>
      </w:r>
    </w:p>
    <w:p>
      <w:pPr>
        <w:pStyle w:val="BookText"/>
        <w:bidi w:val="0"/>
        <w:jc w:val="both"/>
        <w:rPr/>
      </w:pPr>
      <w:r>
        <w:rPr>
          <w:rFonts w:eastAsia="Times New Roman" w:cs="Times New Roman" w:ascii="Times New Roman" w:hAnsi="Times New Roman"/>
          <w:color w:val="111111"/>
          <w:sz w:val="28"/>
          <w:szCs w:val="28"/>
          <w:lang w:val="en-US"/>
        </w:rPr>
        <w:t>membutuhkan demonstrasi. Inilah pengetahuan swabukti, yang</w:t>
      </w:r>
    </w:p>
    <w:p>
      <w:pPr>
        <w:pStyle w:val="BookText"/>
        <w:bidi w:val="0"/>
        <w:jc w:val="both"/>
        <w:rPr/>
      </w:pPr>
      <w:r>
        <w:rPr>
          <w:rFonts w:eastAsia="Times New Roman" w:cs="Times New Roman" w:ascii="Times New Roman" w:hAnsi="Times New Roman"/>
          <w:color w:val="111111"/>
          <w:sz w:val="28"/>
          <w:szCs w:val="28"/>
          <w:lang w:val="en-US"/>
        </w:rPr>
        <w:t>umum disebut aksioma (badihi).</w:t>
      </w:r>
    </w:p>
    <w:p>
      <w:pPr>
        <w:pStyle w:val="BookText"/>
        <w:bidi w:val="0"/>
        <w:jc w:val="both"/>
        <w:rPr/>
      </w:pPr>
      <w:r>
        <w:rPr>
          <w:rFonts w:eastAsia="Times New Roman" w:cs="Times New Roman" w:ascii="Times New Roman" w:hAnsi="Times New Roman"/>
          <w:color w:val="111111"/>
          <w:sz w:val="28"/>
          <w:szCs w:val="28"/>
          <w:lang w:val="en-US"/>
        </w:rPr>
        <w:t>Pengetahuan jenis ini cukup beragam dan secara rinci telah</w:t>
      </w:r>
    </w:p>
    <w:p>
      <w:pPr>
        <w:pStyle w:val="BookText"/>
        <w:bidi w:val="0"/>
        <w:jc w:val="both"/>
        <w:rPr/>
      </w:pPr>
      <w:r>
        <w:rPr>
          <w:rFonts w:eastAsia="Times New Roman" w:cs="Times New Roman" w:ascii="Times New Roman" w:hAnsi="Times New Roman"/>
          <w:color w:val="111111"/>
          <w:sz w:val="28"/>
          <w:szCs w:val="28"/>
          <w:lang w:val="en-US"/>
        </w:rPr>
        <w:t>dikemukakan dalam buku-buku logika. Dengan begitu, jika</w:t>
      </w:r>
    </w:p>
    <w:p>
      <w:pPr>
        <w:pStyle w:val="BookText"/>
        <w:bidi w:val="0"/>
        <w:jc w:val="both"/>
        <w:rPr/>
      </w:pPr>
      <w:r>
        <w:rPr>
          <w:rFonts w:eastAsia="Times New Roman" w:cs="Times New Roman" w:ascii="Times New Roman" w:hAnsi="Times New Roman"/>
          <w:color w:val="111111"/>
          <w:sz w:val="28"/>
          <w:szCs w:val="28"/>
          <w:lang w:val="en-US"/>
        </w:rPr>
        <w:t>ajaran agama termasuk aksioma, maka Fideisme di atas tadi dapat</w:t>
      </w:r>
    </w:p>
    <w:p>
      <w:pPr>
        <w:pStyle w:val="BookText"/>
        <w:bidi w:val="0"/>
        <w:jc w:val="both"/>
        <w:rPr/>
      </w:pPr>
      <w:r>
        <w:rPr>
          <w:rFonts w:eastAsia="Times New Roman" w:cs="Times New Roman" w:ascii="Times New Roman" w:hAnsi="Times New Roman"/>
          <w:color w:val="111111"/>
          <w:sz w:val="28"/>
          <w:szCs w:val="28"/>
          <w:lang w:val="en-US"/>
        </w:rPr>
        <w:t>dikategorikan sebagai paham rasional. Hanya saja, klaim kalangan</w:t>
      </w:r>
    </w:p>
    <w:p>
      <w:pPr>
        <w:pStyle w:val="BookText"/>
        <w:bidi w:val="0"/>
        <w:jc w:val="both"/>
        <w:rPr/>
      </w:pPr>
      <w:r>
        <w:rPr>
          <w:rFonts w:eastAsia="Times New Roman" w:cs="Times New Roman" w:ascii="Times New Roman" w:hAnsi="Times New Roman"/>
          <w:color w:val="111111"/>
          <w:sz w:val="28"/>
          <w:szCs w:val="28"/>
          <w:lang w:val="en-US"/>
        </w:rPr>
        <w:t>agamawan, bahwa ajaran dan proposisi wahyuni termasuk</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kepercayaan dasar (basic beliefs), sama sekali tidak menyelesaikan </w:t>
      </w:r>
      <w:bookmarkStart w:id="158" w:name="pg5378_50532"/>
    </w:p>
    <w:p>
      <w:pPr>
        <w:pStyle w:val="BookText"/>
        <w:bidi w:val="0"/>
        <w:rPr/>
      </w:pPr>
      <w:bookmarkEnd w:id="158"/>
      <w:r>
        <w:rPr>
          <w:rFonts w:eastAsia="Times New Roman" w:cs="Times New Roman" w:ascii="Times New Roman" w:hAnsi="Times New Roman"/>
          <w:color w:val="111111"/>
          <w:sz w:val="28"/>
          <w:szCs w:val="28"/>
          <w:lang w:val="en-US"/>
        </w:rPr>
        <w:t>persoalan, tidak pula memberikan justifikasi masuk akal untuk</w:t>
      </w:r>
    </w:p>
    <w:p>
      <w:pPr>
        <w:pStyle w:val="BookText"/>
        <w:bidi w:val="0"/>
        <w:jc w:val="both"/>
        <w:rPr/>
      </w:pPr>
      <w:r>
        <w:rPr>
          <w:rFonts w:eastAsia="Times New Roman" w:cs="Times New Roman" w:ascii="Times New Roman" w:hAnsi="Times New Roman"/>
          <w:color w:val="111111"/>
          <w:sz w:val="28"/>
          <w:szCs w:val="28"/>
          <w:lang w:val="en-US"/>
        </w:rPr>
        <w:t>Fideisme. Karena, dengan perspektif ini, setiap orang bisa saja</w:t>
      </w:r>
    </w:p>
    <w:p>
      <w:pPr>
        <w:pStyle w:val="BookText"/>
        <w:bidi w:val="0"/>
        <w:jc w:val="both"/>
        <w:rPr/>
      </w:pPr>
      <w:r>
        <w:rPr>
          <w:rFonts w:eastAsia="Times New Roman" w:cs="Times New Roman" w:ascii="Times New Roman" w:hAnsi="Times New Roman"/>
          <w:color w:val="111111"/>
          <w:sz w:val="28"/>
          <w:szCs w:val="28"/>
          <w:lang w:val="en-US"/>
        </w:rPr>
        <w:t>mengklaim hlmpunan keimanannya (sekalipun rapuh dan _ tak</w:t>
      </w:r>
    </w:p>
    <w:p>
      <w:pPr>
        <w:pStyle w:val="BookText"/>
        <w:bidi w:val="0"/>
        <w:jc w:val="both"/>
        <w:rPr/>
      </w:pPr>
      <w:r>
        <w:rPr>
          <w:rFonts w:eastAsia="Times New Roman" w:cs="Times New Roman" w:ascii="Times New Roman" w:hAnsi="Times New Roman"/>
          <w:color w:val="111111"/>
          <w:sz w:val="28"/>
          <w:szCs w:val="28"/>
          <w:lang w:val="en-US"/>
        </w:rPr>
        <w:t>berdasar) sebagai kepercayaan dasar—yang dengannya dia lantas</w:t>
      </w:r>
    </w:p>
    <w:p>
      <w:pPr>
        <w:pStyle w:val="BookText"/>
        <w:bidi w:val="0"/>
        <w:jc w:val="both"/>
        <w:rPr/>
      </w:pPr>
      <w:r>
        <w:rPr>
          <w:rFonts w:eastAsia="Times New Roman" w:cs="Times New Roman" w:ascii="Times New Roman" w:hAnsi="Times New Roman"/>
          <w:color w:val="111111"/>
          <w:sz w:val="28"/>
          <w:szCs w:val="28"/>
          <w:lang w:val="en-US"/>
        </w:rPr>
        <w:t>merakit bangunan pemikiran (noetic structure) dan kepercayaan</w:t>
      </w:r>
    </w:p>
    <w:p>
      <w:pPr>
        <w:pStyle w:val="BookText"/>
        <w:bidi w:val="0"/>
        <w:jc w:val="both"/>
        <w:rPr/>
      </w:pPr>
      <w:r>
        <w:rPr>
          <w:rFonts w:eastAsia="Times New Roman" w:cs="Times New Roman" w:ascii="Times New Roman" w:hAnsi="Times New Roman"/>
          <w:color w:val="111111"/>
          <w:sz w:val="28"/>
          <w:szCs w:val="28"/>
          <w:lang w:val="en-US"/>
        </w:rPr>
        <w:t>dengan dasar yang rapuh itu.</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mengetahui pandangan-pandangannya lebih jauh, lihat “Oyo E'teqgod be Khudo Voge'an Poyeh asf dalam Kalom-e Falsafi (ter). |. Sultani &amp; A. Naraqi), hlm. 49-72.</w:t>
      </w:r>
    </w:p>
    <w:p>
      <w:pPr>
        <w:pStyle w:val="Heading4"/>
        <w:numPr>
          <w:ilvl w:val="3"/>
          <w:numId w:val="1"/>
        </w:numPr>
        <w:bidi w:val="0"/>
        <w:jc w:val="left"/>
        <w:rPr/>
      </w:pPr>
      <w:bookmarkStart w:id="159" w:name="__RefHeading___Toc1351160_581953129"/>
      <w:bookmarkStart w:id="160" w:name="_Toc59"/>
      <w:bookmarkEnd w:id="159"/>
      <w:r>
        <w:rPr/>
        <w:t>Subordinasi Akal</w:t>
      </w:r>
      <w:bookmarkEnd w:id="160"/>
    </w:p>
    <w:p>
      <w:pPr>
        <w:pStyle w:val="BookText"/>
        <w:bidi w:val="0"/>
        <w:jc w:val="both"/>
        <w:rPr/>
      </w:pPr>
      <w:r>
        <w:rPr>
          <w:rFonts w:eastAsia="Times New Roman" w:cs="Times New Roman" w:ascii="Times New Roman" w:hAnsi="Times New Roman"/>
          <w:color w:val="111111"/>
          <w:sz w:val="28"/>
          <w:szCs w:val="28"/>
          <w:lang w:val="en-US"/>
        </w:rPr>
        <w:t>Upaya pintas membongkar kelemahan basis-basis rasionalisme</w:t>
      </w:r>
    </w:p>
    <w:p>
      <w:pPr>
        <w:pStyle w:val="BookText"/>
        <w:bidi w:val="0"/>
        <w:jc w:val="both"/>
        <w:rPr/>
      </w:pPr>
      <w:r>
        <w:rPr>
          <w:rFonts w:eastAsia="Times New Roman" w:cs="Times New Roman" w:ascii="Times New Roman" w:hAnsi="Times New Roman"/>
          <w:color w:val="111111"/>
          <w:sz w:val="28"/>
          <w:szCs w:val="28"/>
          <w:lang w:val="en-US"/>
        </w:rPr>
        <w:t>radikal, oleh sebagian pemikir, difokuskan pada akal atau rasio</w:t>
      </w:r>
    </w:p>
    <w:p>
      <w:pPr>
        <w:pStyle w:val="BookText"/>
        <w:bidi w:val="0"/>
        <w:jc w:val="both"/>
        <w:rPr/>
      </w:pPr>
      <w:r>
        <w:rPr>
          <w:rFonts w:eastAsia="Times New Roman" w:cs="Times New Roman" w:ascii="Times New Roman" w:hAnsi="Times New Roman"/>
          <w:color w:val="111111"/>
          <w:sz w:val="28"/>
          <w:szCs w:val="28"/>
          <w:lang w:val="en-US"/>
        </w:rPr>
        <w:t>itu sendiri, dan dikerahkan untuk membuktikan bahwa data yang</w:t>
      </w:r>
    </w:p>
    <w:p>
      <w:pPr>
        <w:pStyle w:val="BookText"/>
        <w:bidi w:val="0"/>
        <w:jc w:val="both"/>
        <w:rPr/>
      </w:pPr>
      <w:r>
        <w:rPr>
          <w:rFonts w:eastAsia="Times New Roman" w:cs="Times New Roman" w:ascii="Times New Roman" w:hAnsi="Times New Roman"/>
          <w:color w:val="111111"/>
          <w:sz w:val="28"/>
          <w:szCs w:val="28"/>
          <w:lang w:val="en-US"/>
        </w:rPr>
        <w:t>dihasilkannya tidaklah bernilai. Misalnya, meragukan kemampuan</w:t>
      </w:r>
    </w:p>
    <w:p>
      <w:pPr>
        <w:pStyle w:val="BookText"/>
        <w:bidi w:val="0"/>
        <w:jc w:val="both"/>
        <w:rPr/>
      </w:pPr>
      <w:r>
        <w:rPr>
          <w:rFonts w:eastAsia="Times New Roman" w:cs="Times New Roman" w:ascii="Times New Roman" w:hAnsi="Times New Roman"/>
          <w:color w:val="111111"/>
          <w:sz w:val="28"/>
          <w:szCs w:val="28"/>
          <w:lang w:val="en-US"/>
        </w:rPr>
        <w:t>akal dalam memberikan penilaian tanpa pre-judgement dan asumsi</w:t>
      </w:r>
    </w:p>
    <w:p>
      <w:pPr>
        <w:pStyle w:val="BookText"/>
        <w:bidi w:val="0"/>
        <w:jc w:val="both"/>
        <w:rPr/>
      </w:pPr>
      <w:r>
        <w:rPr>
          <w:rFonts w:eastAsia="Times New Roman" w:cs="Times New Roman" w:ascii="Times New Roman" w:hAnsi="Times New Roman"/>
          <w:color w:val="111111"/>
          <w:sz w:val="28"/>
          <w:szCs w:val="28"/>
          <w:lang w:val="en-US"/>
        </w:rPr>
        <w:t>apa pun. Para filsuf seperti: René Descartes (1596-1650), terkesan</w:t>
      </w:r>
    </w:p>
    <w:p>
      <w:pPr>
        <w:pStyle w:val="BookText"/>
        <w:bidi w:val="0"/>
        <w:jc w:val="both"/>
        <w:rPr/>
      </w:pPr>
      <w:r>
        <w:rPr>
          <w:rFonts w:eastAsia="Times New Roman" w:cs="Times New Roman" w:ascii="Times New Roman" w:hAnsi="Times New Roman"/>
          <w:color w:val="111111"/>
          <w:sz w:val="28"/>
          <w:szCs w:val="28"/>
          <w:lang w:val="en-US"/>
        </w:rPr>
        <w:t>melakukan usaha yang layak disanjung guna mensterilkan akal dari</w:t>
      </w:r>
    </w:p>
    <w:p>
      <w:pPr>
        <w:pStyle w:val="BookText"/>
        <w:bidi w:val="0"/>
        <w:jc w:val="both"/>
        <w:rPr/>
      </w:pPr>
      <w:r>
        <w:rPr>
          <w:rFonts w:eastAsia="Times New Roman" w:cs="Times New Roman" w:ascii="Times New Roman" w:hAnsi="Times New Roman"/>
          <w:color w:val="111111"/>
          <w:sz w:val="28"/>
          <w:szCs w:val="28"/>
          <w:lang w:val="en-US"/>
        </w:rPr>
        <w:t>pre-judgement dan asumsi. Namun, dewasa ini, banyak juga pemikir</w:t>
      </w:r>
    </w:p>
    <w:p>
      <w:pPr>
        <w:pStyle w:val="BookText"/>
        <w:bidi w:val="0"/>
        <w:jc w:val="both"/>
        <w:rPr/>
      </w:pPr>
      <w:r>
        <w:rPr>
          <w:rFonts w:eastAsia="Times New Roman" w:cs="Times New Roman" w:ascii="Times New Roman" w:hAnsi="Times New Roman"/>
          <w:color w:val="111111"/>
          <w:sz w:val="28"/>
          <w:szCs w:val="28"/>
          <w:lang w:val="en-US"/>
        </w:rPr>
        <w:t>yang mengklaim sterilisasi semacam itu mustahil. Wittgenstein</w:t>
      </w:r>
    </w:p>
    <w:p>
      <w:pPr>
        <w:pStyle w:val="BookText"/>
        <w:bidi w:val="0"/>
        <w:jc w:val="both"/>
        <w:rPr/>
      </w:pPr>
      <w:r>
        <w:rPr>
          <w:rFonts w:eastAsia="Times New Roman" w:cs="Times New Roman" w:ascii="Times New Roman" w:hAnsi="Times New Roman"/>
          <w:color w:val="111111"/>
          <w:sz w:val="28"/>
          <w:szCs w:val="28"/>
          <w:lang w:val="en-US"/>
        </w:rPr>
        <w:t>(1889-1951) dan Hans Georg Gadamer (1900-2002) termasuk filsuf</w:t>
      </w:r>
    </w:p>
    <w:p>
      <w:pPr>
        <w:pStyle w:val="BookText"/>
        <w:bidi w:val="0"/>
        <w:jc w:val="both"/>
        <w:rPr/>
      </w:pPr>
      <w:r>
        <w:rPr>
          <w:rFonts w:eastAsia="Times New Roman" w:cs="Times New Roman" w:ascii="Times New Roman" w:hAnsi="Times New Roman"/>
          <w:color w:val="111111"/>
          <w:sz w:val="28"/>
          <w:szCs w:val="28"/>
          <w:lang w:val="en-US"/>
        </w:rPr>
        <w:t>yang meragukan teori “rasio murni dari asumsi”. Menurut mereka,</w:t>
      </w:r>
    </w:p>
    <w:p>
      <w:pPr>
        <w:pStyle w:val="BookText"/>
        <w:bidi w:val="0"/>
        <w:jc w:val="both"/>
        <w:rPr/>
      </w:pPr>
      <w:r>
        <w:rPr>
          <w:rFonts w:eastAsia="Times New Roman" w:cs="Times New Roman" w:ascii="Times New Roman" w:hAnsi="Times New Roman"/>
          <w:color w:val="111111"/>
          <w:sz w:val="28"/>
          <w:szCs w:val="28"/>
          <w:lang w:val="en-US"/>
        </w:rPr>
        <w:t>netralitas akal hanya idealistis dan angan-angan yang mustahil</w:t>
      </w:r>
    </w:p>
    <w:p>
      <w:pPr>
        <w:pStyle w:val="BookText"/>
        <w:bidi w:val="0"/>
        <w:jc w:val="both"/>
        <w:rPr/>
      </w:pPr>
      <w:r>
        <w:rPr>
          <w:rFonts w:eastAsia="Times New Roman" w:cs="Times New Roman" w:ascii="Times New Roman" w:hAnsi="Times New Roman"/>
          <w:color w:val="111111"/>
          <w:sz w:val="28"/>
          <w:szCs w:val="28"/>
          <w:lang w:val="en-US"/>
        </w:rPr>
        <w:t>tercapai. Bagaimana pun, jika gagal mensterilisasi akal—dalam</w:t>
      </w:r>
    </w:p>
    <w:p>
      <w:pPr>
        <w:pStyle w:val="BookText"/>
        <w:bidi w:val="0"/>
        <w:jc w:val="both"/>
        <w:rPr/>
      </w:pPr>
      <w:r>
        <w:rPr>
          <w:rFonts w:eastAsia="Times New Roman" w:cs="Times New Roman" w:ascii="Times New Roman" w:hAnsi="Times New Roman"/>
          <w:color w:val="111111"/>
          <w:sz w:val="28"/>
          <w:szCs w:val="28"/>
          <w:lang w:val="en-US"/>
        </w:rPr>
        <w:t>memberikan penilaian—dari latar-latar sosial dan kultural, juga</w:t>
      </w:r>
    </w:p>
    <w:p>
      <w:pPr>
        <w:pStyle w:val="BookText"/>
        <w:bidi w:val="0"/>
        <w:jc w:val="both"/>
        <w:rPr/>
      </w:pPr>
      <w:r>
        <w:rPr>
          <w:rFonts w:eastAsia="Times New Roman" w:cs="Times New Roman" w:ascii="Times New Roman" w:hAnsi="Times New Roman"/>
          <w:color w:val="111111"/>
          <w:sz w:val="28"/>
          <w:szCs w:val="28"/>
          <w:lang w:val="en-US"/>
        </w:rPr>
        <w:t>gagal membuktikan netralitasnya, maka paradigma kaum rasionalis</w:t>
      </w:r>
    </w:p>
    <w:p>
      <w:pPr>
        <w:pStyle w:val="BookText"/>
        <w:bidi w:val="0"/>
        <w:jc w:val="both"/>
        <w:rPr/>
      </w:pPr>
      <w:r>
        <w:rPr>
          <w:rFonts w:eastAsia="Times New Roman" w:cs="Times New Roman" w:ascii="Times New Roman" w:hAnsi="Times New Roman"/>
          <w:color w:val="111111"/>
          <w:sz w:val="28"/>
          <w:szCs w:val="28"/>
          <w:lang w:val="en-US"/>
        </w:rPr>
        <w:t>tidaklah efesien, kalau bukan malah mustahil terwujud.</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Berdasarkan uraian di atas, penilaian dan hukum akal</w:t>
      </w:r>
    </w:p>
    <w:p>
      <w:pPr>
        <w:pStyle w:val="BookText"/>
        <w:bidi w:val="0"/>
        <w:jc w:val="both"/>
        <w:rPr/>
      </w:pPr>
      <w:r>
        <w:rPr>
          <w:rFonts w:eastAsia="Times New Roman" w:cs="Times New Roman" w:ascii="Times New Roman" w:hAnsi="Times New Roman"/>
          <w:color w:val="111111"/>
          <w:sz w:val="28"/>
          <w:szCs w:val="28"/>
          <w:lang w:val="en-US"/>
        </w:rPr>
        <w:t>senantiasa bergantung pada hipotesis, asumsi, latar kultural dan</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sosial seseorang. Akal tidak mampu bebas dari kebergantungan </w:t>
      </w:r>
      <w:bookmarkStart w:id="161" w:name="pg5378_50534"/>
    </w:p>
    <w:p>
      <w:pPr>
        <w:pStyle w:val="BookText"/>
        <w:bidi w:val="0"/>
        <w:rPr/>
      </w:pPr>
      <w:bookmarkEnd w:id="161"/>
      <w:r>
        <w:rPr>
          <w:rFonts w:eastAsia="Times New Roman" w:cs="Times New Roman" w:ascii="Times New Roman" w:hAnsi="Times New Roman"/>
          <w:color w:val="111111"/>
          <w:sz w:val="28"/>
          <w:szCs w:val="28"/>
          <w:lang w:val="en-US"/>
        </w:rPr>
        <w:t>itu. Karenanya, pengetahuan manusia merupakan produk</w:t>
      </w:r>
    </w:p>
    <w:p>
      <w:pPr>
        <w:pStyle w:val="BookText"/>
        <w:bidi w:val="0"/>
        <w:jc w:val="both"/>
        <w:rPr/>
      </w:pPr>
      <w:r>
        <w:rPr>
          <w:rFonts w:eastAsia="Times New Roman" w:cs="Times New Roman" w:ascii="Times New Roman" w:hAnsi="Times New Roman"/>
          <w:color w:val="111111"/>
          <w:sz w:val="28"/>
          <w:szCs w:val="28"/>
          <w:lang w:val="en-US"/>
        </w:rPr>
        <w:t>dari komposisi aspek internal dan data eksternal. Ini berarti</w:t>
      </w:r>
    </w:p>
    <w:p>
      <w:pPr>
        <w:pStyle w:val="BookText"/>
        <w:bidi w:val="0"/>
        <w:jc w:val="both"/>
        <w:rPr/>
      </w:pPr>
      <w:r>
        <w:rPr>
          <w:rFonts w:eastAsia="Times New Roman" w:cs="Times New Roman" w:ascii="Times New Roman" w:hAnsi="Times New Roman"/>
          <w:color w:val="111111"/>
          <w:sz w:val="28"/>
          <w:szCs w:val="28"/>
          <w:lang w:val="en-US"/>
        </w:rPr>
        <w:t>pemahaman dan pengetahuan manusia ber-sifat relatif. Di sinilah</w:t>
      </w:r>
    </w:p>
    <w:p>
      <w:pPr>
        <w:pStyle w:val="BookText"/>
        <w:bidi w:val="0"/>
        <w:jc w:val="both"/>
        <w:rPr/>
      </w:pPr>
      <w:r>
        <w:rPr>
          <w:rFonts w:eastAsia="Times New Roman" w:cs="Times New Roman" w:ascii="Times New Roman" w:hAnsi="Times New Roman"/>
          <w:color w:val="111111"/>
          <w:sz w:val="28"/>
          <w:szCs w:val="28"/>
          <w:lang w:val="en-US"/>
        </w:rPr>
        <w:t>justru Skeptisisme bangkit, setidaknya demikian kritik awal dari</w:t>
      </w:r>
    </w:p>
    <w:p>
      <w:pPr>
        <w:pStyle w:val="BookText"/>
        <w:bidi w:val="0"/>
        <w:jc w:val="both"/>
        <w:rPr/>
      </w:pPr>
      <w:r>
        <w:rPr>
          <w:rFonts w:eastAsia="Times New Roman" w:cs="Times New Roman" w:ascii="Times New Roman" w:hAnsi="Times New Roman"/>
          <w:color w:val="111111"/>
          <w:sz w:val="28"/>
          <w:szCs w:val="28"/>
          <w:lang w:val="en-US"/>
        </w:rPr>
        <w:t>kalangan pemikir kontemporer:</w:t>
      </w:r>
    </w:p>
    <w:p>
      <w:pPr>
        <w:pStyle w:val="BookText"/>
        <w:bidi w:val="0"/>
        <w:jc w:val="both"/>
        <w:rPr/>
      </w:pPr>
      <w:r>
        <w:rPr>
          <w:rFonts w:eastAsia="Times New Roman" w:cs="Times New Roman" w:ascii="Times New Roman" w:hAnsi="Times New Roman"/>
          <w:color w:val="111111"/>
          <w:sz w:val="28"/>
          <w:szCs w:val="28"/>
          <w:lang w:val="en-US"/>
        </w:rPr>
        <w:t>Kendati orang-orang yang meyakini relativitas pemahaman</w:t>
      </w:r>
    </w:p>
    <w:p>
      <w:pPr>
        <w:pStyle w:val="BookText"/>
        <w:bidi w:val="0"/>
        <w:jc w:val="both"/>
        <w:rPr/>
      </w:pPr>
      <w:r>
        <w:rPr>
          <w:rFonts w:eastAsia="Times New Roman" w:cs="Times New Roman" w:ascii="Times New Roman" w:hAnsi="Times New Roman"/>
          <w:color w:val="111111"/>
          <w:sz w:val="28"/>
          <w:szCs w:val="28"/>
          <w:lang w:val="en-US"/>
        </w:rPr>
        <w:t>manusia mengelak dari tuduhan sebagai kaum_ skeptis, dan</w:t>
      </w:r>
    </w:p>
    <w:p>
      <w:pPr>
        <w:pStyle w:val="BookText"/>
        <w:bidi w:val="0"/>
        <w:jc w:val="both"/>
        <w:rPr/>
      </w:pPr>
      <w:r>
        <w:rPr>
          <w:rFonts w:eastAsia="Times New Roman" w:cs="Times New Roman" w:ascii="Times New Roman" w:hAnsi="Times New Roman"/>
          <w:color w:val="111111"/>
          <w:sz w:val="28"/>
          <w:szCs w:val="28"/>
          <w:lang w:val="en-US"/>
        </w:rPr>
        <w:t>menyebut panda-ngannya sebentuk realisme yang _ rumit;</w:t>
      </w:r>
    </w:p>
    <w:p>
      <w:pPr>
        <w:pStyle w:val="BookText"/>
        <w:bidi w:val="0"/>
        <w:jc w:val="both"/>
        <w:rPr/>
      </w:pPr>
      <w:r>
        <w:rPr>
          <w:rFonts w:eastAsia="Times New Roman" w:cs="Times New Roman" w:ascii="Times New Roman" w:hAnsi="Times New Roman"/>
          <w:color w:val="111111"/>
          <w:sz w:val="28"/>
          <w:szCs w:val="28"/>
          <w:lang w:val="en-US"/>
        </w:rPr>
        <w:t>akan tetapi kerumitan ini hanyalah cara mereka merahasiakan</w:t>
      </w:r>
    </w:p>
    <w:p>
      <w:pPr>
        <w:pStyle w:val="BookText"/>
        <w:bidi w:val="0"/>
        <w:jc w:val="both"/>
        <w:rPr/>
      </w:pPr>
      <w:r>
        <w:rPr>
          <w:rFonts w:eastAsia="Times New Roman" w:cs="Times New Roman" w:ascii="Times New Roman" w:hAnsi="Times New Roman"/>
          <w:color w:val="111111"/>
          <w:sz w:val="28"/>
          <w:szCs w:val="28"/>
          <w:lang w:val="en-US"/>
        </w:rPr>
        <w:t>Skeptisisme, padahal kerancuan Skeptisisme merupakan</w:t>
      </w:r>
    </w:p>
    <w:p>
      <w:pPr>
        <w:pStyle w:val="BookText"/>
        <w:bidi w:val="0"/>
        <w:jc w:val="both"/>
        <w:rPr/>
      </w:pPr>
      <w:r>
        <w:rPr>
          <w:rFonts w:eastAsia="Times New Roman" w:cs="Times New Roman" w:ascii="Times New Roman" w:hAnsi="Times New Roman"/>
          <w:color w:val="111111"/>
          <w:sz w:val="28"/>
          <w:szCs w:val="28"/>
          <w:lang w:val="en-US"/>
        </w:rPr>
        <w:t>kenyataan yang amat gamblang.</w:t>
      </w:r>
      <w:r>
        <w:rPr>
          <w:rStyle w:val="FootnoteAnchor"/>
        </w:rPr>
        <w:footnoteReference w:id="160"/>
      </w:r>
    </w:p>
    <w:p>
      <w:pPr>
        <w:pStyle w:val="Heading4"/>
        <w:numPr>
          <w:ilvl w:val="3"/>
          <w:numId w:val="1"/>
        </w:numPr>
        <w:bidi w:val="0"/>
        <w:jc w:val="left"/>
        <w:rPr/>
      </w:pPr>
      <w:bookmarkStart w:id="162" w:name="__RefHeading___Toc1351162_581953129"/>
      <w:bookmarkStart w:id="163" w:name="_Toc60"/>
      <w:bookmarkEnd w:id="162"/>
      <w:r>
        <w:rPr/>
        <w:t>Ketidakcukupan Akal Membimbing Manusia</w:t>
      </w:r>
      <w:bookmarkEnd w:id="163"/>
    </w:p>
    <w:p>
      <w:pPr>
        <w:pStyle w:val="BookText"/>
        <w:bidi w:val="0"/>
        <w:jc w:val="both"/>
        <w:rPr/>
      </w:pPr>
      <w:r>
        <w:rPr>
          <w:rFonts w:eastAsia="Times New Roman" w:cs="Times New Roman" w:ascii="Times New Roman" w:hAnsi="Times New Roman"/>
          <w:color w:val="111111"/>
          <w:sz w:val="28"/>
          <w:szCs w:val="28"/>
          <w:lang w:val="en-US"/>
        </w:rPr>
        <w:t>Di awal bab, telah disinggung klaim sejumlah pihak tentang ketak-</w:t>
      </w:r>
    </w:p>
    <w:p>
      <w:pPr>
        <w:pStyle w:val="BookText"/>
        <w:bidi w:val="0"/>
        <w:jc w:val="both"/>
        <w:rPr/>
      </w:pPr>
      <w:r>
        <w:rPr>
          <w:rFonts w:eastAsia="Times New Roman" w:cs="Times New Roman" w:ascii="Times New Roman" w:hAnsi="Times New Roman"/>
          <w:color w:val="111111"/>
          <w:sz w:val="28"/>
          <w:szCs w:val="28"/>
          <w:lang w:val="en-US"/>
        </w:rPr>
        <w:t>butuhan pada wahyu dikarenakan keberadaan akal. Sekarang saatnya</w:t>
      </w:r>
    </w:p>
    <w:p>
      <w:pPr>
        <w:pStyle w:val="BookText"/>
        <w:bidi w:val="0"/>
        <w:jc w:val="both"/>
        <w:rPr/>
      </w:pPr>
      <w:r>
        <w:rPr>
          <w:rFonts w:eastAsia="Times New Roman" w:cs="Times New Roman" w:ascii="Times New Roman" w:hAnsi="Times New Roman"/>
          <w:color w:val="111111"/>
          <w:sz w:val="28"/>
          <w:szCs w:val="28"/>
          <w:lang w:val="en-US"/>
        </w:rPr>
        <w:t>membuktikan: apakah akal cukup untuk menjamin kebahagiaan</w:t>
      </w:r>
    </w:p>
    <w:p>
      <w:pPr>
        <w:pStyle w:val="BookText"/>
        <w:bidi w:val="0"/>
        <w:jc w:val="both"/>
        <w:rPr/>
      </w:pPr>
      <w:r>
        <w:rPr>
          <w:rFonts w:eastAsia="Times New Roman" w:cs="Times New Roman" w:ascii="Times New Roman" w:hAnsi="Times New Roman"/>
          <w:color w:val="111111"/>
          <w:sz w:val="28"/>
          <w:szCs w:val="28"/>
          <w:lang w:val="en-US"/>
        </w:rPr>
        <w:t>manusia yang hakiki. Sebenarnya, apa tujuan diutusnya para nabi?</w:t>
      </w:r>
    </w:p>
    <w:p>
      <w:pPr>
        <w:pStyle w:val="BookText"/>
        <w:bidi w:val="0"/>
        <w:jc w:val="both"/>
        <w:rPr/>
      </w:pPr>
      <w:r>
        <w:rPr>
          <w:rFonts w:eastAsia="Times New Roman" w:cs="Times New Roman" w:ascii="Times New Roman" w:hAnsi="Times New Roman"/>
          <w:color w:val="111111"/>
          <w:sz w:val="28"/>
          <w:szCs w:val="28"/>
          <w:lang w:val="en-US"/>
        </w:rPr>
        <w:t>Bukankah dengan bantuan akal pikirnya, manusia mampu memilih</w:t>
      </w:r>
    </w:p>
    <w:p>
      <w:pPr>
        <w:pStyle w:val="BookText"/>
        <w:bidi w:val="0"/>
        <w:jc w:val="both"/>
        <w:rPr/>
      </w:pPr>
      <w:r>
        <w:rPr>
          <w:rFonts w:eastAsia="Times New Roman" w:cs="Times New Roman" w:ascii="Times New Roman" w:hAnsi="Times New Roman"/>
          <w:color w:val="111111"/>
          <w:sz w:val="28"/>
          <w:szCs w:val="28"/>
          <w:lang w:val="en-US"/>
        </w:rPr>
        <w:t>jalan bahagia dan menghindari jurang nista? Tidakkah sarana penge-</w:t>
      </w:r>
    </w:p>
    <w:p>
      <w:pPr>
        <w:pStyle w:val="BookText"/>
        <w:bidi w:val="0"/>
        <w:jc w:val="both"/>
        <w:rPr/>
      </w:pPr>
      <w:r>
        <w:rPr>
          <w:rFonts w:eastAsia="Times New Roman" w:cs="Times New Roman" w:ascii="Times New Roman" w:hAnsi="Times New Roman"/>
          <w:color w:val="111111"/>
          <w:sz w:val="28"/>
          <w:szCs w:val="28"/>
          <w:lang w:val="en-US"/>
        </w:rPr>
        <w:t>tahuan (indra dan akal), sebagai karunia Tuhan untuk manusia,</w:t>
      </w:r>
    </w:p>
    <w:p>
      <w:pPr>
        <w:pStyle w:val="BookText"/>
        <w:bidi w:val="0"/>
        <w:jc w:val="both"/>
        <w:rPr/>
      </w:pPr>
      <w:r>
        <w:rPr>
          <w:rFonts w:eastAsia="Times New Roman" w:cs="Times New Roman" w:ascii="Times New Roman" w:hAnsi="Times New Roman"/>
          <w:color w:val="111111"/>
          <w:sz w:val="28"/>
          <w:szCs w:val="28"/>
          <w:lang w:val="en-US"/>
        </w:rPr>
        <w:t>sudah mencukupi kebutuhannya sehingga tidak lagi memerlukan</w:t>
      </w:r>
    </w:p>
    <w:p>
      <w:pPr>
        <w:pStyle w:val="BookText"/>
        <w:bidi w:val="0"/>
        <w:jc w:val="both"/>
        <w:rPr/>
      </w:pPr>
      <w:r>
        <w:rPr>
          <w:rFonts w:eastAsia="Times New Roman" w:cs="Times New Roman" w:ascii="Times New Roman" w:hAnsi="Times New Roman"/>
          <w:color w:val="111111"/>
          <w:sz w:val="28"/>
          <w:szCs w:val="28"/>
          <w:lang w:val="en-US"/>
        </w:rPr>
        <w:t>sumber lain bernama wahyu?</w:t>
      </w:r>
    </w:p>
    <w:p>
      <w:pPr>
        <w:pStyle w:val="BookText"/>
        <w:bidi w:val="0"/>
        <w:jc w:val="both"/>
        <w:rPr/>
      </w:pPr>
      <w:r>
        <w:rPr>
          <w:rFonts w:eastAsia="Times New Roman" w:cs="Times New Roman" w:ascii="Times New Roman" w:hAnsi="Times New Roman"/>
          <w:color w:val="111111"/>
          <w:sz w:val="28"/>
          <w:szCs w:val="28"/>
          <w:lang w:val="en-US"/>
        </w:rPr>
        <w:t>Rangkaian pertanyaan itu sudah dijawab secara terperinci dalam</w:t>
      </w:r>
    </w:p>
    <w:p>
      <w:pPr>
        <w:pStyle w:val="BookText"/>
        <w:bidi w:val="0"/>
        <w:jc w:val="both"/>
        <w:rPr/>
      </w:pPr>
      <w:r>
        <w:rPr>
          <w:rFonts w:eastAsia="Times New Roman" w:cs="Times New Roman" w:ascii="Times New Roman" w:hAnsi="Times New Roman"/>
          <w:color w:val="111111"/>
          <w:sz w:val="28"/>
          <w:szCs w:val="28"/>
          <w:lang w:val="en-US"/>
        </w:rPr>
        <w:t>pelbagai sumber teologi dan filsafat. Nyaris setiap teolog dan filsuf</w:t>
      </w:r>
    </w:p>
    <w:p>
      <w:pPr>
        <w:pStyle w:val="BookText"/>
        <w:bidi w:val="0"/>
        <w:jc w:val="both"/>
        <w:rPr/>
      </w:pPr>
      <w:r>
        <w:rPr>
          <w:rFonts w:eastAsia="Times New Roman" w:cs="Times New Roman" w:ascii="Times New Roman" w:hAnsi="Times New Roman"/>
          <w:color w:val="111111"/>
          <w:sz w:val="28"/>
          <w:szCs w:val="28"/>
          <w:lang w:val="en-US"/>
        </w:rPr>
        <w:t>religius memberi keterangan yang berbeda seputar keniscayaan</w:t>
      </w:r>
    </w:p>
    <w:p>
      <w:pPr>
        <w:pStyle w:val="BookText"/>
        <w:bidi w:val="0"/>
        <w:jc w:val="both"/>
        <w:rPr/>
      </w:pPr>
      <w:r>
        <w:rPr>
          <w:rFonts w:eastAsia="Times New Roman" w:cs="Times New Roman" w:ascii="Times New Roman" w:hAnsi="Times New Roman"/>
          <w:color w:val="111111"/>
          <w:sz w:val="28"/>
          <w:szCs w:val="28"/>
          <w:lang w:val="en-US"/>
        </w:rPr>
        <w:t>wahyu dan rahasia kebutuhan pada bimbingan utusan Ilahi.</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Al-Syifa’, hlm. 487-490; Q. Abduljabbar Muktazili: Syarh Al-Ushil Al-Khamsah, hlm. 563-567; Shadrul Muta‘allihin: Mafétih Al-Ghaib, ‘al-Miftah al-Rabi' ‘Asyar’, hlm. 483-485; A. Jawadi Amuli: Syan‘at dar Oyineh-e Ma'refat, hlm. 119-120; Ahmad Amin: Al-Takaémul fi Al-Islam, jld. 2, hlm. 154-157.</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Pada</w:t>
      </w:r>
    </w:p>
    <w:p>
      <w:pPr>
        <w:pStyle w:val="BookText"/>
        <w:bidi w:val="0"/>
        <w:rPr/>
      </w:pPr>
      <w:r>
        <w:rPr>
          <w:rFonts w:eastAsia="Times New Roman" w:cs="Times New Roman" w:ascii="Times New Roman" w:hAnsi="Times New Roman"/>
          <w:color w:val="111111"/>
          <w:sz w:val="28"/>
          <w:szCs w:val="28"/>
          <w:lang w:val="en-US"/>
        </w:rPr>
        <w:t>prinsipnya, pembuktian seputar kebutuhan terhadap wahyu bertolak</w:t>
      </w:r>
    </w:p>
    <w:p>
      <w:pPr>
        <w:pStyle w:val="BookText"/>
        <w:bidi w:val="0"/>
        <w:jc w:val="both"/>
        <w:rPr/>
      </w:pPr>
      <w:r>
        <w:rPr>
          <w:rFonts w:eastAsia="Times New Roman" w:cs="Times New Roman" w:ascii="Times New Roman" w:hAnsi="Times New Roman"/>
          <w:color w:val="111111"/>
          <w:sz w:val="28"/>
          <w:szCs w:val="28"/>
          <w:lang w:val="en-US"/>
        </w:rPr>
        <w:t>dari kenyataan bahwa sarana-sarana lazim untuk memperoleh</w:t>
      </w:r>
    </w:p>
    <w:p>
      <w:pPr>
        <w:pStyle w:val="BookText"/>
        <w:bidi w:val="0"/>
        <w:jc w:val="both"/>
        <w:rPr/>
      </w:pPr>
      <w:r>
        <w:rPr>
          <w:rFonts w:eastAsia="Times New Roman" w:cs="Times New Roman" w:ascii="Times New Roman" w:hAnsi="Times New Roman"/>
          <w:color w:val="111111"/>
          <w:sz w:val="28"/>
          <w:szCs w:val="28"/>
          <w:lang w:val="en-US"/>
        </w:rPr>
        <w:t>pengetahuan tidaklah memadai dalam mengantarkan manusia</w:t>
      </w:r>
    </w:p>
    <w:p>
      <w:pPr>
        <w:pStyle w:val="BookText"/>
        <w:bidi w:val="0"/>
        <w:jc w:val="both"/>
        <w:rPr/>
      </w:pPr>
      <w:r>
        <w:rPr>
          <w:rFonts w:eastAsia="Times New Roman" w:cs="Times New Roman" w:ascii="Times New Roman" w:hAnsi="Times New Roman"/>
          <w:color w:val="111111"/>
          <w:sz w:val="28"/>
          <w:szCs w:val="28"/>
          <w:lang w:val="en-US"/>
        </w:rPr>
        <w:t>ke puncak kesempurnaan. Berikut, akan dikemukakan salah satu</w:t>
      </w:r>
    </w:p>
    <w:p>
      <w:pPr>
        <w:pStyle w:val="BookText"/>
        <w:bidi w:val="0"/>
        <w:jc w:val="both"/>
        <w:rPr/>
      </w:pPr>
      <w:r>
        <w:rPr>
          <w:rFonts w:eastAsia="Times New Roman" w:cs="Times New Roman" w:ascii="Times New Roman" w:hAnsi="Times New Roman"/>
          <w:color w:val="111111"/>
          <w:sz w:val="28"/>
          <w:szCs w:val="28"/>
          <w:lang w:val="en-US"/>
        </w:rPr>
        <w:t>pembuktian</w:t>
      </w:r>
      <w:r>
        <w:rPr>
          <w:rStyle w:val="FootnoteAnchor"/>
        </w:rPr>
        <w:footnoteReference w:id="162"/>
      </w:r>
      <w:r>
        <w:rPr>
          <w:rFonts w:eastAsia="Times New Roman" w:cs="Times New Roman" w:ascii="Times New Roman" w:hAnsi="Times New Roman"/>
          <w:color w:val="111111"/>
          <w:sz w:val="28"/>
          <w:szCs w:val="28"/>
          <w:lang w:val="en-US"/>
        </w:rPr>
        <w:t>dengan menyertakan sejumlah premis:</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memperoleh pengetahuan yang lebih luas.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Mengingat Tuhan bijaksana, niscaya Mahasuci Dia dari perbuatan</w:t>
      </w:r>
    </w:p>
    <w:p>
      <w:pPr>
        <w:pStyle w:val="BookText"/>
        <w:bidi w:val="0"/>
        <w:jc w:val="both"/>
        <w:rPr/>
      </w:pPr>
      <w:r>
        <w:rPr>
          <w:rFonts w:eastAsia="Times New Roman" w:cs="Times New Roman" w:ascii="Times New Roman" w:hAnsi="Times New Roman"/>
          <w:color w:val="111111"/>
          <w:sz w:val="28"/>
          <w:szCs w:val="28"/>
          <w:lang w:val="en-US"/>
        </w:rPr>
        <w:t>sia-sia dan tiada guna. Karena itu, penciptaan manusia sama</w:t>
      </w:r>
    </w:p>
    <w:p>
      <w:pPr>
        <w:pStyle w:val="BookText"/>
        <w:bidi w:val="0"/>
        <w:jc w:val="both"/>
        <w:rPr/>
      </w:pPr>
      <w:r>
        <w:rPr>
          <w:rFonts w:eastAsia="Times New Roman" w:cs="Times New Roman" w:ascii="Times New Roman" w:hAnsi="Times New Roman"/>
          <w:color w:val="111111"/>
          <w:sz w:val="28"/>
          <w:szCs w:val="28"/>
          <w:lang w:val="en-US"/>
        </w:rPr>
        <w:t>sekali bukan tindakan sia-sia, melainkan demi menggapai</w:t>
      </w:r>
    </w:p>
    <w:p>
      <w:pPr>
        <w:pStyle w:val="BookText"/>
        <w:bidi w:val="0"/>
        <w:jc w:val="both"/>
        <w:rPr/>
      </w:pPr>
      <w:r>
        <w:rPr>
          <w:rFonts w:eastAsia="Times New Roman" w:cs="Times New Roman" w:ascii="Times New Roman" w:hAnsi="Times New Roman"/>
          <w:color w:val="111111"/>
          <w:sz w:val="28"/>
          <w:szCs w:val="28"/>
          <w:lang w:val="en-US"/>
        </w:rPr>
        <w:t>puncak kesempurnaan dan kebahagiaan abadi.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Kehidupan dunia sebagai pengantar kehidupan akhirat. Terdapat</w:t>
      </w:r>
    </w:p>
    <w:p>
      <w:pPr>
        <w:pStyle w:val="BookText"/>
        <w:bidi w:val="0"/>
        <w:jc w:val="both"/>
        <w:rPr/>
      </w:pPr>
      <w:r>
        <w:rPr>
          <w:rFonts w:eastAsia="Times New Roman" w:cs="Times New Roman" w:ascii="Times New Roman" w:hAnsi="Times New Roman"/>
          <w:color w:val="111111"/>
          <w:sz w:val="28"/>
          <w:szCs w:val="28"/>
          <w:lang w:val="en-US"/>
        </w:rPr>
        <w:t>relasi kausal, atau bahkan identik (‘ainiyat), antara perbuatan di</w:t>
      </w:r>
    </w:p>
    <w:p>
      <w:pPr>
        <w:pStyle w:val="BookText"/>
        <w:bidi w:val="0"/>
        <w:jc w:val="both"/>
        <w:rPr/>
      </w:pPr>
      <w:r>
        <w:rPr>
          <w:rFonts w:eastAsia="Times New Roman" w:cs="Times New Roman" w:ascii="Times New Roman" w:hAnsi="Times New Roman"/>
          <w:color w:val="111111"/>
          <w:sz w:val="28"/>
          <w:szCs w:val="28"/>
          <w:lang w:val="en-US"/>
        </w:rPr>
        <w:t>dunia dan efeknya di akhirat.</w:t>
      </w:r>
      <w:r>
        <w:rPr>
          <w:rStyle w:val="FootnoteAnchor"/>
        </w:rPr>
        <w:footnoteReference w:id="164"/>
      </w:r>
      <w:r>
        <w:rPr>
          <w:rFonts w:eastAsia="Times New Roman" w:cs="Times New Roman" w:ascii="Times New Roman" w:hAnsi="Times New Roman"/>
          <w:color w:val="111111"/>
          <w:sz w:val="28"/>
          <w:szCs w:val="28"/>
          <w:lang w:val="en-US"/>
        </w:rPr>
        <w:t>Kebahagiaan atau nasib celaka</w:t>
      </w:r>
    </w:p>
    <w:p>
      <w:pPr>
        <w:pStyle w:val="BookText"/>
        <w:bidi w:val="0"/>
        <w:jc w:val="both"/>
        <w:rPr/>
      </w:pPr>
      <w:r>
        <w:rPr>
          <w:rFonts w:eastAsia="Times New Roman" w:cs="Times New Roman" w:ascii="Times New Roman" w:hAnsi="Times New Roman"/>
          <w:color w:val="111111"/>
          <w:sz w:val="28"/>
          <w:szCs w:val="28"/>
          <w:lang w:val="en-US"/>
        </w:rPr>
        <w:t>yang abadi di akhirat bergantung pada kehidupan di dunia.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Pilihan jalan hidup amat bergantung, secara lebih awal dan lebih</w:t>
      </w:r>
    </w:p>
    <w:p>
      <w:pPr>
        <w:pStyle w:val="BookText"/>
        <w:bidi w:val="0"/>
        <w:jc w:val="both"/>
        <w:rPr/>
      </w:pPr>
      <w:r>
        <w:rPr>
          <w:rFonts w:eastAsia="Times New Roman" w:cs="Times New Roman" w:ascii="Times New Roman" w:hAnsi="Times New Roman"/>
          <w:color w:val="111111"/>
          <w:sz w:val="28"/>
          <w:szCs w:val="28"/>
          <w:lang w:val="en-US"/>
        </w:rPr>
        <w:t>banyak, pada pengetahuan ketimbang kehendak bebas. Karena,</w:t>
      </w:r>
    </w:p>
    <w:p>
      <w:pPr>
        <w:pStyle w:val="BookText"/>
        <w:bidi w:val="0"/>
        <w:jc w:val="both"/>
        <w:rPr/>
      </w:pPr>
      <w:r>
        <w:rPr>
          <w:rFonts w:eastAsia="Times New Roman" w:cs="Times New Roman" w:ascii="Times New Roman" w:hAnsi="Times New Roman"/>
          <w:color w:val="111111"/>
          <w:sz w:val="28"/>
          <w:szCs w:val="28"/>
          <w:lang w:val="en-US"/>
        </w:rPr>
        <w:t>daya pilih dan kehendak bebas hanya akan bermakna bila</w:t>
      </w:r>
    </w:p>
    <w:p>
      <w:pPr>
        <w:pStyle w:val="BookText"/>
        <w:bidi w:val="0"/>
        <w:jc w:val="both"/>
        <w:rPr/>
      </w:pPr>
      <w:r>
        <w:rPr>
          <w:rFonts w:eastAsia="Times New Roman" w:cs="Times New Roman" w:ascii="Times New Roman" w:hAnsi="Times New Roman"/>
          <w:color w:val="111111"/>
          <w:sz w:val="28"/>
          <w:szCs w:val="28"/>
          <w:lang w:val="en-US"/>
        </w:rPr>
        <w:t>didahului pengetahuan tentang mana jalan dan mana jurang.</w:t>
      </w:r>
    </w:p>
    <w:p>
      <w:pPr>
        <w:pStyle w:val="BookText"/>
        <w:bidi w:val="0"/>
        <w:jc w:val="both"/>
        <w:rPr/>
      </w:pPr>
      <w:r>
        <w:rPr>
          <w:rFonts w:eastAsia="Times New Roman" w:cs="Times New Roman" w:ascii="Times New Roman" w:hAnsi="Times New Roman"/>
          <w:color w:val="111111"/>
          <w:sz w:val="28"/>
          <w:szCs w:val="28"/>
          <w:lang w:val="en-US"/>
        </w:rPr>
        <w:t>Seraya menyadari di dunia ini terdapat dua ajakan: ajakan setan</w:t>
      </w:r>
    </w:p>
    <w:p>
      <w:pPr>
        <w:pStyle w:val="BookText"/>
        <w:bidi w:val="0"/>
        <w:jc w:val="both"/>
        <w:rPr/>
      </w:pPr>
      <w:r>
        <w:rPr>
          <w:rFonts w:eastAsia="Times New Roman" w:cs="Times New Roman" w:ascii="Times New Roman" w:hAnsi="Times New Roman"/>
          <w:color w:val="111111"/>
          <w:sz w:val="28"/>
          <w:szCs w:val="28"/>
          <w:lang w:val="en-US"/>
        </w:rPr>
        <w:t>kepada sikap antiagama dan penyangkalan akhirat vis-a-vis</w:t>
      </w:r>
    </w:p>
    <w:p>
      <w:pPr>
        <w:pStyle w:val="BookText"/>
        <w:bidi w:val="0"/>
        <w:jc w:val="both"/>
        <w:rPr/>
      </w:pPr>
      <w:r>
        <w:rPr>
          <w:rFonts w:eastAsia="Times New Roman" w:cs="Times New Roman" w:ascii="Times New Roman" w:hAnsi="Times New Roman"/>
          <w:color w:val="111111"/>
          <w:sz w:val="28"/>
          <w:szCs w:val="28"/>
          <w:lang w:val="en-US"/>
        </w:rPr>
        <w:t>ajakan nabi yang menyejuk hati dan membina jiwa:</w:t>
      </w:r>
    </w:p>
    <w:p>
      <w:pPr>
        <w:pStyle w:val="BookText"/>
        <w:bidi w:val="0"/>
        <w:jc w:val="both"/>
        <w:rPr/>
      </w:pPr>
      <w:r>
        <w:rPr>
          <w:rFonts w:eastAsia="Times New Roman" w:cs="Times New Roman" w:ascii="Times New Roman" w:hAnsi="Times New Roman"/>
          <w:color w:val="111111"/>
          <w:sz w:val="28"/>
          <w:szCs w:val="28"/>
          <w:lang w:val="en-US"/>
        </w:rPr>
        <w:t>Dari dunia, menggema dua dakwah silang</w:t>
      </w:r>
    </w:p>
    <w:p>
      <w:pPr>
        <w:pStyle w:val="BookText"/>
        <w:bidi w:val="0"/>
        <w:jc w:val="both"/>
        <w:rPr/>
      </w:pPr>
      <w:r>
        <w:rPr>
          <w:rFonts w:eastAsia="Times New Roman" w:cs="Times New Roman" w:ascii="Times New Roman" w:hAnsi="Times New Roman"/>
          <w:color w:val="111111"/>
          <w:sz w:val="28"/>
          <w:szCs w:val="28"/>
          <w:lang w:val="en-US"/>
        </w:rPr>
        <w:t>dakwah mana yang kau jelang.</w:t>
      </w:r>
    </w:p>
    <w:p>
      <w:pPr>
        <w:pStyle w:val="BookText"/>
        <w:bidi w:val="0"/>
        <w:jc w:val="both"/>
        <w:rPr/>
      </w:pPr>
      <w:r>
        <w:rPr>
          <w:rFonts w:eastAsia="Times New Roman" w:cs="Times New Roman" w:ascii="Times New Roman" w:hAnsi="Times New Roman"/>
          <w:color w:val="111111"/>
          <w:sz w:val="28"/>
          <w:szCs w:val="28"/>
          <w:lang w:val="en-US"/>
        </w:rPr>
        <w:t>Satunya dakwah kebangkitan kaum bertakwa</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lainnya dakwah muslihat kaum celaka.</w:t>
      </w:r>
      <w:r>
        <w:rPr>
          <w:rStyle w:val="FootnoteAnchor"/>
        </w:rPr>
        <w:footnoteReference w:id="165"/>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Sarana umum untuk memperoleh pengetahuan (indra dan akal)</w:t>
      </w:r>
    </w:p>
    <w:p>
      <w:pPr>
        <w:pStyle w:val="BookText"/>
        <w:bidi w:val="0"/>
        <w:jc w:val="both"/>
        <w:rPr/>
      </w:pPr>
      <w:r>
        <w:rPr>
          <w:rFonts w:eastAsia="Times New Roman" w:cs="Times New Roman" w:ascii="Times New Roman" w:hAnsi="Times New Roman"/>
          <w:color w:val="111111"/>
          <w:sz w:val="28"/>
          <w:szCs w:val="28"/>
          <w:lang w:val="en-US"/>
        </w:rPr>
        <w:t>tidak mampu mengenali jalan hidup yang benar. Kelemahan dan</w:t>
      </w:r>
    </w:p>
    <w:p>
      <w:pPr>
        <w:pStyle w:val="BookText"/>
        <w:bidi w:val="0"/>
        <w:jc w:val="both"/>
        <w:rPr/>
      </w:pPr>
      <w:r>
        <w:rPr>
          <w:rFonts w:eastAsia="Times New Roman" w:cs="Times New Roman" w:ascii="Times New Roman" w:hAnsi="Times New Roman"/>
          <w:color w:val="111111"/>
          <w:sz w:val="28"/>
          <w:szCs w:val="28"/>
          <w:lang w:val="en-US"/>
        </w:rPr>
        <w:t>impotensi indra dan akal dapat dipahami jelas setelah meneliti</w:t>
      </w:r>
    </w:p>
    <w:p>
      <w:pPr>
        <w:pStyle w:val="BookText"/>
        <w:bidi w:val="0"/>
        <w:jc w:val="both"/>
        <w:rPr/>
      </w:pPr>
      <w:r>
        <w:rPr>
          <w:rFonts w:eastAsia="Times New Roman" w:cs="Times New Roman" w:ascii="Times New Roman" w:hAnsi="Times New Roman"/>
          <w:color w:val="111111"/>
          <w:sz w:val="28"/>
          <w:szCs w:val="28"/>
          <w:lang w:val="en-US"/>
        </w:rPr>
        <w:t>ciri-ciri kedua jenis sarana pengetahuan ini:</w:t>
      </w:r>
    </w:p>
    <w:p>
      <w:pPr>
        <w:pStyle w:val="BookText"/>
        <w:bidi w:val="0"/>
        <w:jc w:val="both"/>
        <w:rPr/>
      </w:pPr>
      <w:r>
        <w:rPr>
          <w:rFonts w:eastAsia="Times New Roman" w:cs="Times New Roman" w:ascii="Times New Roman" w:hAnsi="Times New Roman"/>
          <w:color w:val="111111"/>
          <w:sz w:val="28"/>
          <w:szCs w:val="28"/>
          <w:lang w:val="en-US"/>
        </w:rPr>
        <w:t>a. Pengetahuan Indrawi</w:t>
      </w:r>
    </w:p>
    <w:p>
      <w:pPr>
        <w:pStyle w:val="BookText"/>
        <w:bidi w:val="0"/>
        <w:jc w:val="both"/>
        <w:rPr/>
      </w:pPr>
      <w:r>
        <w:rPr>
          <w:rFonts w:eastAsia="Times New Roman" w:cs="Times New Roman" w:ascii="Times New Roman" w:hAnsi="Times New Roman"/>
          <w:color w:val="111111"/>
          <w:sz w:val="28"/>
          <w:szCs w:val="28"/>
          <w:lang w:val="en-US"/>
        </w:rPr>
        <w:t>Ranah pengetahuan indrawi sebagai hasil kontak langsung dengan</w:t>
      </w:r>
    </w:p>
    <w:p>
      <w:pPr>
        <w:pStyle w:val="BookText"/>
        <w:bidi w:val="0"/>
        <w:jc w:val="both"/>
        <w:rPr/>
      </w:pPr>
      <w:r>
        <w:rPr>
          <w:rFonts w:eastAsia="Times New Roman" w:cs="Times New Roman" w:ascii="Times New Roman" w:hAnsi="Times New Roman"/>
          <w:color w:val="111111"/>
          <w:sz w:val="28"/>
          <w:szCs w:val="28"/>
          <w:lang w:val="en-US"/>
        </w:rPr>
        <w:t>alam_ eksternal sangatlah terbatas, karena hanya berhubungan</w:t>
      </w:r>
    </w:p>
    <w:p>
      <w:pPr>
        <w:pStyle w:val="BookText"/>
        <w:bidi w:val="0"/>
        <w:jc w:val="both"/>
        <w:rPr/>
      </w:pPr>
      <w:r>
        <w:rPr>
          <w:rFonts w:eastAsia="Times New Roman" w:cs="Times New Roman" w:ascii="Times New Roman" w:hAnsi="Times New Roman"/>
          <w:color w:val="111111"/>
          <w:sz w:val="28"/>
          <w:szCs w:val="28"/>
          <w:lang w:val="en-US"/>
        </w:rPr>
        <w:t>langsung dengan subjek pengindra. Rangkaian pengetahuan</w:t>
      </w:r>
    </w:p>
    <w:p>
      <w:pPr>
        <w:pStyle w:val="BookText"/>
        <w:bidi w:val="0"/>
        <w:jc w:val="both"/>
        <w:rPr/>
      </w:pPr>
      <w:r>
        <w:rPr>
          <w:rFonts w:eastAsia="Times New Roman" w:cs="Times New Roman" w:ascii="Times New Roman" w:hAnsi="Times New Roman"/>
          <w:color w:val="111111"/>
          <w:sz w:val="28"/>
          <w:szCs w:val="28"/>
          <w:lang w:val="en-US"/>
        </w:rPr>
        <w:t>ini memang sangat berguna, namun dengan sendirinya tidak</w:t>
      </w:r>
    </w:p>
    <w:p>
      <w:pPr>
        <w:pStyle w:val="BookText"/>
        <w:bidi w:val="0"/>
        <w:jc w:val="both"/>
        <w:rPr/>
      </w:pPr>
      <w:r>
        <w:rPr>
          <w:rFonts w:eastAsia="Times New Roman" w:cs="Times New Roman" w:ascii="Times New Roman" w:hAnsi="Times New Roman"/>
          <w:color w:val="111111"/>
          <w:sz w:val="28"/>
          <w:szCs w:val="28"/>
          <w:lang w:val="en-US"/>
        </w:rPr>
        <w:t>memadai untuk menentukan jalan hidup yang benar menuju</w:t>
      </w:r>
    </w:p>
    <w:p>
      <w:pPr>
        <w:pStyle w:val="BookText"/>
        <w:bidi w:val="0"/>
        <w:jc w:val="both"/>
        <w:rPr/>
      </w:pPr>
      <w:r>
        <w:rPr>
          <w:rFonts w:eastAsia="Times New Roman" w:cs="Times New Roman" w:ascii="Times New Roman" w:hAnsi="Times New Roman"/>
          <w:color w:val="111111"/>
          <w:sz w:val="28"/>
          <w:szCs w:val="28"/>
          <w:lang w:val="en-US"/>
        </w:rPr>
        <w:t>kebahagiaan abadi.</w:t>
      </w:r>
    </w:p>
    <w:p>
      <w:pPr>
        <w:pStyle w:val="BookText"/>
        <w:bidi w:val="0"/>
        <w:jc w:val="both"/>
        <w:rPr/>
      </w:pPr>
      <w:r>
        <w:rPr>
          <w:rFonts w:eastAsia="Times New Roman" w:cs="Times New Roman" w:ascii="Times New Roman" w:hAnsi="Times New Roman"/>
          <w:color w:val="111111"/>
          <w:sz w:val="28"/>
          <w:szCs w:val="28"/>
          <w:lang w:val="en-US"/>
        </w:rPr>
        <w:t>b. Pengetaliuan Rasional</w:t>
      </w:r>
    </w:p>
    <w:p>
      <w:pPr>
        <w:pStyle w:val="BookText"/>
        <w:bidi w:val="0"/>
        <w:jc w:val="both"/>
        <w:rPr/>
      </w:pPr>
      <w:r>
        <w:rPr>
          <w:rFonts w:eastAsia="Times New Roman" w:cs="Times New Roman" w:ascii="Times New Roman" w:hAnsi="Times New Roman"/>
          <w:color w:val="111111"/>
          <w:sz w:val="28"/>
          <w:szCs w:val="28"/>
          <w:lang w:val="en-US"/>
        </w:rPr>
        <w:t>Berdasarkan kesepakatan para filsuf, akal hanya mampu</w:t>
      </w:r>
    </w:p>
    <w:p>
      <w:pPr>
        <w:pStyle w:val="BookText"/>
        <w:bidi w:val="0"/>
        <w:jc w:val="both"/>
        <w:rPr/>
      </w:pPr>
      <w:r>
        <w:rPr>
          <w:rFonts w:eastAsia="Times New Roman" w:cs="Times New Roman" w:ascii="Times New Roman" w:hAnsi="Times New Roman"/>
          <w:color w:val="111111"/>
          <w:sz w:val="28"/>
          <w:szCs w:val="28"/>
          <w:lang w:val="en-US"/>
        </w:rPr>
        <w:t>mengetahui rangkaian konsep-konsep universal dan relasire-</w:t>
      </w:r>
    </w:p>
    <w:p>
      <w:pPr>
        <w:pStyle w:val="BookText"/>
        <w:bidi w:val="0"/>
        <w:jc w:val="both"/>
        <w:rPr/>
      </w:pPr>
      <w:r>
        <w:rPr>
          <w:rFonts w:eastAsia="Times New Roman" w:cs="Times New Roman" w:ascii="Times New Roman" w:hAnsi="Times New Roman"/>
          <w:color w:val="111111"/>
          <w:sz w:val="28"/>
          <w:szCs w:val="28"/>
          <w:lang w:val="en-US"/>
        </w:rPr>
        <w:t>lasinya. Pengetahuan ini juga dengan sendirinya tidak cukup</w:t>
      </w:r>
    </w:p>
    <w:p>
      <w:pPr>
        <w:pStyle w:val="BookText"/>
        <w:bidi w:val="0"/>
        <w:jc w:val="both"/>
        <w:rPr/>
      </w:pPr>
      <w:r>
        <w:rPr>
          <w:rFonts w:eastAsia="Times New Roman" w:cs="Times New Roman" w:ascii="Times New Roman" w:hAnsi="Times New Roman"/>
          <w:color w:val="111111"/>
          <w:sz w:val="28"/>
          <w:szCs w:val="28"/>
          <w:lang w:val="en-US"/>
        </w:rPr>
        <w:t>memberikan gambaran terperinci seputar jalan hidup yang benar</w:t>
      </w:r>
    </w:p>
    <w:p>
      <w:pPr>
        <w:pStyle w:val="BookText"/>
        <w:bidi w:val="0"/>
        <w:jc w:val="both"/>
        <w:rPr/>
      </w:pPr>
      <w:r>
        <w:rPr>
          <w:rFonts w:eastAsia="Times New Roman" w:cs="Times New Roman" w:ascii="Times New Roman" w:hAnsi="Times New Roman"/>
          <w:color w:val="111111"/>
          <w:sz w:val="28"/>
          <w:szCs w:val="28"/>
          <w:lang w:val="en-US"/>
        </w:rPr>
        <w:t>dan hubungan dunia-akhirat.</w:t>
      </w:r>
    </w:p>
    <w:p>
      <w:pPr>
        <w:pStyle w:val="BookText"/>
        <w:bidi w:val="0"/>
        <w:jc w:val="both"/>
        <w:rPr/>
      </w:pPr>
      <w:r>
        <w:rPr>
          <w:rFonts w:eastAsia="Times New Roman" w:cs="Times New Roman" w:ascii="Times New Roman" w:hAnsi="Times New Roman"/>
          <w:color w:val="111111"/>
          <w:sz w:val="28"/>
          <w:szCs w:val="28"/>
          <w:lang w:val="en-US"/>
        </w:rPr>
        <w:t>Dengan demikian, dapat disimpulkan bahwa_ pengetahuan</w:t>
      </w:r>
    </w:p>
    <w:p>
      <w:pPr>
        <w:pStyle w:val="BookText"/>
        <w:bidi w:val="0"/>
        <w:jc w:val="both"/>
        <w:rPr/>
      </w:pPr>
      <w:r>
        <w:rPr>
          <w:rFonts w:eastAsia="Times New Roman" w:cs="Times New Roman" w:ascii="Times New Roman" w:hAnsi="Times New Roman"/>
          <w:color w:val="111111"/>
          <w:sz w:val="28"/>
          <w:szCs w:val="28"/>
          <w:lang w:val="en-US"/>
        </w:rPr>
        <w:t>empiris tidak memiliki kemampuan untuk itu, karena pengetahuan</w:t>
      </w:r>
    </w:p>
    <w:p>
      <w:pPr>
        <w:pStyle w:val="BookText"/>
        <w:bidi w:val="0"/>
        <w:jc w:val="both"/>
        <w:rPr/>
      </w:pPr>
      <w:r>
        <w:rPr>
          <w:rFonts w:eastAsia="Times New Roman" w:cs="Times New Roman" w:ascii="Times New Roman" w:hAnsi="Times New Roman"/>
          <w:color w:val="111111"/>
          <w:sz w:val="28"/>
          <w:szCs w:val="28"/>
          <w:lang w:val="en-US"/>
        </w:rPr>
        <w:t>jenis ini merupakan produk kerjasama indra dan akal. Di sini,</w:t>
      </w:r>
    </w:p>
    <w:p>
      <w:pPr>
        <w:pStyle w:val="BookText"/>
        <w:bidi w:val="0"/>
        <w:jc w:val="both"/>
        <w:rPr/>
      </w:pPr>
      <w:r>
        <w:rPr>
          <w:rFonts w:eastAsia="Times New Roman" w:cs="Times New Roman" w:ascii="Times New Roman" w:hAnsi="Times New Roman"/>
          <w:color w:val="111111"/>
          <w:sz w:val="28"/>
          <w:szCs w:val="28"/>
          <w:lang w:val="en-US"/>
        </w:rPr>
        <w:t>pengetahuan seputar hubungan perbuatan manusia di dunia dengan</w:t>
      </w:r>
    </w:p>
    <w:p>
      <w:pPr>
        <w:pStyle w:val="BookText"/>
        <w:bidi w:val="0"/>
        <w:jc w:val="both"/>
        <w:rPr/>
      </w:pPr>
      <w:r>
        <w:rPr>
          <w:rFonts w:eastAsia="Times New Roman" w:cs="Times New Roman" w:ascii="Times New Roman" w:hAnsi="Times New Roman"/>
          <w:color w:val="111111"/>
          <w:sz w:val="28"/>
          <w:szCs w:val="28"/>
          <w:lang w:val="en-US"/>
        </w:rPr>
        <w:t>efeknya di akhirat, serta pengaruh perbuatan atas kebahagiaan atau</w:t>
      </w:r>
    </w:p>
    <w:p>
      <w:pPr>
        <w:pStyle w:val="BookText"/>
        <w:bidi w:val="0"/>
        <w:jc w:val="both"/>
        <w:rPr/>
      </w:pPr>
      <w:r>
        <w:rPr>
          <w:rFonts w:eastAsia="Times New Roman" w:cs="Times New Roman" w:ascii="Times New Roman" w:hAnsi="Times New Roman"/>
          <w:color w:val="111111"/>
          <w:sz w:val="28"/>
          <w:szCs w:val="28"/>
          <w:lang w:val="en-US"/>
        </w:rPr>
        <w:t>kesialan abadi ibarat burung Simurg (‘arqo’). Semua itu mustahil</w:t>
      </w:r>
    </w:p>
    <w:p>
      <w:pPr>
        <w:pStyle w:val="BookText"/>
        <w:bidi w:val="0"/>
        <w:jc w:val="both"/>
        <w:rPr/>
      </w:pPr>
      <w:r>
        <w:rPr>
          <w:rFonts w:eastAsia="Times New Roman" w:cs="Times New Roman" w:ascii="Times New Roman" w:hAnsi="Times New Roman"/>
          <w:color w:val="111111"/>
          <w:sz w:val="28"/>
          <w:szCs w:val="28"/>
          <w:lang w:val="en-US"/>
        </w:rPr>
        <w:t>ditangkap indra dan akal maupun pengalaman empiris.</w:t>
      </w:r>
    </w:p>
    <w:p>
      <w:pPr>
        <w:pStyle w:val="BookText"/>
        <w:bidi w:val="0"/>
        <w:jc w:val="both"/>
        <w:rPr/>
      </w:pPr>
      <w:r>
        <w:rPr>
          <w:rFonts w:eastAsia="Times New Roman" w:cs="Times New Roman" w:ascii="Times New Roman" w:hAnsi="Times New Roman"/>
          <w:color w:val="111111"/>
          <w:sz w:val="28"/>
          <w:szCs w:val="28"/>
          <w:lang w:val="en-US"/>
        </w:rPr>
        <w:t>Di sisi lain, selama tidak mengetahui betul proses aksi-reaksi ini,</w:t>
      </w:r>
    </w:p>
    <w:p>
      <w:pPr>
        <w:pStyle w:val="BookText"/>
        <w:bidi w:val="0"/>
        <w:jc w:val="both"/>
        <w:rPr/>
      </w:pPr>
      <w:r>
        <w:rPr>
          <w:rFonts w:eastAsia="Times New Roman" w:cs="Times New Roman" w:ascii="Times New Roman" w:hAnsi="Times New Roman"/>
          <w:color w:val="111111"/>
          <w:sz w:val="28"/>
          <w:szCs w:val="28"/>
          <w:lang w:val="en-US"/>
        </w:rPr>
        <w:t>seseorang tak akan mampu menyusun rancangan hidupnya yang</w:t>
      </w:r>
    </w:p>
    <w:p>
      <w:pPr>
        <w:pStyle w:val="BookText"/>
        <w:bidi w:val="0"/>
        <w:jc w:val="both"/>
        <w:rPr/>
      </w:pPr>
      <w:r>
        <w:rPr>
          <w:rFonts w:eastAsia="Times New Roman" w:cs="Times New Roman" w:ascii="Times New Roman" w:hAnsi="Times New Roman"/>
          <w:color w:val="111111"/>
          <w:sz w:val="28"/>
          <w:szCs w:val="28"/>
          <w:lang w:val="en-US"/>
        </w:rPr>
        <w:t>benar dan utuh. Konsekuensinya, kebijaksanaan Tuhan menuntut</w:t>
      </w:r>
    </w:p>
    <w:p>
      <w:pPr>
        <w:pStyle w:val="BookText"/>
        <w:bidi w:val="0"/>
        <w:jc w:val="both"/>
        <w:rPr/>
      </w:pPr>
      <w:r>
        <w:rPr>
          <w:rFonts w:eastAsia="Times New Roman" w:cs="Times New Roman" w:ascii="Times New Roman" w:hAnsi="Times New Roman"/>
          <w:color w:val="111111"/>
          <w:sz w:val="28"/>
          <w:szCs w:val="28"/>
          <w:lang w:val="en-US"/>
        </w:rPr>
        <w:t>diri-Nya untuk menunjukkan manusia jalan lain agar memperoleh</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pengetahuan yang dibutuhkan. Dan itu tak lain dari wahyu. </w:t>
      </w:r>
    </w:p>
    <w:p>
      <w:pPr>
        <w:pStyle w:val="BookText"/>
        <w:bidi w:val="0"/>
        <w:rPr/>
      </w:pPr>
      <w:r>
        <w:rPr>
          <w:rFonts w:eastAsia="Times New Roman" w:cs="Times New Roman" w:ascii="Times New Roman" w:hAnsi="Times New Roman"/>
          <w:color w:val="111111"/>
          <w:sz w:val="28"/>
          <w:szCs w:val="28"/>
          <w:lang w:val="en-US"/>
        </w:rPr>
        <w:t>Berdasarkan pembuktian ini, petunjuk dan tuntunan agama yang</w:t>
      </w:r>
    </w:p>
    <w:p>
      <w:pPr>
        <w:pStyle w:val="BookText"/>
        <w:bidi w:val="0"/>
        <w:jc w:val="both"/>
        <w:rPr/>
      </w:pPr>
      <w:r>
        <w:rPr>
          <w:rFonts w:eastAsia="Times New Roman" w:cs="Times New Roman" w:ascii="Times New Roman" w:hAnsi="Times New Roman"/>
          <w:color w:val="111111"/>
          <w:sz w:val="28"/>
          <w:szCs w:val="28"/>
          <w:lang w:val="en-US"/>
        </w:rPr>
        <w:t>ditransmisikan para utusan Ilahi adalah keniscayaan. Dengan kata</w:t>
      </w:r>
    </w:p>
    <w:p>
      <w:pPr>
        <w:pStyle w:val="BookText"/>
        <w:bidi w:val="0"/>
        <w:jc w:val="both"/>
        <w:rPr/>
      </w:pPr>
      <w:r>
        <w:rPr>
          <w:rFonts w:eastAsia="Times New Roman" w:cs="Times New Roman" w:ascii="Times New Roman" w:hAnsi="Times New Roman"/>
          <w:color w:val="111111"/>
          <w:sz w:val="28"/>
          <w:szCs w:val="28"/>
          <w:lang w:val="en-US"/>
        </w:rPr>
        <w:t>lain, manusia selalu butuh utusan Ilahi. Adalah omong kosong bila</w:t>
      </w:r>
    </w:p>
    <w:p>
      <w:pPr>
        <w:pStyle w:val="BookText"/>
        <w:bidi w:val="0"/>
        <w:jc w:val="both"/>
        <w:rPr/>
      </w:pPr>
      <w:r>
        <w:rPr>
          <w:rFonts w:eastAsia="Times New Roman" w:cs="Times New Roman" w:ascii="Times New Roman" w:hAnsi="Times New Roman"/>
          <w:color w:val="111111"/>
          <w:sz w:val="28"/>
          <w:szCs w:val="28"/>
          <w:lang w:val="en-US"/>
        </w:rPr>
        <w:t>ada yang beranggapan bahwa tujuan diciptakannya jalinan antara</w:t>
      </w:r>
    </w:p>
    <w:p>
      <w:pPr>
        <w:pStyle w:val="BookText"/>
        <w:bidi w:val="0"/>
        <w:jc w:val="both"/>
        <w:rPr/>
      </w:pPr>
      <w:r>
        <w:rPr>
          <w:rFonts w:eastAsia="Times New Roman" w:cs="Times New Roman" w:ascii="Times New Roman" w:hAnsi="Times New Roman"/>
          <w:color w:val="111111"/>
          <w:sz w:val="28"/>
          <w:szCs w:val="28"/>
          <w:lang w:val="en-US"/>
        </w:rPr>
        <w:t>nabi dan umat adalah meniadakan jalinan itu sendiri,</w:t>
      </w:r>
      <w:r>
        <w:rPr>
          <w:rStyle w:val="FootnoteAnchor"/>
        </w:rPr>
        <w:footnoteReference w:id="166"/>
      </w:r>
      <w:r>
        <w:rPr>
          <w:rFonts w:eastAsia="Times New Roman" w:cs="Times New Roman" w:ascii="Times New Roman" w:hAnsi="Times New Roman"/>
          <w:color w:val="111111"/>
          <w:sz w:val="28"/>
          <w:szCs w:val="28"/>
          <w:lang w:val="en-US"/>
        </w:rPr>
        <w:t>lalu suatu</w:t>
      </w:r>
    </w:p>
    <w:p>
      <w:pPr>
        <w:pStyle w:val="BookText"/>
        <w:bidi w:val="0"/>
        <w:jc w:val="both"/>
        <w:rPr/>
      </w:pPr>
      <w:r>
        <w:rPr>
          <w:rFonts w:eastAsia="Times New Roman" w:cs="Times New Roman" w:ascii="Times New Roman" w:hAnsi="Times New Roman"/>
          <w:color w:val="111111"/>
          <w:sz w:val="28"/>
          <w:szCs w:val="28"/>
          <w:lang w:val="en-US"/>
        </w:rPr>
        <w:t>hari, kelak akan lahir seseorang yang tak butuh arahan para nabi dan</w:t>
      </w:r>
    </w:p>
    <w:p>
      <w:pPr>
        <w:pStyle w:val="BookText"/>
        <w:bidi w:val="0"/>
        <w:jc w:val="both"/>
        <w:rPr/>
      </w:pPr>
      <w:r>
        <w:rPr>
          <w:rFonts w:eastAsia="Times New Roman" w:cs="Times New Roman" w:ascii="Times New Roman" w:hAnsi="Times New Roman"/>
          <w:color w:val="111111"/>
          <w:sz w:val="28"/>
          <w:szCs w:val="28"/>
          <w:lang w:val="en-US"/>
        </w:rPr>
        <w:t>utusan Ilahi; alias dengan sendirinya dia mampu menemukan jalan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hidup yang benar dan menggapai kebahagiaan abadi!</w:t>
      </w:r>
      <w:r>
        <w:rPr>
          <w:rStyle w:val="FootnoteAnchor"/>
        </w:rPr>
        <w:footnoteReference w:id="167"/>
      </w:r>
      <w:bookmarkStart w:id="164" w:name="pg5378_50542"/>
    </w:p>
    <w:p>
      <w:pPr>
        <w:pStyle w:val="Heading2"/>
        <w:numPr>
          <w:ilvl w:val="1"/>
          <w:numId w:val="1"/>
        </w:numPr>
        <w:bidi w:val="0"/>
        <w:jc w:val="left"/>
        <w:rPr/>
      </w:pPr>
      <w:bookmarkStart w:id="165" w:name="__RefHeading___Toc1351164_581953129"/>
      <w:bookmarkStart w:id="166" w:name="_Toc61"/>
      <w:bookmarkEnd w:id="164"/>
      <w:bookmarkEnd w:id="165"/>
      <w:r>
        <w:rPr/>
        <w:t>BAB 4 RASIONALISME RADIKAL DALAM SEJARAH ISLAM</w:t>
      </w:r>
      <w:bookmarkEnd w:id="16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67" w:name="__RefHeading___Toc1351166_581953129"/>
      <w:bookmarkStart w:id="168" w:name="_Toc62"/>
      <w:bookmarkEnd w:id="167"/>
      <w:r>
        <w:rPr/>
        <w:t>Point</w:t>
      </w:r>
      <w:bookmarkEnd w:id="168"/>
    </w:p>
    <w:p>
      <w:pPr>
        <w:pStyle w:val="BookText"/>
        <w:bidi w:val="0"/>
        <w:rPr/>
      </w:pPr>
      <w:r>
        <w:rPr>
          <w:rFonts w:eastAsia="Times New Roman" w:cs="Times New Roman" w:ascii="Times New Roman" w:hAnsi="Times New Roman"/>
          <w:color w:val="111111"/>
          <w:sz w:val="28"/>
          <w:szCs w:val="28"/>
          <w:lang w:val="en-US"/>
        </w:rPr>
        <w:t>kaum rasionalis radikal religius—sebagaimana rasionalis</w:t>
      </w:r>
    </w:p>
    <w:p>
      <w:pPr>
        <w:pStyle w:val="BookText"/>
        <w:bidi w:val="0"/>
        <w:jc w:val="both"/>
        <w:rPr/>
      </w:pPr>
      <w:r>
        <w:rPr>
          <w:rFonts w:eastAsia="Times New Roman" w:cs="Times New Roman" w:ascii="Times New Roman" w:hAnsi="Times New Roman"/>
          <w:color w:val="111111"/>
          <w:sz w:val="28"/>
          <w:szCs w:val="28"/>
          <w:lang w:val="en-US"/>
        </w:rPr>
        <w:t>Ketel antiagama di pasal sebelum ini—mengklaim syarat</w:t>
      </w:r>
    </w:p>
    <w:p>
      <w:pPr>
        <w:pStyle w:val="BookText"/>
        <w:bidi w:val="0"/>
        <w:jc w:val="both"/>
        <w:rPr/>
      </w:pPr>
      <w:r>
        <w:rPr>
          <w:rFonts w:eastAsia="Times New Roman" w:cs="Times New Roman" w:ascii="Times New Roman" w:hAnsi="Times New Roman"/>
          <w:color w:val="111111"/>
          <w:sz w:val="28"/>
          <w:szCs w:val="28"/>
          <w:lang w:val="en-US"/>
        </w:rPr>
        <w:t>menerima agama ialah ke-rasional-an ajaran dan proposisi. Bedanya,</w:t>
      </w:r>
    </w:p>
    <w:p>
      <w:pPr>
        <w:pStyle w:val="BookText"/>
        <w:bidi w:val="0"/>
        <w:jc w:val="both"/>
        <w:rPr/>
      </w:pPr>
      <w:r>
        <w:rPr>
          <w:rFonts w:eastAsia="Times New Roman" w:cs="Times New Roman" w:ascii="Times New Roman" w:hAnsi="Times New Roman"/>
          <w:color w:val="111111"/>
          <w:sz w:val="28"/>
          <w:szCs w:val="28"/>
          <w:lang w:val="en-US"/>
        </w:rPr>
        <w:t>alih-alih mengingkari agama, mereka mendekonstruksinya dan</w:t>
      </w:r>
    </w:p>
    <w:p>
      <w:pPr>
        <w:pStyle w:val="BookText"/>
        <w:bidi w:val="0"/>
        <w:jc w:val="both"/>
        <w:rPr/>
      </w:pPr>
      <w:r>
        <w:rPr>
          <w:rFonts w:eastAsia="Times New Roman" w:cs="Times New Roman" w:ascii="Times New Roman" w:hAnsi="Times New Roman"/>
          <w:color w:val="111111"/>
          <w:sz w:val="28"/>
          <w:szCs w:val="28"/>
          <w:lang w:val="en-US"/>
        </w:rPr>
        <w:t>menempatkan rasionalitas sebagai satu-satunya kriteria dan tolok</w:t>
      </w:r>
    </w:p>
    <w:p>
      <w:pPr>
        <w:pStyle w:val="BookText"/>
        <w:bidi w:val="0"/>
        <w:jc w:val="both"/>
        <w:rPr/>
      </w:pPr>
      <w:r>
        <w:rPr>
          <w:rFonts w:eastAsia="Times New Roman" w:cs="Times New Roman" w:ascii="Times New Roman" w:hAnsi="Times New Roman"/>
          <w:color w:val="111111"/>
          <w:sz w:val="28"/>
          <w:szCs w:val="28"/>
          <w:lang w:val="en-US"/>
        </w:rPr>
        <w:t>ukur mempercayai setiap proposisi.</w:t>
      </w:r>
    </w:p>
    <w:p>
      <w:pPr>
        <w:pStyle w:val="BookText"/>
        <w:bidi w:val="0"/>
        <w:jc w:val="both"/>
        <w:rPr/>
      </w:pPr>
      <w:r>
        <w:rPr>
          <w:rFonts w:eastAsia="Times New Roman" w:cs="Times New Roman" w:ascii="Times New Roman" w:hAnsi="Times New Roman"/>
          <w:color w:val="111111"/>
          <w:sz w:val="28"/>
          <w:szCs w:val="28"/>
          <w:lang w:val="en-US"/>
        </w:rPr>
        <w:t>Uraiannya, saat dikomparasikan dengan akal dan pengetahuan,</w:t>
      </w:r>
    </w:p>
    <w:p>
      <w:pPr>
        <w:pStyle w:val="BookText"/>
        <w:bidi w:val="0"/>
        <w:jc w:val="both"/>
        <w:rPr/>
      </w:pPr>
      <w:r>
        <w:rPr>
          <w:rFonts w:eastAsia="Times New Roman" w:cs="Times New Roman" w:ascii="Times New Roman" w:hAnsi="Times New Roman"/>
          <w:color w:val="111111"/>
          <w:sz w:val="28"/>
          <w:szCs w:val="28"/>
          <w:lang w:val="en-US"/>
        </w:rPr>
        <w:t>posisi setiap ajaran wahyuni akan berada dalam tiga kemungkinan:</w:t>
      </w:r>
    </w:p>
    <w:p>
      <w:pPr>
        <w:pStyle w:val="BookText"/>
        <w:bidi w:val="0"/>
        <w:jc w:val="both"/>
        <w:rPr/>
      </w:pPr>
      <w:r>
        <w:rPr>
          <w:rFonts w:eastAsia="Times New Roman" w:cs="Times New Roman" w:ascii="Times New Roman" w:hAnsi="Times New Roman"/>
          <w:color w:val="111111"/>
          <w:sz w:val="28"/>
          <w:szCs w:val="28"/>
          <w:lang w:val="en-US"/>
        </w:rPr>
        <w:t>sesuai, atau melampaui, atau bertentangan dengan akal. Dalam istilah</w:t>
      </w:r>
    </w:p>
    <w:p>
      <w:pPr>
        <w:pStyle w:val="BookText"/>
        <w:bidi w:val="0"/>
        <w:jc w:val="both"/>
        <w:rPr/>
      </w:pPr>
      <w:r>
        <w:rPr>
          <w:rFonts w:eastAsia="Times New Roman" w:cs="Times New Roman" w:ascii="Times New Roman" w:hAnsi="Times New Roman"/>
          <w:color w:val="111111"/>
          <w:sz w:val="28"/>
          <w:szCs w:val="28"/>
          <w:lang w:val="en-US"/>
        </w:rPr>
        <w:t>lain, rasional, suprarasional, dan irasional. Kaum rasionalis radikal</w:t>
      </w:r>
    </w:p>
    <w:p>
      <w:pPr>
        <w:pStyle w:val="BookText"/>
        <w:bidi w:val="0"/>
        <w:jc w:val="both"/>
        <w:rPr/>
      </w:pPr>
      <w:r>
        <w:rPr>
          <w:rFonts w:eastAsia="Times New Roman" w:cs="Times New Roman" w:ascii="Times New Roman" w:hAnsi="Times New Roman"/>
          <w:color w:val="111111"/>
          <w:sz w:val="28"/>
          <w:szCs w:val="28"/>
          <w:lang w:val="en-US"/>
        </w:rPr>
        <w:t>religius mengklaim, tak satu pun proposisi irasional akan dijumpai</w:t>
      </w:r>
    </w:p>
    <w:p>
      <w:pPr>
        <w:pStyle w:val="BookText"/>
        <w:bidi w:val="0"/>
        <w:jc w:val="both"/>
        <w:rPr/>
      </w:pPr>
      <w:r>
        <w:rPr>
          <w:rFonts w:eastAsia="Times New Roman" w:cs="Times New Roman" w:ascii="Times New Roman" w:hAnsi="Times New Roman"/>
          <w:color w:val="111111"/>
          <w:sz w:val="28"/>
          <w:szCs w:val="28"/>
          <w:lang w:val="en-US"/>
        </w:rPr>
        <w:t>dalam ajaran agama, bahkan keberadaan proposisi suprarasional</w:t>
      </w:r>
    </w:p>
    <w:p>
      <w:pPr>
        <w:pStyle w:val="BookText"/>
        <w:bidi w:val="0"/>
        <w:jc w:val="both"/>
        <w:rPr/>
      </w:pPr>
      <w:r>
        <w:rPr>
          <w:rFonts w:eastAsia="Times New Roman" w:cs="Times New Roman" w:ascii="Times New Roman" w:hAnsi="Times New Roman"/>
          <w:color w:val="111111"/>
          <w:sz w:val="28"/>
          <w:szCs w:val="28"/>
          <w:lang w:val="en-US"/>
        </w:rPr>
        <w:t>pun sekadar asumsi yang tak dapat diterima.</w:t>
      </w:r>
    </w:p>
    <w:p>
      <w:pPr>
        <w:pStyle w:val="BookText"/>
        <w:bidi w:val="0"/>
        <w:jc w:val="both"/>
        <w:rPr/>
      </w:pPr>
      <w:r>
        <w:rPr>
          <w:rFonts w:eastAsia="Times New Roman" w:cs="Times New Roman" w:ascii="Times New Roman" w:hAnsi="Times New Roman"/>
          <w:color w:val="111111"/>
          <w:sz w:val="28"/>
          <w:szCs w:val="28"/>
          <w:lang w:val="en-US"/>
        </w:rPr>
        <w:t>Siapapun yang meneliti agama secara apriori dan meninjaunya</w:t>
      </w:r>
    </w:p>
    <w:p>
      <w:pPr>
        <w:pStyle w:val="BookText"/>
        <w:bidi w:val="0"/>
        <w:jc w:val="both"/>
        <w:rPr/>
      </w:pPr>
      <w:r>
        <w:rPr>
          <w:rFonts w:eastAsia="Times New Roman" w:cs="Times New Roman" w:ascii="Times New Roman" w:hAnsi="Times New Roman"/>
          <w:color w:val="111111"/>
          <w:sz w:val="28"/>
          <w:szCs w:val="28"/>
          <w:lang w:val="en-US"/>
        </w:rPr>
        <w:t>dari luar, lantas berpandangan semacam ini; maka tatkala menelitinya</w:t>
      </w:r>
    </w:p>
    <w:p>
      <w:pPr>
        <w:pStyle w:val="BookText"/>
        <w:bidi w:val="0"/>
        <w:jc w:val="both"/>
        <w:rPr/>
      </w:pPr>
      <w:r>
        <w:rPr>
          <w:rFonts w:eastAsia="Times New Roman" w:cs="Times New Roman" w:ascii="Times New Roman" w:hAnsi="Times New Roman"/>
          <w:color w:val="111111"/>
          <w:sz w:val="28"/>
          <w:szCs w:val="28"/>
          <w:lang w:val="en-US"/>
        </w:rPr>
        <w:t>secara aposteriori dan meninjaunya dari dalam, dia akan menghadapi</w:t>
      </w:r>
    </w:p>
    <w:p>
      <w:pPr>
        <w:pStyle w:val="BookText"/>
        <w:bidi w:val="0"/>
        <w:jc w:val="both"/>
        <w:rPr/>
      </w:pPr>
      <w:r>
        <w:rPr>
          <w:rFonts w:eastAsia="Times New Roman" w:cs="Times New Roman" w:ascii="Times New Roman" w:hAnsi="Times New Roman"/>
          <w:color w:val="111111"/>
          <w:sz w:val="28"/>
          <w:szCs w:val="28"/>
          <w:lang w:val="en-US"/>
        </w:rPr>
        <w:t>ajaran agama yang terkesan irasional atau suprarasional. Ketika</w:t>
      </w:r>
    </w:p>
    <w:p>
      <w:pPr>
        <w:pStyle w:val="BookText"/>
        <w:bidi w:val="0"/>
        <w:jc w:val="both"/>
        <w:rPr/>
      </w:pPr>
      <w:r>
        <w:rPr>
          <w:rFonts w:eastAsia="Times New Roman" w:cs="Times New Roman" w:ascii="Times New Roman" w:hAnsi="Times New Roman"/>
          <w:color w:val="111111"/>
          <w:sz w:val="28"/>
          <w:szCs w:val="28"/>
          <w:lang w:val="en-US"/>
        </w:rPr>
        <w:t>itulah hanya ada dua metode yang bisa dia tempuh:</w:t>
      </w:r>
    </w:p>
    <w:p>
      <w:pPr>
        <w:pStyle w:val="BookText"/>
        <w:bidi w:val="0"/>
        <w:jc w:val="both"/>
        <w:rPr/>
      </w:pPr>
      <w:r>
        <w:rPr>
          <w:rFonts w:eastAsia="Times New Roman" w:cs="Times New Roman" w:ascii="Times New Roman" w:hAnsi="Times New Roman"/>
          <w:color w:val="111111"/>
          <w:sz w:val="28"/>
          <w:szCs w:val="28"/>
          <w:lang w:val="en-US"/>
        </w:rPr>
        <w:t>Pada langkah pertama, berupaya mati-matian menjustifikasi dan</w:t>
      </w:r>
    </w:p>
    <w:p>
      <w:pPr>
        <w:pStyle w:val="BookText"/>
        <w:bidi w:val="0"/>
        <w:jc w:val="both"/>
        <w:rPr/>
      </w:pPr>
      <w:r>
        <w:rPr>
          <w:rFonts w:eastAsia="Times New Roman" w:cs="Times New Roman" w:ascii="Times New Roman" w:hAnsi="Times New Roman"/>
          <w:color w:val="111111"/>
          <w:sz w:val="28"/>
          <w:szCs w:val="28"/>
          <w:lang w:val="en-US"/>
        </w:rPr>
        <w:t>menakwilnya sebagai cara membela diri (apologetisme), bahkan bila</w:t>
      </w:r>
    </w:p>
    <w:p>
      <w:pPr>
        <w:pStyle w:val="BookText"/>
        <w:bidi w:val="0"/>
        <w:jc w:val="both"/>
        <w:rPr/>
      </w:pPr>
      <w:r>
        <w:rPr>
          <w:rFonts w:eastAsia="Times New Roman" w:cs="Times New Roman" w:ascii="Times New Roman" w:hAnsi="Times New Roman"/>
          <w:color w:val="111111"/>
          <w:sz w:val="28"/>
          <w:szCs w:val="28"/>
          <w:lang w:val="en-US"/>
        </w:rPr>
        <w:t>perlu, melakukan takwil yang janggal dan tidak masuk akal; yang</w:t>
      </w:r>
    </w:p>
    <w:p>
      <w:pPr>
        <w:pStyle w:val="BookText"/>
        <w:bidi w:val="0"/>
        <w:jc w:val="both"/>
        <w:rPr/>
      </w:pPr>
      <w:r>
        <w:rPr>
          <w:rFonts w:eastAsia="Times New Roman" w:cs="Times New Roman" w:ascii="Times New Roman" w:hAnsi="Times New Roman"/>
          <w:color w:val="111111"/>
          <w:sz w:val="28"/>
          <w:szCs w:val="28"/>
          <w:lang w:val="en-US"/>
        </w:rPr>
        <w:t>dianggap kaum agamis sejenis kekafiran, ketakberagamaan, dan</w:t>
      </w:r>
    </w:p>
    <w:p>
      <w:pPr>
        <w:pStyle w:val="BookText"/>
        <w:bidi w:val="0"/>
        <w:jc w:val="both"/>
        <w:rPr/>
      </w:pPr>
      <w:r>
        <w:rPr>
          <w:rFonts w:eastAsia="Times New Roman" w:cs="Times New Roman" w:ascii="Times New Roman" w:hAnsi="Times New Roman"/>
          <w:color w:val="111111"/>
          <w:sz w:val="28"/>
          <w:szCs w:val="28"/>
          <w:lang w:val="en-US"/>
        </w:rPr>
        <w:t>semodel pengultusan akal.</w:t>
      </w:r>
    </w:p>
    <w:p>
      <w:pPr>
        <w:pStyle w:val="BookText"/>
        <w:bidi w:val="0"/>
        <w:jc w:val="both"/>
        <w:rPr/>
      </w:pPr>
      <w:r>
        <w:rPr>
          <w:rFonts w:eastAsia="Times New Roman" w:cs="Times New Roman" w:ascii="Times New Roman" w:hAnsi="Times New Roman"/>
          <w:color w:val="111111"/>
          <w:sz w:val="28"/>
          <w:szCs w:val="28"/>
          <w:lang w:val="en-US"/>
        </w:rPr>
        <w:t>Akan halnya jika melihat pintu takwil sudah tertutup rapat di</w:t>
      </w:r>
    </w:p>
    <w:p>
      <w:pPr>
        <w:pStyle w:val="BookText"/>
        <w:bidi w:val="0"/>
        <w:jc w:val="both"/>
        <w:rPr/>
      </w:pPr>
      <w:r>
        <w:rPr>
          <w:rFonts w:eastAsia="Times New Roman" w:cs="Times New Roman" w:ascii="Times New Roman" w:hAnsi="Times New Roman"/>
          <w:color w:val="111111"/>
          <w:sz w:val="28"/>
          <w:szCs w:val="28"/>
          <w:lang w:val="en-US"/>
        </w:rPr>
        <w:t>hadapannya, tidak juga mendapatkan jalan untuk mengharmonisasi</w:t>
      </w:r>
    </w:p>
    <w:p>
      <w:pPr>
        <w:pStyle w:val="BookText"/>
        <w:bidi w:val="0"/>
        <w:jc w:val="both"/>
        <w:rPr/>
      </w:pPr>
      <w:r>
        <w:rPr>
          <w:rFonts w:eastAsia="Times New Roman" w:cs="Times New Roman" w:ascii="Times New Roman" w:hAnsi="Times New Roman"/>
          <w:color w:val="111111"/>
          <w:sz w:val="28"/>
          <w:szCs w:val="28"/>
          <w:lang w:val="en-US"/>
        </w:rPr>
        <w:t>akal dengan ajaran-ajaran agama itu, dia akan membuang ajaran-</w:t>
      </w:r>
    </w:p>
    <w:p>
      <w:pPr>
        <w:pStyle w:val="BookText"/>
        <w:bidi w:val="0"/>
        <w:jc w:val="both"/>
        <w:rPr/>
      </w:pPr>
      <w:r>
        <w:rPr>
          <w:rFonts w:eastAsia="Times New Roman" w:cs="Times New Roman" w:ascii="Times New Roman" w:hAnsi="Times New Roman"/>
          <w:color w:val="111111"/>
          <w:sz w:val="28"/>
          <w:szCs w:val="28"/>
          <w:lang w:val="en-US"/>
        </w:rPr>
        <w:t>ajaran tersebut lantas mengingkari sifat keagamaannya. Ini</w:t>
      </w:r>
    </w:p>
    <w:p>
      <w:pPr>
        <w:pStyle w:val="BookText"/>
        <w:bidi w:val="0"/>
        <w:jc w:val="both"/>
        <w:rPr/>
      </w:pPr>
      <w:r>
        <w:rPr>
          <w:rFonts w:eastAsia="Times New Roman" w:cs="Times New Roman" w:ascii="Times New Roman" w:hAnsi="Times New Roman"/>
          <w:color w:val="111111"/>
          <w:sz w:val="28"/>
          <w:szCs w:val="28"/>
          <w:lang w:val="en-US"/>
        </w:rPr>
        <w:t>sebagaimana pernah dilakukan kaum pemikir Barat (Kristiani).</w:t>
      </w:r>
    </w:p>
    <w:p>
      <w:pPr>
        <w:pStyle w:val="BookText"/>
        <w:bidi w:val="0"/>
        <w:jc w:val="both"/>
        <w:rPr/>
      </w:pPr>
      <w:r>
        <w:rPr>
          <w:rFonts w:eastAsia="Times New Roman" w:cs="Times New Roman" w:ascii="Times New Roman" w:hAnsi="Times New Roman"/>
          <w:color w:val="111111"/>
          <w:sz w:val="28"/>
          <w:szCs w:val="28"/>
          <w:lang w:val="en-US"/>
        </w:rPr>
        <w:t>John Locke, misalnya, menolak beberapa butir ajaran agama yang</w:t>
      </w:r>
    </w:p>
    <w:p>
      <w:pPr>
        <w:pStyle w:val="BookText"/>
        <w:bidi w:val="0"/>
        <w:jc w:val="both"/>
        <w:rPr/>
      </w:pPr>
      <w:r>
        <w:rPr>
          <w:rFonts w:eastAsia="Times New Roman" w:cs="Times New Roman" w:ascii="Times New Roman" w:hAnsi="Times New Roman"/>
          <w:color w:val="111111"/>
          <w:sz w:val="28"/>
          <w:szCs w:val="28"/>
          <w:lang w:val="en-US"/>
        </w:rPr>
        <w:t>dianutnya, seperti Trinitas, dosa warisan, dan sebagainya, serta</w:t>
      </w:r>
    </w:p>
    <w:p>
      <w:pPr>
        <w:pStyle w:val="BookText"/>
        <w:bidi w:val="0"/>
        <w:jc w:val="both"/>
        <w:rPr/>
      </w:pPr>
      <w:r>
        <w:rPr>
          <w:rFonts w:eastAsia="Times New Roman" w:cs="Times New Roman" w:ascii="Times New Roman" w:hAnsi="Times New Roman"/>
          <w:color w:val="111111"/>
          <w:sz w:val="28"/>
          <w:szCs w:val="28"/>
          <w:lang w:val="en-US"/>
        </w:rPr>
        <w:t>menganggapnya bukan berasal dari agama. Padahal seluruh</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ajaran itu, bagi umumnya umat Kristen, merupakan bagian dari </w:t>
      </w:r>
      <w:bookmarkStart w:id="169" w:name="pg5378_50545"/>
    </w:p>
    <w:p>
      <w:pPr>
        <w:pStyle w:val="BookText"/>
        <w:bidi w:val="0"/>
        <w:rPr/>
      </w:pPr>
      <w:bookmarkEnd w:id="169"/>
      <w:r>
        <w:rPr>
          <w:rFonts w:eastAsia="Times New Roman" w:cs="Times New Roman" w:ascii="Times New Roman" w:hAnsi="Times New Roman"/>
          <w:color w:val="111111"/>
          <w:sz w:val="28"/>
          <w:szCs w:val="28"/>
          <w:lang w:val="en-US"/>
        </w:rPr>
        <w:t>artikel keimanan dan doktrin keagamaan mereka yang tidak boleh</w:t>
      </w:r>
    </w:p>
    <w:p>
      <w:pPr>
        <w:pStyle w:val="BookText"/>
        <w:bidi w:val="0"/>
        <w:jc w:val="both"/>
        <w:rPr/>
      </w:pPr>
      <w:r>
        <w:rPr>
          <w:rFonts w:eastAsia="Times New Roman" w:cs="Times New Roman" w:ascii="Times New Roman" w:hAnsi="Times New Roman"/>
          <w:color w:val="111111"/>
          <w:sz w:val="28"/>
          <w:szCs w:val="28"/>
          <w:lang w:val="en-US"/>
        </w:rPr>
        <w:t>diingkari.</w:t>
      </w:r>
    </w:p>
    <w:p>
      <w:pPr>
        <w:pStyle w:val="BookText"/>
        <w:bidi w:val="0"/>
        <w:jc w:val="both"/>
        <w:rPr/>
      </w:pPr>
      <w:r>
        <w:rPr>
          <w:rFonts w:eastAsia="Times New Roman" w:cs="Times New Roman" w:ascii="Times New Roman" w:hAnsi="Times New Roman"/>
          <w:color w:val="111111"/>
          <w:sz w:val="28"/>
          <w:szCs w:val="28"/>
          <w:lang w:val="en-US"/>
        </w:rPr>
        <w:t>Dalam bab ini, akan dikemukakan beberapa mazhab pemikiran</w:t>
      </w:r>
    </w:p>
    <w:p>
      <w:pPr>
        <w:pStyle w:val="BookText"/>
        <w:bidi w:val="0"/>
        <w:jc w:val="both"/>
        <w:rPr/>
      </w:pPr>
      <w:r>
        <w:rPr>
          <w:rFonts w:eastAsia="Times New Roman" w:cs="Times New Roman" w:ascii="Times New Roman" w:hAnsi="Times New Roman"/>
          <w:color w:val="111111"/>
          <w:sz w:val="28"/>
          <w:szCs w:val="28"/>
          <w:lang w:val="en-US"/>
        </w:rPr>
        <w:t>dan tokoh-tokoh intelektual yang mengusung pola pikir atau</w:t>
      </w:r>
    </w:p>
    <w:p>
      <w:pPr>
        <w:pStyle w:val="BookText"/>
        <w:bidi w:val="0"/>
        <w:jc w:val="both"/>
        <w:rPr/>
      </w:pPr>
      <w:r>
        <w:rPr>
          <w:rFonts w:eastAsia="Times New Roman" w:cs="Times New Roman" w:ascii="Times New Roman" w:hAnsi="Times New Roman"/>
          <w:color w:val="111111"/>
          <w:sz w:val="28"/>
          <w:szCs w:val="28"/>
          <w:lang w:val="en-US"/>
        </w:rPr>
        <w:t>menerapkan metode semacam itu. Namun, mengingat terlalu</w:t>
      </w:r>
    </w:p>
    <w:p>
      <w:pPr>
        <w:pStyle w:val="BookText"/>
        <w:bidi w:val="0"/>
        <w:jc w:val="both"/>
        <w:rPr/>
      </w:pPr>
      <w:r>
        <w:rPr>
          <w:rFonts w:eastAsia="Times New Roman" w:cs="Times New Roman" w:ascii="Times New Roman" w:hAnsi="Times New Roman"/>
          <w:color w:val="111111"/>
          <w:sz w:val="28"/>
          <w:szCs w:val="28"/>
          <w:lang w:val="en-US"/>
        </w:rPr>
        <w:t>banyaknya mazhab dan tokoh pemikir yang mengkaji topik ini, serta</w:t>
      </w:r>
    </w:p>
    <w:p>
      <w:pPr>
        <w:pStyle w:val="BookText"/>
        <w:bidi w:val="0"/>
        <w:jc w:val="both"/>
        <w:rPr/>
      </w:pPr>
      <w:r>
        <w:rPr>
          <w:rFonts w:eastAsia="Times New Roman" w:cs="Times New Roman" w:ascii="Times New Roman" w:hAnsi="Times New Roman"/>
          <w:color w:val="111111"/>
          <w:sz w:val="28"/>
          <w:szCs w:val="28"/>
          <w:lang w:val="en-US"/>
        </w:rPr>
        <w:t>agar lebih terfokus dan selaras dengan tujuan pembahasan, maka</w:t>
      </w:r>
    </w:p>
    <w:p>
      <w:pPr>
        <w:pStyle w:val="BookText"/>
        <w:bidi w:val="0"/>
        <w:jc w:val="both"/>
        <w:rPr/>
      </w:pPr>
      <w:r>
        <w:rPr>
          <w:rFonts w:eastAsia="Times New Roman" w:cs="Times New Roman" w:ascii="Times New Roman" w:hAnsi="Times New Roman"/>
          <w:color w:val="111111"/>
          <w:sz w:val="28"/>
          <w:szCs w:val="28"/>
          <w:lang w:val="en-US"/>
        </w:rPr>
        <w:t>uraian kali ini akan lebih dikonsentrasikan pada mazhab dan tokoh</w:t>
      </w:r>
    </w:p>
    <w:p>
      <w:pPr>
        <w:pStyle w:val="BookText"/>
        <w:bidi w:val="0"/>
        <w:jc w:val="both"/>
        <w:rPr/>
      </w:pPr>
      <w:r>
        <w:rPr>
          <w:rFonts w:eastAsia="Times New Roman" w:cs="Times New Roman" w:ascii="Times New Roman" w:hAnsi="Times New Roman"/>
          <w:color w:val="111111"/>
          <w:sz w:val="28"/>
          <w:szCs w:val="28"/>
          <w:lang w:val="en-US"/>
        </w:rPr>
        <w:t>pemikir Muslim; tanpa bersinggungan dengan para pendukungnya</w:t>
      </w:r>
    </w:p>
    <w:p>
      <w:pPr>
        <w:pStyle w:val="BookText"/>
        <w:bidi w:val="0"/>
        <w:jc w:val="both"/>
        <w:rPr/>
      </w:pPr>
      <w:r>
        <w:rPr>
          <w:rFonts w:eastAsia="Times New Roman" w:cs="Times New Roman" w:ascii="Times New Roman" w:hAnsi="Times New Roman"/>
          <w:color w:val="111111"/>
          <w:sz w:val="28"/>
          <w:szCs w:val="28"/>
          <w:lang w:val="en-US"/>
        </w:rPr>
        <w:t>dari kalangan non-Muslim.</w:t>
      </w:r>
    </w:p>
    <w:p>
      <w:pPr>
        <w:pStyle w:val="Heading3"/>
        <w:numPr>
          <w:ilvl w:val="2"/>
          <w:numId w:val="1"/>
        </w:numPr>
        <w:bidi w:val="0"/>
        <w:jc w:val="left"/>
        <w:rPr/>
      </w:pPr>
      <w:bookmarkStart w:id="170" w:name="__RefHeading___Toc1351168_581953129"/>
      <w:bookmarkStart w:id="171" w:name="_Toc63"/>
      <w:bookmarkEnd w:id="170"/>
      <w:r>
        <w:rPr/>
        <w:t>Muktazilah</w:t>
      </w:r>
      <w:bookmarkEnd w:id="171"/>
    </w:p>
    <w:p>
      <w:pPr>
        <w:pStyle w:val="Heading4"/>
        <w:numPr>
          <w:ilvl w:val="3"/>
          <w:numId w:val="1"/>
        </w:numPr>
        <w:bidi w:val="0"/>
        <w:jc w:val="left"/>
        <w:rPr/>
      </w:pPr>
      <w:bookmarkStart w:id="172" w:name="__RefHeading___Toc1351170_581953129"/>
      <w:bookmarkStart w:id="173" w:name="_Toc64"/>
      <w:bookmarkEnd w:id="172"/>
      <w:r>
        <w:rPr/>
        <w:t>Point</w:t>
      </w:r>
      <w:bookmarkEnd w:id="173"/>
    </w:p>
    <w:p>
      <w:pPr>
        <w:pStyle w:val="BookText"/>
        <w:bidi w:val="0"/>
        <w:jc w:val="both"/>
        <w:rPr/>
      </w:pPr>
      <w:r>
        <w:rPr>
          <w:rFonts w:eastAsia="Times New Roman" w:cs="Times New Roman" w:ascii="Times New Roman" w:hAnsi="Times New Roman"/>
          <w:color w:val="111111"/>
          <w:sz w:val="28"/>
          <w:szCs w:val="28"/>
          <w:lang w:val="en-US"/>
        </w:rPr>
        <w:t>Menyoroti fenomena_ Rasionalisme dalam Islam, kalangan se-</w:t>
      </w:r>
    </w:p>
    <w:p>
      <w:pPr>
        <w:pStyle w:val="BookText"/>
        <w:bidi w:val="0"/>
        <w:jc w:val="both"/>
        <w:rPr/>
      </w:pPr>
      <w:r>
        <w:rPr>
          <w:rFonts w:eastAsia="Times New Roman" w:cs="Times New Roman" w:ascii="Times New Roman" w:hAnsi="Times New Roman"/>
          <w:color w:val="111111"/>
          <w:sz w:val="28"/>
          <w:szCs w:val="28"/>
          <w:lang w:val="en-US"/>
        </w:rPr>
        <w:t>jarawan Muslim dan pakar Timur Tengah non-Muslim acapkali</w:t>
      </w:r>
    </w:p>
    <w:p>
      <w:pPr>
        <w:pStyle w:val="BookText"/>
        <w:bidi w:val="0"/>
        <w:jc w:val="both"/>
        <w:rPr/>
      </w:pPr>
      <w:r>
        <w:rPr>
          <w:rFonts w:eastAsia="Times New Roman" w:cs="Times New Roman" w:ascii="Times New Roman" w:hAnsi="Times New Roman"/>
          <w:color w:val="111111"/>
          <w:sz w:val="28"/>
          <w:szCs w:val="28"/>
          <w:lang w:val="en-US"/>
        </w:rPr>
        <w:t>menyebut Muktazilah sebagai representasi kaum rasionalis radikal.</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Bahkan mazhab teologi ini dijadikan model konkret kaum rasional-</w:t>
      </w:r>
    </w:p>
    <w:p>
      <w:pPr>
        <w:pStyle w:val="BookText"/>
        <w:bidi w:val="0"/>
        <w:jc w:val="both"/>
        <w:rPr/>
      </w:pPr>
      <w:r>
        <w:rPr>
          <w:rFonts w:eastAsia="Times New Roman" w:cs="Times New Roman" w:ascii="Times New Roman" w:hAnsi="Times New Roman"/>
          <w:color w:val="111111"/>
          <w:sz w:val="28"/>
          <w:szCs w:val="28"/>
          <w:lang w:val="en-US"/>
        </w:rPr>
        <w:t>is radikal religius yang ingin memperluas otoritas akal sebagai ben-</w:t>
      </w:r>
    </w:p>
    <w:p>
      <w:pPr>
        <w:pStyle w:val="BookText"/>
        <w:bidi w:val="0"/>
        <w:jc w:val="both"/>
        <w:rPr/>
      </w:pPr>
      <w:r>
        <w:rPr>
          <w:rFonts w:eastAsia="Times New Roman" w:cs="Times New Roman" w:ascii="Times New Roman" w:hAnsi="Times New Roman"/>
          <w:color w:val="111111"/>
          <w:sz w:val="28"/>
          <w:szCs w:val="28"/>
          <w:lang w:val="en-US"/>
        </w:rPr>
        <w:t>teng wahyu dan keimanan.</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Pola pemikiran Muktazilah bisa dikatakan sulit dianalisis dan</w:t>
      </w:r>
    </w:p>
    <w:p>
      <w:pPr>
        <w:pStyle w:val="BookText"/>
        <w:bidi w:val="0"/>
        <w:jc w:val="both"/>
        <w:rPr/>
      </w:pPr>
      <w:r>
        <w:rPr>
          <w:rFonts w:eastAsia="Times New Roman" w:cs="Times New Roman" w:ascii="Times New Roman" w:hAnsi="Times New Roman"/>
          <w:color w:val="111111"/>
          <w:sz w:val="28"/>
          <w:szCs w:val="28"/>
          <w:lang w:val="en-US"/>
        </w:rPr>
        <w:t>diidentifikasi lantaran sudah lama punah, selain pula nyaris seluruh</w:t>
      </w:r>
    </w:p>
    <w:p>
      <w:pPr>
        <w:pStyle w:val="BookText"/>
        <w:bidi w:val="0"/>
        <w:jc w:val="both"/>
        <w:rPr/>
      </w:pPr>
      <w:r>
        <w:rPr>
          <w:rFonts w:eastAsia="Times New Roman" w:cs="Times New Roman" w:ascii="Times New Roman" w:hAnsi="Times New Roman"/>
          <w:color w:val="111111"/>
          <w:sz w:val="28"/>
          <w:szCs w:val="28"/>
          <w:lang w:val="en-US"/>
        </w:rPr>
        <w:t>peninggalan dan karya tulis para pemikirnya lenyap. Banyak</w:t>
      </w:r>
    </w:p>
    <w:p>
      <w:pPr>
        <w:pStyle w:val="BookText"/>
        <w:bidi w:val="0"/>
        <w:jc w:val="both"/>
        <w:rPr/>
      </w:pPr>
      <w:r>
        <w:rPr>
          <w:rFonts w:eastAsia="Times New Roman" w:cs="Times New Roman" w:ascii="Times New Roman" w:hAnsi="Times New Roman"/>
          <w:color w:val="111111"/>
          <w:sz w:val="28"/>
          <w:szCs w:val="28"/>
          <w:lang w:val="en-US"/>
        </w:rPr>
        <w:t>misteri yang menyelubungi kelompok ini. Meski begitu, ada sekian</w:t>
      </w:r>
    </w:p>
    <w:p>
      <w:pPr>
        <w:pStyle w:val="BookText"/>
        <w:bidi w:val="0"/>
        <w:jc w:val="both"/>
        <w:rPr/>
      </w:pPr>
      <w:r>
        <w:rPr>
          <w:rFonts w:eastAsia="Times New Roman" w:cs="Times New Roman" w:ascii="Times New Roman" w:hAnsi="Times New Roman"/>
          <w:color w:val="111111"/>
          <w:sz w:val="28"/>
          <w:szCs w:val="28"/>
          <w:lang w:val="en-US"/>
        </w:rPr>
        <w:t>isu menyangkut Muktazilah yang patut diacu sebagai fokus, seperti</w:t>
      </w:r>
    </w:p>
    <w:p>
      <w:pPr>
        <w:pStyle w:val="BookText"/>
        <w:bidi w:val="0"/>
        <w:jc w:val="both"/>
        <w:rPr/>
      </w:pPr>
      <w:r>
        <w:rPr>
          <w:rFonts w:eastAsia="Times New Roman" w:cs="Times New Roman" w:ascii="Times New Roman" w:hAnsi="Times New Roman"/>
          <w:color w:val="111111"/>
          <w:sz w:val="28"/>
          <w:szCs w:val="28"/>
          <w:lang w:val="en-US"/>
        </w:rPr>
        <w:t>bagaimana proses kelahirannya, faktor kemunduran dan ke-</w:t>
      </w:r>
    </w:p>
    <w:p>
      <w:pPr>
        <w:pStyle w:val="BookText"/>
        <w:bidi w:val="0"/>
        <w:jc w:val="both"/>
        <w:rPr/>
      </w:pPr>
      <w:r>
        <w:rPr>
          <w:rFonts w:eastAsia="Times New Roman" w:cs="Times New Roman" w:ascii="Times New Roman" w:hAnsi="Times New Roman"/>
          <w:color w:val="111111"/>
          <w:sz w:val="28"/>
          <w:szCs w:val="28"/>
          <w:lang w:val="en-US"/>
        </w:rPr>
        <w:t>punahannya, pandangan tokoh-tokohnya terhadap posisi akal, dan</w:t>
      </w:r>
    </w:p>
    <w:p>
      <w:pPr>
        <w:pStyle w:val="BookText"/>
        <w:bidi w:val="0"/>
        <w:jc w:val="both"/>
        <w:rPr/>
      </w:pPr>
      <w:r>
        <w:rPr>
          <w:rFonts w:eastAsia="Times New Roman" w:cs="Times New Roman" w:ascii="Times New Roman" w:hAnsi="Times New Roman"/>
          <w:color w:val="111111"/>
          <w:sz w:val="28"/>
          <w:szCs w:val="28"/>
          <w:lang w:val="en-US"/>
        </w:rPr>
        <w:t>seterusnya. Tak diragukan lagi, Muktazilah merupakan salah satu</w:t>
      </w:r>
    </w:p>
    <w:p>
      <w:pPr>
        <w:pStyle w:val="BookText"/>
        <w:bidi w:val="0"/>
        <w:jc w:val="both"/>
        <w:rPr/>
      </w:pPr>
      <w:r>
        <w:rPr>
          <w:rFonts w:eastAsia="Times New Roman" w:cs="Times New Roman" w:ascii="Times New Roman" w:hAnsi="Times New Roman"/>
          <w:color w:val="111111"/>
          <w:sz w:val="28"/>
          <w:szCs w:val="28"/>
          <w:lang w:val="en-US"/>
        </w:rPr>
        <w:t>mazhab teologi yang paling monumental dalam sejarah Islam, dan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pernah mengalami masa kejayaan serta menguasai wacana </w:t>
      </w:r>
      <w:bookmarkStart w:id="174" w:name="pg5378_50547"/>
    </w:p>
    <w:p>
      <w:pPr>
        <w:pStyle w:val="BookText"/>
        <w:bidi w:val="0"/>
        <w:rPr/>
      </w:pPr>
      <w:bookmarkEnd w:id="174"/>
      <w:r>
        <w:rPr>
          <w:rFonts w:eastAsia="Times New Roman" w:cs="Times New Roman" w:ascii="Times New Roman" w:hAnsi="Times New Roman"/>
          <w:color w:val="111111"/>
          <w:sz w:val="28"/>
          <w:szCs w:val="28"/>
          <w:lang w:val="en-US"/>
        </w:rPr>
        <w:t>dan budaya di dunia Islam.</w:t>
      </w:r>
    </w:p>
    <w:p>
      <w:pPr>
        <w:pStyle w:val="BookText"/>
        <w:bidi w:val="0"/>
        <w:jc w:val="both"/>
        <w:rPr/>
      </w:pPr>
      <w:r>
        <w:rPr>
          <w:rFonts w:eastAsia="Times New Roman" w:cs="Times New Roman" w:ascii="Times New Roman" w:hAnsi="Times New Roman"/>
          <w:color w:val="111111"/>
          <w:sz w:val="28"/>
          <w:szCs w:val="28"/>
          <w:lang w:val="en-US"/>
        </w:rPr>
        <w:t>Memang, kaum rasionalis Muslim ini telah lama hilang dari</w:t>
      </w:r>
    </w:p>
    <w:p>
      <w:pPr>
        <w:pStyle w:val="BookText"/>
        <w:bidi w:val="0"/>
        <w:jc w:val="both"/>
        <w:rPr/>
      </w:pPr>
      <w:r>
        <w:rPr>
          <w:rFonts w:eastAsia="Times New Roman" w:cs="Times New Roman" w:ascii="Times New Roman" w:hAnsi="Times New Roman"/>
          <w:color w:val="111111"/>
          <w:sz w:val="28"/>
          <w:szCs w:val="28"/>
          <w:lang w:val="en-US"/>
        </w:rPr>
        <w:t>peredaran (inilah salah satu faktor mengapa kalangan Ahli Sunah</w:t>
      </w:r>
    </w:p>
    <w:p>
      <w:pPr>
        <w:pStyle w:val="BookText"/>
        <w:bidi w:val="0"/>
        <w:jc w:val="both"/>
        <w:rPr/>
      </w:pPr>
      <w:r>
        <w:rPr>
          <w:rFonts w:eastAsia="Times New Roman" w:cs="Times New Roman" w:ascii="Times New Roman" w:hAnsi="Times New Roman"/>
          <w:color w:val="111111"/>
          <w:sz w:val="28"/>
          <w:szCs w:val="28"/>
          <w:lang w:val="en-US"/>
        </w:rPr>
        <w:t>harus menanggung beban kerugian yang tidak dapat ditanggung).</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Namun, banyak peninggalannya yang dapat dimanfaatkan. Karena-</w:t>
      </w:r>
    </w:p>
    <w:p>
      <w:pPr>
        <w:pStyle w:val="BookText"/>
        <w:bidi w:val="0"/>
        <w:jc w:val="both"/>
        <w:rPr/>
      </w:pPr>
      <w:r>
        <w:rPr>
          <w:rFonts w:eastAsia="Times New Roman" w:cs="Times New Roman" w:ascii="Times New Roman" w:hAnsi="Times New Roman"/>
          <w:color w:val="111111"/>
          <w:sz w:val="28"/>
          <w:szCs w:val="28"/>
          <w:lang w:val="en-US"/>
        </w:rPr>
        <w:t>nya, banyak dari kalangan pemikir kontemporer Asy’ariyah memuji</w:t>
      </w:r>
    </w:p>
    <w:p>
      <w:pPr>
        <w:pStyle w:val="BookText"/>
        <w:bidi w:val="0"/>
        <w:jc w:val="both"/>
        <w:rPr/>
      </w:pPr>
      <w:r>
        <w:rPr>
          <w:rFonts w:eastAsia="Times New Roman" w:cs="Times New Roman" w:ascii="Times New Roman" w:hAnsi="Times New Roman"/>
          <w:color w:val="111111"/>
          <w:sz w:val="28"/>
          <w:szCs w:val="28"/>
          <w:lang w:val="en-US"/>
        </w:rPr>
        <w:t>Muktazilah,</w:t>
      </w:r>
      <w:r>
        <w:rPr>
          <w:rStyle w:val="FootnoteAnchor"/>
        </w:rPr>
        <w:footnoteReference w:id="171"/>
      </w:r>
      <w:r>
        <w:rPr>
          <w:rFonts w:eastAsia="Times New Roman" w:cs="Times New Roman" w:ascii="Times New Roman" w:hAnsi="Times New Roman"/>
          <w:color w:val="111111"/>
          <w:sz w:val="28"/>
          <w:szCs w:val="28"/>
          <w:lang w:val="en-US"/>
        </w:rPr>
        <w:t>dan secara praktis banyak mengadopsi metodenya</w:t>
      </w:r>
    </w:p>
    <w:p>
      <w:pPr>
        <w:pStyle w:val="BookText"/>
        <w:bidi w:val="0"/>
        <w:jc w:val="both"/>
        <w:rPr/>
      </w:pPr>
      <w:r>
        <w:rPr>
          <w:rFonts w:eastAsia="Times New Roman" w:cs="Times New Roman" w:ascii="Times New Roman" w:hAnsi="Times New Roman"/>
          <w:color w:val="111111"/>
          <w:sz w:val="28"/>
          <w:szCs w:val="28"/>
          <w:lang w:val="en-US"/>
        </w:rPr>
        <w:t>dalam banyak prinsip teologi Islam (kalam)</w:t>
      </w:r>
      <w:r>
        <w:rPr>
          <w:rStyle w:val="FootnoteAnchor"/>
        </w:rPr>
        <w:footnoteReference w:id="172"/>
      </w:r>
      <w:r>
        <w:rPr>
          <w:rFonts w:eastAsia="Times New Roman" w:cs="Times New Roman" w:ascii="Times New Roman" w:hAnsi="Times New Roman"/>
          <w:color w:val="111111"/>
          <w:sz w:val="28"/>
          <w:szCs w:val="28"/>
          <w:lang w:val="en-US"/>
        </w:rPr>
        <w:t>Harus diakui, jasa kaum</w:t>
      </w:r>
    </w:p>
    <w:p>
      <w:pPr>
        <w:pStyle w:val="BookText"/>
        <w:bidi w:val="0"/>
        <w:jc w:val="both"/>
        <w:rPr/>
      </w:pPr>
      <w:r>
        <w:rPr>
          <w:rFonts w:eastAsia="Times New Roman" w:cs="Times New Roman" w:ascii="Times New Roman" w:hAnsi="Times New Roman"/>
          <w:color w:val="111111"/>
          <w:sz w:val="28"/>
          <w:szCs w:val="28"/>
          <w:lang w:val="en-US"/>
        </w:rPr>
        <w:t>Muktazilah dalam merasionalkan masyarakat Muslim terbilang</w:t>
      </w:r>
    </w:p>
    <w:p>
      <w:pPr>
        <w:pStyle w:val="BookText"/>
        <w:bidi w:val="0"/>
        <w:jc w:val="both"/>
        <w:rPr/>
      </w:pPr>
      <w:r>
        <w:rPr>
          <w:rFonts w:eastAsia="Times New Roman" w:cs="Times New Roman" w:ascii="Times New Roman" w:hAnsi="Times New Roman"/>
          <w:color w:val="111111"/>
          <w:sz w:val="28"/>
          <w:szCs w:val="28"/>
          <w:lang w:val="en-US"/>
        </w:rPr>
        <w:t>cukup besar. Dengan bertumpu pada ajaran agung Islam sekaligus</w:t>
      </w:r>
    </w:p>
    <w:p>
      <w:pPr>
        <w:pStyle w:val="BookText"/>
        <w:bidi w:val="0"/>
        <w:jc w:val="both"/>
        <w:rPr/>
      </w:pPr>
      <w:r>
        <w:rPr>
          <w:rFonts w:eastAsia="Times New Roman" w:cs="Times New Roman" w:ascii="Times New Roman" w:hAnsi="Times New Roman"/>
          <w:color w:val="111111"/>
          <w:sz w:val="28"/>
          <w:szCs w:val="28"/>
          <w:lang w:val="en-US"/>
        </w:rPr>
        <w:t>akal pemikiran karuniawi Ilahi, pada satu babak sejarah Islam yang</w:t>
      </w:r>
    </w:p>
    <w:p>
      <w:pPr>
        <w:pStyle w:val="BookText"/>
        <w:bidi w:val="0"/>
        <w:jc w:val="both"/>
        <w:rPr/>
      </w:pPr>
      <w:r>
        <w:rPr>
          <w:rFonts w:eastAsia="Times New Roman" w:cs="Times New Roman" w:ascii="Times New Roman" w:hAnsi="Times New Roman"/>
          <w:color w:val="111111"/>
          <w:sz w:val="28"/>
          <w:szCs w:val="28"/>
          <w:lang w:val="en-US"/>
        </w:rPr>
        <w:t>sangat menentukan, mereka bekerja proaktif dalam memperkokoh</w:t>
      </w:r>
    </w:p>
    <w:p>
      <w:pPr>
        <w:pStyle w:val="BookText"/>
        <w:bidi w:val="0"/>
        <w:jc w:val="both"/>
        <w:rPr/>
      </w:pPr>
      <w:r>
        <w:rPr>
          <w:rFonts w:eastAsia="Times New Roman" w:cs="Times New Roman" w:ascii="Times New Roman" w:hAnsi="Times New Roman"/>
          <w:color w:val="111111"/>
          <w:sz w:val="28"/>
          <w:szCs w:val="28"/>
          <w:lang w:val="en-US"/>
        </w:rPr>
        <w:t>wacana Islam dan membela ajarannya.</w:t>
      </w:r>
    </w:p>
    <w:p>
      <w:pPr>
        <w:pStyle w:val="Heading4"/>
        <w:numPr>
          <w:ilvl w:val="3"/>
          <w:numId w:val="1"/>
        </w:numPr>
        <w:bidi w:val="0"/>
        <w:jc w:val="left"/>
        <w:rPr/>
      </w:pPr>
      <w:bookmarkStart w:id="175" w:name="__RefHeading___Toc1351172_581953129"/>
      <w:bookmarkStart w:id="176" w:name="_Toc65"/>
      <w:bookmarkEnd w:id="175"/>
      <w:r>
        <w:rPr/>
        <w:t>Anasir Utama Rasionalisme Muktazilah</w:t>
      </w:r>
      <w:bookmarkEnd w:id="176"/>
    </w:p>
    <w:p>
      <w:pPr>
        <w:pStyle w:val="Heading5"/>
        <w:numPr>
          <w:ilvl w:val="4"/>
          <w:numId w:val="1"/>
        </w:numPr>
        <w:bidi w:val="0"/>
        <w:jc w:val="left"/>
        <w:rPr/>
      </w:pPr>
      <w:bookmarkStart w:id="177" w:name="__RefHeading___Toc1351174_581953129"/>
      <w:bookmarkStart w:id="178" w:name="_Toc66"/>
      <w:bookmarkEnd w:id="177"/>
      <w:r>
        <w:rPr/>
        <w:t>Point</w:t>
      </w:r>
      <w:bookmarkEnd w:id="178"/>
    </w:p>
    <w:p>
      <w:pPr>
        <w:pStyle w:val="BookText"/>
        <w:bidi w:val="0"/>
        <w:jc w:val="both"/>
        <w:rPr/>
      </w:pPr>
      <w:r>
        <w:rPr>
          <w:rFonts w:eastAsia="Times New Roman" w:cs="Times New Roman" w:ascii="Times New Roman" w:hAnsi="Times New Roman"/>
          <w:color w:val="111111"/>
          <w:sz w:val="28"/>
          <w:szCs w:val="28"/>
          <w:lang w:val="en-US"/>
        </w:rPr>
        <w:t>Memang, sejumlah penulis Muktazilah memosisikan empat khalifah</w:t>
      </w:r>
    </w:p>
    <w:p>
      <w:pPr>
        <w:pStyle w:val="BookText"/>
        <w:bidi w:val="0"/>
        <w:jc w:val="both"/>
        <w:rPr/>
      </w:pPr>
      <w:r>
        <w:rPr>
          <w:rFonts w:eastAsia="Times New Roman" w:cs="Times New Roman" w:ascii="Times New Roman" w:hAnsi="Times New Roman"/>
          <w:color w:val="111111"/>
          <w:sz w:val="28"/>
          <w:szCs w:val="28"/>
          <w:lang w:val="en-US"/>
        </w:rPr>
        <w:t>sebagai generasi awal Muktazilah, sementara Imam Hasan dan Imam</w:t>
      </w:r>
    </w:p>
    <w:p>
      <w:pPr>
        <w:pStyle w:val="BookText"/>
        <w:bidi w:val="0"/>
        <w:jc w:val="both"/>
        <w:rPr/>
      </w:pPr>
      <w:r>
        <w:rPr>
          <w:rFonts w:eastAsia="Times New Roman" w:cs="Times New Roman" w:ascii="Times New Roman" w:hAnsi="Times New Roman"/>
          <w:color w:val="111111"/>
          <w:sz w:val="28"/>
          <w:szCs w:val="28"/>
          <w:lang w:val="en-US"/>
        </w:rPr>
        <w:t>Husain sebagai generasi kedua.</w:t>
      </w:r>
      <w:r>
        <w:rPr>
          <w:rStyle w:val="FootnoteAnchor"/>
        </w:rPr>
        <w:footnoteReference w:id="173"/>
      </w:r>
      <w:r>
        <w:rPr>
          <w:rFonts w:eastAsia="Times New Roman" w:cs="Times New Roman" w:ascii="Times New Roman" w:hAnsi="Times New Roman"/>
          <w:color w:val="111111"/>
          <w:sz w:val="28"/>
          <w:szCs w:val="28"/>
          <w:lang w:val="en-US"/>
        </w:rPr>
        <w:t>Namun umumnya, Washil bin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Atha (80-131 H) diakui sebagai pendiri mazhab ini. Dia adalah eks</w:t>
      </w:r>
    </w:p>
    <w:p>
      <w:pPr>
        <w:pStyle w:val="BookText"/>
        <w:bidi w:val="0"/>
        <w:jc w:val="both"/>
        <w:rPr/>
      </w:pPr>
      <w:r>
        <w:rPr>
          <w:rFonts w:eastAsia="Times New Roman" w:cs="Times New Roman" w:ascii="Times New Roman" w:hAnsi="Times New Roman"/>
          <w:color w:val="111111"/>
          <w:sz w:val="28"/>
          <w:szCs w:val="28"/>
          <w:lang w:val="en-US"/>
        </w:rPr>
        <w:t>murid Hasan Bashri (21-110 H). Sejak mencuat kasus: apakah pelaku</w:t>
      </w:r>
    </w:p>
    <w:p>
      <w:pPr>
        <w:pStyle w:val="BookText"/>
        <w:bidi w:val="0"/>
        <w:jc w:val="both"/>
        <w:rPr/>
      </w:pPr>
      <w:r>
        <w:rPr>
          <w:rFonts w:eastAsia="Times New Roman" w:cs="Times New Roman" w:ascii="Times New Roman" w:hAnsi="Times New Roman"/>
          <w:color w:val="111111"/>
          <w:sz w:val="28"/>
          <w:szCs w:val="28"/>
          <w:lang w:val="en-US"/>
        </w:rPr>
        <w:t>maksiat (dosa) besar itu kafir atau sama sekali tidak berpengaruh</w:t>
      </w:r>
    </w:p>
    <w:p>
      <w:pPr>
        <w:pStyle w:val="BookText"/>
        <w:bidi w:val="0"/>
        <w:jc w:val="both"/>
        <w:rPr/>
      </w:pPr>
      <w:r>
        <w:rPr>
          <w:rFonts w:eastAsia="Times New Roman" w:cs="Times New Roman" w:ascii="Times New Roman" w:hAnsi="Times New Roman"/>
          <w:color w:val="111111"/>
          <w:sz w:val="28"/>
          <w:szCs w:val="28"/>
          <w:lang w:val="en-US"/>
        </w:rPr>
        <w:t>pada keimanan, Washil berseberangan dengan sang guru dan opini</w:t>
      </w:r>
    </w:p>
    <w:p>
      <w:pPr>
        <w:pStyle w:val="BookText"/>
        <w:bidi w:val="0"/>
        <w:jc w:val="both"/>
        <w:rPr/>
      </w:pPr>
      <w:r>
        <w:rPr>
          <w:rFonts w:eastAsia="Times New Roman" w:cs="Times New Roman" w:ascii="Times New Roman" w:hAnsi="Times New Roman"/>
          <w:color w:val="111111"/>
          <w:sz w:val="28"/>
          <w:szCs w:val="28"/>
          <w:lang w:val="en-US"/>
        </w:rPr>
        <w:t>publik masa itu. Lalu ia mengemukakan doktrin “satu di antara dua</w:t>
      </w:r>
    </w:p>
    <w:p>
      <w:pPr>
        <w:pStyle w:val="BookText"/>
        <w:bidi w:val="0"/>
        <w:jc w:val="both"/>
        <w:rPr/>
      </w:pPr>
      <w:r>
        <w:rPr>
          <w:rFonts w:eastAsia="Times New Roman" w:cs="Times New Roman" w:ascii="Times New Roman" w:hAnsi="Times New Roman"/>
          <w:color w:val="111111"/>
          <w:sz w:val="28"/>
          <w:szCs w:val="28"/>
          <w:lang w:val="en-US"/>
        </w:rPr>
        <w:t>posisi” (manzilah bain al-manzilatain). Dalam terang pendapat ini,</w:t>
      </w:r>
    </w:p>
    <w:p>
      <w:pPr>
        <w:pStyle w:val="BookText"/>
        <w:bidi w:val="0"/>
        <w:jc w:val="both"/>
        <w:rPr/>
      </w:pPr>
      <w:r>
        <w:rPr>
          <w:rFonts w:eastAsia="Times New Roman" w:cs="Times New Roman" w:ascii="Times New Roman" w:hAnsi="Times New Roman"/>
          <w:color w:val="111111"/>
          <w:sz w:val="28"/>
          <w:szCs w:val="28"/>
          <w:lang w:val="en-US"/>
        </w:rPr>
        <w:t>setiap Muslim yang berbuat dosa besar tidak tergolong mukmin,</w:t>
      </w:r>
    </w:p>
    <w:p>
      <w:pPr>
        <w:pStyle w:val="BookText"/>
        <w:bidi w:val="0"/>
        <w:jc w:val="both"/>
        <w:rPr/>
      </w:pPr>
      <w:r>
        <w:rPr>
          <w:rFonts w:eastAsia="Times New Roman" w:cs="Times New Roman" w:ascii="Times New Roman" w:hAnsi="Times New Roman"/>
          <w:color w:val="111111"/>
          <w:sz w:val="28"/>
          <w:szCs w:val="28"/>
          <w:lang w:val="en-US"/>
        </w:rPr>
        <w:t>juga tidak kafir, melainkan menduduki posisi di antara keduanya.</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Kendati tesis ini akhirnya dijadikan salah satu dari lima prinsip</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Muktazilah, namun awal kekhasan mazhab ini adalah imannya yang </w:t>
      </w:r>
      <w:bookmarkStart w:id="179" w:name="pg5378_50549"/>
    </w:p>
    <w:p>
      <w:pPr>
        <w:pStyle w:val="BookText"/>
        <w:bidi w:val="0"/>
        <w:rPr/>
      </w:pPr>
      <w:bookmarkEnd w:id="179"/>
      <w:r>
        <w:rPr>
          <w:rFonts w:eastAsia="Times New Roman" w:cs="Times New Roman" w:ascii="Times New Roman" w:hAnsi="Times New Roman"/>
          <w:color w:val="111111"/>
          <w:sz w:val="28"/>
          <w:szCs w:val="28"/>
          <w:lang w:val="en-US"/>
        </w:rPr>
        <w:t>kuat pada kedudukan tinggi akal dan keterlibatannya dalam syariat</w:t>
      </w:r>
    </w:p>
    <w:p>
      <w:pPr>
        <w:pStyle w:val="BookText"/>
        <w:bidi w:val="0"/>
        <w:jc w:val="both"/>
        <w:rPr/>
      </w:pPr>
      <w:r>
        <w:rPr>
          <w:rFonts w:eastAsia="Times New Roman" w:cs="Times New Roman" w:ascii="Times New Roman" w:hAnsi="Times New Roman"/>
          <w:color w:val="111111"/>
          <w:sz w:val="28"/>
          <w:szCs w:val="28"/>
          <w:lang w:val="en-US"/>
        </w:rPr>
        <w:t>agama, hingga kalangan yang kontra menudingnya sebagai pengikut</w:t>
      </w:r>
    </w:p>
    <w:p>
      <w:pPr>
        <w:pStyle w:val="BookText"/>
        <w:bidi w:val="0"/>
        <w:jc w:val="both"/>
        <w:rPr/>
      </w:pPr>
      <w:r>
        <w:rPr>
          <w:rFonts w:eastAsia="Times New Roman" w:cs="Times New Roman" w:ascii="Times New Roman" w:hAnsi="Times New Roman"/>
          <w:color w:val="111111"/>
          <w:sz w:val="28"/>
          <w:szCs w:val="28"/>
          <w:lang w:val="en-US"/>
        </w:rPr>
        <w:t>syariat akal.</w:t>
      </w:r>
    </w:p>
    <w:p>
      <w:pPr>
        <w:pStyle w:val="BookText"/>
        <w:bidi w:val="0"/>
        <w:jc w:val="both"/>
        <w:rPr/>
      </w:pPr>
      <w:r>
        <w:rPr>
          <w:rFonts w:eastAsia="Times New Roman" w:cs="Times New Roman" w:ascii="Times New Roman" w:hAnsi="Times New Roman"/>
          <w:color w:val="111111"/>
          <w:sz w:val="28"/>
          <w:szCs w:val="28"/>
          <w:lang w:val="en-US"/>
        </w:rPr>
        <w:t>Cukup banyak pendapat yang muncul sekaitan dengan asal-usul</w:t>
      </w:r>
    </w:p>
    <w:p>
      <w:pPr>
        <w:pStyle w:val="BookText"/>
        <w:bidi w:val="0"/>
        <w:jc w:val="both"/>
        <w:rPr/>
      </w:pPr>
      <w:r>
        <w:rPr>
          <w:rFonts w:eastAsia="Times New Roman" w:cs="Times New Roman" w:ascii="Times New Roman" w:hAnsi="Times New Roman"/>
          <w:color w:val="111111"/>
          <w:sz w:val="28"/>
          <w:szCs w:val="28"/>
          <w:lang w:val="en-US"/>
        </w:rPr>
        <w:t>rasionalisme Muktazilah. Berikut ini sejumlah faktor-faktor yang</w:t>
      </w:r>
    </w:p>
    <w:p>
      <w:pPr>
        <w:pStyle w:val="BookText"/>
        <w:bidi w:val="0"/>
        <w:jc w:val="both"/>
        <w:rPr/>
      </w:pPr>
      <w:r>
        <w:rPr>
          <w:rFonts w:eastAsia="Times New Roman" w:cs="Times New Roman" w:ascii="Times New Roman" w:hAnsi="Times New Roman"/>
          <w:color w:val="111111"/>
          <w:sz w:val="28"/>
          <w:szCs w:val="28"/>
          <w:lang w:val="en-US"/>
        </w:rPr>
        <w:t>terkait.</w:t>
      </w:r>
    </w:p>
    <w:p>
      <w:pPr>
        <w:pStyle w:val="Heading5"/>
        <w:numPr>
          <w:ilvl w:val="4"/>
          <w:numId w:val="1"/>
        </w:numPr>
        <w:bidi w:val="0"/>
        <w:jc w:val="left"/>
        <w:rPr/>
      </w:pPr>
      <w:bookmarkStart w:id="180" w:name="__RefHeading___Toc1351176_581953129"/>
      <w:bookmarkStart w:id="181" w:name="_Toc67"/>
      <w:bookmarkEnd w:id="180"/>
      <w:r>
        <w:rPr/>
        <w:t>Agama dan Ajaran Non-Islam</w:t>
      </w:r>
      <w:bookmarkEnd w:id="181"/>
    </w:p>
    <w:p>
      <w:pPr>
        <w:pStyle w:val="BookText"/>
        <w:bidi w:val="0"/>
        <w:jc w:val="both"/>
        <w:rPr/>
      </w:pPr>
      <w:r>
        <w:rPr>
          <w:rFonts w:eastAsia="Times New Roman" w:cs="Times New Roman" w:ascii="Times New Roman" w:hAnsi="Times New Roman"/>
          <w:color w:val="111111"/>
          <w:sz w:val="28"/>
          <w:szCs w:val="28"/>
          <w:lang w:val="en-US"/>
        </w:rPr>
        <w:t>Pemikiran Muktazilah dianggap sebagai ajaran sinkretik yang telah</w:t>
      </w:r>
    </w:p>
    <w:p>
      <w:pPr>
        <w:pStyle w:val="BookText"/>
        <w:bidi w:val="0"/>
        <w:jc w:val="both"/>
        <w:rPr/>
      </w:pPr>
      <w:r>
        <w:rPr>
          <w:rFonts w:eastAsia="Times New Roman" w:cs="Times New Roman" w:ascii="Times New Roman" w:hAnsi="Times New Roman"/>
          <w:color w:val="111111"/>
          <w:sz w:val="28"/>
          <w:szCs w:val="28"/>
          <w:lang w:val="en-US"/>
        </w:rPr>
        <w:t>terkontaminasi agama dan ajaran non-Islam. Konon, berbarengan</w:t>
      </w:r>
    </w:p>
    <w:p>
      <w:pPr>
        <w:pStyle w:val="BookText"/>
        <w:bidi w:val="0"/>
        <w:jc w:val="both"/>
        <w:rPr/>
      </w:pPr>
      <w:r>
        <w:rPr>
          <w:rFonts w:eastAsia="Times New Roman" w:cs="Times New Roman" w:ascii="Times New Roman" w:hAnsi="Times New Roman"/>
          <w:color w:val="111111"/>
          <w:sz w:val="28"/>
          <w:szCs w:val="28"/>
          <w:lang w:val="en-US"/>
        </w:rPr>
        <w:t>dengan kelahiran Muktazilah, terdapat sejumlah agama dan sekte di</w:t>
      </w:r>
    </w:p>
    <w:p>
      <w:pPr>
        <w:pStyle w:val="BookText"/>
        <w:bidi w:val="0"/>
        <w:jc w:val="both"/>
        <w:rPr/>
      </w:pPr>
      <w:r>
        <w:rPr>
          <w:rFonts w:eastAsia="Times New Roman" w:cs="Times New Roman" w:ascii="Times New Roman" w:hAnsi="Times New Roman"/>
          <w:color w:val="111111"/>
          <w:sz w:val="28"/>
          <w:szCs w:val="28"/>
          <w:lang w:val="en-US"/>
        </w:rPr>
        <w:t>kawasan Suriah dan Mesir, seperti Nasrani dan Yahudi. Sementara</w:t>
      </w:r>
    </w:p>
    <w:p>
      <w:pPr>
        <w:pStyle w:val="BookText"/>
        <w:bidi w:val="0"/>
        <w:jc w:val="both"/>
        <w:rPr/>
      </w:pPr>
      <w:r>
        <w:rPr>
          <w:rFonts w:eastAsia="Times New Roman" w:cs="Times New Roman" w:ascii="Times New Roman" w:hAnsi="Times New Roman"/>
          <w:color w:val="111111"/>
          <w:sz w:val="28"/>
          <w:szCs w:val="28"/>
          <w:lang w:val="en-US"/>
        </w:rPr>
        <w:t>di Irak dan Persia, terdapat aliran Majusi.</w:t>
      </w:r>
    </w:p>
    <w:p>
      <w:pPr>
        <w:pStyle w:val="BookText"/>
        <w:bidi w:val="0"/>
        <w:jc w:val="both"/>
        <w:rPr/>
      </w:pPr>
      <w:r>
        <w:rPr>
          <w:rFonts w:eastAsia="Times New Roman" w:cs="Times New Roman" w:ascii="Times New Roman" w:hAnsi="Times New Roman"/>
          <w:color w:val="111111"/>
          <w:sz w:val="28"/>
          <w:szCs w:val="28"/>
          <w:lang w:val="en-US"/>
        </w:rPr>
        <w:t>Sudah lumrah manakala koeksistensi Muslim dan non-Muslim</w:t>
      </w:r>
    </w:p>
    <w:p>
      <w:pPr>
        <w:pStyle w:val="BookText"/>
        <w:bidi w:val="0"/>
        <w:jc w:val="both"/>
        <w:rPr/>
      </w:pPr>
      <w:r>
        <w:rPr>
          <w:rFonts w:eastAsia="Times New Roman" w:cs="Times New Roman" w:ascii="Times New Roman" w:hAnsi="Times New Roman"/>
          <w:color w:val="111111"/>
          <w:sz w:val="28"/>
          <w:szCs w:val="28"/>
          <w:lang w:val="en-US"/>
        </w:rPr>
        <w:t>membuka forum-forum debat dan dialog keimanan. Ini mustahil</w:t>
      </w:r>
    </w:p>
    <w:p>
      <w:pPr>
        <w:pStyle w:val="BookText"/>
        <w:bidi w:val="0"/>
        <w:jc w:val="both"/>
        <w:rPr/>
      </w:pPr>
      <w:r>
        <w:rPr>
          <w:rFonts w:eastAsia="Times New Roman" w:cs="Times New Roman" w:ascii="Times New Roman" w:hAnsi="Times New Roman"/>
          <w:color w:val="111111"/>
          <w:sz w:val="28"/>
          <w:szCs w:val="28"/>
          <w:lang w:val="en-US"/>
        </w:rPr>
        <w:t>dielakkan. Darinya, ditinjau secara teologis dan_rasionalitas,</w:t>
      </w:r>
    </w:p>
    <w:p>
      <w:pPr>
        <w:pStyle w:val="BookText"/>
        <w:bidi w:val="0"/>
        <w:jc w:val="both"/>
        <w:rPr/>
      </w:pPr>
      <w:r>
        <w:rPr>
          <w:rFonts w:eastAsia="Times New Roman" w:cs="Times New Roman" w:ascii="Times New Roman" w:hAnsi="Times New Roman"/>
          <w:color w:val="111111"/>
          <w:sz w:val="28"/>
          <w:szCs w:val="28"/>
          <w:lang w:val="en-US"/>
        </w:rPr>
        <w:t>Muktazilah menjadi mazhab terdepan dalam berdebat dan menjawab</w:t>
      </w:r>
    </w:p>
    <w:p>
      <w:pPr>
        <w:pStyle w:val="BookText"/>
        <w:bidi w:val="0"/>
        <w:jc w:val="both"/>
        <w:rPr/>
      </w:pPr>
      <w:r>
        <w:rPr>
          <w:rFonts w:eastAsia="Times New Roman" w:cs="Times New Roman" w:ascii="Times New Roman" w:hAnsi="Times New Roman"/>
          <w:color w:val="111111"/>
          <w:sz w:val="28"/>
          <w:szCs w:val="28"/>
          <w:lang w:val="en-US"/>
        </w:rPr>
        <w:t>problem yang dilontarkan musuh. Tentunya wajar, dalam eksperimen</w:t>
      </w:r>
    </w:p>
    <w:p>
      <w:pPr>
        <w:pStyle w:val="BookText"/>
        <w:bidi w:val="0"/>
        <w:jc w:val="both"/>
        <w:rPr/>
      </w:pPr>
      <w:r>
        <w:rPr>
          <w:rFonts w:eastAsia="Times New Roman" w:cs="Times New Roman" w:ascii="Times New Roman" w:hAnsi="Times New Roman"/>
          <w:color w:val="111111"/>
          <w:sz w:val="28"/>
          <w:szCs w:val="28"/>
          <w:lang w:val="en-US"/>
        </w:rPr>
        <w:t>ini, alih-alih mempengaruhi, adakalanya mereka juga dipengaruhi</w:t>
      </w:r>
    </w:p>
    <w:p>
      <w:pPr>
        <w:pStyle w:val="BookText"/>
        <w:bidi w:val="0"/>
        <w:jc w:val="both"/>
        <w:rPr/>
      </w:pPr>
      <w:r>
        <w:rPr>
          <w:rFonts w:eastAsia="Times New Roman" w:cs="Times New Roman" w:ascii="Times New Roman" w:hAnsi="Times New Roman"/>
          <w:color w:val="111111"/>
          <w:sz w:val="28"/>
          <w:szCs w:val="28"/>
          <w:lang w:val="en-US"/>
        </w:rPr>
        <w:t>lawan debatnya, sehingga punya kecenderungan ke arah sebagian</w:t>
      </w:r>
    </w:p>
    <w:p>
      <w:pPr>
        <w:pStyle w:val="BookText"/>
        <w:bidi w:val="0"/>
        <w:jc w:val="both"/>
        <w:rPr/>
      </w:pPr>
      <w:r>
        <w:rPr>
          <w:rFonts w:eastAsia="Times New Roman" w:cs="Times New Roman" w:ascii="Times New Roman" w:hAnsi="Times New Roman"/>
          <w:color w:val="111111"/>
          <w:sz w:val="28"/>
          <w:szCs w:val="28"/>
          <w:lang w:val="en-US"/>
        </w:rPr>
        <w:t>keyakinan non-Islam.</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Contoh, perihal gagasan bahwa Alquran hanyalah makhluk, dan</w:t>
      </w:r>
    </w:p>
    <w:p>
      <w:pPr>
        <w:pStyle w:val="BookText"/>
        <w:bidi w:val="0"/>
        <w:jc w:val="both"/>
        <w:rPr/>
      </w:pPr>
      <w:r>
        <w:rPr>
          <w:rFonts w:eastAsia="Times New Roman" w:cs="Times New Roman" w:ascii="Times New Roman" w:hAnsi="Times New Roman"/>
          <w:color w:val="111111"/>
          <w:sz w:val="28"/>
          <w:szCs w:val="28"/>
          <w:lang w:val="en-US"/>
        </w:rPr>
        <w:t>secara umum Kalam Ilalu. Ini tergolong kasus paling menghebohkan</w:t>
      </w:r>
    </w:p>
    <w:p>
      <w:pPr>
        <w:pStyle w:val="BookText"/>
        <w:bidi w:val="0"/>
        <w:jc w:val="both"/>
        <w:rPr/>
      </w:pPr>
      <w:r>
        <w:rPr>
          <w:rFonts w:eastAsia="Times New Roman" w:cs="Times New Roman" w:ascii="Times New Roman" w:hAnsi="Times New Roman"/>
          <w:color w:val="111111"/>
          <w:sz w:val="28"/>
          <w:szCs w:val="28"/>
          <w:lang w:val="en-US"/>
        </w:rPr>
        <w:t>yang memisahkan kaum Muktazilah dan Ahli Hadis—yang</w:t>
      </w:r>
    </w:p>
    <w:p>
      <w:pPr>
        <w:pStyle w:val="BookText"/>
        <w:bidi w:val="0"/>
        <w:jc w:val="both"/>
        <w:rPr/>
      </w:pPr>
      <w:r>
        <w:rPr>
          <w:rFonts w:eastAsia="Times New Roman" w:cs="Times New Roman" w:ascii="Times New Roman" w:hAnsi="Times New Roman"/>
          <w:color w:val="111111"/>
          <w:sz w:val="28"/>
          <w:szCs w:val="28"/>
          <w:lang w:val="en-US"/>
        </w:rPr>
        <w:t>dianggap endapan dari pemikiran Yahudi.</w:t>
      </w:r>
      <w:r>
        <w:rPr>
          <w:rStyle w:val="FootnoteAnchor"/>
        </w:rPr>
        <w:footnoteReference w:id="176"/>
      </w:r>
      <w:r>
        <w:rPr>
          <w:rFonts w:eastAsia="Times New Roman" w:cs="Times New Roman" w:ascii="Times New Roman" w:hAnsi="Times New Roman"/>
          <w:color w:val="111111"/>
          <w:sz w:val="28"/>
          <w:szCs w:val="28"/>
          <w:lang w:val="en-US"/>
        </w:rPr>
        <w:t>Begitu juga dalam soal</w:t>
      </w:r>
    </w:p>
    <w:p>
      <w:pPr>
        <w:pStyle w:val="BookText"/>
        <w:bidi w:val="0"/>
        <w:jc w:val="both"/>
        <w:rPr/>
      </w:pPr>
      <w:r>
        <w:rPr>
          <w:rFonts w:eastAsia="Times New Roman" w:cs="Times New Roman" w:ascii="Times New Roman" w:hAnsi="Times New Roman"/>
          <w:color w:val="111111"/>
          <w:sz w:val="28"/>
          <w:szCs w:val="28"/>
          <w:lang w:val="en-US"/>
        </w:rPr>
        <w:t>menerima prinsip kebebasan dan pilihan mutlak (free will) manusia</w:t>
      </w:r>
    </w:p>
    <w:p>
      <w:pPr>
        <w:pStyle w:val="BookText"/>
        <w:bidi w:val="0"/>
        <w:jc w:val="both"/>
        <w:rPr/>
      </w:pPr>
      <w:r>
        <w:rPr>
          <w:rFonts w:eastAsia="Times New Roman" w:cs="Times New Roman" w:ascii="Times New Roman" w:hAnsi="Times New Roman"/>
          <w:color w:val="111111"/>
          <w:sz w:val="28"/>
          <w:szCs w:val="28"/>
          <w:lang w:val="en-US"/>
        </w:rPr>
        <w:t>dalam setiap tindakannya; penafian Qadlia dan Qadar Tuhan yang</w:t>
      </w:r>
    </w:p>
    <w:p>
      <w:pPr>
        <w:pStyle w:val="BookText"/>
        <w:bidi w:val="0"/>
        <w:jc w:val="both"/>
        <w:rPr/>
      </w:pPr>
      <w:r>
        <w:rPr>
          <w:rFonts w:eastAsia="Times New Roman" w:cs="Times New Roman" w:ascii="Times New Roman" w:hAnsi="Times New Roman"/>
          <w:color w:val="111111"/>
          <w:sz w:val="28"/>
          <w:szCs w:val="28"/>
          <w:lang w:val="en-US"/>
        </w:rPr>
        <w:t>dianggap barang warisan Muktazilah dari Ma’bad Juhani (w. 80 H):</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yang berawal mula dari pemikiran Nasrani,</w:t>
      </w:r>
      <w:r>
        <w:rPr>
          <w:rStyle w:val="FootnoteAnchor"/>
        </w:rPr>
        <w:footnoteReference w:id="177"/>
      </w:r>
      <w:r>
        <w:rPr>
          <w:rFonts w:eastAsia="Times New Roman" w:cs="Times New Roman" w:ascii="Times New Roman" w:hAnsi="Times New Roman"/>
          <w:color w:val="111111"/>
          <w:sz w:val="28"/>
          <w:szCs w:val="28"/>
          <w:lang w:val="en-US"/>
        </w:rPr>
        <w:t xml:space="preserve">persisnya dari Abu </w:t>
      </w:r>
    </w:p>
    <w:p>
      <w:pPr>
        <w:pStyle w:val="BookText"/>
        <w:bidi w:val="0"/>
        <w:rPr/>
      </w:pPr>
      <w:r>
        <w:rPr>
          <w:rFonts w:eastAsia="Times New Roman" w:cs="Times New Roman" w:ascii="Times New Roman" w:hAnsi="Times New Roman"/>
          <w:color w:val="111111"/>
          <w:sz w:val="28"/>
          <w:szCs w:val="28"/>
          <w:lang w:val="en-US"/>
        </w:rPr>
        <w:t>Yunus Aswari Nasrani.</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Menurut keyakinan sebagian pengamat sejarah pemikiran</w:t>
      </w:r>
    </w:p>
    <w:p>
      <w:pPr>
        <w:pStyle w:val="BookText"/>
        <w:bidi w:val="0"/>
        <w:jc w:val="both"/>
        <w:rPr/>
      </w:pPr>
      <w:r>
        <w:rPr>
          <w:rFonts w:eastAsia="Times New Roman" w:cs="Times New Roman" w:ascii="Times New Roman" w:hAnsi="Times New Roman"/>
          <w:color w:val="111111"/>
          <w:sz w:val="28"/>
          <w:szCs w:val="28"/>
          <w:lang w:val="en-US"/>
        </w:rPr>
        <w:t>Timur Tengah, bukan hanya menyangkut beberapa persoalan khusus</w:t>
      </w:r>
    </w:p>
    <w:p>
      <w:pPr>
        <w:pStyle w:val="BookText"/>
        <w:bidi w:val="0"/>
        <w:jc w:val="both"/>
        <w:rPr/>
      </w:pPr>
      <w:r>
        <w:rPr>
          <w:rFonts w:eastAsia="Times New Roman" w:cs="Times New Roman" w:ascii="Times New Roman" w:hAnsi="Times New Roman"/>
          <w:color w:val="111111"/>
          <w:sz w:val="28"/>
          <w:szCs w:val="28"/>
          <w:lang w:val="en-US"/>
        </w:rPr>
        <w:t>(seperti: keyakinan tentang Qadar), fondasi rasionalisme Muktazilah</w:t>
      </w:r>
    </w:p>
    <w:p>
      <w:pPr>
        <w:pStyle w:val="BookText"/>
        <w:bidi w:val="0"/>
        <w:jc w:val="both"/>
        <w:rPr/>
      </w:pPr>
      <w:r>
        <w:rPr>
          <w:rFonts w:eastAsia="Times New Roman" w:cs="Times New Roman" w:ascii="Times New Roman" w:hAnsi="Times New Roman"/>
          <w:color w:val="111111"/>
          <w:sz w:val="28"/>
          <w:szCs w:val="28"/>
          <w:lang w:val="en-US"/>
        </w:rPr>
        <w:t>dibangun di atas teologi Nasrani.</w:t>
      </w:r>
    </w:p>
    <w:p>
      <w:pPr>
        <w:pStyle w:val="BookText"/>
        <w:bidi w:val="0"/>
        <w:jc w:val="both"/>
        <w:rPr/>
      </w:pPr>
      <w:r>
        <w:rPr>
          <w:rFonts w:eastAsia="Times New Roman" w:cs="Times New Roman" w:ascii="Times New Roman" w:hAnsi="Times New Roman"/>
          <w:color w:val="111111"/>
          <w:sz w:val="28"/>
          <w:szCs w:val="28"/>
          <w:lang w:val="en-US"/>
        </w:rPr>
        <w:t>Kaum Muktazilah mengadopsi prinsip keutamaan akal manusia</w:t>
      </w:r>
    </w:p>
    <w:p>
      <w:pPr>
        <w:pStyle w:val="BookText"/>
        <w:bidi w:val="0"/>
        <w:jc w:val="both"/>
        <w:rPr/>
      </w:pPr>
      <w:r>
        <w:rPr>
          <w:rFonts w:eastAsia="Times New Roman" w:cs="Times New Roman" w:ascii="Times New Roman" w:hAnsi="Times New Roman"/>
          <w:color w:val="111111"/>
          <w:sz w:val="28"/>
          <w:szCs w:val="28"/>
          <w:lang w:val="en-US"/>
        </w:rPr>
        <w:t>dari Tsabit bin Qurah. Mereka percaya, Tuhan dapat dikenal</w:t>
      </w:r>
    </w:p>
    <w:p>
      <w:pPr>
        <w:pStyle w:val="BookText"/>
        <w:bidi w:val="0"/>
        <w:jc w:val="both"/>
        <w:rPr/>
      </w:pPr>
      <w:r>
        <w:rPr>
          <w:rFonts w:eastAsia="Times New Roman" w:cs="Times New Roman" w:ascii="Times New Roman" w:hAnsi="Times New Roman"/>
          <w:color w:val="111111"/>
          <w:sz w:val="28"/>
          <w:szCs w:val="28"/>
          <w:lang w:val="en-US"/>
        </w:rPr>
        <w:t>via akal. Inilah salah satu alasan Dia mencipta manusia sebagai</w:t>
      </w:r>
    </w:p>
    <w:p>
      <w:pPr>
        <w:pStyle w:val="BookText"/>
        <w:bidi w:val="0"/>
        <w:jc w:val="both"/>
        <w:rPr/>
      </w:pPr>
      <w:r>
        <w:rPr>
          <w:rFonts w:eastAsia="Times New Roman" w:cs="Times New Roman" w:ascii="Times New Roman" w:hAnsi="Times New Roman"/>
          <w:color w:val="111111"/>
          <w:sz w:val="28"/>
          <w:szCs w:val="28"/>
          <w:lang w:val="en-US"/>
        </w:rPr>
        <w:t>makhluk berakal. Akal manusia juga mampu membedakan</w:t>
      </w:r>
    </w:p>
    <w:p>
      <w:pPr>
        <w:pStyle w:val="BookText"/>
        <w:bidi w:val="0"/>
        <w:jc w:val="both"/>
        <w:rPr/>
      </w:pPr>
      <w:r>
        <w:rPr>
          <w:rFonts w:eastAsia="Times New Roman" w:cs="Times New Roman" w:ascii="Times New Roman" w:hAnsi="Times New Roman"/>
          <w:color w:val="111111"/>
          <w:sz w:val="28"/>
          <w:szCs w:val="28"/>
          <w:lang w:val="en-US"/>
        </w:rPr>
        <w:t>baik dan buruk. Begitu pula dalam memastikan kebenaran</w:t>
      </w:r>
    </w:p>
    <w:p>
      <w:pPr>
        <w:pStyle w:val="BookText"/>
        <w:bidi w:val="0"/>
        <w:jc w:val="both"/>
        <w:rPr/>
      </w:pPr>
      <w:r>
        <w:rPr>
          <w:rFonts w:eastAsia="Times New Roman" w:cs="Times New Roman" w:ascii="Times New Roman" w:hAnsi="Times New Roman"/>
          <w:color w:val="111111"/>
          <w:sz w:val="28"/>
          <w:szCs w:val="28"/>
          <w:lang w:val="en-US"/>
        </w:rPr>
        <w:t>Islam, mereka menerapkan metodologi Tsabit (menggunakan</w:t>
      </w:r>
    </w:p>
    <w:p>
      <w:pPr>
        <w:pStyle w:val="BookText"/>
        <w:bidi w:val="0"/>
        <w:jc w:val="both"/>
        <w:rPr/>
      </w:pPr>
      <w:r>
        <w:rPr>
          <w:rFonts w:eastAsia="Times New Roman" w:cs="Times New Roman" w:ascii="Times New Roman" w:hAnsi="Times New Roman"/>
          <w:color w:val="111111"/>
          <w:sz w:val="28"/>
          <w:szCs w:val="28"/>
          <w:lang w:val="en-US"/>
        </w:rPr>
        <w:t>argumentasi akal, sebagai ganti argumentasi tekstual, untuk</w:t>
      </w:r>
    </w:p>
    <w:p>
      <w:pPr>
        <w:pStyle w:val="BookText"/>
        <w:bidi w:val="0"/>
        <w:jc w:val="both"/>
        <w:rPr/>
      </w:pPr>
      <w:r>
        <w:rPr>
          <w:rFonts w:eastAsia="Times New Roman" w:cs="Times New Roman" w:ascii="Times New Roman" w:hAnsi="Times New Roman"/>
          <w:color w:val="111111"/>
          <w:sz w:val="28"/>
          <w:szCs w:val="28"/>
          <w:lang w:val="en-US"/>
        </w:rPr>
        <w:t>menentukan kebenaran ajaran Nasrani). Darinya, muncul kaidah</w:t>
      </w:r>
    </w:p>
    <w:p>
      <w:pPr>
        <w:pStyle w:val="BookText"/>
        <w:bidi w:val="0"/>
        <w:jc w:val="both"/>
        <w:rPr/>
      </w:pPr>
      <w:r>
        <w:rPr>
          <w:rFonts w:eastAsia="Times New Roman" w:cs="Times New Roman" w:ascii="Times New Roman" w:hAnsi="Times New Roman"/>
          <w:color w:val="111111"/>
          <w:sz w:val="28"/>
          <w:szCs w:val="28"/>
          <w:lang w:val="en-US"/>
        </w:rPr>
        <w:t>mereka yang sangat popular, ‘berfikir sebelum teks’. Dengan</w:t>
      </w:r>
    </w:p>
    <w:p>
      <w:pPr>
        <w:pStyle w:val="BookText"/>
        <w:bidi w:val="0"/>
        <w:jc w:val="both"/>
        <w:rPr/>
      </w:pPr>
      <w:r>
        <w:rPr>
          <w:rFonts w:eastAsia="Times New Roman" w:cs="Times New Roman" w:ascii="Times New Roman" w:hAnsi="Times New Roman"/>
          <w:color w:val="111111"/>
          <w:sz w:val="28"/>
          <w:szCs w:val="28"/>
          <w:lang w:val="en-US"/>
        </w:rPr>
        <w:t>begitu, kaum Muktazilah berkembang di bawah pengaruh</w:t>
      </w:r>
    </w:p>
    <w:p>
      <w:pPr>
        <w:pStyle w:val="BookText"/>
        <w:bidi w:val="0"/>
        <w:jc w:val="both"/>
        <w:rPr/>
      </w:pPr>
      <w:r>
        <w:rPr>
          <w:rFonts w:eastAsia="Times New Roman" w:cs="Times New Roman" w:ascii="Times New Roman" w:hAnsi="Times New Roman"/>
          <w:color w:val="111111"/>
          <w:sz w:val="28"/>
          <w:szCs w:val="28"/>
          <w:lang w:val="en-US"/>
        </w:rPr>
        <w:t>ajaran Nasrani. Mereka mempersenjatai diri dengan argumentasi</w:t>
      </w:r>
    </w:p>
    <w:p>
      <w:pPr>
        <w:pStyle w:val="BookText"/>
        <w:bidi w:val="0"/>
        <w:jc w:val="both"/>
        <w:rPr/>
      </w:pPr>
      <w:r>
        <w:rPr>
          <w:rFonts w:eastAsia="Times New Roman" w:cs="Times New Roman" w:ascii="Times New Roman" w:hAnsi="Times New Roman"/>
          <w:color w:val="111111"/>
          <w:sz w:val="28"/>
          <w:szCs w:val="28"/>
          <w:lang w:val="en-US"/>
        </w:rPr>
        <w:t>rasional.</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Sebagian penulis bahkan menilai lebih dari itu. Kelompok ini</w:t>
      </w:r>
    </w:p>
    <w:p>
      <w:pPr>
        <w:pStyle w:val="BookText"/>
        <w:bidi w:val="0"/>
        <w:jc w:val="both"/>
        <w:rPr/>
      </w:pPr>
      <w:r>
        <w:rPr>
          <w:rFonts w:eastAsia="Times New Roman" w:cs="Times New Roman" w:ascii="Times New Roman" w:hAnsi="Times New Roman"/>
          <w:color w:val="111111"/>
          <w:sz w:val="28"/>
          <w:szCs w:val="28"/>
          <w:lang w:val="en-US"/>
        </w:rPr>
        <w:t>disebut ‘Muktazilah’, kata mereka, karena kemiripannya dengan</w:t>
      </w:r>
    </w:p>
    <w:p>
      <w:pPr>
        <w:pStyle w:val="BookText"/>
        <w:bidi w:val="0"/>
        <w:jc w:val="both"/>
        <w:rPr/>
      </w:pPr>
      <w:r>
        <w:rPr>
          <w:rFonts w:eastAsia="Times New Roman" w:cs="Times New Roman" w:ascii="Times New Roman" w:hAnsi="Times New Roman"/>
          <w:color w:val="111111"/>
          <w:sz w:val="28"/>
          <w:szCs w:val="28"/>
          <w:lang w:val="en-US"/>
        </w:rPr>
        <w:t>salah satu sekte agama Yahudi, Farushlm (Farisi), yang artinya sama</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Muktazilah: </w:t>
      </w:r>
      <w:r>
        <w:rPr>
          <w:rStyle w:val="FootnoteAnchor"/>
        </w:rPr>
        <w:footnoteReference w:id="180"/>
      </w:r>
      <w:r>
        <w:rPr>
          <w:rFonts w:eastAsia="Times New Roman" w:cs="Times New Roman" w:ascii="Times New Roman" w:hAnsi="Times New Roman"/>
          <w:color w:val="111111"/>
          <w:sz w:val="28"/>
          <w:szCs w:val="28"/>
          <w:lang w:val="en-US"/>
        </w:rPr>
        <w:t>mengasingkan diri”.</w:t>
      </w:r>
      <w:r>
        <w:rPr>
          <w:rStyle w:val="FootnoteAnchor"/>
        </w:rPr>
        <w:footnoteReference w:id="181"/>
      </w:r>
      <w:bookmarkStart w:id="182" w:name="pg5378_50553"/>
    </w:p>
    <w:p>
      <w:pPr>
        <w:pStyle w:val="Heading5"/>
        <w:numPr>
          <w:ilvl w:val="4"/>
          <w:numId w:val="1"/>
        </w:numPr>
        <w:bidi w:val="0"/>
        <w:jc w:val="left"/>
        <w:rPr/>
      </w:pPr>
      <w:bookmarkStart w:id="183" w:name="__RefHeading___Toc1351178_581953129"/>
      <w:bookmarkStart w:id="184" w:name="_Toc68"/>
      <w:bookmarkEnd w:id="182"/>
      <w:bookmarkEnd w:id="183"/>
      <w:r>
        <w:rPr/>
        <w:t>Kritik dan Analisis</w:t>
      </w:r>
      <w:bookmarkEnd w:id="184"/>
    </w:p>
    <w:p>
      <w:pPr>
        <w:pStyle w:val="BookText"/>
        <w:bidi w:val="0"/>
        <w:jc w:val="both"/>
        <w:rPr/>
      </w:pPr>
      <w:r>
        <w:rPr>
          <w:rFonts w:eastAsia="Times New Roman" w:cs="Times New Roman" w:ascii="Times New Roman" w:hAnsi="Times New Roman"/>
          <w:color w:val="111111"/>
          <w:sz w:val="28"/>
          <w:szCs w:val="28"/>
          <w:lang w:val="en-US"/>
        </w:rPr>
        <w:t>Pertama, tak diragukan lagi, kaum Muktazilah memiliki hubungan</w:t>
      </w:r>
    </w:p>
    <w:p>
      <w:pPr>
        <w:pStyle w:val="BookText"/>
        <w:bidi w:val="0"/>
        <w:jc w:val="both"/>
        <w:rPr/>
      </w:pPr>
      <w:r>
        <w:rPr>
          <w:rFonts w:eastAsia="Times New Roman" w:cs="Times New Roman" w:ascii="Times New Roman" w:hAnsi="Times New Roman"/>
          <w:color w:val="111111"/>
          <w:sz w:val="28"/>
          <w:szCs w:val="28"/>
          <w:lang w:val="en-US"/>
        </w:rPr>
        <w:t>dengan para pengikut agama dan sekte non-Islam, juga punya</w:t>
      </w:r>
    </w:p>
    <w:p>
      <w:pPr>
        <w:pStyle w:val="BookText"/>
        <w:bidi w:val="0"/>
        <w:jc w:val="both"/>
        <w:rPr/>
      </w:pPr>
      <w:r>
        <w:rPr>
          <w:rFonts w:eastAsia="Times New Roman" w:cs="Times New Roman" w:ascii="Times New Roman" w:hAnsi="Times New Roman"/>
          <w:color w:val="111111"/>
          <w:sz w:val="28"/>
          <w:szCs w:val="28"/>
          <w:lang w:val="en-US"/>
        </w:rPr>
        <w:t>penguasaan yang memadai terhadap kandungan kitab suci kaum</w:t>
      </w:r>
    </w:p>
    <w:p>
      <w:pPr>
        <w:pStyle w:val="BookText"/>
        <w:bidi w:val="0"/>
        <w:jc w:val="both"/>
        <w:rPr/>
      </w:pPr>
      <w:r>
        <w:rPr>
          <w:rFonts w:eastAsia="Times New Roman" w:cs="Times New Roman" w:ascii="Times New Roman" w:hAnsi="Times New Roman"/>
          <w:color w:val="111111"/>
          <w:sz w:val="28"/>
          <w:szCs w:val="28"/>
          <w:lang w:val="en-US"/>
        </w:rPr>
        <w:t>Yahudi dan Nasrani. Nazdam Muktazili (w. 231 H), misalnya,</w:t>
      </w:r>
    </w:p>
    <w:p>
      <w:pPr>
        <w:pStyle w:val="BookText"/>
        <w:bidi w:val="0"/>
        <w:jc w:val="both"/>
        <w:rPr/>
      </w:pPr>
      <w:r>
        <w:rPr>
          <w:rFonts w:eastAsia="Times New Roman" w:cs="Times New Roman" w:ascii="Times New Roman" w:hAnsi="Times New Roman"/>
          <w:color w:val="111111"/>
          <w:sz w:val="28"/>
          <w:szCs w:val="28"/>
          <w:lang w:val="en-US"/>
        </w:rPr>
        <w:t>termasuk penghafal Alquran, Taurat, Injil, dan Zabur, sekaligus</w:t>
      </w:r>
    </w:p>
    <w:p>
      <w:pPr>
        <w:pStyle w:val="BookText"/>
        <w:bidi w:val="0"/>
        <w:jc w:val="both"/>
        <w:rPr/>
      </w:pPr>
      <w:r>
        <w:rPr>
          <w:rFonts w:eastAsia="Times New Roman" w:cs="Times New Roman" w:ascii="Times New Roman" w:hAnsi="Times New Roman"/>
          <w:color w:val="111111"/>
          <w:sz w:val="28"/>
          <w:szCs w:val="28"/>
          <w:lang w:val="en-US"/>
        </w:rPr>
        <w:t>memahami tafsir-tafsirnya.</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Risalah karya Jahizd (w. 255 H) seputar ‘Kritik Nasrani’’</w:t>
      </w:r>
      <w:r>
        <w:rPr>
          <w:rStyle w:val="FootnoteAnchor"/>
        </w:rPr>
        <w:footnoteReference w:id="183"/>
      </w:r>
      <w:r>
        <w:rPr>
          <w:rFonts w:eastAsia="Times New Roman" w:cs="Times New Roman" w:ascii="Times New Roman" w:hAnsi="Times New Roman"/>
          <w:color w:val="111111"/>
          <w:sz w:val="28"/>
          <w:szCs w:val="28"/>
          <w:lang w:val="en-US"/>
        </w:rPr>
        <w:t>juga</w:t>
      </w:r>
    </w:p>
    <w:p>
      <w:pPr>
        <w:pStyle w:val="BookText"/>
        <w:bidi w:val="0"/>
        <w:jc w:val="both"/>
        <w:rPr/>
      </w:pPr>
      <w:r>
        <w:rPr>
          <w:rFonts w:eastAsia="Times New Roman" w:cs="Times New Roman" w:ascii="Times New Roman" w:hAnsi="Times New Roman"/>
          <w:color w:val="111111"/>
          <w:sz w:val="28"/>
          <w:szCs w:val="28"/>
          <w:lang w:val="en-US"/>
        </w:rPr>
        <w:t>membuktikan dirinya sangat menguasai Kitab Perjanjian Lama dan</w:t>
      </w:r>
    </w:p>
    <w:p>
      <w:pPr>
        <w:pStyle w:val="BookText"/>
        <w:bidi w:val="0"/>
        <w:jc w:val="both"/>
        <w:rPr/>
      </w:pPr>
      <w:r>
        <w:rPr>
          <w:rFonts w:eastAsia="Times New Roman" w:cs="Times New Roman" w:ascii="Times New Roman" w:hAnsi="Times New Roman"/>
          <w:color w:val="111111"/>
          <w:sz w:val="28"/>
          <w:szCs w:val="28"/>
          <w:lang w:val="en-US"/>
        </w:rPr>
        <w:t>Perjanjian Baru. Namun, kecenderungan kaum Muktazilah merujuk</w:t>
      </w:r>
    </w:p>
    <w:p>
      <w:pPr>
        <w:pStyle w:val="BookText"/>
        <w:bidi w:val="0"/>
        <w:jc w:val="both"/>
        <w:rPr/>
      </w:pPr>
      <w:r>
        <w:rPr>
          <w:rFonts w:eastAsia="Times New Roman" w:cs="Times New Roman" w:ascii="Times New Roman" w:hAnsi="Times New Roman"/>
          <w:color w:val="111111"/>
          <w:sz w:val="28"/>
          <w:szCs w:val="28"/>
          <w:lang w:val="en-US"/>
        </w:rPr>
        <w:t>kitab-kitab non-Muslim tidak berarti semua itu diadopsi sebagai</w:t>
      </w:r>
    </w:p>
    <w:p>
      <w:pPr>
        <w:pStyle w:val="BookText"/>
        <w:bidi w:val="0"/>
        <w:jc w:val="both"/>
        <w:rPr/>
      </w:pPr>
      <w:r>
        <w:rPr>
          <w:rFonts w:eastAsia="Times New Roman" w:cs="Times New Roman" w:ascii="Times New Roman" w:hAnsi="Times New Roman"/>
          <w:color w:val="111111"/>
          <w:sz w:val="28"/>
          <w:szCs w:val="28"/>
          <w:lang w:val="en-US"/>
        </w:rPr>
        <w:t>sumber penafsiran ajarannya, tetapi justru untuk menjawab berbagai</w:t>
      </w:r>
    </w:p>
    <w:p>
      <w:pPr>
        <w:pStyle w:val="BookText"/>
        <w:bidi w:val="0"/>
        <w:jc w:val="both"/>
        <w:rPr/>
      </w:pPr>
      <w:r>
        <w:rPr>
          <w:rFonts w:eastAsia="Times New Roman" w:cs="Times New Roman" w:ascii="Times New Roman" w:hAnsi="Times New Roman"/>
          <w:color w:val="111111"/>
          <w:sz w:val="28"/>
          <w:szCs w:val="28"/>
          <w:lang w:val="en-US"/>
        </w:rPr>
        <w:t>problematik keimanan yang dilontarkan [kalangan non-Muslim].</w:t>
      </w:r>
    </w:p>
    <w:p>
      <w:pPr>
        <w:pStyle w:val="BookText"/>
        <w:bidi w:val="0"/>
        <w:jc w:val="both"/>
        <w:rPr/>
      </w:pPr>
      <w:r>
        <w:rPr>
          <w:rFonts w:eastAsia="Times New Roman" w:cs="Times New Roman" w:ascii="Times New Roman" w:hAnsi="Times New Roman"/>
          <w:color w:val="111111"/>
          <w:sz w:val="28"/>
          <w:szCs w:val="28"/>
          <w:lang w:val="en-US"/>
        </w:rPr>
        <w:t>Kedua, kemiripan dua kelompok dalam hal pemikiran tidak serta</w:t>
      </w:r>
    </w:p>
    <w:p>
      <w:pPr>
        <w:pStyle w:val="BookText"/>
        <w:bidi w:val="0"/>
        <w:jc w:val="both"/>
        <w:rPr/>
      </w:pPr>
      <w:r>
        <w:rPr>
          <w:rFonts w:eastAsia="Times New Roman" w:cs="Times New Roman" w:ascii="Times New Roman" w:hAnsi="Times New Roman"/>
          <w:color w:val="111111"/>
          <w:sz w:val="28"/>
          <w:szCs w:val="28"/>
          <w:lang w:val="en-US"/>
        </w:rPr>
        <w:t>merta mengindikasikan terjadinya proses adopsi. Sejarah pengetahuan</w:t>
      </w:r>
    </w:p>
    <w:p>
      <w:pPr>
        <w:pStyle w:val="BookText"/>
        <w:bidi w:val="0"/>
        <w:jc w:val="both"/>
        <w:rPr/>
      </w:pPr>
      <w:r>
        <w:rPr>
          <w:rFonts w:eastAsia="Times New Roman" w:cs="Times New Roman" w:ascii="Times New Roman" w:hAnsi="Times New Roman"/>
          <w:color w:val="111111"/>
          <w:sz w:val="28"/>
          <w:szCs w:val="28"/>
          <w:lang w:val="en-US"/>
        </w:rPr>
        <w:t>telah membuktikan banyaknya koherensi dan persesuaian di antara</w:t>
      </w:r>
    </w:p>
    <w:p>
      <w:pPr>
        <w:pStyle w:val="BookText"/>
        <w:bidi w:val="0"/>
        <w:jc w:val="both"/>
        <w:rPr/>
      </w:pPr>
      <w:r>
        <w:rPr>
          <w:rFonts w:eastAsia="Times New Roman" w:cs="Times New Roman" w:ascii="Times New Roman" w:hAnsi="Times New Roman"/>
          <w:color w:val="111111"/>
          <w:sz w:val="28"/>
          <w:szCs w:val="28"/>
          <w:lang w:val="en-US"/>
        </w:rPr>
        <w:t>berbagai mazhab pemikiran tanpa saling pengaruh satu sama lain.</w:t>
      </w:r>
    </w:p>
    <w:p>
      <w:pPr>
        <w:pStyle w:val="BookText"/>
        <w:bidi w:val="0"/>
        <w:jc w:val="both"/>
        <w:rPr/>
      </w:pPr>
      <w:r>
        <w:rPr>
          <w:rFonts w:eastAsia="Times New Roman" w:cs="Times New Roman" w:ascii="Times New Roman" w:hAnsi="Times New Roman"/>
          <w:color w:val="111111"/>
          <w:sz w:val="28"/>
          <w:szCs w:val="28"/>
          <w:lang w:val="en-US"/>
        </w:rPr>
        <w:t>Ketiga, dalam sejarah pemikiran teologi (kalam), menuduh</w:t>
      </w:r>
    </w:p>
    <w:p>
      <w:pPr>
        <w:pStyle w:val="BookText"/>
        <w:bidi w:val="0"/>
        <w:jc w:val="both"/>
        <w:rPr/>
      </w:pPr>
      <w:r>
        <w:rPr>
          <w:rFonts w:eastAsia="Times New Roman" w:cs="Times New Roman" w:ascii="Times New Roman" w:hAnsi="Times New Roman"/>
          <w:color w:val="111111"/>
          <w:sz w:val="28"/>
          <w:szCs w:val="28"/>
          <w:lang w:val="en-US"/>
        </w:rPr>
        <w:t>pihak lain mengadopsi gagasan agama dan mazhab lain telah</w:t>
      </w:r>
    </w:p>
    <w:p>
      <w:pPr>
        <w:pStyle w:val="BookText"/>
        <w:bidi w:val="0"/>
        <w:jc w:val="both"/>
        <w:rPr/>
      </w:pPr>
      <w:r>
        <w:rPr>
          <w:rFonts w:eastAsia="Times New Roman" w:cs="Times New Roman" w:ascii="Times New Roman" w:hAnsi="Times New Roman"/>
          <w:color w:val="111111"/>
          <w:sz w:val="28"/>
          <w:szCs w:val="28"/>
          <w:lang w:val="en-US"/>
        </w:rPr>
        <w:t>menjadi sebuah metode yang efektif untuk menjatuhkan pihak</w:t>
      </w:r>
    </w:p>
    <w:p>
      <w:pPr>
        <w:pStyle w:val="BookText"/>
        <w:bidi w:val="0"/>
        <w:jc w:val="both"/>
        <w:rPr/>
      </w:pPr>
      <w:r>
        <w:rPr>
          <w:rFonts w:eastAsia="Times New Roman" w:cs="Times New Roman" w:ascii="Times New Roman" w:hAnsi="Times New Roman"/>
          <w:color w:val="111111"/>
          <w:sz w:val="28"/>
          <w:szCs w:val="28"/>
          <w:lang w:val="en-US"/>
        </w:rPr>
        <w:t>lawan. Itu dilakukan dengan menyebut-sebut sejumlah sosok yang</w:t>
      </w:r>
    </w:p>
    <w:p>
      <w:pPr>
        <w:pStyle w:val="BookText"/>
        <w:bidi w:val="0"/>
        <w:jc w:val="both"/>
        <w:rPr/>
      </w:pPr>
      <w:r>
        <w:rPr>
          <w:rFonts w:eastAsia="Times New Roman" w:cs="Times New Roman" w:ascii="Times New Roman" w:hAnsi="Times New Roman"/>
          <w:color w:val="111111"/>
          <w:sz w:val="28"/>
          <w:szCs w:val="28"/>
          <w:lang w:val="en-US"/>
        </w:rPr>
        <w:t>dituduh menjadi perantara adopsi pengetahuan nonislami, padahal</w:t>
      </w:r>
    </w:p>
    <w:p>
      <w:pPr>
        <w:pStyle w:val="BookText"/>
        <w:bidi w:val="0"/>
        <w:jc w:val="both"/>
        <w:rPr/>
      </w:pPr>
      <w:r>
        <w:rPr>
          <w:rFonts w:eastAsia="Times New Roman" w:cs="Times New Roman" w:ascii="Times New Roman" w:hAnsi="Times New Roman"/>
          <w:color w:val="111111"/>
          <w:sz w:val="28"/>
          <w:szCs w:val="28"/>
          <w:lang w:val="en-US"/>
        </w:rPr>
        <w:t>keberadaan mereka secara historis diragukan.</w:t>
      </w:r>
    </w:p>
    <w:p>
      <w:pPr>
        <w:pStyle w:val="BookText"/>
        <w:bidi w:val="0"/>
        <w:jc w:val="both"/>
        <w:rPr/>
      </w:pPr>
      <w:r>
        <w:rPr>
          <w:rFonts w:eastAsia="Times New Roman" w:cs="Times New Roman" w:ascii="Times New Roman" w:hAnsi="Times New Roman"/>
          <w:color w:val="111111"/>
          <w:sz w:val="28"/>
          <w:szCs w:val="28"/>
          <w:lang w:val="en-US"/>
        </w:rPr>
        <w:t>Sayang, sebagian penulis sejarah teologi masih menggunakan</w:t>
      </w:r>
    </w:p>
    <w:p>
      <w:pPr>
        <w:pStyle w:val="BookText"/>
        <w:bidi w:val="0"/>
        <w:jc w:val="both"/>
        <w:rPr/>
      </w:pPr>
      <w:r>
        <w:rPr>
          <w:rFonts w:eastAsia="Times New Roman" w:cs="Times New Roman" w:ascii="Times New Roman" w:hAnsi="Times New Roman"/>
          <w:color w:val="111111"/>
          <w:sz w:val="28"/>
          <w:szCs w:val="28"/>
          <w:lang w:val="en-US"/>
        </w:rPr>
        <w:t>metode ini, yang tergolong rapuh dan ad hominem, untuk usaha</w:t>
      </w:r>
    </w:p>
    <w:p>
      <w:pPr>
        <w:pStyle w:val="BookText"/>
        <w:bidi w:val="0"/>
        <w:jc w:val="both"/>
        <w:rPr/>
      </w:pPr>
      <w:r>
        <w:rPr>
          <w:rFonts w:eastAsia="Times New Roman" w:cs="Times New Roman" w:ascii="Times New Roman" w:hAnsi="Times New Roman"/>
          <w:color w:val="111111"/>
          <w:sz w:val="28"/>
          <w:szCs w:val="28"/>
          <w:lang w:val="en-US"/>
        </w:rPr>
        <w:t>mereka melacak akar semua pengetahuan keislaman di dalam ajaran</w:t>
      </w:r>
    </w:p>
    <w:p>
      <w:pPr>
        <w:pStyle w:val="BookText"/>
        <w:bidi w:val="0"/>
        <w:jc w:val="both"/>
        <w:rPr/>
      </w:pPr>
      <w:r>
        <w:rPr>
          <w:rFonts w:eastAsia="Times New Roman" w:cs="Times New Roman" w:ascii="Times New Roman" w:hAnsi="Times New Roman"/>
          <w:color w:val="111111"/>
          <w:sz w:val="28"/>
          <w:szCs w:val="28"/>
          <w:lang w:val="en-US"/>
        </w:rPr>
        <w:t>Yahudi dan Nasrani, baik dari segi mistis (tasawwuf), dasar-dasar</w:t>
      </w:r>
    </w:p>
    <w:p>
      <w:pPr>
        <w:pStyle w:val="BookText"/>
        <w:bidi w:val="0"/>
        <w:jc w:val="both"/>
        <w:rPr/>
      </w:pPr>
      <w:r>
        <w:rPr>
          <w:rFonts w:eastAsia="Times New Roman" w:cs="Times New Roman" w:ascii="Times New Roman" w:hAnsi="Times New Roman"/>
          <w:color w:val="111111"/>
          <w:sz w:val="28"/>
          <w:szCs w:val="28"/>
          <w:lang w:val="en-US"/>
        </w:rPr>
        <w:t>agama (usuhuluddin), hingga cabangnya (furu’uddin). Tentu saja,</w:t>
      </w:r>
    </w:p>
    <w:p>
      <w:pPr>
        <w:pStyle w:val="BookText"/>
        <w:bidi w:val="0"/>
        <w:jc w:val="both"/>
        <w:rPr/>
      </w:pPr>
      <w:r>
        <w:rPr>
          <w:rFonts w:eastAsia="Times New Roman" w:cs="Times New Roman" w:ascii="Times New Roman" w:hAnsi="Times New Roman"/>
          <w:color w:val="111111"/>
          <w:sz w:val="28"/>
          <w:szCs w:val="28"/>
          <w:lang w:val="en-US"/>
        </w:rPr>
        <w:t>itu bukan justifikasi yang proporsional, objektif, dan ilmiah. Kaum</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Muktazilah, misalnya, memandang bahwa Alquran itu makhluk, </w:t>
      </w:r>
    </w:p>
    <w:p>
      <w:pPr>
        <w:pStyle w:val="BookText"/>
        <w:bidi w:val="0"/>
        <w:rPr/>
      </w:pPr>
      <w:r>
        <w:rPr>
          <w:rFonts w:eastAsia="Times New Roman" w:cs="Times New Roman" w:ascii="Times New Roman" w:hAnsi="Times New Roman"/>
          <w:color w:val="111111"/>
          <w:sz w:val="28"/>
          <w:szCs w:val="28"/>
          <w:lang w:val="en-US"/>
        </w:rPr>
        <w:t>lantas muncul tudingan bahwa mereka [kaum Muktazilah] telah</w:t>
      </w:r>
    </w:p>
    <w:p>
      <w:pPr>
        <w:pStyle w:val="BookText"/>
        <w:bidi w:val="0"/>
        <w:jc w:val="both"/>
        <w:rPr/>
      </w:pPr>
      <w:r>
        <w:rPr>
          <w:rFonts w:eastAsia="Times New Roman" w:cs="Times New Roman" w:ascii="Times New Roman" w:hAnsi="Times New Roman"/>
          <w:color w:val="111111"/>
          <w:sz w:val="28"/>
          <w:szCs w:val="28"/>
          <w:lang w:val="en-US"/>
        </w:rPr>
        <w:t>mengadopsi ajaran Yahudi. Padahal mereka sendiri menyatakan,</w:t>
      </w:r>
    </w:p>
    <w:p>
      <w:pPr>
        <w:pStyle w:val="BookText"/>
        <w:bidi w:val="0"/>
        <w:jc w:val="both"/>
        <w:rPr/>
      </w:pPr>
      <w:r>
        <w:rPr>
          <w:rFonts w:eastAsia="Times New Roman" w:cs="Times New Roman" w:ascii="Times New Roman" w:hAnsi="Times New Roman"/>
          <w:color w:val="111111"/>
          <w:sz w:val="28"/>
          <w:szCs w:val="28"/>
          <w:lang w:val="en-US"/>
        </w:rPr>
        <w:t>rumusan ini dimaksudkan sebagai antisipasi terhadap upaya kaum</w:t>
      </w:r>
    </w:p>
    <w:p>
      <w:pPr>
        <w:pStyle w:val="BookText"/>
        <w:bidi w:val="0"/>
        <w:jc w:val="both"/>
        <w:rPr/>
      </w:pPr>
      <w:r>
        <w:rPr>
          <w:rFonts w:eastAsia="Times New Roman" w:cs="Times New Roman" w:ascii="Times New Roman" w:hAnsi="Times New Roman"/>
          <w:color w:val="111111"/>
          <w:sz w:val="28"/>
          <w:szCs w:val="28"/>
          <w:lang w:val="en-US"/>
        </w:rPr>
        <w:t>Nasrani yang menyalahgunakan konsep ketakberawalan Tuhan.</w:t>
      </w:r>
    </w:p>
    <w:p>
      <w:pPr>
        <w:pStyle w:val="BookText"/>
        <w:bidi w:val="0"/>
        <w:jc w:val="both"/>
        <w:rPr/>
      </w:pPr>
      <w:r>
        <w:rPr>
          <w:rFonts w:eastAsia="Times New Roman" w:cs="Times New Roman" w:ascii="Times New Roman" w:hAnsi="Times New Roman"/>
          <w:color w:val="111111"/>
          <w:sz w:val="28"/>
          <w:szCs w:val="28"/>
          <w:lang w:val="en-US"/>
        </w:rPr>
        <w:t>Argumentasinya, Alquran menegaskan bahwa_ Isa Al-Masih as</w:t>
      </w:r>
    </w:p>
    <w:p>
      <w:pPr>
        <w:pStyle w:val="BookText"/>
        <w:bidi w:val="0"/>
        <w:jc w:val="both"/>
        <w:rPr/>
      </w:pPr>
      <w:r>
        <w:rPr>
          <w:rFonts w:eastAsia="Times New Roman" w:cs="Times New Roman" w:ascii="Times New Roman" w:hAnsi="Times New Roman"/>
          <w:color w:val="111111"/>
          <w:sz w:val="28"/>
          <w:szCs w:val="28"/>
          <w:lang w:val="en-US"/>
        </w:rPr>
        <w:t>adalah Kalimat Allah (kalam Allah), sedangkan dalam anggapan</w:t>
      </w:r>
    </w:p>
    <w:p>
      <w:pPr>
        <w:pStyle w:val="BookText"/>
        <w:bidi w:val="0"/>
        <w:jc w:val="both"/>
        <w:rPr/>
      </w:pPr>
      <w:r>
        <w:rPr>
          <w:rFonts w:eastAsia="Times New Roman" w:cs="Times New Roman" w:ascii="Times New Roman" w:hAnsi="Times New Roman"/>
          <w:color w:val="111111"/>
          <w:sz w:val="28"/>
          <w:szCs w:val="28"/>
          <w:lang w:val="en-US"/>
        </w:rPr>
        <w:t>mereka (kaum Nasrani), mempercayai kalam Allah sebagai qadiim</w:t>
      </w:r>
    </w:p>
    <w:p>
      <w:pPr>
        <w:pStyle w:val="BookText"/>
        <w:bidi w:val="0"/>
        <w:jc w:val="both"/>
        <w:rPr/>
      </w:pPr>
      <w:r>
        <w:rPr>
          <w:rFonts w:eastAsia="Times New Roman" w:cs="Times New Roman" w:ascii="Times New Roman" w:hAnsi="Times New Roman"/>
          <w:color w:val="111111"/>
          <w:sz w:val="28"/>
          <w:szCs w:val="28"/>
          <w:lang w:val="en-US"/>
        </w:rPr>
        <w:t>(tak-berawal) sama saja, secara tak disadari, dengan membenarkan</w:t>
      </w:r>
    </w:p>
    <w:p>
      <w:pPr>
        <w:pStyle w:val="BookText"/>
        <w:bidi w:val="0"/>
        <w:jc w:val="both"/>
        <w:rPr/>
      </w:pPr>
      <w:r>
        <w:rPr>
          <w:rFonts w:eastAsia="Times New Roman" w:cs="Times New Roman" w:ascii="Times New Roman" w:hAnsi="Times New Roman"/>
          <w:color w:val="111111"/>
          <w:sz w:val="28"/>
          <w:szCs w:val="28"/>
          <w:lang w:val="en-US"/>
        </w:rPr>
        <w:t>klaim kaum Nasrani bahwa Isa Al-Masih as itu qadim.</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Keempat, prinsip Qadha'-Qadar Tuhan yang berkaitan dengan</w:t>
      </w:r>
    </w:p>
    <w:p>
      <w:pPr>
        <w:pStyle w:val="BookText"/>
        <w:bidi w:val="0"/>
        <w:jc w:val="both"/>
        <w:rPr/>
      </w:pPr>
      <w:r>
        <w:rPr>
          <w:rFonts w:eastAsia="Times New Roman" w:cs="Times New Roman" w:ascii="Times New Roman" w:hAnsi="Times New Roman"/>
          <w:color w:val="111111"/>
          <w:sz w:val="28"/>
          <w:szCs w:val="28"/>
          <w:lang w:val="en-US"/>
        </w:rPr>
        <w:t>kehendak bebas manusia memiliki riwayat panjang dalam sejarah</w:t>
      </w:r>
    </w:p>
    <w:p>
      <w:pPr>
        <w:pStyle w:val="BookText"/>
        <w:bidi w:val="0"/>
        <w:jc w:val="both"/>
        <w:rPr/>
      </w:pPr>
      <w:r>
        <w:rPr>
          <w:rFonts w:eastAsia="Times New Roman" w:cs="Times New Roman" w:ascii="Times New Roman" w:hAnsi="Times New Roman"/>
          <w:color w:val="111111"/>
          <w:sz w:val="28"/>
          <w:szCs w:val="28"/>
          <w:lang w:val="en-US"/>
        </w:rPr>
        <w:t>pemikiran. Begitupula dengan Alquran yang sangat menekankan</w:t>
      </w:r>
    </w:p>
    <w:p>
      <w:pPr>
        <w:pStyle w:val="BookText"/>
        <w:bidi w:val="0"/>
        <w:jc w:val="both"/>
        <w:rPr/>
      </w:pPr>
      <w:r>
        <w:rPr>
          <w:rFonts w:eastAsia="Times New Roman" w:cs="Times New Roman" w:ascii="Times New Roman" w:hAnsi="Times New Roman"/>
          <w:color w:val="111111"/>
          <w:sz w:val="28"/>
          <w:szCs w:val="28"/>
          <w:lang w:val="en-US"/>
        </w:rPr>
        <w:t>pentingnya masalah ini. Namun, selama itu pula, kalangan pemikir</w:t>
      </w:r>
    </w:p>
    <w:p>
      <w:pPr>
        <w:pStyle w:val="BookText"/>
        <w:bidi w:val="0"/>
        <w:jc w:val="both"/>
        <w:rPr/>
      </w:pPr>
      <w:r>
        <w:rPr>
          <w:rFonts w:eastAsia="Times New Roman" w:cs="Times New Roman" w:ascii="Times New Roman" w:hAnsi="Times New Roman"/>
          <w:color w:val="111111"/>
          <w:sz w:val="28"/>
          <w:szCs w:val="28"/>
          <w:lang w:val="en-US"/>
        </w:rPr>
        <w:t>melontarkan pelbagai pertanyaan tentangnya yang mendesak</w:t>
      </w:r>
    </w:p>
    <w:p>
      <w:pPr>
        <w:pStyle w:val="BookText"/>
        <w:bidi w:val="0"/>
        <w:jc w:val="both"/>
        <w:rPr/>
      </w:pPr>
      <w:r>
        <w:rPr>
          <w:rFonts w:eastAsia="Times New Roman" w:cs="Times New Roman" w:ascii="Times New Roman" w:hAnsi="Times New Roman"/>
          <w:color w:val="111111"/>
          <w:sz w:val="28"/>
          <w:szCs w:val="28"/>
          <w:lang w:val="en-US"/>
        </w:rPr>
        <w:t>kalangan ulama memberikan jawaban, sekalipun dalam ungkapan</w:t>
      </w:r>
    </w:p>
    <w:p>
      <w:pPr>
        <w:pStyle w:val="BookText"/>
        <w:bidi w:val="0"/>
        <w:jc w:val="both"/>
        <w:rPr/>
      </w:pPr>
      <w:r>
        <w:rPr>
          <w:rFonts w:eastAsia="Times New Roman" w:cs="Times New Roman" w:ascii="Times New Roman" w:hAnsi="Times New Roman"/>
          <w:color w:val="111111"/>
          <w:sz w:val="28"/>
          <w:szCs w:val="28"/>
          <w:lang w:val="en-US"/>
        </w:rPr>
        <w:t>yang beragam. Amirul Mukminin Ali bin Abi Thalib pernah mengkritik</w:t>
      </w:r>
    </w:p>
    <w:p>
      <w:pPr>
        <w:pStyle w:val="BookText"/>
        <w:bidi w:val="0"/>
        <w:jc w:val="both"/>
        <w:rPr/>
      </w:pPr>
      <w:r>
        <w:rPr>
          <w:rFonts w:eastAsia="Times New Roman" w:cs="Times New Roman" w:ascii="Times New Roman" w:hAnsi="Times New Roman"/>
          <w:color w:val="111111"/>
          <w:sz w:val="28"/>
          <w:szCs w:val="28"/>
          <w:lang w:val="en-US"/>
        </w:rPr>
        <w:t>keyakinan Qadha-Qadar yang bercorak deterministik (jabriy):</w:t>
      </w:r>
    </w:p>
    <w:p>
      <w:pPr>
        <w:pStyle w:val="BookText"/>
        <w:bidi w:val="0"/>
        <w:jc w:val="both"/>
        <w:rPr/>
      </w:pPr>
      <w:r>
        <w:rPr>
          <w:rFonts w:eastAsia="Times New Roman" w:cs="Times New Roman" w:ascii="Times New Roman" w:hAnsi="Times New Roman"/>
          <w:color w:val="111111"/>
          <w:sz w:val="28"/>
          <w:szCs w:val="28"/>
          <w:lang w:val="en-US"/>
        </w:rPr>
        <w:t>Kalau benar demikian, niscaya pahala dan azab tak lagi berarti.</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Yang mengherankan, persoalan (kontradiksi Qadha’-Qadar yang</w:t>
      </w:r>
    </w:p>
    <w:p>
      <w:pPr>
        <w:pStyle w:val="BookText"/>
        <w:bidi w:val="0"/>
        <w:jc w:val="both"/>
        <w:rPr/>
      </w:pPr>
      <w:r>
        <w:rPr>
          <w:rFonts w:eastAsia="Times New Roman" w:cs="Times New Roman" w:ascii="Times New Roman" w:hAnsi="Times New Roman"/>
          <w:color w:val="111111"/>
          <w:sz w:val="28"/>
          <w:szCs w:val="28"/>
          <w:lang w:val="en-US"/>
        </w:rPr>
        <w:t>deterministik dengan pahala/azab Tuhan) yang diungkap Imam Ali,</w:t>
      </w:r>
    </w:p>
    <w:p>
      <w:pPr>
        <w:pStyle w:val="BookText"/>
        <w:bidi w:val="0"/>
        <w:jc w:val="both"/>
        <w:rPr/>
      </w:pPr>
      <w:r>
        <w:rPr>
          <w:rFonts w:eastAsia="Times New Roman" w:cs="Times New Roman" w:ascii="Times New Roman" w:hAnsi="Times New Roman"/>
          <w:color w:val="111111"/>
          <w:sz w:val="28"/>
          <w:szCs w:val="28"/>
          <w:lang w:val="en-US"/>
        </w:rPr>
        <w:t>jauh sebelum kemunculan Muktazilah, diyakini sebagian penulis</w:t>
      </w:r>
    </w:p>
    <w:p>
      <w:pPr>
        <w:pStyle w:val="BookText"/>
        <w:bidi w:val="0"/>
        <w:jc w:val="both"/>
        <w:rPr/>
      </w:pPr>
      <w:r>
        <w:rPr>
          <w:rFonts w:eastAsia="Times New Roman" w:cs="Times New Roman" w:ascii="Times New Roman" w:hAnsi="Times New Roman"/>
          <w:color w:val="111111"/>
          <w:sz w:val="28"/>
          <w:szCs w:val="28"/>
          <w:lang w:val="en-US"/>
        </w:rPr>
        <w:t>sejarah pemikiran Islam sebagai kepingan dari ajaran kaum Nasrani</w:t>
      </w:r>
    </w:p>
    <w:p>
      <w:pPr>
        <w:pStyle w:val="BookText"/>
        <w:bidi w:val="0"/>
        <w:jc w:val="both"/>
        <w:rPr/>
      </w:pPr>
      <w:r>
        <w:rPr>
          <w:rFonts w:eastAsia="Times New Roman" w:cs="Times New Roman" w:ascii="Times New Roman" w:hAnsi="Times New Roman"/>
          <w:color w:val="111111"/>
          <w:sz w:val="28"/>
          <w:szCs w:val="28"/>
          <w:lang w:val="en-US"/>
        </w:rPr>
        <w:t>yang mempengaruhi kaum Muktazilah:</w:t>
      </w:r>
    </w:p>
    <w:p>
      <w:pPr>
        <w:pStyle w:val="BookText"/>
        <w:bidi w:val="0"/>
        <w:jc w:val="both"/>
        <w:rPr/>
      </w:pPr>
      <w:r>
        <w:rPr>
          <w:rFonts w:eastAsia="Times New Roman" w:cs="Times New Roman" w:ascii="Times New Roman" w:hAnsi="Times New Roman"/>
          <w:color w:val="111111"/>
          <w:sz w:val="28"/>
          <w:szCs w:val="28"/>
          <w:lang w:val="en-US"/>
        </w:rPr>
        <w:t>Padahal Ahli Sunah ... telah meyakini maksud Qadar versi Alqur-</w:t>
      </w:r>
    </w:p>
    <w:p>
      <w:pPr>
        <w:pStyle w:val="BookText"/>
        <w:bidi w:val="0"/>
        <w:jc w:val="both"/>
        <w:rPr/>
      </w:pPr>
      <w:r>
        <w:rPr>
          <w:rFonts w:eastAsia="Times New Roman" w:cs="Times New Roman" w:ascii="Times New Roman" w:hAnsi="Times New Roman"/>
          <w:color w:val="111111"/>
          <w:sz w:val="28"/>
          <w:szCs w:val="28"/>
          <w:lang w:val="en-US"/>
        </w:rPr>
        <w:t>an adalah Qadha-Qadar yang telah ditentukan Tuhan sejak</w:t>
      </w:r>
    </w:p>
    <w:p>
      <w:pPr>
        <w:pStyle w:val="BookText"/>
        <w:bidi w:val="0"/>
        <w:jc w:val="both"/>
        <w:rPr/>
      </w:pPr>
      <w:r>
        <w:rPr>
          <w:rFonts w:eastAsia="Times New Roman" w:cs="Times New Roman" w:ascii="Times New Roman" w:hAnsi="Times New Roman"/>
          <w:color w:val="111111"/>
          <w:sz w:val="28"/>
          <w:szCs w:val="28"/>
          <w:lang w:val="en-US"/>
        </w:rPr>
        <w:t>awal. Sebagian teolog (mutakallim) generasi awal secara tak</w:t>
      </w:r>
    </w:p>
    <w:p>
      <w:pPr>
        <w:pStyle w:val="BookText"/>
        <w:bidi w:val="0"/>
        <w:jc w:val="both"/>
        <w:rPr/>
      </w:pPr>
      <w:r>
        <w:rPr>
          <w:rFonts w:eastAsia="Times New Roman" w:cs="Times New Roman" w:ascii="Times New Roman" w:hAnsi="Times New Roman"/>
          <w:color w:val="111111"/>
          <w:sz w:val="28"/>
          <w:szCs w:val="28"/>
          <w:lang w:val="en-US"/>
        </w:rPr>
        <w:t>langsung terpengaruh alam pikir teologi Nasrani di Timur, lalu</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secara bertahap, mereka mulai meneliti dan merenungkannya, </w:t>
      </w:r>
    </w:p>
    <w:p>
      <w:pPr>
        <w:pStyle w:val="BookText"/>
        <w:bidi w:val="0"/>
        <w:rPr/>
      </w:pPr>
      <w:r>
        <w:rPr>
          <w:rFonts w:eastAsia="Times New Roman" w:cs="Times New Roman" w:ascii="Times New Roman" w:hAnsi="Times New Roman"/>
          <w:color w:val="111111"/>
          <w:sz w:val="28"/>
          <w:szCs w:val="28"/>
          <w:lang w:val="en-US"/>
        </w:rPr>
        <w:t>hingga berusaha menafsirkannya sedemikian rupa agar selaras</w:t>
      </w:r>
    </w:p>
    <w:p>
      <w:pPr>
        <w:pStyle w:val="BookText"/>
        <w:bidi w:val="0"/>
        <w:jc w:val="both"/>
        <w:rPr/>
      </w:pPr>
      <w:r>
        <w:rPr>
          <w:rFonts w:eastAsia="Times New Roman" w:cs="Times New Roman" w:ascii="Times New Roman" w:hAnsi="Times New Roman"/>
          <w:color w:val="111111"/>
          <w:sz w:val="28"/>
          <w:szCs w:val="28"/>
          <w:lang w:val="en-US"/>
        </w:rPr>
        <w:t>dengan kebebasan dan kehendak manusia dalam semua</w:t>
      </w:r>
    </w:p>
    <w:p>
      <w:pPr>
        <w:pStyle w:val="BookText"/>
        <w:bidi w:val="0"/>
        <w:jc w:val="both"/>
        <w:rPr/>
      </w:pPr>
      <w:r>
        <w:rPr>
          <w:rFonts w:eastAsia="Times New Roman" w:cs="Times New Roman" w:ascii="Times New Roman" w:hAnsi="Times New Roman"/>
          <w:color w:val="111111"/>
          <w:sz w:val="28"/>
          <w:szCs w:val="28"/>
          <w:lang w:val="en-US"/>
        </w:rPr>
        <w:t>tindakannya. Semua ini mereka lakukan agar masalah pahala</w:t>
      </w:r>
    </w:p>
    <w:p>
      <w:pPr>
        <w:pStyle w:val="BookText"/>
        <w:bidi w:val="0"/>
        <w:jc w:val="both"/>
        <w:rPr/>
      </w:pPr>
      <w:r>
        <w:rPr>
          <w:rFonts w:eastAsia="Times New Roman" w:cs="Times New Roman" w:ascii="Times New Roman" w:hAnsi="Times New Roman"/>
          <w:color w:val="111111"/>
          <w:sz w:val="28"/>
          <w:szCs w:val="28"/>
          <w:lang w:val="en-US"/>
        </w:rPr>
        <w:t>dan azab di akhirat dapat dijustifikasi secara utuh.</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Sebagian pemikir melontarkan argumentasi yang berbeda dengan</w:t>
      </w:r>
    </w:p>
    <w:p>
      <w:pPr>
        <w:pStyle w:val="BookText"/>
        <w:bidi w:val="0"/>
        <w:jc w:val="both"/>
        <w:rPr/>
      </w:pPr>
      <w:r>
        <w:rPr>
          <w:rFonts w:eastAsia="Times New Roman" w:cs="Times New Roman" w:ascii="Times New Roman" w:hAnsi="Times New Roman"/>
          <w:color w:val="111111"/>
          <w:sz w:val="28"/>
          <w:szCs w:val="28"/>
          <w:lang w:val="en-US"/>
        </w:rPr>
        <w:t>sebelumnya. Mayoritas Muslimin di awal fajar Islam memahami</w:t>
      </w:r>
    </w:p>
    <w:p>
      <w:pPr>
        <w:pStyle w:val="BookText"/>
        <w:bidi w:val="0"/>
        <w:jc w:val="both"/>
        <w:rPr/>
      </w:pPr>
      <w:r>
        <w:rPr>
          <w:rFonts w:eastAsia="Times New Roman" w:cs="Times New Roman" w:ascii="Times New Roman" w:hAnsi="Times New Roman"/>
          <w:color w:val="111111"/>
          <w:sz w:val="28"/>
          <w:szCs w:val="28"/>
          <w:lang w:val="en-US"/>
        </w:rPr>
        <w:t>Qadha’-Qadar versi Alquran tidak selaras dengan determinisme</w:t>
      </w:r>
    </w:p>
    <w:p>
      <w:pPr>
        <w:pStyle w:val="BookText"/>
        <w:bidi w:val="0"/>
        <w:jc w:val="both"/>
        <w:rPr/>
      </w:pPr>
      <w:r>
        <w:rPr>
          <w:rFonts w:eastAsia="Times New Roman" w:cs="Times New Roman" w:ascii="Times New Roman" w:hAnsi="Times New Roman"/>
          <w:color w:val="111111"/>
          <w:sz w:val="28"/>
          <w:szCs w:val="28"/>
          <w:lang w:val="en-US"/>
        </w:rPr>
        <w:t>(jabr). Mereka membela prinsip kebebasan dan kehendak manusia.</w:t>
      </w:r>
    </w:p>
    <w:p>
      <w:pPr>
        <w:pStyle w:val="BookText"/>
        <w:bidi w:val="0"/>
        <w:jc w:val="both"/>
        <w:rPr/>
      </w:pPr>
      <w:r>
        <w:rPr>
          <w:rFonts w:eastAsia="Times New Roman" w:cs="Times New Roman" w:ascii="Times New Roman" w:hAnsi="Times New Roman"/>
          <w:color w:val="111111"/>
          <w:sz w:val="28"/>
          <w:szCs w:val="28"/>
          <w:lang w:val="en-US"/>
        </w:rPr>
        <w:t>Di masa khalifah kedua (Umar bin Khatab), seorang pencuri yang</w:t>
      </w:r>
    </w:p>
    <w:p>
      <w:pPr>
        <w:pStyle w:val="BookText"/>
        <w:bidi w:val="0"/>
        <w:jc w:val="both"/>
        <w:rPr/>
      </w:pPr>
      <w:r>
        <w:rPr>
          <w:rFonts w:eastAsia="Times New Roman" w:cs="Times New Roman" w:ascii="Times New Roman" w:hAnsi="Times New Roman"/>
          <w:color w:val="111111"/>
          <w:sz w:val="28"/>
          <w:szCs w:val="28"/>
          <w:lang w:val="en-US"/>
        </w:rPr>
        <w:t>tertangkap basah membela diri dengan mengklaim_ tindakan</w:t>
      </w:r>
    </w:p>
    <w:p>
      <w:pPr>
        <w:pStyle w:val="BookText"/>
        <w:bidi w:val="0"/>
        <w:jc w:val="both"/>
        <w:rPr/>
      </w:pPr>
      <w:r>
        <w:rPr>
          <w:rFonts w:eastAsia="Times New Roman" w:cs="Times New Roman" w:ascii="Times New Roman" w:hAnsi="Times New Roman"/>
          <w:color w:val="111111"/>
          <w:sz w:val="28"/>
          <w:szCs w:val="28"/>
          <w:lang w:val="en-US"/>
        </w:rPr>
        <w:t>mencurinya berdasarkan ketentuan Qadha’ Ilahi. Khalifah lalu</w:t>
      </w:r>
    </w:p>
    <w:p>
      <w:pPr>
        <w:pStyle w:val="BookText"/>
        <w:bidi w:val="0"/>
        <w:jc w:val="both"/>
        <w:rPr/>
      </w:pPr>
      <w:r>
        <w:rPr>
          <w:rFonts w:eastAsia="Times New Roman" w:cs="Times New Roman" w:ascii="Times New Roman" w:hAnsi="Times New Roman"/>
          <w:color w:val="111111"/>
          <w:sz w:val="28"/>
          <w:szCs w:val="28"/>
          <w:lang w:val="en-US"/>
        </w:rPr>
        <w:t>memerintahkan agar si pencuri, tidak hanya dipotong tangannya,</w:t>
      </w:r>
    </w:p>
    <w:p>
      <w:pPr>
        <w:pStyle w:val="BookText"/>
        <w:bidi w:val="0"/>
        <w:jc w:val="both"/>
        <w:rPr/>
      </w:pPr>
      <w:r>
        <w:rPr>
          <w:rFonts w:eastAsia="Times New Roman" w:cs="Times New Roman" w:ascii="Times New Roman" w:hAnsi="Times New Roman"/>
          <w:color w:val="111111"/>
          <w:sz w:val="28"/>
          <w:szCs w:val="28"/>
          <w:lang w:val="en-US"/>
        </w:rPr>
        <w:t>juga dicambuk lantaran telah berdusta atas nama Tuhan.</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kehendak manusia.</w:t>
      </w:r>
    </w:p>
    <w:p>
      <w:pPr>
        <w:pStyle w:val="BookText"/>
        <w:bidi w:val="0"/>
        <w:jc w:val="both"/>
        <w:rPr/>
      </w:pPr>
      <w:r>
        <w:rPr>
          <w:rFonts w:eastAsia="Times New Roman" w:cs="Times New Roman" w:ascii="Times New Roman" w:hAnsi="Times New Roman"/>
          <w:color w:val="111111"/>
          <w:sz w:val="28"/>
          <w:szCs w:val="28"/>
          <w:lang w:val="en-US"/>
        </w:rPr>
        <w:t>Kelima, sejumlah teks ayat dan riwayat menekankan pentingnya</w:t>
      </w:r>
    </w:p>
    <w:p>
      <w:pPr>
        <w:pStyle w:val="BookText"/>
        <w:bidi w:val="0"/>
        <w:jc w:val="both"/>
        <w:rPr/>
      </w:pPr>
      <w:r>
        <w:rPr>
          <w:rFonts w:eastAsia="Times New Roman" w:cs="Times New Roman" w:ascii="Times New Roman" w:hAnsi="Times New Roman"/>
          <w:color w:val="111111"/>
          <w:sz w:val="28"/>
          <w:szCs w:val="28"/>
          <w:lang w:val="en-US"/>
        </w:rPr>
        <w:t>menalar dan menggunakan akal. Karenanya, klaim bahwa “doktrin</w:t>
      </w:r>
    </w:p>
    <w:p>
      <w:pPr>
        <w:pStyle w:val="BookText"/>
        <w:bidi w:val="0"/>
        <w:jc w:val="both"/>
        <w:rPr/>
      </w:pPr>
      <w:r>
        <w:rPr>
          <w:rFonts w:eastAsia="Times New Roman" w:cs="Times New Roman" w:ascii="Times New Roman" w:hAnsi="Times New Roman"/>
          <w:color w:val="111111"/>
          <w:sz w:val="28"/>
          <w:szCs w:val="28"/>
          <w:lang w:val="en-US"/>
        </w:rPr>
        <w:t>Muktazilah yang mengunggulkan akal berasal dari Stabit bin Qurah”</w:t>
      </w:r>
    </w:p>
    <w:p>
      <w:pPr>
        <w:pStyle w:val="BookText"/>
        <w:bidi w:val="0"/>
        <w:jc w:val="both"/>
        <w:rPr/>
      </w:pPr>
      <w:r>
        <w:rPr>
          <w:rFonts w:eastAsia="Times New Roman" w:cs="Times New Roman" w:ascii="Times New Roman" w:hAnsi="Times New Roman"/>
          <w:color w:val="111111"/>
          <w:sz w:val="28"/>
          <w:szCs w:val="28"/>
          <w:lang w:val="en-US"/>
        </w:rPr>
        <w:t>semata-mata tuduhan tak berdasar. Tsabit lahir pada 221 H. Lantas,</w:t>
      </w:r>
    </w:p>
    <w:p>
      <w:pPr>
        <w:pStyle w:val="BookText"/>
        <w:bidi w:val="0"/>
        <w:jc w:val="both"/>
        <w:rPr/>
      </w:pPr>
      <w:r>
        <w:rPr>
          <w:rFonts w:eastAsia="Times New Roman" w:cs="Times New Roman" w:ascii="Times New Roman" w:hAnsi="Times New Roman"/>
          <w:color w:val="111111"/>
          <w:sz w:val="28"/>
          <w:szCs w:val="28"/>
          <w:lang w:val="en-US"/>
        </w:rPr>
        <w:t>bagaimana mungkin rasionalisme Muktazilah dipengaruhi individu</w:t>
      </w:r>
    </w:p>
    <w:p>
      <w:pPr>
        <w:pStyle w:val="BookText"/>
        <w:bidi w:val="0"/>
        <w:jc w:val="both"/>
        <w:rPr/>
      </w:pPr>
      <w:r>
        <w:rPr>
          <w:rFonts w:eastAsia="Times New Roman" w:cs="Times New Roman" w:ascii="Times New Roman" w:hAnsi="Times New Roman"/>
          <w:color w:val="111111"/>
          <w:sz w:val="28"/>
          <w:szCs w:val="28"/>
          <w:lang w:val="en-US"/>
        </w:rPr>
        <w:t>yang baru lahir lebih dari satu abad setelahnya?</w:t>
      </w:r>
      <w:r>
        <w:rPr>
          <w:rStyle w:val="FootnoteAnchor"/>
        </w:rPr>
        <w:footnoteReference w:id="188"/>
      </w:r>
      <w:r>
        <w:rPr>
          <w:rFonts w:eastAsia="Times New Roman" w:cs="Times New Roman" w:ascii="Times New Roman" w:hAnsi="Times New Roman"/>
          <w:color w:val="111111"/>
          <w:sz w:val="28"/>
          <w:szCs w:val="28"/>
          <w:lang w:val="en-US"/>
        </w:rPr>
        <w:t>Sebagian pihak</w:t>
      </w:r>
    </w:p>
    <w:p>
      <w:pPr>
        <w:pStyle w:val="BookText"/>
        <w:bidi w:val="0"/>
        <w:jc w:val="both"/>
        <w:rPr/>
      </w:pPr>
      <w:r>
        <w:rPr>
          <w:rFonts w:eastAsia="Times New Roman" w:cs="Times New Roman" w:ascii="Times New Roman" w:hAnsi="Times New Roman"/>
          <w:color w:val="111111"/>
          <w:sz w:val="28"/>
          <w:szCs w:val="28"/>
          <w:lang w:val="en-US"/>
        </w:rPr>
        <w:t>beranggapan, sejak awal, rasionalisme memang telah menjadi basis</w:t>
      </w:r>
    </w:p>
    <w:p>
      <w:pPr>
        <w:pStyle w:val="BookText"/>
        <w:bidi w:val="0"/>
        <w:jc w:val="both"/>
        <w:rPr/>
      </w:pPr>
      <w:r>
        <w:rPr>
          <w:rFonts w:eastAsia="Times New Roman" w:cs="Times New Roman" w:ascii="Times New Roman" w:hAnsi="Times New Roman"/>
          <w:color w:val="111111"/>
          <w:sz w:val="28"/>
          <w:szCs w:val="28"/>
          <w:lang w:val="en-US"/>
        </w:rPr>
        <w:t>pemikiran kaum Muktazilah.</w:t>
      </w:r>
    </w:p>
    <w:p>
      <w:pPr>
        <w:pStyle w:val="BookText"/>
        <w:bidi w:val="0"/>
        <w:jc w:val="both"/>
        <w:rPr/>
      </w:pPr>
      <w:r>
        <w:rPr>
          <w:rFonts w:eastAsia="Times New Roman" w:cs="Times New Roman" w:ascii="Times New Roman" w:hAnsi="Times New Roman"/>
          <w:color w:val="111111"/>
          <w:sz w:val="28"/>
          <w:szCs w:val="28"/>
          <w:lang w:val="en-US"/>
        </w:rPr>
        <w:t>Pendiri mazhab Muktazilah, Washil bin Atha’ (80-131 H), sering</w:t>
      </w:r>
    </w:p>
    <w:p>
      <w:pPr>
        <w:pStyle w:val="BookText"/>
        <w:bidi w:val="0"/>
        <w:jc w:val="both"/>
        <w:rPr/>
      </w:pPr>
      <w:r>
        <w:rPr>
          <w:rFonts w:eastAsia="Times New Roman" w:cs="Times New Roman" w:ascii="Times New Roman" w:hAnsi="Times New Roman"/>
          <w:color w:val="111111"/>
          <w:sz w:val="28"/>
          <w:szCs w:val="28"/>
          <w:lang w:val="en-US"/>
        </w:rPr>
        <w:t>terlibat diskusi dengan para pengikut sekte Hindu seputar tema-</w:t>
      </w:r>
    </w:p>
    <w:p>
      <w:pPr>
        <w:pStyle w:val="BookText"/>
        <w:bidi w:val="0"/>
        <w:jc w:val="both"/>
        <w:rPr/>
      </w:pPr>
      <w:r>
        <w:rPr>
          <w:rFonts w:eastAsia="Times New Roman" w:cs="Times New Roman" w:ascii="Times New Roman" w:hAnsi="Times New Roman"/>
          <w:color w:val="111111"/>
          <w:sz w:val="28"/>
          <w:szCs w:val="28"/>
          <w:lang w:val="en-US"/>
        </w:rPr>
        <w:t>tema epistemologis. Washil mengkritik aliran empiris Sumainah dan</w:t>
      </w:r>
    </w:p>
    <w:p>
      <w:pPr>
        <w:pStyle w:val="BookText"/>
        <w:bidi w:val="0"/>
        <w:jc w:val="both"/>
        <w:rPr/>
      </w:pPr>
      <w:r>
        <w:rPr>
          <w:rFonts w:eastAsia="Times New Roman" w:cs="Times New Roman" w:ascii="Times New Roman" w:hAnsi="Times New Roman"/>
          <w:color w:val="111111"/>
          <w:sz w:val="28"/>
          <w:szCs w:val="28"/>
          <w:lang w:val="en-US"/>
        </w:rPr>
        <w:t>menekankan bahwa sebagian pengetahuan, seperti pengetahuan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tentang Tuhan, dapat diperoleh via akal.</w:t>
      </w:r>
      <w:r>
        <w:rPr>
          <w:rStyle w:val="FootnoteAnchor"/>
        </w:rPr>
        <w:footnoteReference w:id="189"/>
      </w:r>
    </w:p>
    <w:p>
      <w:pPr>
        <w:pStyle w:val="BookText"/>
        <w:bidi w:val="0"/>
        <w:rPr/>
      </w:pPr>
      <w:r>
        <w:rPr>
          <w:rFonts w:eastAsia="Times New Roman" w:cs="Times New Roman" w:ascii="Times New Roman" w:hAnsi="Times New Roman"/>
          <w:color w:val="111111"/>
          <w:sz w:val="28"/>
          <w:szCs w:val="28"/>
          <w:lang w:val="en-US"/>
        </w:rPr>
        <w:t>Berbeda dengan anggapan kalangan pakar sejarah bahwa akidah</w:t>
      </w:r>
    </w:p>
    <w:p>
      <w:pPr>
        <w:pStyle w:val="BookText"/>
        <w:bidi w:val="0"/>
        <w:jc w:val="both"/>
        <w:rPr/>
      </w:pPr>
      <w:r>
        <w:rPr>
          <w:rFonts w:eastAsia="Times New Roman" w:cs="Times New Roman" w:ascii="Times New Roman" w:hAnsi="Times New Roman"/>
          <w:color w:val="111111"/>
          <w:sz w:val="28"/>
          <w:szCs w:val="28"/>
          <w:lang w:val="en-US"/>
        </w:rPr>
        <w:t>Muktazilah semirip pemikiran sekte Farushim,</w:t>
      </w:r>
      <w:r>
        <w:rPr>
          <w:rStyle w:val="FootnoteAnchor"/>
        </w:rPr>
        <w:footnoteReference w:id="190"/>
      </w:r>
      <w:r>
        <w:rPr>
          <w:rFonts w:eastAsia="Times New Roman" w:cs="Times New Roman" w:ascii="Times New Roman" w:hAnsi="Times New Roman"/>
          <w:color w:val="111111"/>
          <w:sz w:val="28"/>
          <w:szCs w:val="28"/>
          <w:lang w:val="en-US"/>
        </w:rPr>
        <w:t>hasil penelitian</w:t>
      </w:r>
    </w:p>
    <w:p>
      <w:pPr>
        <w:pStyle w:val="BookText"/>
        <w:bidi w:val="0"/>
        <w:jc w:val="both"/>
        <w:rPr/>
      </w:pPr>
      <w:r>
        <w:rPr>
          <w:rFonts w:eastAsia="Times New Roman" w:cs="Times New Roman" w:ascii="Times New Roman" w:hAnsi="Times New Roman"/>
          <w:color w:val="111111"/>
          <w:sz w:val="28"/>
          <w:szCs w:val="28"/>
          <w:lang w:val="en-US"/>
        </w:rPr>
        <w:t>mendalam justru menunjukkan pemikiran Muktazilah lebih dekat</w:t>
      </w:r>
    </w:p>
    <w:p>
      <w:pPr>
        <w:pStyle w:val="BookText"/>
        <w:bidi w:val="0"/>
        <w:jc w:val="both"/>
        <w:rPr/>
      </w:pPr>
      <w:r>
        <w:rPr>
          <w:rFonts w:eastAsia="Times New Roman" w:cs="Times New Roman" w:ascii="Times New Roman" w:hAnsi="Times New Roman"/>
          <w:color w:val="111111"/>
          <w:sz w:val="28"/>
          <w:szCs w:val="28"/>
          <w:lang w:val="en-US"/>
        </w:rPr>
        <w:t>dengan sekte Shadugqi; lawan sekte Farushlm. Bila salah satu mazhab</w:t>
      </w:r>
    </w:p>
    <w:p>
      <w:pPr>
        <w:pStyle w:val="BookText"/>
        <w:bidi w:val="0"/>
        <w:jc w:val="both"/>
        <w:rPr/>
      </w:pPr>
      <w:r>
        <w:rPr>
          <w:rFonts w:eastAsia="Times New Roman" w:cs="Times New Roman" w:ascii="Times New Roman" w:hAnsi="Times New Roman"/>
          <w:color w:val="111111"/>
          <w:sz w:val="28"/>
          <w:szCs w:val="28"/>
          <w:lang w:val="en-US"/>
        </w:rPr>
        <w:t>Islam ini disebut Muktazilah lantaran mengandungi pemikiran</w:t>
      </w:r>
    </w:p>
    <w:p>
      <w:pPr>
        <w:pStyle w:val="BookText"/>
        <w:bidi w:val="0"/>
        <w:jc w:val="both"/>
        <w:rPr/>
      </w:pPr>
      <w:r>
        <w:rPr>
          <w:rFonts w:eastAsia="Times New Roman" w:cs="Times New Roman" w:ascii="Times New Roman" w:hAnsi="Times New Roman"/>
          <w:color w:val="111111"/>
          <w:sz w:val="28"/>
          <w:szCs w:val="28"/>
          <w:lang w:val="en-US"/>
        </w:rPr>
        <w:t>Yahudi, tentunya para penentang Muktazilah lebih laik menyandang</w:t>
      </w:r>
    </w:p>
    <w:p>
      <w:pPr>
        <w:pStyle w:val="BookText"/>
        <w:bidi w:val="0"/>
        <w:jc w:val="both"/>
        <w:rPr/>
      </w:pPr>
      <w:r>
        <w:rPr>
          <w:rFonts w:eastAsia="Times New Roman" w:cs="Times New Roman" w:ascii="Times New Roman" w:hAnsi="Times New Roman"/>
          <w:color w:val="111111"/>
          <w:sz w:val="28"/>
          <w:szCs w:val="28"/>
          <w:lang w:val="en-US"/>
        </w:rPr>
        <w:t>nama [Farushim] itu.</w:t>
      </w:r>
    </w:p>
    <w:p>
      <w:pPr>
        <w:pStyle w:val="BookText"/>
        <w:bidi w:val="0"/>
        <w:jc w:val="both"/>
        <w:rPr/>
      </w:pPr>
      <w:r>
        <w:rPr>
          <w:rFonts w:eastAsia="Times New Roman" w:cs="Times New Roman" w:ascii="Times New Roman" w:hAnsi="Times New Roman"/>
          <w:color w:val="111111"/>
          <w:sz w:val="28"/>
          <w:szCs w:val="28"/>
          <w:lang w:val="en-US"/>
        </w:rPr>
        <w:t>Upaya Muktazilah mengharmonikan agama dan filsafat adalah</w:t>
      </w:r>
    </w:p>
    <w:p>
      <w:pPr>
        <w:pStyle w:val="BookText"/>
        <w:bidi w:val="0"/>
        <w:jc w:val="both"/>
        <w:rPr/>
      </w:pPr>
      <w:r>
        <w:rPr>
          <w:rFonts w:eastAsia="Times New Roman" w:cs="Times New Roman" w:ascii="Times New Roman" w:hAnsi="Times New Roman"/>
          <w:color w:val="111111"/>
          <w:sz w:val="28"/>
          <w:szCs w:val="28"/>
          <w:lang w:val="en-US"/>
        </w:rPr>
        <w:t>karakter menonjol mazhab ini sebagai satu dari banyak bukti yang</w:t>
      </w:r>
    </w:p>
    <w:p>
      <w:pPr>
        <w:pStyle w:val="BookText"/>
        <w:bidi w:val="0"/>
        <w:jc w:val="both"/>
        <w:rPr/>
      </w:pPr>
      <w:r>
        <w:rPr>
          <w:rFonts w:eastAsia="Times New Roman" w:cs="Times New Roman" w:ascii="Times New Roman" w:hAnsi="Times New Roman"/>
          <w:color w:val="111111"/>
          <w:sz w:val="28"/>
          <w:szCs w:val="28"/>
          <w:lang w:val="en-US"/>
        </w:rPr>
        <w:t>menguatkan [kedekatannya dengan sekte Shaduqi]. Dari sekian</w:t>
      </w:r>
    </w:p>
    <w:p>
      <w:pPr>
        <w:pStyle w:val="BookText"/>
        <w:bidi w:val="0"/>
        <w:jc w:val="both"/>
        <w:rPr/>
      </w:pPr>
      <w:r>
        <w:rPr>
          <w:rFonts w:eastAsia="Times New Roman" w:cs="Times New Roman" w:ascii="Times New Roman" w:hAnsi="Times New Roman"/>
          <w:color w:val="111111"/>
          <w:sz w:val="28"/>
          <w:szCs w:val="28"/>
          <w:lang w:val="en-US"/>
        </w:rPr>
        <w:t>banyak sekte Yahudi, hanya satu yang punya kemiripan dengan</w:t>
      </w:r>
    </w:p>
    <w:p>
      <w:pPr>
        <w:pStyle w:val="BookText"/>
        <w:bidi w:val="0"/>
        <w:jc w:val="both"/>
        <w:rPr/>
      </w:pPr>
      <w:r>
        <w:rPr>
          <w:rFonts w:eastAsia="Times New Roman" w:cs="Times New Roman" w:ascii="Times New Roman" w:hAnsi="Times New Roman"/>
          <w:color w:val="111111"/>
          <w:sz w:val="28"/>
          <w:szCs w:val="28"/>
          <w:lang w:val="en-US"/>
        </w:rPr>
        <w:t>Muktazilah, yakni sekte Shaduqi. Sementara sekte Farushlm sangat</w:t>
      </w:r>
    </w:p>
    <w:p>
      <w:pPr>
        <w:pStyle w:val="BookText"/>
        <w:bidi w:val="0"/>
        <w:jc w:val="both"/>
        <w:rPr/>
      </w:pPr>
      <w:r>
        <w:rPr>
          <w:rFonts w:eastAsia="Times New Roman" w:cs="Times New Roman" w:ascii="Times New Roman" w:hAnsi="Times New Roman"/>
          <w:color w:val="111111"/>
          <w:sz w:val="28"/>
          <w:szCs w:val="28"/>
          <w:lang w:val="en-US"/>
        </w:rPr>
        <w:t>literalis, terlampau setia pada Taurat, serta menjauhi upaya menafsir</w:t>
      </w:r>
    </w:p>
    <w:p>
      <w:pPr>
        <w:pStyle w:val="BookText"/>
        <w:bidi w:val="0"/>
        <w:jc w:val="both"/>
        <w:rPr/>
      </w:pPr>
      <w:r>
        <w:rPr>
          <w:rFonts w:eastAsia="Times New Roman" w:cs="Times New Roman" w:ascii="Times New Roman" w:hAnsi="Times New Roman"/>
          <w:color w:val="111111"/>
          <w:sz w:val="28"/>
          <w:szCs w:val="28"/>
          <w:lang w:val="en-US"/>
        </w:rPr>
        <w:t>atau menakwilnya.</w:t>
      </w:r>
    </w:p>
    <w:p>
      <w:pPr>
        <w:pStyle w:val="BookText"/>
        <w:bidi w:val="0"/>
        <w:jc w:val="both"/>
        <w:rPr/>
      </w:pPr>
      <w:r>
        <w:rPr>
          <w:rFonts w:eastAsia="Times New Roman" w:cs="Times New Roman" w:ascii="Times New Roman" w:hAnsi="Times New Roman"/>
          <w:color w:val="111111"/>
          <w:sz w:val="28"/>
          <w:szCs w:val="28"/>
          <w:lang w:val="en-US"/>
        </w:rPr>
        <w:t>Sekte Shaduqi memiliki dasar-dasar pemikiran logis dan bijak</w:t>
      </w:r>
    </w:p>
    <w:p>
      <w:pPr>
        <w:pStyle w:val="BookText"/>
        <w:bidi w:val="0"/>
        <w:jc w:val="both"/>
        <w:rPr/>
      </w:pPr>
      <w:r>
        <w:rPr>
          <w:rFonts w:eastAsia="Times New Roman" w:cs="Times New Roman" w:ascii="Times New Roman" w:hAnsi="Times New Roman"/>
          <w:color w:val="111111"/>
          <w:sz w:val="28"/>
          <w:szCs w:val="28"/>
          <w:lang w:val="en-US"/>
        </w:rPr>
        <w:t>para tokoh dan pendahulunya yang termaktub dalam kitab</w:t>
      </w:r>
    </w:p>
    <w:p>
      <w:pPr>
        <w:pStyle w:val="BookText"/>
        <w:bidi w:val="0"/>
        <w:jc w:val="both"/>
        <w:rPr/>
      </w:pPr>
      <w:r>
        <w:rPr>
          <w:rFonts w:eastAsia="Times New Roman" w:cs="Times New Roman" w:ascii="Times New Roman" w:hAnsi="Times New Roman"/>
          <w:color w:val="111111"/>
          <w:sz w:val="28"/>
          <w:szCs w:val="28"/>
          <w:lang w:val="en-US"/>
        </w:rPr>
        <w:t>suci. Dasar-dasar itu mereka hubungbaurkan dengan ajaran</w:t>
      </w:r>
    </w:p>
    <w:p>
      <w:pPr>
        <w:pStyle w:val="BookText"/>
        <w:bidi w:val="0"/>
        <w:jc w:val="both"/>
        <w:rPr/>
      </w:pPr>
      <w:r>
        <w:rPr>
          <w:rFonts w:eastAsia="Times New Roman" w:cs="Times New Roman" w:ascii="Times New Roman" w:hAnsi="Times New Roman"/>
          <w:color w:val="111111"/>
          <w:sz w:val="28"/>
          <w:szCs w:val="28"/>
          <w:lang w:val="en-US"/>
        </w:rPr>
        <w:t>dan pemikiran bangsa Yunani. Namun ... sekte Farushim ...</w:t>
      </w:r>
    </w:p>
    <w:p>
      <w:pPr>
        <w:pStyle w:val="BookText"/>
        <w:bidi w:val="0"/>
        <w:jc w:val="both"/>
        <w:rPr/>
      </w:pPr>
      <w:r>
        <w:rPr>
          <w:rFonts w:eastAsia="Times New Roman" w:cs="Times New Roman" w:ascii="Times New Roman" w:hAnsi="Times New Roman"/>
          <w:color w:val="111111"/>
          <w:sz w:val="28"/>
          <w:szCs w:val="28"/>
          <w:lang w:val="en-US"/>
        </w:rPr>
        <w:t>menyatakan, ‘Sebelum dunia berakhir ... tanggung jawab dan</w:t>
      </w:r>
    </w:p>
    <w:p>
      <w:pPr>
        <w:pStyle w:val="BookText"/>
        <w:bidi w:val="0"/>
        <w:jc w:val="both"/>
        <w:rPr/>
      </w:pPr>
      <w:r>
        <w:rPr>
          <w:rFonts w:eastAsia="Times New Roman" w:cs="Times New Roman" w:ascii="Times New Roman" w:hAnsi="Times New Roman"/>
          <w:color w:val="111111"/>
          <w:sz w:val="28"/>
          <w:szCs w:val="28"/>
          <w:lang w:val="en-US"/>
        </w:rPr>
        <w:t>tugas semua makhluk adalah loyalitas dan ketulusan pada Taurat,</w:t>
      </w:r>
    </w:p>
    <w:p>
      <w:pPr>
        <w:pStyle w:val="BookText"/>
        <w:bidi w:val="0"/>
        <w:jc w:val="both"/>
        <w:rPr/>
      </w:pPr>
      <w:r>
        <w:rPr>
          <w:rFonts w:eastAsia="Times New Roman" w:cs="Times New Roman" w:ascii="Times New Roman" w:hAnsi="Times New Roman"/>
          <w:color w:val="111111"/>
          <w:sz w:val="28"/>
          <w:szCs w:val="28"/>
          <w:lang w:val="en-US"/>
        </w:rPr>
        <w:t>yakni agama Musa, dan menjaga utuh bentuk dan makna teks</w:t>
      </w:r>
    </w:p>
    <w:p>
      <w:pPr>
        <w:pStyle w:val="BookText"/>
        <w:bidi w:val="0"/>
        <w:jc w:val="both"/>
        <w:rPr/>
      </w:pPr>
      <w:r>
        <w:rPr>
          <w:rFonts w:eastAsia="Times New Roman" w:cs="Times New Roman" w:ascii="Times New Roman" w:hAnsi="Times New Roman"/>
          <w:color w:val="111111"/>
          <w:sz w:val="28"/>
          <w:szCs w:val="28"/>
          <w:lang w:val="en-US"/>
        </w:rPr>
        <w:t>agama tanpa tafsir dan takwil apa pun.</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Lain dari itu, sekte Farushlm menghabiskan hidupnya dengan</w:t>
      </w:r>
    </w:p>
    <w:p>
      <w:pPr>
        <w:pStyle w:val="BookText"/>
        <w:bidi w:val="0"/>
        <w:jc w:val="both"/>
        <w:rPr/>
      </w:pPr>
      <w:r>
        <w:rPr>
          <w:rFonts w:eastAsia="Times New Roman" w:cs="Times New Roman" w:ascii="Times New Roman" w:hAnsi="Times New Roman"/>
          <w:color w:val="111111"/>
          <w:sz w:val="28"/>
          <w:szCs w:val="28"/>
          <w:lang w:val="en-US"/>
        </w:rPr>
        <w:t>mendiskusikan perkara-perkara seperti: baik-tidaknya memakan</w:t>
      </w:r>
    </w:p>
    <w:p>
      <w:pPr>
        <w:pStyle w:val="BookText"/>
        <w:bidi w:val="0"/>
        <w:jc w:val="both"/>
        <w:rPr/>
      </w:pPr>
      <w:r>
        <w:rPr>
          <w:rFonts w:eastAsia="Times New Roman" w:cs="Times New Roman" w:ascii="Times New Roman" w:hAnsi="Times New Roman"/>
          <w:color w:val="111111"/>
          <w:sz w:val="28"/>
          <w:szCs w:val="28"/>
          <w:lang w:val="en-US"/>
        </w:rPr>
        <w:t>telur yang ditelurkan ayam pada hari Sabtu.</w:t>
      </w:r>
      <w:r>
        <w:rPr>
          <w:rStyle w:val="FootnoteAnchor"/>
        </w:rPr>
        <w:footnoteReference w:id="192"/>
      </w:r>
      <w:r>
        <w:rPr>
          <w:rFonts w:eastAsia="Times New Roman" w:cs="Times New Roman" w:ascii="Times New Roman" w:hAnsi="Times New Roman"/>
          <w:color w:val="111111"/>
          <w:sz w:val="28"/>
          <w:szCs w:val="28"/>
          <w:lang w:val="en-US"/>
        </w:rPr>
        <w:t>Akan halnya sekte</w:t>
      </w:r>
    </w:p>
    <w:p>
      <w:pPr>
        <w:pStyle w:val="BookText"/>
        <w:bidi w:val="0"/>
        <w:jc w:val="both"/>
        <w:rPr/>
      </w:pPr>
      <w:r>
        <w:rPr>
          <w:rFonts w:eastAsia="Times New Roman" w:cs="Times New Roman" w:ascii="Times New Roman" w:hAnsi="Times New Roman"/>
          <w:color w:val="111111"/>
          <w:sz w:val="28"/>
          <w:szCs w:val="28"/>
          <w:lang w:val="en-US"/>
        </w:rPr>
        <w:t>Shaduqi cenderung mengkaji tema-tema agama secara rasional dan,</w:t>
      </w:r>
    </w:p>
    <w:p>
      <w:pPr>
        <w:pStyle w:val="BookText"/>
        <w:bidi w:val="0"/>
        <w:jc w:val="both"/>
        <w:rPr/>
      </w:pPr>
      <w:r>
        <w:rPr>
          <w:rFonts w:eastAsia="Times New Roman" w:cs="Times New Roman" w:ascii="Times New Roman" w:hAnsi="Times New Roman"/>
          <w:color w:val="111111"/>
          <w:sz w:val="28"/>
          <w:szCs w:val="28"/>
          <w:lang w:val="en-US"/>
        </w:rPr>
        <w:t>seperti juga Muktazilah, menyoroti tema kebebasan dan kehendak</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manusia secara khusus.</w:t>
      </w:r>
      <w:r>
        <w:rPr>
          <w:rStyle w:val="FootnoteAnchor"/>
        </w:rPr>
        <w:footnoteReference w:id="193"/>
      </w:r>
      <w:bookmarkStart w:id="185" w:name="pg5378_50561"/>
    </w:p>
    <w:p>
      <w:pPr>
        <w:pStyle w:val="Heading5"/>
        <w:numPr>
          <w:ilvl w:val="4"/>
          <w:numId w:val="1"/>
        </w:numPr>
        <w:bidi w:val="0"/>
        <w:jc w:val="left"/>
        <w:rPr/>
      </w:pPr>
      <w:bookmarkStart w:id="186" w:name="__RefHeading___Toc1351180_581953129"/>
      <w:bookmarkStart w:id="187" w:name="_Toc69"/>
      <w:bookmarkEnd w:id="185"/>
      <w:bookmarkEnd w:id="186"/>
      <w:r>
        <w:rPr/>
        <w:t>Filsafat Yunani</w:t>
      </w:r>
      <w:bookmarkEnd w:id="187"/>
    </w:p>
    <w:p>
      <w:pPr>
        <w:pStyle w:val="BookText"/>
        <w:bidi w:val="0"/>
        <w:jc w:val="both"/>
        <w:rPr/>
      </w:pPr>
      <w:r>
        <w:rPr>
          <w:rFonts w:eastAsia="Times New Roman" w:cs="Times New Roman" w:ascii="Times New Roman" w:hAnsi="Times New Roman"/>
          <w:color w:val="111111"/>
          <w:sz w:val="28"/>
          <w:szCs w:val="28"/>
          <w:lang w:val="en-US"/>
        </w:rPr>
        <w:t>Tak diragukan lagi, kaum Muktazilah yang getol menyuarakan</w:t>
      </w:r>
    </w:p>
    <w:p>
      <w:pPr>
        <w:pStyle w:val="BookText"/>
        <w:bidi w:val="0"/>
        <w:jc w:val="both"/>
        <w:rPr/>
      </w:pPr>
      <w:r>
        <w:rPr>
          <w:rFonts w:eastAsia="Times New Roman" w:cs="Times New Roman" w:ascii="Times New Roman" w:hAnsi="Times New Roman"/>
          <w:color w:val="111111"/>
          <w:sz w:val="28"/>
          <w:szCs w:val="28"/>
          <w:lang w:val="en-US"/>
        </w:rPr>
        <w:t>kebebasan berpikir dan rasionalisme bukan hanya menyambut</w:t>
      </w:r>
    </w:p>
    <w:p>
      <w:pPr>
        <w:pStyle w:val="BookText"/>
        <w:bidi w:val="0"/>
        <w:jc w:val="both"/>
        <w:rPr/>
      </w:pPr>
      <w:r>
        <w:rPr>
          <w:rFonts w:eastAsia="Times New Roman" w:cs="Times New Roman" w:ascii="Times New Roman" w:hAnsi="Times New Roman"/>
          <w:color w:val="111111"/>
          <w:sz w:val="28"/>
          <w:szCs w:val="28"/>
          <w:lang w:val="en-US"/>
        </w:rPr>
        <w:t>hangat kedatangan filsafat Yunani ke alam pemikiran Islam, tetapi</w:t>
      </w:r>
    </w:p>
    <w:p>
      <w:pPr>
        <w:pStyle w:val="BookText"/>
        <w:bidi w:val="0"/>
        <w:jc w:val="both"/>
        <w:rPr/>
      </w:pPr>
      <w:r>
        <w:rPr>
          <w:rFonts w:eastAsia="Times New Roman" w:cs="Times New Roman" w:ascii="Times New Roman" w:hAnsi="Times New Roman"/>
          <w:color w:val="111111"/>
          <w:sz w:val="28"/>
          <w:szCs w:val="28"/>
          <w:lang w:val="en-US"/>
        </w:rPr>
        <w:t>bahkan menerimanya. Mereka menganggap, untuk mendebat dan</w:t>
      </w:r>
    </w:p>
    <w:p>
      <w:pPr>
        <w:pStyle w:val="BookText"/>
        <w:bidi w:val="0"/>
        <w:jc w:val="both"/>
        <w:rPr/>
      </w:pPr>
      <w:r>
        <w:rPr>
          <w:rFonts w:eastAsia="Times New Roman" w:cs="Times New Roman" w:ascii="Times New Roman" w:hAnsi="Times New Roman"/>
          <w:color w:val="111111"/>
          <w:sz w:val="28"/>
          <w:szCs w:val="28"/>
          <w:lang w:val="en-US"/>
        </w:rPr>
        <w:t>mengalahkan para penentangnya, tak ada jalan selain menggunakan</w:t>
      </w:r>
    </w:p>
    <w:p>
      <w:pPr>
        <w:pStyle w:val="BookText"/>
        <w:bidi w:val="0"/>
        <w:jc w:val="both"/>
        <w:rPr/>
      </w:pPr>
      <w:r>
        <w:rPr>
          <w:rFonts w:eastAsia="Times New Roman" w:cs="Times New Roman" w:ascii="Times New Roman" w:hAnsi="Times New Roman"/>
          <w:color w:val="111111"/>
          <w:sz w:val="28"/>
          <w:szCs w:val="28"/>
          <w:lang w:val="en-US"/>
        </w:rPr>
        <w:t>senjata milik lawan.</w:t>
      </w:r>
    </w:p>
    <w:p>
      <w:pPr>
        <w:pStyle w:val="BookText"/>
        <w:bidi w:val="0"/>
        <w:jc w:val="both"/>
        <w:rPr/>
      </w:pPr>
      <w:r>
        <w:rPr>
          <w:rFonts w:eastAsia="Times New Roman" w:cs="Times New Roman" w:ascii="Times New Roman" w:hAnsi="Times New Roman"/>
          <w:color w:val="111111"/>
          <w:sz w:val="28"/>
          <w:szCs w:val="28"/>
          <w:lang w:val="en-US"/>
        </w:rPr>
        <w:t>Pada prinsipnya, adakah mazhab pemikiran yang mampu</w:t>
      </w:r>
    </w:p>
    <w:p>
      <w:pPr>
        <w:pStyle w:val="BookText"/>
        <w:bidi w:val="0"/>
        <w:jc w:val="both"/>
        <w:rPr/>
      </w:pPr>
      <w:r>
        <w:rPr>
          <w:rFonts w:eastAsia="Times New Roman" w:cs="Times New Roman" w:ascii="Times New Roman" w:hAnsi="Times New Roman"/>
          <w:color w:val="111111"/>
          <w:sz w:val="28"/>
          <w:szCs w:val="28"/>
          <w:lang w:val="en-US"/>
        </w:rPr>
        <w:t>mencapai kematangannya dan, sedikit banyaknya, sanggup</w:t>
      </w:r>
    </w:p>
    <w:p>
      <w:pPr>
        <w:pStyle w:val="BookText"/>
        <w:bidi w:val="0"/>
        <w:jc w:val="both"/>
        <w:rPr/>
      </w:pPr>
      <w:r>
        <w:rPr>
          <w:rFonts w:eastAsia="Times New Roman" w:cs="Times New Roman" w:ascii="Times New Roman" w:hAnsi="Times New Roman"/>
          <w:color w:val="111111"/>
          <w:sz w:val="28"/>
          <w:szCs w:val="28"/>
          <w:lang w:val="en-US"/>
        </w:rPr>
        <w:t>mendorong gerbong pemikiran manusia tanpa sama sekali peduli</w:t>
      </w:r>
    </w:p>
    <w:p>
      <w:pPr>
        <w:pStyle w:val="BookText"/>
        <w:bidi w:val="0"/>
        <w:jc w:val="both"/>
        <w:rPr/>
      </w:pPr>
      <w:r>
        <w:rPr>
          <w:rFonts w:eastAsia="Times New Roman" w:cs="Times New Roman" w:ascii="Times New Roman" w:hAnsi="Times New Roman"/>
          <w:color w:val="111111"/>
          <w:sz w:val="28"/>
          <w:szCs w:val="28"/>
          <w:lang w:val="en-US"/>
        </w:rPr>
        <w:t>terhadap segala produk pencapaian kultur sebelumnya? Apa pun</w:t>
      </w:r>
    </w:p>
    <w:p>
      <w:pPr>
        <w:pStyle w:val="BookText"/>
        <w:bidi w:val="0"/>
        <w:jc w:val="both"/>
        <w:rPr/>
      </w:pPr>
      <w:r>
        <w:rPr>
          <w:rFonts w:eastAsia="Times New Roman" w:cs="Times New Roman" w:ascii="Times New Roman" w:hAnsi="Times New Roman"/>
          <w:color w:val="111111"/>
          <w:sz w:val="28"/>
          <w:szCs w:val="28"/>
          <w:lang w:val="en-US"/>
        </w:rPr>
        <w:t>itu, desakan untuk melakukan kontak budaya di antara aliran-</w:t>
      </w:r>
    </w:p>
    <w:p>
      <w:pPr>
        <w:pStyle w:val="BookText"/>
        <w:bidi w:val="0"/>
        <w:jc w:val="both"/>
        <w:rPr/>
      </w:pPr>
      <w:r>
        <w:rPr>
          <w:rFonts w:eastAsia="Times New Roman" w:cs="Times New Roman" w:ascii="Times New Roman" w:hAnsi="Times New Roman"/>
          <w:color w:val="111111"/>
          <w:sz w:val="28"/>
          <w:szCs w:val="28"/>
          <w:lang w:val="en-US"/>
        </w:rPr>
        <w:t>aliran pemikiran adalah keniscayaan yang tak terelakkan lagi, yaitu</w:t>
      </w:r>
    </w:p>
    <w:p>
      <w:pPr>
        <w:pStyle w:val="BookText"/>
        <w:bidi w:val="0"/>
        <w:jc w:val="both"/>
        <w:rPr/>
      </w:pPr>
      <w:r>
        <w:rPr>
          <w:rFonts w:eastAsia="Times New Roman" w:cs="Times New Roman" w:ascii="Times New Roman" w:hAnsi="Times New Roman"/>
          <w:color w:val="111111"/>
          <w:sz w:val="28"/>
          <w:szCs w:val="28"/>
          <w:lang w:val="en-US"/>
        </w:rPr>
        <w:t>terpengaruhinya Muktazilah oleh budaya Yunani. Namun, motif</w:t>
      </w:r>
    </w:p>
    <w:p>
      <w:pPr>
        <w:pStyle w:val="BookText"/>
        <w:bidi w:val="0"/>
        <w:jc w:val="both"/>
        <w:rPr/>
      </w:pPr>
      <w:r>
        <w:rPr>
          <w:rFonts w:eastAsia="Times New Roman" w:cs="Times New Roman" w:ascii="Times New Roman" w:hAnsi="Times New Roman"/>
          <w:color w:val="111111"/>
          <w:sz w:val="28"/>
          <w:szCs w:val="28"/>
          <w:lang w:val="en-US"/>
        </w:rPr>
        <w:t>yang membuat Muktazilah cenderung berfilsafat adalah rasionalisme</w:t>
      </w:r>
    </w:p>
    <w:p>
      <w:pPr>
        <w:pStyle w:val="BookText"/>
        <w:bidi w:val="0"/>
        <w:jc w:val="both"/>
        <w:rPr/>
      </w:pPr>
      <w:r>
        <w:rPr>
          <w:rFonts w:eastAsia="Times New Roman" w:cs="Times New Roman" w:ascii="Times New Roman" w:hAnsi="Times New Roman"/>
          <w:color w:val="111111"/>
          <w:sz w:val="28"/>
          <w:szCs w:val="28"/>
          <w:lang w:val="en-US"/>
        </w:rPr>
        <w:t>mereka sendiri, bukan sebaliknya: bahwa rasionalisme mereka</w:t>
      </w:r>
    </w:p>
    <w:p>
      <w:pPr>
        <w:pStyle w:val="BookText"/>
        <w:bidi w:val="0"/>
        <w:jc w:val="both"/>
        <w:rPr/>
      </w:pPr>
      <w:r>
        <w:rPr>
          <w:rFonts w:eastAsia="Times New Roman" w:cs="Times New Roman" w:ascii="Times New Roman" w:hAnsi="Times New Roman"/>
          <w:color w:val="111111"/>
          <w:sz w:val="28"/>
          <w:szCs w:val="28"/>
          <w:lang w:val="en-US"/>
        </w:rPr>
        <w:t>adalah produk dari minat mereka pada filsafat Yunani.</w:t>
      </w:r>
    </w:p>
    <w:p>
      <w:pPr>
        <w:pStyle w:val="BookText"/>
        <w:bidi w:val="0"/>
        <w:jc w:val="both"/>
        <w:rPr/>
      </w:pPr>
      <w:r>
        <w:rPr>
          <w:rFonts w:eastAsia="Times New Roman" w:cs="Times New Roman" w:ascii="Times New Roman" w:hAnsi="Times New Roman"/>
          <w:color w:val="111111"/>
          <w:sz w:val="28"/>
          <w:szCs w:val="28"/>
          <w:lang w:val="en-US"/>
        </w:rPr>
        <w:t>Ulasan ini tidak dimaksudkan untuk mengurai_infiltrasi</w:t>
      </w:r>
    </w:p>
    <w:p>
      <w:pPr>
        <w:pStyle w:val="BookText"/>
        <w:bidi w:val="0"/>
        <w:jc w:val="both"/>
        <w:rPr/>
      </w:pPr>
      <w:r>
        <w:rPr>
          <w:rFonts w:eastAsia="Times New Roman" w:cs="Times New Roman" w:ascii="Times New Roman" w:hAnsi="Times New Roman"/>
          <w:color w:val="111111"/>
          <w:sz w:val="28"/>
          <w:szCs w:val="28"/>
          <w:lang w:val="en-US"/>
        </w:rPr>
        <w:t>filsafat Yunani ke dalam pemikiran Muktazilah (yang menuntut</w:t>
      </w:r>
    </w:p>
    <w:p>
      <w:pPr>
        <w:pStyle w:val="BookText"/>
        <w:bidi w:val="0"/>
        <w:jc w:val="both"/>
        <w:rPr/>
      </w:pPr>
      <w:r>
        <w:rPr>
          <w:rFonts w:eastAsia="Times New Roman" w:cs="Times New Roman" w:ascii="Times New Roman" w:hAnsi="Times New Roman"/>
          <w:color w:val="111111"/>
          <w:sz w:val="28"/>
          <w:szCs w:val="28"/>
          <w:lang w:val="en-US"/>
        </w:rPr>
        <w:t>analisis terperinci seputar tema-tema pengaruhnya). Namun, perlu</w:t>
      </w:r>
    </w:p>
    <w:p>
      <w:pPr>
        <w:pStyle w:val="BookText"/>
        <w:bidi w:val="0"/>
        <w:jc w:val="both"/>
        <w:rPr/>
      </w:pPr>
      <w:r>
        <w:rPr>
          <w:rFonts w:eastAsia="Times New Roman" w:cs="Times New Roman" w:ascii="Times New Roman" w:hAnsi="Times New Roman"/>
          <w:color w:val="111111"/>
          <w:sz w:val="28"/>
          <w:szCs w:val="28"/>
          <w:lang w:val="en-US"/>
        </w:rPr>
        <w:t>ditekankan bahwa penilaian objektif tidak akan tercapai jika menuduh</w:t>
      </w:r>
    </w:p>
    <w:p>
      <w:pPr>
        <w:pStyle w:val="BookText"/>
        <w:bidi w:val="0"/>
        <w:jc w:val="both"/>
        <w:rPr/>
      </w:pPr>
      <w:r>
        <w:rPr>
          <w:rFonts w:eastAsia="Times New Roman" w:cs="Times New Roman" w:ascii="Times New Roman" w:hAnsi="Times New Roman"/>
          <w:color w:val="111111"/>
          <w:sz w:val="28"/>
          <w:szCs w:val="28"/>
          <w:lang w:val="en-US"/>
        </w:rPr>
        <w:t>Muktazilah telah taklid buta pada filsafat Yunani, atau mempercayai</w:t>
      </w:r>
    </w:p>
    <w:p>
      <w:pPr>
        <w:pStyle w:val="BookText"/>
        <w:bidi w:val="0"/>
        <w:jc w:val="both"/>
        <w:rPr/>
      </w:pPr>
      <w:r>
        <w:rPr>
          <w:rFonts w:eastAsia="Times New Roman" w:cs="Times New Roman" w:ascii="Times New Roman" w:hAnsi="Times New Roman"/>
          <w:color w:val="111111"/>
          <w:sz w:val="28"/>
          <w:szCs w:val="28"/>
          <w:lang w:val="en-US"/>
        </w:rPr>
        <w:t>mereka telah memposisikan filosof dan nabi secara sejajar.</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Berbagai bukti sejarah mengungkapkan, berdasarkan paradigma</w:t>
      </w:r>
    </w:p>
    <w:p>
      <w:pPr>
        <w:pStyle w:val="BookText"/>
        <w:bidi w:val="0"/>
        <w:jc w:val="both"/>
        <w:rPr/>
      </w:pPr>
      <w:r>
        <w:rPr>
          <w:rFonts w:eastAsia="Times New Roman" w:cs="Times New Roman" w:ascii="Times New Roman" w:hAnsi="Times New Roman"/>
          <w:color w:val="111111"/>
          <w:sz w:val="28"/>
          <w:szCs w:val="28"/>
          <w:lang w:val="en-US"/>
        </w:rPr>
        <w:t>rasionalistiknya sendiri, Muktazilah adakalanya malah mengedepan-</w:t>
      </w:r>
    </w:p>
    <w:p>
      <w:pPr>
        <w:pStyle w:val="BookText"/>
        <w:bidi w:val="0"/>
        <w:jc w:val="both"/>
        <w:rPr/>
      </w:pPr>
      <w:r>
        <w:rPr>
          <w:rFonts w:eastAsia="Times New Roman" w:cs="Times New Roman" w:ascii="Times New Roman" w:hAnsi="Times New Roman"/>
          <w:color w:val="111111"/>
          <w:sz w:val="28"/>
          <w:szCs w:val="28"/>
          <w:lang w:val="en-US"/>
        </w:rPr>
        <w:t>kan sastra Arab Jahiliyah ketimbang Aristoteles.</w:t>
      </w:r>
      <w:r>
        <w:rPr>
          <w:rStyle w:val="FootnoteAnchor"/>
        </w:rPr>
        <w:footnoteReference w:id="195"/>
      </w:r>
      <w:r>
        <w:rPr>
          <w:rFonts w:eastAsia="Times New Roman" w:cs="Times New Roman" w:ascii="Times New Roman" w:hAnsi="Times New Roman"/>
          <w:color w:val="111111"/>
          <w:sz w:val="28"/>
          <w:szCs w:val="28"/>
          <w:lang w:val="en-US"/>
        </w:rPr>
        <w:t>Mereka juga</w:t>
      </w:r>
    </w:p>
    <w:p>
      <w:pPr>
        <w:pStyle w:val="BookText"/>
        <w:bidi w:val="0"/>
        <w:jc w:val="both"/>
        <w:rPr/>
      </w:pPr>
      <w:r>
        <w:rPr>
          <w:rFonts w:eastAsia="Times New Roman" w:cs="Times New Roman" w:ascii="Times New Roman" w:hAnsi="Times New Roman"/>
          <w:color w:val="111111"/>
          <w:sz w:val="28"/>
          <w:szCs w:val="28"/>
          <w:lang w:val="en-US"/>
        </w:rPr>
        <w:t>terkadang menelaah karya-karya filosof Yunani hanya untuk</w:t>
      </w:r>
    </w:p>
    <w:p>
      <w:pPr>
        <w:pStyle w:val="BookText"/>
        <w:bidi w:val="0"/>
        <w:jc w:val="both"/>
        <w:rPr/>
      </w:pPr>
      <w:r>
        <w:rPr>
          <w:rFonts w:eastAsia="Times New Roman" w:cs="Times New Roman" w:ascii="Times New Roman" w:hAnsi="Times New Roman"/>
          <w:color w:val="111111"/>
          <w:sz w:val="28"/>
          <w:szCs w:val="28"/>
          <w:lang w:val="en-US"/>
        </w:rPr>
        <w:t>mengritiknya. Ja’far Barmaki, misalnya, sewaktu menghadiri suatu</w:t>
      </w:r>
    </w:p>
    <w:p>
      <w:pPr>
        <w:pStyle w:val="BookText"/>
        <w:bidi w:val="0"/>
        <w:jc w:val="both"/>
        <w:rPr/>
      </w:pPr>
      <w:r>
        <w:rPr>
          <w:rFonts w:eastAsia="Times New Roman" w:cs="Times New Roman" w:ascii="Times New Roman" w:hAnsi="Times New Roman"/>
          <w:color w:val="111111"/>
          <w:sz w:val="28"/>
          <w:szCs w:val="28"/>
          <w:lang w:val="en-US"/>
        </w:rPr>
        <w:t>pertemuan yang juga diikuti Nazdam Muktazili, berbicara tentang</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Aristoletes. Segera Nazdam mengatakan, “Aku telah menulis risalah </w:t>
      </w:r>
      <w:bookmarkStart w:id="188" w:name="pg5378_50563"/>
    </w:p>
    <w:p>
      <w:pPr>
        <w:pStyle w:val="BookText"/>
        <w:bidi w:val="0"/>
        <w:rPr/>
      </w:pPr>
      <w:bookmarkEnd w:id="188"/>
      <w:r>
        <w:rPr>
          <w:rFonts w:eastAsia="Times New Roman" w:cs="Times New Roman" w:ascii="Times New Roman" w:hAnsi="Times New Roman"/>
          <w:color w:val="111111"/>
          <w:sz w:val="28"/>
          <w:szCs w:val="28"/>
          <w:lang w:val="en-US"/>
        </w:rPr>
        <w:t>untuk mengkritik pemikirannya.” Lalu Ja’far bertanya, “ Bagaimana</w:t>
      </w:r>
    </w:p>
    <w:p>
      <w:pPr>
        <w:pStyle w:val="BookText"/>
        <w:bidi w:val="0"/>
        <w:jc w:val="both"/>
        <w:rPr/>
      </w:pPr>
      <w:r>
        <w:rPr>
          <w:rFonts w:eastAsia="Times New Roman" w:cs="Times New Roman" w:ascii="Times New Roman" w:hAnsi="Times New Roman"/>
          <w:color w:val="111111"/>
          <w:sz w:val="28"/>
          <w:szCs w:val="28"/>
          <w:lang w:val="en-US"/>
        </w:rPr>
        <w:t>mungkin, sementara engkau tak punya kemampuan untuk membaca</w:t>
      </w:r>
    </w:p>
    <w:p>
      <w:pPr>
        <w:pStyle w:val="BookText"/>
        <w:bidi w:val="0"/>
        <w:jc w:val="both"/>
        <w:rPr/>
      </w:pPr>
      <w:r>
        <w:rPr>
          <w:rFonts w:eastAsia="Times New Roman" w:cs="Times New Roman" w:ascii="Times New Roman" w:hAnsi="Times New Roman"/>
          <w:color w:val="111111"/>
          <w:sz w:val="28"/>
          <w:szCs w:val="28"/>
          <w:lang w:val="en-US"/>
        </w:rPr>
        <w:t>karya-karyanya?” Nazdam bermaksud membuktikan dirinya sangat</w:t>
      </w:r>
    </w:p>
    <w:p>
      <w:pPr>
        <w:pStyle w:val="BookText"/>
        <w:bidi w:val="0"/>
        <w:jc w:val="both"/>
        <w:rPr/>
      </w:pPr>
      <w:r>
        <w:rPr>
          <w:rFonts w:eastAsia="Times New Roman" w:cs="Times New Roman" w:ascii="Times New Roman" w:hAnsi="Times New Roman"/>
          <w:color w:val="111111"/>
          <w:sz w:val="28"/>
          <w:szCs w:val="28"/>
          <w:lang w:val="en-US"/>
        </w:rPr>
        <w:t>menguasai karya-karya Aristoteles dengan menjawab, “Bagaimana</w:t>
      </w:r>
    </w:p>
    <w:p>
      <w:pPr>
        <w:pStyle w:val="BookText"/>
        <w:bidi w:val="0"/>
        <w:jc w:val="both"/>
        <w:rPr/>
      </w:pPr>
      <w:r>
        <w:rPr>
          <w:rFonts w:eastAsia="Times New Roman" w:cs="Times New Roman" w:ascii="Times New Roman" w:hAnsi="Times New Roman"/>
          <w:color w:val="111111"/>
          <w:sz w:val="28"/>
          <w:szCs w:val="28"/>
          <w:lang w:val="en-US"/>
        </w:rPr>
        <w:t>kalau kubacakan semuanya kepadamu, dari awal sampai akhir, atau</w:t>
      </w:r>
    </w:p>
    <w:p>
      <w:pPr>
        <w:pStyle w:val="BookText"/>
        <w:bidi w:val="0"/>
        <w:jc w:val="both"/>
        <w:rPr/>
      </w:pPr>
      <w:r>
        <w:rPr>
          <w:rFonts w:eastAsia="Times New Roman" w:cs="Times New Roman" w:ascii="Times New Roman" w:hAnsi="Times New Roman"/>
          <w:color w:val="111111"/>
          <w:sz w:val="28"/>
          <w:szCs w:val="28"/>
          <w:lang w:val="en-US"/>
        </w:rPr>
        <w:t>dari akhir ke awal?” Setelah itu, dia mulai menguraikan butir-butir</w:t>
      </w:r>
    </w:p>
    <w:p>
      <w:pPr>
        <w:pStyle w:val="BookText"/>
        <w:bidi w:val="0"/>
        <w:jc w:val="both"/>
        <w:rPr/>
      </w:pPr>
      <w:r>
        <w:rPr>
          <w:rFonts w:eastAsia="Times New Roman" w:cs="Times New Roman" w:ascii="Times New Roman" w:hAnsi="Times New Roman"/>
          <w:color w:val="111111"/>
          <w:sz w:val="28"/>
          <w:szCs w:val="28"/>
          <w:lang w:val="en-US"/>
        </w:rPr>
        <w:t>gagasan Aristoteles, satu demi satu, seraya mengkritiknya.</w:t>
      </w:r>
      <w:r>
        <w:rPr>
          <w:rStyle w:val="FootnoteAnchor"/>
        </w:rPr>
        <w:footnoteReference w:id="196"/>
      </w:r>
    </w:p>
    <w:p>
      <w:pPr>
        <w:pStyle w:val="Heading5"/>
        <w:numPr>
          <w:ilvl w:val="4"/>
          <w:numId w:val="1"/>
        </w:numPr>
        <w:bidi w:val="0"/>
        <w:jc w:val="left"/>
        <w:rPr/>
      </w:pPr>
      <w:bookmarkStart w:id="189" w:name="__RefHeading___Toc1351182_581953129"/>
      <w:bookmarkStart w:id="190" w:name="_Toc70"/>
      <w:bookmarkEnd w:id="189"/>
      <w:r>
        <w:rPr/>
        <w:t>Membela Kemurnian Ajaran Isiam</w:t>
      </w:r>
      <w:bookmarkEnd w:id="190"/>
    </w:p>
    <w:p>
      <w:pPr>
        <w:pStyle w:val="BookText"/>
        <w:bidi w:val="0"/>
        <w:jc w:val="both"/>
        <w:rPr/>
      </w:pPr>
      <w:r>
        <w:rPr>
          <w:rFonts w:eastAsia="Times New Roman" w:cs="Times New Roman" w:ascii="Times New Roman" w:hAnsi="Times New Roman"/>
          <w:color w:val="111111"/>
          <w:sz w:val="28"/>
          <w:szCs w:val="28"/>
          <w:lang w:val="en-US"/>
        </w:rPr>
        <w:t>Faktor paling utama yang memicu kemunculan dan mekarnya</w:t>
      </w:r>
    </w:p>
    <w:p>
      <w:pPr>
        <w:pStyle w:val="BookText"/>
        <w:bidi w:val="0"/>
        <w:jc w:val="both"/>
        <w:rPr/>
      </w:pPr>
      <w:r>
        <w:rPr>
          <w:rFonts w:eastAsia="Times New Roman" w:cs="Times New Roman" w:ascii="Times New Roman" w:hAnsi="Times New Roman"/>
          <w:color w:val="111111"/>
          <w:sz w:val="28"/>
          <w:szCs w:val="28"/>
          <w:lang w:val="en-US"/>
        </w:rPr>
        <w:t>rasionalisme Muktazilah adalah ajaran murni Islam. Alquran</w:t>
      </w:r>
    </w:p>
    <w:p>
      <w:pPr>
        <w:pStyle w:val="BookText"/>
        <w:bidi w:val="0"/>
        <w:jc w:val="both"/>
        <w:rPr/>
      </w:pPr>
      <w:r>
        <w:rPr>
          <w:rFonts w:eastAsia="Times New Roman" w:cs="Times New Roman" w:ascii="Times New Roman" w:hAnsi="Times New Roman"/>
          <w:color w:val="111111"/>
          <w:sz w:val="28"/>
          <w:szCs w:val="28"/>
          <w:lang w:val="en-US"/>
        </w:rPr>
        <w:t>al-Karim dan Sunah Nabi Saw tentu memberi kontribusi besar</w:t>
      </w:r>
    </w:p>
    <w:p>
      <w:pPr>
        <w:pStyle w:val="BookText"/>
        <w:bidi w:val="0"/>
        <w:jc w:val="both"/>
        <w:rPr/>
      </w:pPr>
      <w:r>
        <w:rPr>
          <w:rFonts w:eastAsia="Times New Roman" w:cs="Times New Roman" w:ascii="Times New Roman" w:hAnsi="Times New Roman"/>
          <w:color w:val="111111"/>
          <w:sz w:val="28"/>
          <w:szCs w:val="28"/>
          <w:lang w:val="en-US"/>
        </w:rPr>
        <w:t>dalam menumbuhkan pemikiran rasional. Adapun fondasi utama</w:t>
      </w:r>
    </w:p>
    <w:p>
      <w:pPr>
        <w:pStyle w:val="BookText"/>
        <w:bidi w:val="0"/>
        <w:jc w:val="both"/>
        <w:rPr/>
      </w:pPr>
      <w:r>
        <w:rPr>
          <w:rFonts w:eastAsia="Times New Roman" w:cs="Times New Roman" w:ascii="Times New Roman" w:hAnsi="Times New Roman"/>
          <w:color w:val="111111"/>
          <w:sz w:val="28"/>
          <w:szCs w:val="28"/>
          <w:lang w:val="en-US"/>
        </w:rPr>
        <w:t>pemikiran Muktazilah adalah pidato-pidato Imam Ali bin Abi</w:t>
      </w:r>
    </w:p>
    <w:p>
      <w:pPr>
        <w:pStyle w:val="BookText"/>
        <w:bidi w:val="0"/>
        <w:jc w:val="both"/>
        <w:rPr/>
      </w:pPr>
      <w:r>
        <w:rPr>
          <w:rFonts w:eastAsia="Times New Roman" w:cs="Times New Roman" w:ascii="Times New Roman" w:hAnsi="Times New Roman"/>
          <w:color w:val="111111"/>
          <w:sz w:val="28"/>
          <w:szCs w:val="28"/>
          <w:lang w:val="en-US"/>
        </w:rPr>
        <w:t>Thalib, khususnya yang berkaitan dengan Keadilan Ilahi (theodicy)</w:t>
      </w:r>
    </w:p>
    <w:p>
      <w:pPr>
        <w:pStyle w:val="BookText"/>
        <w:bidi w:val="0"/>
        <w:jc w:val="both"/>
        <w:rPr/>
      </w:pPr>
      <w:r>
        <w:rPr>
          <w:rFonts w:eastAsia="Times New Roman" w:cs="Times New Roman" w:ascii="Times New Roman" w:hAnsi="Times New Roman"/>
          <w:color w:val="111111"/>
          <w:sz w:val="28"/>
          <w:szCs w:val="28"/>
          <w:lang w:val="en-US"/>
        </w:rPr>
        <w:t>dan Tauhid. Penafsiran yang begitu cermat mengenai Tauhid—</w:t>
      </w:r>
    </w:p>
    <w:p>
      <w:pPr>
        <w:pStyle w:val="BookText"/>
        <w:bidi w:val="0"/>
        <w:jc w:val="both"/>
        <w:rPr/>
      </w:pPr>
      <w:r>
        <w:rPr>
          <w:rFonts w:eastAsia="Times New Roman" w:cs="Times New Roman" w:ascii="Times New Roman" w:hAnsi="Times New Roman"/>
          <w:color w:val="111111"/>
          <w:sz w:val="28"/>
          <w:szCs w:val="28"/>
          <w:lang w:val="en-US"/>
        </w:rPr>
        <w:t>sebegitu rupa hingga menafikan sifat yang berbeda [dengan dzat]</w:t>
      </w:r>
    </w:p>
    <w:p>
      <w:pPr>
        <w:pStyle w:val="BookText"/>
        <w:bidi w:val="0"/>
        <w:jc w:val="both"/>
        <w:rPr/>
      </w:pPr>
      <w:r>
        <w:rPr>
          <w:rFonts w:eastAsia="Times New Roman" w:cs="Times New Roman" w:ascii="Times New Roman" w:hAnsi="Times New Roman"/>
          <w:color w:val="111111"/>
          <w:sz w:val="28"/>
          <w:szCs w:val="28"/>
          <w:lang w:val="en-US"/>
        </w:rPr>
        <w:t>dari diri (dzat) Tuhan; penerimaan konsep substansialitas kebaikan</w:t>
      </w:r>
    </w:p>
    <w:p>
      <w:pPr>
        <w:pStyle w:val="BookText"/>
        <w:bidi w:val="0"/>
        <w:jc w:val="both"/>
        <w:rPr/>
      </w:pPr>
      <w:r>
        <w:rPr>
          <w:rFonts w:eastAsia="Times New Roman" w:cs="Times New Roman" w:ascii="Times New Roman" w:hAnsi="Times New Roman"/>
          <w:color w:val="111111"/>
          <w:sz w:val="28"/>
          <w:szCs w:val="28"/>
          <w:lang w:val="en-US"/>
        </w:rPr>
        <w:t>dan keburukan perbuatan; pembelaan terhadap kebebasan dan daya</w:t>
      </w:r>
    </w:p>
    <w:p>
      <w:pPr>
        <w:pStyle w:val="BookText"/>
        <w:bidi w:val="0"/>
        <w:jc w:val="both"/>
        <w:rPr/>
      </w:pPr>
      <w:r>
        <w:rPr>
          <w:rFonts w:eastAsia="Times New Roman" w:cs="Times New Roman" w:ascii="Times New Roman" w:hAnsi="Times New Roman"/>
          <w:color w:val="111111"/>
          <w:sz w:val="28"/>
          <w:szCs w:val="28"/>
          <w:lang w:val="en-US"/>
        </w:rPr>
        <w:t>pilih (ikitiyar) manusia dalam setiap tindakannya; dan puluhan</w:t>
      </w:r>
    </w:p>
    <w:p>
      <w:pPr>
        <w:pStyle w:val="BookText"/>
        <w:bidi w:val="0"/>
        <w:jc w:val="both"/>
        <w:rPr/>
      </w:pPr>
      <w:r>
        <w:rPr>
          <w:rFonts w:eastAsia="Times New Roman" w:cs="Times New Roman" w:ascii="Times New Roman" w:hAnsi="Times New Roman"/>
          <w:color w:val="111111"/>
          <w:sz w:val="28"/>
          <w:szCs w:val="28"/>
          <w:lang w:val="en-US"/>
        </w:rPr>
        <w:t>butir pemikiran lain yang berasal dari kata-kata Imam Ali telah</w:t>
      </w:r>
    </w:p>
    <w:p>
      <w:pPr>
        <w:pStyle w:val="BookText"/>
        <w:bidi w:val="0"/>
        <w:jc w:val="both"/>
        <w:rPr/>
      </w:pPr>
      <w:r>
        <w:rPr>
          <w:rFonts w:eastAsia="Times New Roman" w:cs="Times New Roman" w:ascii="Times New Roman" w:hAnsi="Times New Roman"/>
          <w:color w:val="111111"/>
          <w:sz w:val="28"/>
          <w:szCs w:val="28"/>
          <w:lang w:val="en-US"/>
        </w:rPr>
        <w:t>menjadikan Muktazilah lebih maju dan istimewa ketimbang kaum</w:t>
      </w:r>
    </w:p>
    <w:p>
      <w:pPr>
        <w:pStyle w:val="BookText"/>
        <w:bidi w:val="0"/>
        <w:jc w:val="both"/>
        <w:rPr/>
      </w:pPr>
      <w:r>
        <w:rPr>
          <w:rFonts w:eastAsia="Times New Roman" w:cs="Times New Roman" w:ascii="Times New Roman" w:hAnsi="Times New Roman"/>
          <w:color w:val="111111"/>
          <w:sz w:val="28"/>
          <w:szCs w:val="28"/>
          <w:lang w:val="en-US"/>
        </w:rPr>
        <w:t>literalis dan tekstualis. Pemimpin Muktazilah, Washil bin Atha’,</w:t>
      </w:r>
    </w:p>
    <w:p>
      <w:pPr>
        <w:pStyle w:val="BookText"/>
        <w:bidi w:val="0"/>
        <w:jc w:val="both"/>
        <w:rPr/>
      </w:pPr>
      <w:r>
        <w:rPr>
          <w:rFonts w:eastAsia="Times New Roman" w:cs="Times New Roman" w:ascii="Times New Roman" w:hAnsi="Times New Roman"/>
          <w:color w:val="111111"/>
          <w:sz w:val="28"/>
          <w:szCs w:val="28"/>
          <w:lang w:val="en-US"/>
        </w:rPr>
        <w:t>sendiri merupakan murid dari murid Imam Ali. Kalangan pemuka</w:t>
      </w:r>
    </w:p>
    <w:p>
      <w:pPr>
        <w:pStyle w:val="BookText"/>
        <w:bidi w:val="0"/>
        <w:jc w:val="both"/>
        <w:rPr/>
      </w:pPr>
      <w:r>
        <w:rPr>
          <w:rFonts w:eastAsia="Times New Roman" w:cs="Times New Roman" w:ascii="Times New Roman" w:hAnsi="Times New Roman"/>
          <w:color w:val="111111"/>
          <w:sz w:val="28"/>
          <w:szCs w:val="28"/>
          <w:lang w:val="en-US"/>
        </w:rPr>
        <w:t>Muktazilah bahkan mengklaim bahwa Washil telah mengecap</w:t>
      </w:r>
    </w:p>
    <w:p>
      <w:pPr>
        <w:pStyle w:val="BookText"/>
        <w:bidi w:val="0"/>
        <w:jc w:val="both"/>
        <w:rPr/>
      </w:pPr>
      <w:r>
        <w:rPr>
          <w:rFonts w:eastAsia="Times New Roman" w:cs="Times New Roman" w:ascii="Times New Roman" w:hAnsi="Times New Roman"/>
          <w:color w:val="111111"/>
          <w:sz w:val="28"/>
          <w:szCs w:val="28"/>
          <w:lang w:val="en-US"/>
        </w:rPr>
        <w:t>Sajian pemikiran dari pemilik mata air segar ilmu Ilahi yang begitu</w:t>
      </w:r>
    </w:p>
    <w:p>
      <w:pPr>
        <w:pStyle w:val="BookText"/>
        <w:bidi w:val="0"/>
        <w:jc w:val="both"/>
        <w:rPr/>
      </w:pPr>
      <w:r>
        <w:rPr>
          <w:rFonts w:eastAsia="Times New Roman" w:cs="Times New Roman" w:ascii="Times New Roman" w:hAnsi="Times New Roman"/>
          <w:color w:val="111111"/>
          <w:sz w:val="28"/>
          <w:szCs w:val="28"/>
          <w:lang w:val="en-US"/>
        </w:rPr>
        <w:t>melimpah ruah. Ibnu Abil Hadid mengatakan:</w:t>
      </w:r>
    </w:p>
    <w:p>
      <w:pPr>
        <w:pStyle w:val="BookText"/>
        <w:bidi w:val="0"/>
        <w:jc w:val="both"/>
        <w:rPr/>
      </w:pPr>
      <w:r>
        <w:rPr>
          <w:rFonts w:eastAsia="Times New Roman" w:cs="Times New Roman" w:ascii="Times New Roman" w:hAnsi="Times New Roman"/>
          <w:color w:val="111111"/>
          <w:sz w:val="28"/>
          <w:szCs w:val="28"/>
          <w:lang w:val="en-US"/>
        </w:rPr>
        <w:t>Muktazilah penganut prinsip Tauhid, prinsip Keadilan Ilahi</w:t>
      </w:r>
    </w:p>
    <w:p>
      <w:pPr>
        <w:pStyle w:val="BookText"/>
        <w:bidi w:val="0"/>
        <w:jc w:val="both"/>
        <w:rPr/>
      </w:pPr>
      <w:r>
        <w:rPr>
          <w:rFonts w:eastAsia="Times New Roman" w:cs="Times New Roman" w:ascii="Times New Roman" w:hAnsi="Times New Roman"/>
          <w:color w:val="111111"/>
          <w:sz w:val="28"/>
          <w:szCs w:val="28"/>
          <w:lang w:val="en-US"/>
        </w:rPr>
        <w:t>dan ahli pikir, termasuk khalayak yang telah banyak menimba</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ilmu dari mereka sekaitan dengan ilmu ketuhanan, tergolong </w:t>
      </w:r>
    </w:p>
    <w:p>
      <w:pPr>
        <w:pStyle w:val="BookText"/>
        <w:bidi w:val="0"/>
        <w:rPr/>
      </w:pPr>
      <w:r>
        <w:rPr>
          <w:rFonts w:eastAsia="Times New Roman" w:cs="Times New Roman" w:ascii="Times New Roman" w:hAnsi="Times New Roman"/>
          <w:color w:val="111111"/>
          <w:sz w:val="28"/>
          <w:szCs w:val="28"/>
          <w:lang w:val="en-US"/>
        </w:rPr>
        <w:t>murid dan pendukung Ali. Karena pemuka mereka, Washil bin</w:t>
      </w:r>
    </w:p>
    <w:p>
      <w:pPr>
        <w:pStyle w:val="BookText"/>
        <w:bidi w:val="0"/>
        <w:jc w:val="both"/>
        <w:rPr/>
      </w:pPr>
      <w:r>
        <w:rPr>
          <w:rFonts w:eastAsia="Times New Roman" w:cs="Times New Roman" w:ascii="Times New Roman" w:hAnsi="Times New Roman"/>
          <w:color w:val="111111"/>
          <w:sz w:val="28"/>
          <w:szCs w:val="28"/>
          <w:lang w:val="en-US"/>
        </w:rPr>
        <w:t>Atha’, telah menimba ilmu dari Abu Hasyim, putra Muhammad</w:t>
      </w:r>
    </w:p>
    <w:p>
      <w:pPr>
        <w:pStyle w:val="BookText"/>
        <w:bidi w:val="0"/>
        <w:jc w:val="both"/>
        <w:rPr/>
      </w:pPr>
      <w:r>
        <w:rPr>
          <w:rFonts w:eastAsia="Times New Roman" w:cs="Times New Roman" w:ascii="Times New Roman" w:hAnsi="Times New Roman"/>
          <w:color w:val="111111"/>
          <w:sz w:val="28"/>
          <w:szCs w:val="28"/>
          <w:lang w:val="en-US"/>
        </w:rPr>
        <w:t>bin Hanafiyah. Sedangkan Abu Hasyim telah menimba ilmu dari</w:t>
      </w:r>
    </w:p>
    <w:p>
      <w:pPr>
        <w:pStyle w:val="BookText"/>
        <w:bidi w:val="0"/>
        <w:jc w:val="both"/>
        <w:rPr/>
      </w:pPr>
      <w:r>
        <w:rPr>
          <w:rFonts w:eastAsia="Times New Roman" w:cs="Times New Roman" w:ascii="Times New Roman" w:hAnsi="Times New Roman"/>
          <w:color w:val="111111"/>
          <w:sz w:val="28"/>
          <w:szCs w:val="28"/>
          <w:lang w:val="en-US"/>
        </w:rPr>
        <w:t>ayahnya. Dan ayahnya dididik Ali.</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Konon, dikarenakan telah menjauh dari sumber hikmah</w:t>
      </w:r>
    </w:p>
    <w:p>
      <w:pPr>
        <w:pStyle w:val="BookText"/>
        <w:bidi w:val="0"/>
        <w:jc w:val="both"/>
        <w:rPr/>
      </w:pPr>
      <w:r>
        <w:rPr>
          <w:rFonts w:eastAsia="Times New Roman" w:cs="Times New Roman" w:ascii="Times New Roman" w:hAnsi="Times New Roman"/>
          <w:color w:val="111111"/>
          <w:sz w:val="28"/>
          <w:szCs w:val="28"/>
          <w:lang w:val="en-US"/>
        </w:rPr>
        <w:t>Ilahi dan tidak diterangi cahaya kepemimpinan Ahlul Bait, besar</w:t>
      </w:r>
    </w:p>
    <w:p>
      <w:pPr>
        <w:pStyle w:val="BookText"/>
        <w:bidi w:val="0"/>
        <w:jc w:val="both"/>
        <w:rPr/>
      </w:pPr>
      <w:r>
        <w:rPr>
          <w:rFonts w:eastAsia="Times New Roman" w:cs="Times New Roman" w:ascii="Times New Roman" w:hAnsi="Times New Roman"/>
          <w:color w:val="111111"/>
          <w:sz w:val="28"/>
          <w:szCs w:val="28"/>
          <w:lang w:val="en-US"/>
        </w:rPr>
        <w:t>kemungkinan kaum Muktazilah tidak mereguk sumber ilmu Ali</w:t>
      </w:r>
    </w:p>
    <w:p>
      <w:pPr>
        <w:pStyle w:val="BookText"/>
        <w:bidi w:val="0"/>
        <w:jc w:val="both"/>
        <w:rPr/>
      </w:pPr>
      <w:r>
        <w:rPr>
          <w:rFonts w:eastAsia="Times New Roman" w:cs="Times New Roman" w:ascii="Times New Roman" w:hAnsi="Times New Roman"/>
          <w:color w:val="111111"/>
          <w:sz w:val="28"/>
          <w:szCs w:val="28"/>
          <w:lang w:val="en-US"/>
        </w:rPr>
        <w:t>secara total. Sebagai contoh, kegagalan mereka dalam mengatasi</w:t>
      </w:r>
    </w:p>
    <w:p>
      <w:pPr>
        <w:pStyle w:val="BookText"/>
        <w:bidi w:val="0"/>
        <w:jc w:val="both"/>
        <w:rPr/>
      </w:pPr>
      <w:r>
        <w:rPr>
          <w:rFonts w:eastAsia="Times New Roman" w:cs="Times New Roman" w:ascii="Times New Roman" w:hAnsi="Times New Roman"/>
          <w:color w:val="111111"/>
          <w:sz w:val="28"/>
          <w:szCs w:val="28"/>
          <w:lang w:val="en-US"/>
        </w:rPr>
        <w:t>dilema ‘determinisme’ (jabr) versus ‘kebebasan berkehendak’. Dalam</w:t>
      </w:r>
    </w:p>
    <w:p>
      <w:pPr>
        <w:pStyle w:val="BookText"/>
        <w:bidi w:val="0"/>
        <w:jc w:val="both"/>
        <w:rPr/>
      </w:pPr>
      <w:r>
        <w:rPr>
          <w:rFonts w:eastAsia="Times New Roman" w:cs="Times New Roman" w:ascii="Times New Roman" w:hAnsi="Times New Roman"/>
          <w:color w:val="111111"/>
          <w:sz w:val="28"/>
          <w:szCs w:val="28"/>
          <w:lang w:val="en-US"/>
        </w:rPr>
        <w:t>dilema ini, mereka sama sekali tidak mampu merumuskan ‘jalan</w:t>
      </w:r>
    </w:p>
    <w:p>
      <w:pPr>
        <w:pStyle w:val="BookText"/>
        <w:bidi w:val="0"/>
        <w:jc w:val="both"/>
        <w:rPr/>
      </w:pPr>
      <w:r>
        <w:rPr>
          <w:rFonts w:eastAsia="Times New Roman" w:cs="Times New Roman" w:ascii="Times New Roman" w:hAnsi="Times New Roman"/>
          <w:color w:val="111111"/>
          <w:sz w:val="28"/>
          <w:szCs w:val="28"/>
          <w:lang w:val="en-US"/>
        </w:rPr>
        <w:t>tengah’ (al-amr bain al-amrain: satu di antara dua keadaan). Untuk</w:t>
      </w:r>
    </w:p>
    <w:p>
      <w:pPr>
        <w:pStyle w:val="BookText"/>
        <w:bidi w:val="0"/>
        <w:jc w:val="both"/>
        <w:rPr/>
      </w:pPr>
      <w:r>
        <w:rPr>
          <w:rFonts w:eastAsia="Times New Roman" w:cs="Times New Roman" w:ascii="Times New Roman" w:hAnsi="Times New Roman"/>
          <w:color w:val="111111"/>
          <w:sz w:val="28"/>
          <w:szCs w:val="28"/>
          <w:lang w:val="en-US"/>
        </w:rPr>
        <w:t>mengelak dari determinisme, mereka malah terperosok ke jurang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delegasi kebebasan mutlak’ (tafwidh).</w:t>
      </w:r>
    </w:p>
    <w:p>
      <w:pPr>
        <w:pStyle w:val="BookText"/>
        <w:bidi w:val="0"/>
        <w:jc w:val="both"/>
        <w:rPr/>
      </w:pPr>
      <w:r>
        <w:rPr>
          <w:rFonts w:eastAsia="Times New Roman" w:cs="Times New Roman" w:ascii="Times New Roman" w:hAnsi="Times New Roman"/>
          <w:color w:val="111111"/>
          <w:sz w:val="28"/>
          <w:szCs w:val="28"/>
          <w:lang w:val="en-US"/>
        </w:rPr>
        <w:t>Kaum Muktazilah menolak determinisme perbuatan manusia</w:t>
      </w:r>
    </w:p>
    <w:p>
      <w:pPr>
        <w:pStyle w:val="BookText"/>
        <w:bidi w:val="0"/>
        <w:jc w:val="both"/>
        <w:rPr/>
      </w:pPr>
      <w:r>
        <w:rPr>
          <w:rFonts w:eastAsia="Times New Roman" w:cs="Times New Roman" w:ascii="Times New Roman" w:hAnsi="Times New Roman"/>
          <w:color w:val="111111"/>
          <w:sz w:val="28"/>
          <w:szCs w:val="28"/>
          <w:lang w:val="en-US"/>
        </w:rPr>
        <w:t>agar sesuai dengan prinsip Keadilan Ilahi. Hanya saja, penolakan itu</w:t>
      </w:r>
    </w:p>
    <w:p>
      <w:pPr>
        <w:pStyle w:val="BookText"/>
        <w:bidi w:val="0"/>
        <w:jc w:val="both"/>
        <w:rPr/>
      </w:pPr>
      <w:r>
        <w:rPr>
          <w:rFonts w:eastAsia="Times New Roman" w:cs="Times New Roman" w:ascii="Times New Roman" w:hAnsi="Times New Roman"/>
          <w:color w:val="111111"/>
          <w:sz w:val="28"/>
          <w:szCs w:val="28"/>
          <w:lang w:val="en-US"/>
        </w:rPr>
        <w:t>dilandasi pemahaman ‘delegasi kebebasan mutlak’. Akibatnya, cam-</w:t>
      </w:r>
    </w:p>
    <w:p>
      <w:pPr>
        <w:pStyle w:val="BookText"/>
        <w:bidi w:val="0"/>
        <w:jc w:val="both"/>
        <w:rPr/>
      </w:pPr>
      <w:r>
        <w:rPr>
          <w:rFonts w:eastAsia="Times New Roman" w:cs="Times New Roman" w:ascii="Times New Roman" w:hAnsi="Times New Roman"/>
          <w:color w:val="111111"/>
          <w:sz w:val="28"/>
          <w:szCs w:val="28"/>
          <w:lang w:val="en-US"/>
        </w:rPr>
        <w:t>purtangan Ilahi terhadap perbuatan makhluk-Nya menjadi terbatas,</w:t>
      </w:r>
    </w:p>
    <w:p>
      <w:pPr>
        <w:pStyle w:val="BookText"/>
        <w:bidi w:val="0"/>
        <w:jc w:val="both"/>
        <w:rPr/>
      </w:pPr>
      <w:r>
        <w:rPr>
          <w:rFonts w:eastAsia="Times New Roman" w:cs="Times New Roman" w:ascii="Times New Roman" w:hAnsi="Times New Roman"/>
          <w:color w:val="111111"/>
          <w:sz w:val="28"/>
          <w:szCs w:val="28"/>
          <w:lang w:val="en-US"/>
        </w:rPr>
        <w:t>dan ini meniscayakan keterbatasan otoritas dan kekuasaan Tuhan.</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Kerancuan semacam ini tentu saja tidak serta merta meremehkan</w:t>
      </w:r>
    </w:p>
    <w:p>
      <w:pPr>
        <w:pStyle w:val="BookText"/>
        <w:bidi w:val="0"/>
        <w:jc w:val="both"/>
        <w:rPr/>
      </w:pPr>
      <w:r>
        <w:rPr>
          <w:rFonts w:eastAsia="Times New Roman" w:cs="Times New Roman" w:ascii="Times New Roman" w:hAnsi="Times New Roman"/>
          <w:color w:val="111111"/>
          <w:sz w:val="28"/>
          <w:szCs w:val="28"/>
          <w:lang w:val="en-US"/>
        </w:rPr>
        <w:t>nilai kontribusi mazhab Muktazilah terhadap peradaban Islam. Mazhab</w:t>
      </w:r>
    </w:p>
    <w:p>
      <w:pPr>
        <w:pStyle w:val="BookText"/>
        <w:bidi w:val="0"/>
        <w:jc w:val="both"/>
        <w:rPr/>
      </w:pPr>
      <w:r>
        <w:rPr>
          <w:rFonts w:eastAsia="Times New Roman" w:cs="Times New Roman" w:ascii="Times New Roman" w:hAnsi="Times New Roman"/>
          <w:color w:val="111111"/>
          <w:sz w:val="28"/>
          <w:szCs w:val="28"/>
          <w:lang w:val="en-US"/>
        </w:rPr>
        <w:t>ini muncul manakala masyarakat Muslim masih berusia muda dan</w:t>
      </w:r>
    </w:p>
    <w:p>
      <w:pPr>
        <w:pStyle w:val="BookText"/>
        <w:bidi w:val="0"/>
        <w:jc w:val="both"/>
        <w:rPr/>
      </w:pPr>
      <w:r>
        <w:rPr>
          <w:rFonts w:eastAsia="Times New Roman" w:cs="Times New Roman" w:ascii="Times New Roman" w:hAnsi="Times New Roman"/>
          <w:color w:val="111111"/>
          <w:sz w:val="28"/>
          <w:szCs w:val="28"/>
          <w:lang w:val="en-US"/>
        </w:rPr>
        <w:t>ajaran-ajaran Islam amat memerlukan pembelaan rasional. Terdapat</w:t>
      </w:r>
    </w:p>
    <w:p>
      <w:pPr>
        <w:pStyle w:val="BookText"/>
        <w:bidi w:val="0"/>
        <w:jc w:val="both"/>
        <w:rPr/>
      </w:pPr>
      <w:r>
        <w:rPr>
          <w:rFonts w:eastAsia="Times New Roman" w:cs="Times New Roman" w:ascii="Times New Roman" w:hAnsi="Times New Roman"/>
          <w:color w:val="111111"/>
          <w:sz w:val="28"/>
          <w:szCs w:val="28"/>
          <w:lang w:val="en-US"/>
        </w:rPr>
        <w:t>sejumlah faktor krusial yang menjadikan mazhab teologi Islam ini</w:t>
      </w:r>
    </w:p>
    <w:p>
      <w:pPr>
        <w:pStyle w:val="BookText"/>
        <w:bidi w:val="0"/>
        <w:jc w:val="both"/>
        <w:rPr/>
      </w:pPr>
      <w:r>
        <w:rPr>
          <w:rFonts w:eastAsia="Times New Roman" w:cs="Times New Roman" w:ascii="Times New Roman" w:hAnsi="Times New Roman"/>
          <w:color w:val="111111"/>
          <w:sz w:val="28"/>
          <w:szCs w:val="28"/>
          <w:lang w:val="en-US"/>
        </w:rPr>
        <w:t>menduduki posisi penting. Di antaranya, proses translasi karya-</w:t>
      </w:r>
    </w:p>
    <w:p>
      <w:pPr>
        <w:pStyle w:val="BookText"/>
        <w:bidi w:val="0"/>
        <w:jc w:val="both"/>
        <w:rPr/>
      </w:pPr>
      <w:r>
        <w:rPr>
          <w:rFonts w:eastAsia="Times New Roman" w:cs="Times New Roman" w:ascii="Times New Roman" w:hAnsi="Times New Roman"/>
          <w:color w:val="111111"/>
          <w:sz w:val="28"/>
          <w:szCs w:val="28"/>
          <w:lang w:val="en-US"/>
        </w:rPr>
        <w:t>karya para filosof Yunani, India, dan Iran (Persia) ke dalam bahasa</w:t>
      </w:r>
    </w:p>
    <w:p>
      <w:pPr>
        <w:pStyle w:val="BookText"/>
        <w:bidi w:val="0"/>
        <w:jc w:val="both"/>
        <w:rPr/>
      </w:pPr>
      <w:r>
        <w:rPr>
          <w:rFonts w:eastAsia="Times New Roman" w:cs="Times New Roman" w:ascii="Times New Roman" w:hAnsi="Times New Roman"/>
          <w:color w:val="111111"/>
          <w:sz w:val="28"/>
          <w:szCs w:val="28"/>
          <w:lang w:val="en-US"/>
        </w:rPr>
        <w:t>Arab (yang menjadi alat komunikasi sehari-hari umat Islam); hilir</w:t>
      </w:r>
    </w:p>
    <w:p>
      <w:pPr>
        <w:pStyle w:val="BookText"/>
        <w:bidi w:val="0"/>
        <w:jc w:val="both"/>
        <w:rPr/>
      </w:pPr>
      <w:r>
        <w:rPr>
          <w:rFonts w:eastAsia="Times New Roman" w:cs="Times New Roman" w:ascii="Times New Roman" w:hAnsi="Times New Roman"/>
          <w:color w:val="111111"/>
          <w:sz w:val="28"/>
          <w:szCs w:val="28"/>
          <w:lang w:val="en-US"/>
        </w:rPr>
        <w:t>mudik orang-orang non-Muslim di istana para khalifah Muslimin;</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kekebasan kaum Yahudi, Nasrani, dan Majusi dalam upaya infiltrasi </w:t>
      </w:r>
      <w:bookmarkStart w:id="191" w:name="pg5378_50567"/>
    </w:p>
    <w:p>
      <w:pPr>
        <w:pStyle w:val="BookText"/>
        <w:bidi w:val="0"/>
        <w:rPr/>
      </w:pPr>
      <w:bookmarkEnd w:id="191"/>
      <w:r>
        <w:rPr>
          <w:rFonts w:eastAsia="Times New Roman" w:cs="Times New Roman" w:ascii="Times New Roman" w:hAnsi="Times New Roman"/>
          <w:color w:val="111111"/>
          <w:sz w:val="28"/>
          <w:szCs w:val="28"/>
          <w:lang w:val="en-US"/>
        </w:rPr>
        <w:t>pemikiran mereka yang jelas-jelas menyimpang; belum lagi perluasan wilayah (fath) lslam dan peluang masyarakat Muslim melakukan kontak dengan budaya yang beragam; dan yang lebih penting dari semua itu, hilangnya akses masyarakat Muslim mengenyam ilmu-ilmu Ahlul Bait, dan siasat para penguasa dinasti Umayyah dan Abbasiyah yang gencar menghambat penyebaran ajaran mumi Islam yang diusung para imam dan pewaris sejati Nabi; semua ini merupakan faktor-faktor yang menguatkan kebutuhan mendesak masyarakat Islam akan kehadiran kelompok seperti Muktazilah. Patut diakui, betapa dominasi pemikiran Muktazilah tegak kokoh dan tampil gemilang, kendati lantas meredup begitu cepat.</w:t>
      </w:r>
    </w:p>
    <w:p>
      <w:pPr>
        <w:pStyle w:val="Heading4"/>
        <w:numPr>
          <w:ilvl w:val="3"/>
          <w:numId w:val="1"/>
        </w:numPr>
        <w:bidi w:val="0"/>
        <w:jc w:val="left"/>
        <w:rPr/>
      </w:pPr>
      <w:bookmarkStart w:id="192" w:name="__RefHeading___Toc1351184_581953129"/>
      <w:bookmarkStart w:id="193" w:name="_Toc71"/>
      <w:bookmarkEnd w:id="192"/>
      <w:r>
        <w:rPr/>
        <w:t>Muktazilah: Rasionalisme Radikal atau Moderat?</w:t>
      </w:r>
      <w:bookmarkEnd w:id="193"/>
    </w:p>
    <w:p>
      <w:pPr>
        <w:pStyle w:val="BookText"/>
        <w:bidi w:val="0"/>
        <w:jc w:val="both"/>
        <w:rPr/>
      </w:pPr>
      <w:r>
        <w:rPr>
          <w:rFonts w:eastAsia="Times New Roman" w:cs="Times New Roman" w:ascii="Times New Roman" w:hAnsi="Times New Roman"/>
          <w:color w:val="111111"/>
          <w:sz w:val="28"/>
          <w:szCs w:val="28"/>
          <w:lang w:val="en-US"/>
        </w:rPr>
        <w:t>Dalam menjelaskan kekhasan mazhab Muktazilah, kalangan peneliti dan sejarawan yang datang setelah mereka, senantiasa dan dengan antusias, menukil ungkapan masyhur ini:</w:t>
      </w:r>
    </w:p>
    <w:p>
      <w:pPr>
        <w:pStyle w:val="BookText"/>
        <w:bidi w:val="0"/>
        <w:jc w:val="both"/>
        <w:rPr/>
      </w:pPr>
      <w:r>
        <w:rPr>
          <w:rFonts w:eastAsia="Times New Roman" w:cs="Times New Roman" w:ascii="Times New Roman" w:hAnsi="Times New Roman"/>
          <w:color w:val="111111"/>
          <w:sz w:val="28"/>
          <w:szCs w:val="28"/>
          <w:lang w:val="en-US"/>
        </w:rPr>
        <w:t>Acapkali pengetahuan bisa dicerna akal, maka ia mesti (wﬁjib) secara rasional, sedangkan berterima kasih pada pemberi nikmat merupakan sebentuk kemestian [rasional] sebelum keterangan dari wahyu (sum’). Karena itu, kebaikan dan keburukan merupakan dua kualitas substansial dari apa yang baik dan apa yang buruk.</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Adapun penjelasan objektif seputar pandangan Muktazilah terhadap keberadaan akal dan perannya dalam konteks pengetahuan Islam, dapat disimak di bawah ini.</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cenderung menekankan peran akal dalam ihwal yang berkaitan dengan keyakinan (’aqi‘dah). Kendati begitu, dalam konteks hukum dan cabang agama (Furu'uddin), mazhab ini juga memosisikan akal sebagai salah satu sumber penggalian dasar hukum (istinbath). </w:t>
      </w:r>
    </w:p>
    <w:p>
      <w:pPr>
        <w:pStyle w:val="BookText"/>
        <w:bidi w:val="0"/>
        <w:rPr/>
      </w:pPr>
      <w:r>
        <w:rPr>
          <w:rFonts w:eastAsia="Times New Roman" w:cs="Times New Roman" w:ascii="Times New Roman" w:hAnsi="Times New Roman"/>
          <w:color w:val="111111"/>
          <w:sz w:val="28"/>
          <w:szCs w:val="28"/>
          <w:lang w:val="en-US"/>
        </w:rPr>
        <w:t>Hanya saja, itu tidak lantas mendorong mazhab ini menolak ihwal suprarasional dan melampaui (beyond) daya nalar sebagai sumber penggalian dasar hukum (Kitab, Sunah, dan Ijma'). Misalnya, tatacara wudu, mandi, jumlah rakaat shalat, waktu—waktu ibadah, dan pelbagai masalah lain di bidang hukum, bersifat suprarasional.</w:t>
      </w:r>
      <w:r>
        <w:rPr>
          <w:rStyle w:val="FootnoteAnchor"/>
        </w:rPr>
        <w:footnoteReference w:id="200"/>
      </w:r>
      <w:r>
        <w:rPr>
          <w:rFonts w:eastAsia="Times New Roman" w:cs="Times New Roman" w:ascii="Times New Roman" w:hAnsi="Times New Roman"/>
          <w:color w:val="111111"/>
          <w:sz w:val="28"/>
          <w:szCs w:val="28"/>
          <w:lang w:val="en-US"/>
        </w:rPr>
        <w:t>Namun, tidak diragukan lagi, semua itu diterima dan dipraktikkan kaum Muktazilah dalam kesehariannya—sebagaimana Muslim lain.</w:t>
      </w:r>
    </w:p>
    <w:p>
      <w:pPr>
        <w:pStyle w:val="BookText"/>
        <w:bidi w:val="0"/>
        <w:jc w:val="both"/>
        <w:rPr/>
      </w:pPr>
      <w:r>
        <w:rPr>
          <w:rFonts w:eastAsia="Times New Roman" w:cs="Times New Roman" w:ascii="Times New Roman" w:hAnsi="Times New Roman"/>
          <w:color w:val="111111"/>
          <w:sz w:val="28"/>
          <w:szCs w:val="28"/>
          <w:lang w:val="en-US"/>
        </w:rPr>
        <w:t>Suatu hari, tokoh Muktazilah terkemuka, Abu Hasyim Juba’i (277-321 H), berdialog panjang lebar dengan Abul Hasan Karkhi. Tema dialog berkisar pada ”shalat di tempat yang tanpa izin pemiliknya (ghashb)” serta relevansinya dengan peran akal dalam proses penggalian dasar hukum fikih. Juba’i mengatakan:</w:t>
      </w:r>
    </w:p>
    <w:p>
      <w:pPr>
        <w:pStyle w:val="BookText"/>
        <w:bidi w:val="0"/>
        <w:jc w:val="both"/>
        <w:rPr/>
      </w:pPr>
      <w:r>
        <w:rPr>
          <w:rFonts w:eastAsia="Times New Roman" w:cs="Times New Roman" w:ascii="Times New Roman" w:hAnsi="Times New Roman"/>
          <w:color w:val="111111"/>
          <w:sz w:val="28"/>
          <w:szCs w:val="28"/>
          <w:lang w:val="en-US"/>
        </w:rPr>
        <w:t>[Karena dalam hal ini kita tak punya argumen yang bersumber dari Alquran dan Sunah], jika Anda mengklaim konsensus ulama itu ada, aku akan diam, [tak akan melontarkan apa dan mengapa]. Namun jika tidak, analisis rasional akan mampu menjelaskan hukum persoalan.</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 xml:space="preserve">Berdasarkan pembahasan sebelumnya, penilaian sang filosof, Iqbal Lahore, berikut ini tampak tidak akurat, ”Kecenderungan pandangan kaum Muktazilah terhadap agama bagaikan sekumpulan keyakinan mereka menganggap agama tidak lebih dari serangkaian konsep-konsep [mental] yang logis' </w:t>
      </w:r>
      <w:r>
        <w:rPr>
          <w:rStyle w:val="FootnoteAnchor"/>
        </w:rPr>
        <w:footnoteReference w:id="20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masalah keyakinan (akidah), sebagaimana Muslimin lainnya, kaum Muktazilah dalam banyak hal merumuskan pemikirannya dari teks yang sahih. Mereka beranggapan, ketidakmampuan akal dalam memahaminya tidak meniscayakan </w:t>
      </w:r>
    </w:p>
    <w:p>
      <w:pPr>
        <w:pStyle w:val="BookText"/>
        <w:bidi w:val="0"/>
        <w:rPr/>
      </w:pPr>
      <w:r>
        <w:rPr>
          <w:rFonts w:eastAsia="Times New Roman" w:cs="Times New Roman" w:ascii="Times New Roman" w:hAnsi="Times New Roman"/>
          <w:color w:val="111111"/>
          <w:sz w:val="28"/>
          <w:szCs w:val="28"/>
          <w:lang w:val="en-US"/>
        </w:rPr>
        <w:t>penyangkalan. Ini tercermin, salah satunya, dalam ungkapan Qadhi Abdul Jabbar Muktazili (w. 415 H) berkenaan dengan seluk beluk pertanyaan dan azab kubur:</w:t>
      </w:r>
    </w:p>
    <w:p>
      <w:pPr>
        <w:pStyle w:val="BookText"/>
        <w:bidi w:val="0"/>
        <w:jc w:val="both"/>
        <w:rPr/>
      </w:pPr>
      <w:r>
        <w:rPr>
          <w:rFonts w:eastAsia="Times New Roman" w:cs="Times New Roman" w:ascii="Times New Roman" w:hAnsi="Times New Roman"/>
          <w:color w:val="111111"/>
          <w:sz w:val="28"/>
          <w:szCs w:val="28"/>
          <w:lang w:val="en-US"/>
        </w:rPr>
        <w:t>Itu bagian dari perkara yang tidak ditempuh lewat jalur akal, tetapi jalan mencapainya hanyalah teks (wahyu).</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Kedua: klaim Muktazilah bahwa akal adalah kaidah dasar bukan berarti sumber-sumber keagamaan lainnya tidak dapat dijadikan dasar dan alat argumentasi. Menurut mereka, konstruksi agama bertumpu pada empat tonggak utama: Kitab (Alquran), Sunah, konsensus (ijma’), dan akal. Akal bukan hanya urgen sebagai salah satu sumber agama, melainkan juga untuk memahami sumber- sumber yang lain. Dengan kata lain, memahami pelbagai pengetahuan agama (baik yang bersumber dari ayat maupun riwayat) hanya mungkin lewat kekuatan akal. Atas dasar itu, menurut Muktazilah, secara fungsional —bukan secara struktural - posisi akal mendahului teks. Lebih tegasnya, akal diperlukan untuk memahami Alquran dan Sunah itu sendiri. Namun, ini tidak berarti akal lebih superior ketimbang Alquran dan Sunah.</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dalam banyak hal, rasionalisme Muktazilah cenderung moderat. Gejala ini dapat disaksikan, salah satunya, dalam kasus riwayat-riwayat yang menyatakan bahwa Allah dapat dilihat [mata kepala] di akhirat kelak. Kaum Muktazilah mengklaim teks itu sebagai referensi tak berdasar.” Penolakan ini tentu saja menyulut reaksi negatif kalangan literalis dan Ahli Hadis. Akibatnya, kaum Muktazilah dituduh sebagai kelompok yang lebih mengutamakan akal di atas teks. Padahal fakta objektifnya, selain masuk akal, pandangan kaum Muktazilah ini memiliki justifikasinya dalam Alquran: </w:t>
      </w:r>
      <w:bookmarkStart w:id="194" w:name="pg5378_50572"/>
    </w:p>
    <w:p>
      <w:pPr>
        <w:pStyle w:val="BookText"/>
        <w:bidi w:val="0"/>
        <w:rPr/>
      </w:pPr>
      <w:bookmarkEnd w:id="194"/>
      <w:r>
        <w:rPr>
          <w:rFonts w:eastAsia="Times New Roman" w:cs="Times New Roman" w:ascii="Times New Roman" w:hAnsi="Times New Roman"/>
          <w:color w:val="111111"/>
          <w:sz w:val="28"/>
          <w:szCs w:val="28"/>
          <w:lang w:val="en-US"/>
        </w:rPr>
        <w:t>Dia tidak dapat dicapai oleh penglihatan mata sedangkan Dia dapat melihat segala yang terlihat (QS Al-An’am: 103).</w:t>
      </w:r>
    </w:p>
    <w:p>
      <w:pPr>
        <w:pStyle w:val="BookText"/>
        <w:bidi w:val="0"/>
        <w:jc w:val="both"/>
        <w:rPr/>
      </w:pPr>
      <w:r>
        <w:rPr>
          <w:rFonts w:eastAsia="Times New Roman" w:cs="Times New Roman" w:ascii="Times New Roman" w:hAnsi="Times New Roman"/>
          <w:color w:val="111111"/>
          <w:sz w:val="28"/>
          <w:szCs w:val="28"/>
          <w:lang w:val="en-US"/>
        </w:rPr>
        <w:t>Contoh lain, menurut kaum Muktazilah, manusia tidak dapat melihat sosok jin.</w:t>
      </w:r>
      <w:r>
        <w:rPr>
          <w:rStyle w:val="FootnoteAnchor"/>
        </w:rPr>
        <w:footnoteReference w:id="204"/>
      </w:r>
      <w:r>
        <w:rPr>
          <w:rFonts w:eastAsia="Times New Roman" w:cs="Times New Roman" w:ascii="Times New Roman" w:hAnsi="Times New Roman"/>
          <w:color w:val="111111"/>
          <w:sz w:val="28"/>
          <w:szCs w:val="28"/>
          <w:lang w:val="en-US"/>
        </w:rPr>
        <w:t>‘ Bila diteliti lebih jauh, doktrin ini (terlepas dari nilai benar atau salahnya) berasal dari tafsir mereka terhadap Al- A'raf [7]: 27.</w:t>
      </w:r>
    </w:p>
    <w:p>
      <w:pPr>
        <w:pStyle w:val="BookText"/>
        <w:bidi w:val="0"/>
        <w:jc w:val="both"/>
        <w:rPr/>
      </w:pPr>
      <w:r>
        <w:rPr>
          <w:rFonts w:eastAsia="Times New Roman" w:cs="Times New Roman" w:ascii="Times New Roman" w:hAnsi="Times New Roman"/>
          <w:color w:val="111111"/>
          <w:sz w:val="28"/>
          <w:szCs w:val="28"/>
          <w:lang w:val="en-US"/>
        </w:rPr>
        <w:t>Lebih dari itu, kaum Muktazilah mengusung prinsip baik—buruk rasional dan substansial (al-llusn wa al-qubh al-’aqI1“al-dzﬁtz). Prinsip inilah yang dijadikan alasan utama oleh lawan-lawannya untuk menuding kaum Muktazilah sebagai rasionalis radikal. Padahal pada saat yang sama, mereka (lawan-lawan kaum Muktazilah) justru terjerumus ke dalam oposisi yang juga radikal (tafr1‘!h), sebab mengingkari prinsip itu sama saja dengan mendelegitimasi aka] sekaligus wahyu (s_1/ar’).</w:t>
      </w:r>
    </w:p>
    <w:p>
      <w:pPr>
        <w:pStyle w:val="BookText"/>
        <w:bidi w:val="0"/>
        <w:jc w:val="both"/>
        <w:rPr/>
      </w:pPr>
      <w:r>
        <w:rPr>
          <w:rFonts w:eastAsia="Times New Roman" w:cs="Times New Roman" w:ascii="Times New Roman" w:hAnsi="Times New Roman"/>
          <w:color w:val="111111"/>
          <w:sz w:val="28"/>
          <w:szCs w:val="28"/>
          <w:lang w:val="en-US"/>
        </w:rPr>
        <w:t>Di samping itu, nyaris semua penilaian terhadap kaum Muktazilah tidak objektif, kalau bukan malah hanya sekadar hasutan belaka. Umpama, penilaian sebagian peneliti sejarah pemikiran Islam bahwa kaum Muktazilah menganggap agama hanya cocok untuk masyarakat kebanyakan; sedangkan kaum intelektual tidak memerlukannya.</w:t>
      </w:r>
      <w:r>
        <w:rPr>
          <w:rStyle w:val="FootnoteAnchor"/>
        </w:rPr>
        <w:footnoteReference w:id="205"/>
      </w:r>
      <w:r>
        <w:rPr>
          <w:rFonts w:eastAsia="Times New Roman" w:cs="Times New Roman" w:ascii="Times New Roman" w:hAnsi="Times New Roman"/>
          <w:color w:val="111111"/>
          <w:sz w:val="28"/>
          <w:szCs w:val="28"/>
          <w:lang w:val="en-US"/>
        </w:rPr>
        <w:t>Anggapan-anggapan miring semacam ini membuktikan betapa kaum Muktazilah selama ini jadi korban dari pembunuhan karakter tanpa ampun.</w:t>
      </w:r>
    </w:p>
    <w:p>
      <w:pPr>
        <w:pStyle w:val="Heading4"/>
        <w:numPr>
          <w:ilvl w:val="3"/>
          <w:numId w:val="1"/>
        </w:numPr>
        <w:bidi w:val="0"/>
        <w:jc w:val="left"/>
        <w:rPr/>
      </w:pPr>
      <w:bookmarkStart w:id="195" w:name="__RefHeading___Toc1351186_581953129"/>
      <w:bookmarkStart w:id="196" w:name="_Toc72"/>
      <w:bookmarkEnd w:id="195"/>
      <w:r>
        <w:rPr/>
        <w:t>Faktor-Faktor Kemunduran Muktazilah</w:t>
      </w:r>
      <w:bookmarkEnd w:id="196"/>
    </w:p>
    <w:p>
      <w:pPr>
        <w:pStyle w:val="Heading5"/>
        <w:numPr>
          <w:ilvl w:val="4"/>
          <w:numId w:val="1"/>
        </w:numPr>
        <w:bidi w:val="0"/>
        <w:jc w:val="left"/>
        <w:rPr/>
      </w:pPr>
      <w:bookmarkStart w:id="197" w:name="__RefHeading___Toc1351188_581953129"/>
      <w:bookmarkStart w:id="198" w:name="_Toc73"/>
      <w:bookmarkEnd w:id="197"/>
      <w:r>
        <w:rPr/>
        <w:t>Point</w:t>
      </w:r>
      <w:bookmarkEnd w:id="19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Terdapat banyak faktor yang memicu kemunduran dan keruntuhan mazhab Muktazilah yang pernah mencapai kejayaan dan menguasai wacana keislaman di masanya. Semua itu lebih berkaitan, pada dasarnya, dengan semangat rasionalisme yang mereka bangkitkan. </w:t>
      </w:r>
      <w:bookmarkStart w:id="199" w:name="pg5378_50574"/>
    </w:p>
    <w:p>
      <w:pPr>
        <w:pStyle w:val="Heading5"/>
        <w:numPr>
          <w:ilvl w:val="4"/>
          <w:numId w:val="1"/>
        </w:numPr>
        <w:bidi w:val="0"/>
        <w:jc w:val="left"/>
        <w:rPr/>
      </w:pPr>
      <w:bookmarkStart w:id="200" w:name="__RefHeading___Toc1351190_581953129"/>
      <w:bookmarkStart w:id="201" w:name="_Toc74"/>
      <w:bookmarkEnd w:id="199"/>
      <w:bookmarkEnd w:id="200"/>
      <w:r>
        <w:rPr/>
        <w:t>Kritik terhadap Sahabat</w:t>
      </w:r>
      <w:bookmarkEnd w:id="201"/>
    </w:p>
    <w:p>
      <w:pPr>
        <w:pStyle w:val="BookText"/>
        <w:bidi w:val="0"/>
        <w:jc w:val="both"/>
        <w:rPr/>
      </w:pPr>
      <w:r>
        <w:rPr>
          <w:rFonts w:eastAsia="Times New Roman" w:cs="Times New Roman" w:ascii="Times New Roman" w:hAnsi="Times New Roman"/>
          <w:color w:val="111111"/>
          <w:sz w:val="28"/>
          <w:szCs w:val="28"/>
          <w:lang w:val="en-US"/>
        </w:rPr>
        <w:t>Rasionalisme Muktazilah berdampak, salah satunya, pada penolakan riwayat-riwayat yang sama sekali tidak dapat dipahami secara rasional. Umpama, hadis-hadis yang menyebutkan fisikalitas Tuhan (Antropo-morfisme). Rangkaian hadis ini disampaikan banyak perawi dari kalangan sahabat dan tabi’in. Akibatnya, mereka tak luput dari kritik tajam kaum Muktazilah. Dalam konteks ini, kaum Muktazilah membongkar kontradiksi yang terkandung dalam ungkapan-ungkapan kontradiktif khalifah pertama.</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Jelas, kritik apa pun yang difokuskan ke arah para sahabat Nabi mustahil diterima kalangan Ahli Sunah, karena salah satu tonggak mazhab Ahli Sunah berkisar pada keyakinan akan keadilan (’udul, kesalehan) para sahabat. Karenanya, bagaimana mungkin penganut keyakinan ini sudi melegitimasi sebuah mazhab yang berpotensi</w:t>
      </w:r>
    </w:p>
    <w:p>
      <w:pPr>
        <w:pStyle w:val="BookText"/>
        <w:bidi w:val="0"/>
        <w:jc w:val="both"/>
        <w:rPr/>
      </w:pPr>
      <w:r>
        <w:rPr>
          <w:rFonts w:eastAsia="Times New Roman" w:cs="Times New Roman" w:ascii="Times New Roman" w:hAnsi="Times New Roman"/>
          <w:color w:val="111111"/>
          <w:sz w:val="28"/>
          <w:szCs w:val="28"/>
          <w:lang w:val="en-US"/>
        </w:rPr>
        <w:t>menghancurkan tonggaknya?</w:t>
      </w:r>
      <w:r>
        <w:rPr>
          <w:rStyle w:val="FootnoteAnchor"/>
        </w:rPr>
        <w:footnoteReference w:id="207"/>
      </w:r>
    </w:p>
    <w:p>
      <w:pPr>
        <w:pStyle w:val="Heading5"/>
        <w:numPr>
          <w:ilvl w:val="4"/>
          <w:numId w:val="1"/>
        </w:numPr>
        <w:bidi w:val="0"/>
        <w:jc w:val="left"/>
        <w:rPr/>
      </w:pPr>
      <w:bookmarkStart w:id="202" w:name="__RefHeading___Toc1351192_581953129"/>
      <w:bookmarkStart w:id="203" w:name="_Toc75"/>
      <w:bookmarkEnd w:id="202"/>
      <w:r>
        <w:rPr/>
        <w:t>Ekstremisme dalam Merasionalisasi dan Menakwil Teks</w:t>
      </w:r>
      <w:bookmarkEnd w:id="20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Kalangan penentang terus gencar menuding—sekalipun tanpa bukti dan alasan yang kuat-Muktazilah sebagai kelompok pengikut syariat akal.</w:t>
      </w:r>
      <w:r>
        <w:rPr>
          <w:rStyle w:val="FootnoteAnchor"/>
        </w:rPr>
        <w:footnoteReference w:id="208"/>
      </w:r>
      <w:r>
        <w:rPr>
          <w:rFonts w:eastAsia="Times New Roman" w:cs="Times New Roman" w:ascii="Times New Roman" w:hAnsi="Times New Roman"/>
          <w:color w:val="111111"/>
          <w:sz w:val="28"/>
          <w:szCs w:val="28"/>
          <w:lang w:val="en-US"/>
        </w:rPr>
        <w:t>Akibat terus menerus digempur tudingan semacam itu, secara bertahap, sebagian pengikut mazhab ini mulai bersikap ekstrem dan menyempal dari rasionalisme arus utama. Semenjak itu, mereka tidak hanya menolak ihwal irasional, melainkan juga mengingkari sekian banyak proposisi suprarasional.</w:t>
      </w:r>
      <w:r>
        <w:rPr>
          <w:rStyle w:val="FootnoteAnchor"/>
        </w:rPr>
        <w:footnoteReference w:id="209"/>
      </w:r>
      <w:r>
        <w:rPr>
          <w:rFonts w:eastAsia="Times New Roman" w:cs="Times New Roman" w:ascii="Times New Roman" w:hAnsi="Times New Roman"/>
          <w:color w:val="111111"/>
          <w:sz w:val="28"/>
          <w:szCs w:val="28"/>
          <w:lang w:val="en-US"/>
        </w:rPr>
        <w:t xml:space="preserve">Mereka berusaha menakwil suatu persoalan, bahkan dengan Cara membabi buta agar tampak relevan dengan akal. </w:t>
      </w:r>
      <w:bookmarkStart w:id="204" w:name="pg5378_50576"/>
    </w:p>
    <w:p>
      <w:pPr>
        <w:pStyle w:val="BookText"/>
        <w:bidi w:val="0"/>
        <w:rPr/>
      </w:pPr>
      <w:bookmarkEnd w:id="204"/>
      <w:r>
        <w:rPr>
          <w:rFonts w:eastAsia="Times New Roman" w:cs="Times New Roman" w:ascii="Times New Roman" w:hAnsi="Times New Roman"/>
          <w:color w:val="111111"/>
          <w:sz w:val="28"/>
          <w:szCs w:val="28"/>
          <w:lang w:val="en-US"/>
        </w:rPr>
        <w:t>Berbagai gejala ekstremisme internal ini pacla gilirannya menjadi bumerang paling mematikan. Semua itu membuka celah lebar bagi lawan-lawannya untuk mengekspos habis-habisan kaum Muktazilah yang rasional sebagai pembenci Alquran dan Sunah kee tengah masyarakat. Gayung pun bersambut; betapa masyarakat pada umumnya memiliki spirit untuk menjaga agama dan keimanan religiusnya. Karena itu, berangsur-angsur mereka mulai rnengambil jarak dari kaum Muktazilah. Dan akhirnya, mereka pun membenci pemikiran rasional itu sendiri.</w:t>
      </w:r>
    </w:p>
    <w:p>
      <w:pPr>
        <w:pStyle w:val="Heading5"/>
        <w:numPr>
          <w:ilvl w:val="4"/>
          <w:numId w:val="1"/>
        </w:numPr>
        <w:bidi w:val="0"/>
        <w:jc w:val="left"/>
        <w:rPr/>
      </w:pPr>
      <w:bookmarkStart w:id="205" w:name="__RefHeading___Toc1351194_581953129"/>
      <w:bookmarkStart w:id="206" w:name="_Toc76"/>
      <w:bookmarkEnd w:id="205"/>
      <w:r>
        <w:rPr/>
        <w:t>Akidah Lawan sebagai Selera Awam</w:t>
      </w:r>
      <w:bookmarkEnd w:id="20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Pada hakikatnya, Muktazilah merupakan sebuah gerakan intelektual yang hanya terkait dan menyasar kelompok tertentu dalam mazhab Ahli Sunah. Karenanya, mazhab ini tidak rnemiliki pengaruh yang signifikan di tengah khalayak luas. Masyarakat religius yang belum matang secara intelektual tentu lebih mudah mencerna slogan ”apa pun yang dilakukan Khoshru (figur publik—penj.) selalu indah" ke- timbang konsep rumit ”indah, buruk, manis, dan pahitnya sesuatu bersifat substansial, sementara Tuhan 'harus' berbuat baik”.</w:t>
      </w:r>
      <w:r>
        <w:rPr>
          <w:rStyle w:val="FootnoteAnchor"/>
        </w:rPr>
        <w:footnoteReference w:id="210"/>
      </w:r>
      <w:r>
        <w:rPr>
          <w:rFonts w:eastAsia="Times New Roman" w:cs="Times New Roman" w:ascii="Times New Roman" w:hAnsi="Times New Roman"/>
          <w:color w:val="111111"/>
          <w:sz w:val="28"/>
          <w:szCs w:val="28"/>
          <w:lang w:val="en-US"/>
        </w:rPr>
        <w:t xml:space="preserve">Bersamaan dengan itu, sebagian besar dari pandangan kaum Ahli Hadis lebih relevan dengan tingkat emosi dan kecenderungan masyarakat awam. Misalnya, kaum Muktazilah memandang syafa'at hanya khusus bagi orang saleh dan berfungsi meninggikan kedudukan spiritualnya. Adapun kalangan Ahli Hadis menganggap syafa’at bisa diperoleh semua Muslim pelaku dosa. Ini sebagaimana mereka meyakini kekekalan azab di neraka hanya khusus bagi kaum kafir. Sementara kaum Muktazilah meyakini setiap Muslim yang berbuat dosa besar serta tidak bertaubat hingga ajal menjemput bakal kekal di neraka. Secara komparatif, harus diakui bahwa pandangan </w:t>
      </w:r>
      <w:bookmarkStart w:id="207" w:name="pg5378_50578"/>
    </w:p>
    <w:p>
      <w:pPr>
        <w:pStyle w:val="BookText"/>
        <w:bidi w:val="0"/>
        <w:rPr/>
      </w:pPr>
      <w:bookmarkEnd w:id="207"/>
      <w:r>
        <w:rPr>
          <w:rFonts w:eastAsia="Times New Roman" w:cs="Times New Roman" w:ascii="Times New Roman" w:hAnsi="Times New Roman"/>
          <w:color w:val="111111"/>
          <w:sz w:val="28"/>
          <w:szCs w:val="28"/>
          <w:lang w:val="en-US"/>
        </w:rPr>
        <w:t>kaum Ahli Hadis lebih memenuhi selera awam.</w:t>
      </w:r>
      <w:r>
        <w:rPr>
          <w:rStyle w:val="FootnoteAnchor"/>
        </w:rPr>
        <w:footnoteReference w:id="211"/>
      </w:r>
    </w:p>
    <w:p>
      <w:pPr>
        <w:pStyle w:val="Heading5"/>
        <w:numPr>
          <w:ilvl w:val="4"/>
          <w:numId w:val="1"/>
        </w:numPr>
        <w:bidi w:val="0"/>
        <w:jc w:val="left"/>
        <w:rPr/>
      </w:pPr>
      <w:bookmarkStart w:id="208" w:name="__RefHeading___Toc1351196_581953129"/>
      <w:bookmarkStart w:id="209" w:name="_Toc77"/>
      <w:bookmarkEnd w:id="208"/>
      <w:r>
        <w:rPr/>
        <w:t>lnvestigasi Akidah</w:t>
      </w:r>
      <w:bookmarkEnd w:id="209"/>
    </w:p>
    <w:p>
      <w:pPr>
        <w:pStyle w:val="BookText"/>
        <w:bidi w:val="0"/>
        <w:jc w:val="both"/>
        <w:rPr/>
      </w:pPr>
      <w:r>
        <w:rPr>
          <w:rFonts w:eastAsia="Times New Roman" w:cs="Times New Roman" w:ascii="Times New Roman" w:hAnsi="Times New Roman"/>
          <w:color w:val="111111"/>
          <w:sz w:val="28"/>
          <w:szCs w:val="28"/>
          <w:lang w:val="en-US"/>
        </w:rPr>
        <w:t>Faktor lain yang terlibat dakam meruntuhkan mazhab Muktazilah yaitu keticlakpedulian terhadap basis rasionalismenya sendiri. Fokus yang berlebihan pada prinsip kehendak dan kebebasan manusia, serta terlalu bersemangat membela kebebasan berpikir— yang sebenamya dimaksudkan untuk mendapat simpati para penguasa Abbasiyah— menjadikan kaum Muktazilah tidak lagi memperdulikan ajarana- jaran dasarnya. Lewat paksaan dan intimidasi, mereka menyerang setiap ide yang dianggap sebagai rival.</w:t>
      </w:r>
      <w:r>
        <w:rPr>
          <w:rStyle w:val="FootnoteAnchor"/>
        </w:rPr>
        <w:footnoteReference w:id="212"/>
      </w:r>
      <w:r>
        <w:rPr>
          <w:rFonts w:eastAsia="Times New Roman" w:cs="Times New Roman" w:ascii="Times New Roman" w:hAnsi="Times New Roman"/>
          <w:color w:val="111111"/>
          <w:sz w:val="28"/>
          <w:szCs w:val="28"/>
          <w:lang w:val="en-US"/>
        </w:rPr>
        <w:t>Fenomena ini jelas terlihat dalam kasus doktrin ”Alquran sebagai makhluk”. Ujung-ujungnya, semua itu malah menjadi bumerang bagi mereka sendiri.</w:t>
      </w:r>
    </w:p>
    <w:p>
      <w:pPr>
        <w:pStyle w:val="BookText"/>
        <w:bidi w:val="0"/>
        <w:jc w:val="both"/>
        <w:rPr/>
      </w:pPr>
      <w:r>
        <w:rPr>
          <w:rFonts w:eastAsia="Times New Roman" w:cs="Times New Roman" w:ascii="Times New Roman" w:hAnsi="Times New Roman"/>
          <w:color w:val="111111"/>
          <w:sz w:val="28"/>
          <w:szCs w:val="28"/>
          <w:lang w:val="en-US"/>
        </w:rPr>
        <w:t>Dari pihak lain, perlawanan Ahmad bin Hanbal terhadap intimidasi kaum Muktazilah membuat dirinya populer sebagai pejuang gigih agama dan keyakinan. lni sekaligus menjadi katalisator penyebaran ajaran dan pemikirannya di tengah masyarakat luas.</w:t>
      </w:r>
    </w:p>
    <w:p>
      <w:pPr>
        <w:pStyle w:val="BookText"/>
        <w:bidi w:val="0"/>
        <w:jc w:val="both"/>
        <w:rPr/>
      </w:pPr>
      <w:r>
        <w:rPr>
          <w:rFonts w:eastAsia="Times New Roman" w:cs="Times New Roman" w:ascii="Times New Roman" w:hAnsi="Times New Roman"/>
          <w:color w:val="111111"/>
          <w:sz w:val="28"/>
          <w:szCs w:val="28"/>
          <w:lang w:val="en-US"/>
        </w:rPr>
        <w:t>Demikianlah perjalanan Muktazilah: bagaimana mazhab ini membangun sebuah tatanan pemikiran selama lebih dari satu abad, namun ironisnya hancur di tangan kaumnya sendiri hanya dalam beberapa tahun. Memang setelah itu, sesekali muncul sejumlah tokoh yang berupaya mati-matian membangkitkan kembali mazhab ini. Salah satu—nya adalah Qadhi Abdul Jabbar (w. 415 H). Namun, kendati segenap keseriusan dan kegigihan mereka, Muktazilah tidak pernah sanggup mengulang kejayaan kurun awalnya.</w:t>
      </w:r>
    </w:p>
    <w:p>
      <w:pPr>
        <w:pStyle w:val="Heading4"/>
        <w:numPr>
          <w:ilvl w:val="3"/>
          <w:numId w:val="1"/>
        </w:numPr>
        <w:bidi w:val="0"/>
        <w:jc w:val="left"/>
        <w:rPr/>
      </w:pPr>
      <w:bookmarkStart w:id="210" w:name="__RefHeading___Toc1351198_581953129"/>
      <w:bookmarkStart w:id="211" w:name="_Toc78"/>
      <w:bookmarkEnd w:id="210"/>
      <w:r>
        <w:rPr/>
        <w:t>Dampak Keruntuhan Muktazilah</w:t>
      </w:r>
      <w:bookmarkEnd w:id="21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Menyusul ambruknya mazhab Muktazilah, kejumudan berpikir dan kecenderungan literalistik di kalangan Ahli Sunah pun semakin </w:t>
      </w:r>
      <w:bookmarkStart w:id="212" w:name="pg5378_50580"/>
    </w:p>
    <w:p>
      <w:pPr>
        <w:pStyle w:val="BookText"/>
        <w:bidi w:val="0"/>
        <w:rPr/>
      </w:pPr>
      <w:bookmarkEnd w:id="212"/>
      <w:r>
        <w:rPr>
          <w:rFonts w:eastAsia="Times New Roman" w:cs="Times New Roman" w:ascii="Times New Roman" w:hAnsi="Times New Roman"/>
          <w:color w:val="111111"/>
          <w:sz w:val="28"/>
          <w:szCs w:val="28"/>
          <w:lang w:val="en-US"/>
        </w:rPr>
        <w:t>menjadi-jadi. Selain Ahli Haclis dan kaum Hanbali, muncul pula sejumlah kelompok lain seperti: Karramiyah (pengikut Muhammad bin Karam Sejistani [w. 256 H]) dan Zhahiriyah (pengikut Dawud bin Ali lsfahani [w. 270 H]). Mereka mendeklarasikan diri sebagai penentang mazhab rasionalis Muktazilah dan, sebaliknya, justru berusaha menyebarluaskan Literalisme (Zahiriyyah).</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 xml:space="preserve">Memang, dengan munculnya sosok Asy’ari (w. 330 H), jalan tengah untuk mendamaikan kontroversi ini mulai terbuka. Dampak- nya, pemikiran rasional yang sempat redup pasca kejayaannya mulai kembali menggeliat. Namun demikian, banyak dari kalangan intelektual kontemporer terus menanti-nanti reinkarnasi pemikiran Muktazilah yang sekalipun, dalam pandangan mereka, sudah tidak lagi memiliki celah untuk hidup dan mekar di tubuh Ahli Sunah, justru tumbuh berkembang di dunia Syiah. Mereka sangat menyayangkan kepunahan mazhab pemikiran ini. </w:t>
      </w:r>
      <w:r>
        <w:rPr>
          <w:rStyle w:val="FootnoteAnchor"/>
        </w:rPr>
        <w:footnoteReference w:id="214"/>
      </w:r>
      <w:r>
        <w:rPr>
          <w:rFonts w:eastAsia="Times New Roman" w:cs="Times New Roman" w:ascii="Times New Roman" w:hAnsi="Times New Roman"/>
          <w:color w:val="111111"/>
          <w:sz w:val="28"/>
          <w:szCs w:val="28"/>
          <w:lang w:val="en-US"/>
        </w:rPr>
        <w:t>Ahmad Amin, peneliti dan penulis terkemuka asal Mesir, meratapi keruntuhan mazhab Muktazilah demikian:</w:t>
      </w:r>
    </w:p>
    <w:p>
      <w:pPr>
        <w:pStyle w:val="BookText"/>
        <w:bidi w:val="0"/>
        <w:jc w:val="both"/>
        <w:rPr/>
      </w:pPr>
      <w:r>
        <w:rPr>
          <w:rFonts w:eastAsia="Times New Roman" w:cs="Times New Roman" w:ascii="Times New Roman" w:hAnsi="Times New Roman"/>
          <w:color w:val="111111"/>
          <w:sz w:val="28"/>
          <w:szCs w:val="28"/>
          <w:lang w:val="en-US"/>
        </w:rPr>
        <w:t>Kematian Muktazilah sungguh menjadi musibah terbesar yang diderita Muslimin. [Akibat ketidakpedulian terhadap mazhab ini, Muslimin] telah menganiaya diri sendiri.</w:t>
      </w:r>
      <w:r>
        <w:rPr>
          <w:rStyle w:val="FootnoteAnchor"/>
        </w:rPr>
        <w:footnoteReference w:id="215"/>
      </w:r>
    </w:p>
    <w:p>
      <w:pPr>
        <w:pStyle w:val="Heading3"/>
        <w:numPr>
          <w:ilvl w:val="2"/>
          <w:numId w:val="1"/>
        </w:numPr>
        <w:bidi w:val="0"/>
        <w:jc w:val="left"/>
        <w:rPr/>
      </w:pPr>
      <w:bookmarkStart w:id="213" w:name="__RefHeading___Toc1351200_581953129"/>
      <w:bookmarkStart w:id="214" w:name="_Toc79"/>
      <w:bookmarkEnd w:id="213"/>
      <w:r>
        <w:rPr/>
        <w:t>Ibnu Thufail</w:t>
      </w:r>
      <w:bookmarkEnd w:id="21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Ibnu Thufail (w. 581 H) termasuk filosof terkemuka Andalusia. Dia seorang pujangga Muslim yang sangat concern pada masalah akal dan wahyu. Satu-satunya karya filsafatnya yang termasyhur </w:t>
      </w:r>
    </w:p>
    <w:p>
      <w:pPr>
        <w:pStyle w:val="BookText"/>
        <w:bidi w:val="0"/>
        <w:rPr/>
      </w:pPr>
      <w:r>
        <w:rPr>
          <w:rFonts w:eastAsia="Times New Roman" w:cs="Times New Roman" w:ascii="Times New Roman" w:hAnsi="Times New Roman"/>
          <w:color w:val="111111"/>
          <w:sz w:val="28"/>
          <w:szCs w:val="28"/>
          <w:lang w:val="en-US"/>
        </w:rPr>
        <w:t>dan masih tersisa memuat narasi tentang sosok Hay bin Yaqzdan.</w:t>
      </w:r>
      <w:r>
        <w:rPr>
          <w:rStyle w:val="FootnoteAnchor"/>
        </w:rPr>
        <w:footnoteReference w:id="216"/>
      </w:r>
      <w:r>
        <w:rPr>
          <w:rFonts w:eastAsia="Times New Roman" w:cs="Times New Roman" w:ascii="Times New Roman" w:hAnsi="Times New Roman"/>
          <w:color w:val="111111"/>
          <w:sz w:val="28"/>
          <w:szCs w:val="28"/>
          <w:lang w:val="en-US"/>
        </w:rPr>
        <w:t>Narasi filosofis ini menyuguhkan sejumlah konklusi dan tafsir keberagamaan yang, adakalanya, sarat kontradiksi.</w:t>
      </w:r>
    </w:p>
    <w:p>
      <w:pPr>
        <w:pStyle w:val="BookText"/>
        <w:bidi w:val="0"/>
        <w:jc w:val="both"/>
        <w:rPr/>
      </w:pPr>
      <w:r>
        <w:rPr>
          <w:rFonts w:eastAsia="Times New Roman" w:cs="Times New Roman" w:ascii="Times New Roman" w:hAnsi="Times New Roman"/>
          <w:color w:val="111111"/>
          <w:sz w:val="28"/>
          <w:szCs w:val="28"/>
          <w:lang w:val="en-US"/>
        </w:rPr>
        <w:t>Cerita itu tentu saja fiktif. Tokohnya bernama Hay bin Yaqzdan. Alkisah, dia melewati fase awal kehjdupannya di sebuah pulau terpencil. Dengan bantuan seekor induk kijang yang kehilangan anaknya, dia pun tumbuh dewasa. Di sanalah Hay mengenyam pendidikan dan mencapai kematangan berpikir. Mula-mula, kehidupan dan pengetahuanya banyak diperoleh dengan metode empiris. Lalu, pada tahap berikutnya, dia mulai mengandalkan daya nalar dan argumentasi. Karenanya, dia dapat mencecap ihwal supranatural dan filosofis, termasuk tentang eksistensi Tuhan, berikut keindahan dan keagungan-Nya, juga keniscayaan hari Kebangkitan dan akhirat.</w:t>
      </w:r>
    </w:p>
    <w:p>
      <w:pPr>
        <w:pStyle w:val="BookText"/>
        <w:bidi w:val="0"/>
        <w:jc w:val="both"/>
        <w:rPr/>
      </w:pPr>
      <w:r>
        <w:rPr>
          <w:rFonts w:eastAsia="Times New Roman" w:cs="Times New Roman" w:ascii="Times New Roman" w:hAnsi="Times New Roman"/>
          <w:color w:val="111111"/>
          <w:sz w:val="28"/>
          <w:szCs w:val="28"/>
          <w:lang w:val="en-US"/>
        </w:rPr>
        <w:t>Kemudian, melalui kontemplasi dan evaluasi ’diri', juga pelatihan dan penyucian jiwa, Hay akhirnya dianugerahi penyaksian batin (syuhud) dan penyingkapan ruhani (kasyf). Darinya, dia memahami, ”Adanya sesuatu yang tak dapat dicerap mata, didengar telinga, terlintas dalam benak manusia</w:t>
      </w:r>
      <w:r>
        <w:rPr>
          <w:rStyle w:val="FootnoteAnchor"/>
        </w:rPr>
        <w:footnoteReference w:id="21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Sewaktu Hay menginjak usia 50 tahun, takdir menentukan dirinya berjumpa seorang sufi dari pulau sekitar. Namanya Absal. Sufi ini bermaksud mencari tempat sunyi, memenuhi panggilan hati untuk menyendiri (’uzIah). Setelah perjumpaan itu, keduanya lantas intens bertemu. Absal mengajarinya bahasa manusia hingga memahami kondisinya. Kepadanya, Hay bercerita tentang proses pertumbuhan dan perkerkembangan jasmaninya, termasuk pengalaman spiritual, hakikat batin, dan supranatural. Absal, yang terdidik dalam lingkungan para nabi, menilai tak ada pertentangan antara hakikat yang tersingkap pada diri Hay dengan ilmu wahyuni. Berkat itu, keyakinannya pada ilmu wahyuni malah semakin menguat. lnti </w:t>
      </w:r>
    </w:p>
    <w:p>
      <w:pPr>
        <w:pStyle w:val="BookText"/>
        <w:bidi w:val="0"/>
        <w:rPr/>
      </w:pPr>
      <w:r>
        <w:rPr>
          <w:rFonts w:eastAsia="Times New Roman" w:cs="Times New Roman" w:ascii="Times New Roman" w:hAnsi="Times New Roman"/>
          <w:color w:val="111111"/>
          <w:sz w:val="28"/>
          <w:szCs w:val="28"/>
          <w:lang w:val="en-US"/>
        </w:rPr>
        <w:t>sejumlah doktrin keagamaan yang sampai saat itu belum dipahaminya secara sahih, sekarang menjadi begitu gamblang:</w:t>
      </w:r>
    </w:p>
    <w:p>
      <w:pPr>
        <w:pStyle w:val="BookText"/>
        <w:bidi w:val="0"/>
        <w:jc w:val="both"/>
        <w:rPr/>
      </w:pPr>
      <w:r>
        <w:rPr>
          <w:rFonts w:eastAsia="Times New Roman" w:cs="Times New Roman" w:ascii="Times New Roman" w:hAnsi="Times New Roman"/>
          <w:color w:val="111111"/>
          <w:sz w:val="28"/>
          <w:szCs w:val="28"/>
          <w:lang w:val="en-US"/>
        </w:rPr>
        <w:t>Bagi Absal, jelas sudah persoalan Allah Swt, malaikat, kitab-kitab suci, para nabi, Hari Kiamat, surga, dan neraka, sebagaimana diajarkan syariat dan agama. Apa yang ’disaksikan’ Hay bin Yaqzdan menjadi contoh dan bukti kebenarannya. Alhasil, mata hatinya terbuka, bara di benaknya pun menyala-nyala, juga terjalin keselarasan objek akal dan objek teks [wahyuni]... Tak satu pun persoalan [yang sulit] dalam hal syariat melainkan telah dimudahkan baginya.</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Sementara itu, Hay juga menyadari bahwa syariat dan eksistensi para nabi Allah serta berbagai ajaran wahyuni yang disampaikan Absal, benar—benar selaras dengan realitas hakikat yang disaksikannya. Karenanya, dia lantas bersaksi atas risalah Nabi:</w:t>
      </w:r>
    </w:p>
    <w:p>
      <w:pPr>
        <w:pStyle w:val="BookText"/>
        <w:bidi w:val="0"/>
        <w:jc w:val="both"/>
        <w:rPr/>
      </w:pPr>
      <w:r>
        <w:rPr>
          <w:rFonts w:eastAsia="Times New Roman" w:cs="Times New Roman" w:ascii="Times New Roman" w:hAnsi="Times New Roman"/>
          <w:color w:val="111111"/>
          <w:sz w:val="28"/>
          <w:szCs w:val="28"/>
          <w:lang w:val="en-US"/>
        </w:rPr>
        <w:t>Dia tahu bahwa orang yang telah menerangkan dan membawa semua ajaran ini, clitemukan dalam dirinya, kata-katanya jujur dan dia [nabi] menerima risalah dari Tuhan. Lalu dia mengimani, membenarkan, dan memberi kesaksian atas risalahnya.”</w:t>
      </w:r>
    </w:p>
    <w:p>
      <w:pPr>
        <w:pStyle w:val="BookText"/>
        <w:bidi w:val="0"/>
        <w:jc w:val="both"/>
        <w:rPr/>
      </w:pPr>
      <w:r>
        <w:rPr>
          <w:rFonts w:eastAsia="Times New Roman" w:cs="Times New Roman" w:ascii="Times New Roman" w:hAnsi="Times New Roman"/>
          <w:color w:val="111111"/>
          <w:sz w:val="28"/>
          <w:szCs w:val="28"/>
          <w:lang w:val="en-US"/>
        </w:rPr>
        <w:t>Hanya saja, tatkala risalah nabi (agama) melegalisasi upaya menghlmpun kekayaan dan hak sekelompok orang dari kepemilikan harta Hay sendiri, ini menjadi persoalan absurd baginya. Akibatnya, hukum-hukum khumus, zakat, sebagian undang-undang pidana (hudud), dan sanksi (diyah), menurutnya, tidak punya nilai apa-apa. Dalam pandangannya:</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Kalau saja masyarakat memahami hakikat agama, mereka akan berpaling dari perkara-perkara batil yang tidak berdasar ini untuk </w:t>
      </w:r>
    </w:p>
    <w:p>
      <w:pPr>
        <w:pStyle w:val="BookText"/>
        <w:bidi w:val="0"/>
        <w:rPr/>
      </w:pPr>
      <w:r>
        <w:rPr>
          <w:rFonts w:eastAsia="Times New Roman" w:cs="Times New Roman" w:ascii="Times New Roman" w:hAnsi="Times New Roman"/>
          <w:color w:val="111111"/>
          <w:sz w:val="28"/>
          <w:szCs w:val="28"/>
          <w:lang w:val="en-US"/>
        </w:rPr>
        <w:t>menghadap gerbang Kebenaran. Mereka tidak memerlukan hukum dan undang-undang semacam itu. Kalau itu sampai terjadi, niscaya tidak seorang pun memiliki harta, sehingga tak ada alasan memungut zakat darinya. Atau lantaran mencuri harta itu, tangan-tangan akan dipotong. Atau disebabkan aksi perampokan dan penyelidikan terhadapnya, banyak jiwa yang harus menjadi korban</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Namun realitasnya, terdapat banyak isyarat simbolik dan rahasia metaforis dalam agama yang tidak dipahami Hay. Inilah yang dinilainya sebagai sebab ketersesatan dan keterjerumusan rata—rata pengikut agama ke dalam Antropomorfisme (Tasybih). Hanya saja, setelah dari dekat melihat situasi dan kondisi manusia yang temyata beragam, khususnya dari segi intelektualitas, dia mulai menyadari:</w:t>
      </w:r>
    </w:p>
    <w:p>
      <w:pPr>
        <w:pStyle w:val="BookText"/>
        <w:bidi w:val="0"/>
        <w:jc w:val="both"/>
        <w:rPr/>
      </w:pPr>
      <w:r>
        <w:rPr>
          <w:rFonts w:eastAsia="Times New Roman" w:cs="Times New Roman" w:ascii="Times New Roman" w:hAnsi="Times New Roman"/>
          <w:color w:val="111111"/>
          <w:sz w:val="28"/>
          <w:szCs w:val="28"/>
          <w:lang w:val="en-US"/>
        </w:rPr>
        <w:t>Mayoritas manusia ibarat unta. Dia sadar bahwa hikmah, petunjuk (hidayah), dan karunia (taufiq) berada di jalan yang dibukakan para nabi dan dijelaskan dalam syariat.55</w:t>
      </w:r>
    </w:p>
    <w:p>
      <w:pPr>
        <w:pStyle w:val="BookText"/>
        <w:bidi w:val="0"/>
        <w:jc w:val="both"/>
        <w:rPr/>
      </w:pPr>
      <w:r>
        <w:rPr>
          <w:rFonts w:eastAsia="Times New Roman" w:cs="Times New Roman" w:ascii="Times New Roman" w:hAnsi="Times New Roman"/>
          <w:color w:val="111111"/>
          <w:sz w:val="28"/>
          <w:szCs w:val="28"/>
          <w:lang w:val="en-US"/>
        </w:rPr>
        <w:t>Begitulah ringkasan kisah Hay bin Yaqzdan. Ada banyak aspek dan dimensi di dalamnya yang ditelisik oleh setiap pakar bidang. Tampak sekali narasi ini disuguhkan untuk beberapa tujuan. Di an-taranya, menunjukkan metode pembelajaran yang tepat bagi pertumbuhan jasmani maupun ruhani,“ afirmasi atas keabadian jiwa insani (Nafs naatiqah), penjelasan seputar asal-usul penciptaan manusia, sampai tentang keterasingan (alienasi) dan kesendirian.</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Kendati demikian, persepsi mengenai narasi ini cukup beragam. Sebagian menganggap perjumpaan Hay dan Absal bukan antara filosof-rasionalis dan agamawan-buta-filsafat, melainkan perjumpaan dua arif: yang satu mencapai strata kesempurnaan tanpa tuntutan </w:t>
      </w:r>
    </w:p>
    <w:p>
      <w:pPr>
        <w:pStyle w:val="BookText"/>
        <w:bidi w:val="0"/>
        <w:rPr/>
      </w:pPr>
      <w:r>
        <w:rPr>
          <w:rFonts w:eastAsia="Times New Roman" w:cs="Times New Roman" w:ascii="Times New Roman" w:hAnsi="Times New Roman"/>
          <w:color w:val="111111"/>
          <w:sz w:val="28"/>
          <w:szCs w:val="28"/>
          <w:lang w:val="en-US"/>
        </w:rPr>
        <w:t>guru spiritual (mursyid); sementara yang lain merengkuhnya via arahan guru spiritual. Pasalnya, Hay telah melewati fase rasional dan filosofis sebelum berjumpa Absal, sedangkan maksud Absal berkunjung ke pulau itu tak lain untuk menyendiri (khalwat).</w:t>
      </w:r>
      <w:r>
        <w:rPr>
          <w:rStyle w:val="FootnoteAnchor"/>
        </w:rPr>
        <w:footnoteReference w:id="220"/>
      </w:r>
      <w:r>
        <w:rPr>
          <w:rFonts w:eastAsia="Times New Roman" w:cs="Times New Roman" w:ascii="Times New Roman" w:hAnsi="Times New Roman"/>
          <w:color w:val="111111"/>
          <w:sz w:val="28"/>
          <w:szCs w:val="28"/>
          <w:lang w:val="en-US"/>
        </w:rPr>
        <w:t>Karenanya, dalam narasi ini, Ibnu Thufail tidak memaparkan relasi akal dan wahyu (teks); tetapi justru melarang studi rasional tentang hal-ihwal supranatural.</w:t>
      </w:r>
    </w:p>
    <w:p>
      <w:pPr>
        <w:pStyle w:val="BookText"/>
        <w:bidi w:val="0"/>
        <w:jc w:val="both"/>
        <w:rPr/>
      </w:pPr>
      <w:r>
        <w:rPr>
          <w:rFonts w:eastAsia="Times New Roman" w:cs="Times New Roman" w:ascii="Times New Roman" w:hAnsi="Times New Roman"/>
          <w:color w:val="111111"/>
          <w:sz w:val="28"/>
          <w:szCs w:val="28"/>
          <w:lang w:val="en-US"/>
        </w:rPr>
        <w:t>Pada hemat Ibnu Thufail, agama hamf dan syariat Muhammad [Saw] telah melarang studi tentang supranatural dengan metode kaum rasionalis.</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Sekilas saja, narasi Hay bin Yaqzdan sudah jelas menunjukkan kekeliruan pandangan ini. Memang, lbnu Thufail menegaskan bahwa visi mistis bukanlah perkara konseptual dan jauh lebih unggul di atas visi akal. Namun, dia pun tidak percaya bila, secara mutlak, argumentasi rasional itu tidak bemilai apa-apa. Bahkan dapat dikatakan, visi hati dan penyingkapan ruhani (kasyaf) merupakan "hasil cahaya akal".</w:t>
      </w:r>
      <w:r>
        <w:rPr>
          <w:rStyle w:val="FootnoteAnchor"/>
        </w:rPr>
        <w:footnoteReference w:id="222"/>
      </w:r>
      <w:r>
        <w:rPr>
          <w:rFonts w:eastAsia="Times New Roman" w:cs="Times New Roman" w:ascii="Times New Roman" w:hAnsi="Times New Roman"/>
          <w:color w:val="111111"/>
          <w:sz w:val="28"/>
          <w:szCs w:val="28"/>
          <w:lang w:val="en-US"/>
        </w:rPr>
        <w:t>Kesimpulannya, ”Pandangan ini menentang metode sufisme yang menganggap akal sama sekali tak berarti, dan pelatihan riyadhah hanya satu-satunya peluang mencapai Al-Haq.</w:t>
      </w:r>
      <w:r>
        <w:rPr>
          <w:rStyle w:val="FootnoteAnchor"/>
        </w:rPr>
        <w:footnoteReference w:id="22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Kelompok lain menilai pandangan Ibnu Thufail sama dengan pendapat Zakariya Razi.</w:t>
      </w:r>
      <w:r>
        <w:rPr>
          <w:rStyle w:val="FootnoteAnchor"/>
        </w:rPr>
        <w:footnoteReference w:id="224"/>
      </w:r>
      <w:r>
        <w:rPr>
          <w:rFonts w:eastAsia="Times New Roman" w:cs="Times New Roman" w:ascii="Times New Roman" w:hAnsi="Times New Roman"/>
          <w:color w:val="111111"/>
          <w:sz w:val="28"/>
          <w:szCs w:val="28"/>
          <w:lang w:val="en-US"/>
        </w:rPr>
        <w:t xml:space="preserve">Bedanya, keberadaan akal. menurut Razi, tidak lagi menyisakan tempat bagi agama dan ajaran-ajaran wahyu, sementara Ibnu Thufail, sekalipun mengklaim akal sudah cukup dijadikan medium menjangkau hakikat, tidak saja menjunjung martabat agama, tetapi juga menyakini keharmonisan yang seutuhnya antara konklusi akal dan ajaran agama. </w:t>
      </w:r>
    </w:p>
    <w:p>
      <w:pPr>
        <w:pStyle w:val="BookText"/>
        <w:bidi w:val="0"/>
        <w:rPr/>
      </w:pPr>
      <w:r>
        <w:rPr>
          <w:rFonts w:eastAsia="Times New Roman" w:cs="Times New Roman" w:ascii="Times New Roman" w:hAnsi="Times New Roman"/>
          <w:color w:val="111111"/>
          <w:sz w:val="28"/>
          <w:szCs w:val="28"/>
          <w:lang w:val="en-US"/>
        </w:rPr>
        <w:t>Dengan jujur setulus-tulusnya, filosof Andalusia ini mengakui</w:t>
      </w:r>
    </w:p>
    <w:p>
      <w:pPr>
        <w:pStyle w:val="BookText"/>
        <w:bidi w:val="0"/>
        <w:jc w:val="both"/>
        <w:rPr/>
      </w:pPr>
      <w:r>
        <w:rPr>
          <w:rFonts w:eastAsia="Times New Roman" w:cs="Times New Roman" w:ascii="Times New Roman" w:hAnsi="Times New Roman"/>
          <w:color w:val="111111"/>
          <w:sz w:val="28"/>
          <w:szCs w:val="28"/>
          <w:lang w:val="en-US"/>
        </w:rPr>
        <w:t>hukum syariat, perintah llahi, dan menghormatinya. Dia yakin,</w:t>
      </w:r>
    </w:p>
    <w:p>
      <w:pPr>
        <w:pStyle w:val="BookText"/>
        <w:bidi w:val="0"/>
        <w:jc w:val="both"/>
        <w:rPr/>
      </w:pPr>
      <w:r>
        <w:rPr>
          <w:rFonts w:eastAsia="Times New Roman" w:cs="Times New Roman" w:ascii="Times New Roman" w:hAnsi="Times New Roman"/>
          <w:color w:val="111111"/>
          <w:sz w:val="28"/>
          <w:szCs w:val="28"/>
          <w:lang w:val="en-US"/>
        </w:rPr>
        <w:t>akal murni dan cemerlang pada akhirnya akan mencapai titik kesimpulan yang bisa diraih melalui syariat dan ajaran agama.</w:t>
      </w:r>
    </w:p>
    <w:p>
      <w:pPr>
        <w:pStyle w:val="BookText"/>
        <w:bidi w:val="0"/>
        <w:jc w:val="both"/>
        <w:rPr/>
      </w:pPr>
      <w:r>
        <w:rPr>
          <w:rFonts w:eastAsia="Times New Roman" w:cs="Times New Roman" w:ascii="Times New Roman" w:hAnsi="Times New Roman"/>
          <w:color w:val="111111"/>
          <w:sz w:val="28"/>
          <w:szCs w:val="28"/>
          <w:lang w:val="en-US"/>
        </w:rPr>
        <w:t>Berbagai peribadahan dan ritual keagamaan juga berlandas pada</w:t>
      </w:r>
    </w:p>
    <w:p>
      <w:pPr>
        <w:pStyle w:val="BookText"/>
        <w:bidi w:val="0"/>
        <w:jc w:val="both"/>
        <w:rPr/>
      </w:pPr>
      <w:r>
        <w:rPr>
          <w:rFonts w:eastAsia="Times New Roman" w:cs="Times New Roman" w:ascii="Times New Roman" w:hAnsi="Times New Roman"/>
          <w:color w:val="111111"/>
          <w:sz w:val="28"/>
          <w:szCs w:val="28"/>
          <w:lang w:val="en-US"/>
        </w:rPr>
        <w:t>nuktah dan rahasia-rahasia batin yang diafirmasi akal.</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Dengan kata lain, kaum intelektual yang punya semangat dan etos hidup yang tinggi seperti Hay bin Yaqzdan, tak lagi memerlukan wahyu. Hanya berbekal akal, dia sudah mampu mereguk kebahagiaan sejati. Namun lantaran tidak semua orang berada pada level intelektualitas yang setaraf, maka tak ada alternatif lain selain pengutusan para nabi dan penurunan wahyu.</w:t>
      </w:r>
    </w:p>
    <w:p>
      <w:pPr>
        <w:pStyle w:val="BookText"/>
        <w:bidi w:val="0"/>
        <w:jc w:val="both"/>
        <w:rPr/>
      </w:pPr>
      <w:r>
        <w:rPr>
          <w:rFonts w:eastAsia="Times New Roman" w:cs="Times New Roman" w:ascii="Times New Roman" w:hAnsi="Times New Roman"/>
          <w:color w:val="111111"/>
          <w:sz w:val="28"/>
          <w:szCs w:val="28"/>
          <w:lang w:val="en-US"/>
        </w:rPr>
        <w:t>Berbeda dengan Razi, Ibnu Thufail mengakui adanya perbedaan daya intelektual di antara individu, dan karena itulah dia juga mengakui kemestian diutusnya para nabi; termasuk kemestian adanya guru-murid maupun imam-umat di tengah komunitas manusia.</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Berdasarkan semua itu, Ibnu Thufail dapat dikategorikan sebagai rasionalis radikal, namun menyejajarkan pandangannya dengan pendapat Zakariya Razi jelas tidaklah tepat. Menurut Ibnu Thufail, bukan hanya masyarakat kebanyakan, para intelektual yang punya batin bersih dan fitrah suci juga memerlukan tuntunan dan ajaran nabi. Hay bin Yaqzdan tak pernah memperlakukan proposisi suprarasional agama sebagai faktor keberatannya, kalau bukan malah menerimanya secara penuh.</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Kemudian Absal ditanya tentang berbagai kewajiban agama dan tata-Cara ibadah yang diajarkan dan ditetapkan nabi. Absal lalu menjabarkan kepadanya tatacara shalat, zakat, puasa, haji, dan </w:t>
      </w:r>
      <w:bookmarkStart w:id="215" w:name="pg5378_50592"/>
    </w:p>
    <w:p>
      <w:pPr>
        <w:pStyle w:val="BookText"/>
        <w:bidi w:val="0"/>
        <w:rPr/>
      </w:pPr>
      <w:bookmarkEnd w:id="215"/>
      <w:r>
        <w:rPr>
          <w:rFonts w:eastAsia="Times New Roman" w:cs="Times New Roman" w:ascii="Times New Roman" w:hAnsi="Times New Roman"/>
          <w:color w:val="111111"/>
          <w:sz w:val="28"/>
          <w:szCs w:val="28"/>
          <w:lang w:val="en-US"/>
        </w:rPr>
        <w:t>ibadah lahiriah lainnya. Setelah itu, Hay bin Yaqzdan mengemban semua kewajiban itu sepenuh hati. Karena juru penyampai ajaran itu diyakininya sebagai manusia jujur, maka dia menetapkan dirinya komit [melaksanakan] tugas-tugas agamanya.</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Maksud utama Ibnu Thufail menukil kisah ini agaknya untuk menjelaskan keselarasan akal dan wahyu. Sebagaimana filosof Muslim lainnya, dia—se|ain sangat menjunjung tinggi segala jenis sumber pengetahuan-memiliki kecenderungan yang kuat pada penyaksian batin (Syuhud) dan penyingkapan ruhani (kasyf). Di samping itu, dia tidak menemukan adanya kontradiksi antara disiplin ilmu nonwahyu dengan ajaran-ajaran Langit. Hanya boleh jacli ‘mi dipresentasikan Ibnu Thufail dengan gaya eksesif dan terkesan berlebihan: nyaris mustahil menemukan manusia secerdas Hay bin Yaqzdan yang selalu ’hidup dalam sadar’ (zendeh-e bidari), sosok yang mampu mencecap secara rasional seluruh pengetahuan, selain segelintir hukum fikih, di ranah agama. Padahal, selain tak punya kemampuan untuk menyingkap realitas seutuhnya, akal juga tak luput dari kemungkinan Ialai atau khilaf. Inilah bukti paling fundamental bahwa manusia tetap memerlukan tuntunan nabi.</w:t>
      </w:r>
    </w:p>
    <w:p>
      <w:pPr>
        <w:pStyle w:val="BookText"/>
        <w:bidi w:val="0"/>
        <w:jc w:val="both"/>
        <w:rPr/>
      </w:pPr>
      <w:r>
        <w:rPr>
          <w:rFonts w:eastAsia="Times New Roman" w:cs="Times New Roman" w:ascii="Times New Roman" w:hAnsi="Times New Roman"/>
          <w:color w:val="111111"/>
          <w:sz w:val="28"/>
          <w:szCs w:val="28"/>
          <w:lang w:val="en-US"/>
        </w:rPr>
        <w:t>[Para nabi diutus] untuk menggali janji fitrah-Nya, mengingatkan mereka perihal seluruh nikmat-Nya dan membongkar hazanah-hazanah terpendam akal untuk mereka.</w:t>
      </w:r>
      <w:r>
        <w:rPr>
          <w:rStyle w:val="FootnoteAnchor"/>
        </w:rPr>
        <w:footnoteReference w:id="228"/>
      </w:r>
    </w:p>
    <w:p>
      <w:pPr>
        <w:pStyle w:val="Heading3"/>
        <w:numPr>
          <w:ilvl w:val="2"/>
          <w:numId w:val="1"/>
        </w:numPr>
        <w:bidi w:val="0"/>
        <w:jc w:val="left"/>
        <w:rPr/>
      </w:pPr>
      <w:bookmarkStart w:id="216" w:name="__RefHeading___Toc1351202_581953129"/>
      <w:bookmarkStart w:id="217" w:name="_Toc80"/>
      <w:bookmarkEnd w:id="216"/>
      <w:r>
        <w:rPr/>
        <w:t>Ibnu Rusyd</w:t>
      </w:r>
      <w:bookmarkEnd w:id="217"/>
    </w:p>
    <w:p>
      <w:pPr>
        <w:pStyle w:val="Heading4"/>
        <w:numPr>
          <w:ilvl w:val="3"/>
          <w:numId w:val="1"/>
        </w:numPr>
        <w:bidi w:val="0"/>
        <w:jc w:val="left"/>
        <w:rPr/>
      </w:pPr>
      <w:bookmarkStart w:id="218" w:name="__RefHeading___Toc1351204_581953129"/>
      <w:bookmarkStart w:id="219" w:name="_Toc81"/>
      <w:bookmarkEnd w:id="218"/>
      <w:r>
        <w:rPr/>
        <w:t>Point</w:t>
      </w:r>
      <w:bookmarkEnd w:id="21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Abul Walid Muhammad bin Ahmad bin Rusyd Andalusi (520-595 H) merupakan filosof Muslim garda depan. Selain menguasai filsafat, dia juga seorang pakar di bidang fikih dan kedokteran. Cukup banyak mahakarya yang telah dihasilkannya. Namun, gagasan dan </w:t>
      </w:r>
    </w:p>
    <w:p>
      <w:pPr>
        <w:pStyle w:val="BookText"/>
        <w:bidi w:val="0"/>
        <w:rPr/>
      </w:pPr>
      <w:r>
        <w:rPr>
          <w:rFonts w:eastAsia="Times New Roman" w:cs="Times New Roman" w:ascii="Times New Roman" w:hAnsi="Times New Roman"/>
          <w:color w:val="111111"/>
          <w:sz w:val="28"/>
          <w:szCs w:val="28"/>
          <w:lang w:val="en-US"/>
        </w:rPr>
        <w:t>pandangannya, yang umumnya berupa komentar dan tafsir atas filsafat Aristoteles, kurang mendapat tempat di kalangan filosof Muslim, sebaliknya di dataran Eropa justru mendapat sambutan yang luar biasa.</w:t>
      </w:r>
      <w:r>
        <w:rPr>
          <w:rStyle w:val="FootnoteAnchor"/>
        </w:rPr>
        <w:footnoteReference w:id="229"/>
      </w:r>
      <w:r>
        <w:rPr>
          <w:rFonts w:eastAsia="Times New Roman" w:cs="Times New Roman" w:ascii="Times New Roman" w:hAnsi="Times New Roman"/>
          <w:color w:val="111111"/>
          <w:sz w:val="28"/>
          <w:szCs w:val="28"/>
          <w:lang w:val="en-US"/>
        </w:rPr>
        <w:t>Apresiasi bangsa Eropa sedemikian rupa, sampai— sampai filosof Muslim ini dinobatkan sebagai salah satu founding fathers peradaban Barat modern. Tak dapat dipungkiri bila sejumlah filosof Barat, baik langsung maupun tidak, terpengaruhi pandangan- pandangannya.</w:t>
      </w:r>
    </w:p>
    <w:p>
      <w:pPr>
        <w:pStyle w:val="BookText"/>
        <w:bidi w:val="0"/>
        <w:jc w:val="both"/>
        <w:rPr/>
      </w:pPr>
      <w:r>
        <w:rPr>
          <w:rFonts w:eastAsia="Times New Roman" w:cs="Times New Roman" w:ascii="Times New Roman" w:hAnsi="Times New Roman"/>
          <w:color w:val="111111"/>
          <w:sz w:val="28"/>
          <w:szCs w:val="28"/>
          <w:lang w:val="en-US"/>
        </w:rPr>
        <w:t>Mekarnya mazhab pemikiran Ibnu Rusyd (Averroisme) di Eropa sepanjang Abad Pertengahan, yang terus berlanjut sampai sekarang, membuktikan besarnya pengaruh filosof ini terhadap para pemikir Barat.</w:t>
      </w:r>
      <w:r>
        <w:rPr>
          <w:rStyle w:val="FootnoteAnchor"/>
        </w:rPr>
        <w:footnoteReference w:id="230"/>
      </w:r>
      <w:r>
        <w:rPr>
          <w:rFonts w:eastAsia="Times New Roman" w:cs="Times New Roman" w:ascii="Times New Roman" w:hAnsi="Times New Roman"/>
          <w:color w:val="111111"/>
          <w:sz w:val="28"/>
          <w:szCs w:val="28"/>
          <w:lang w:val="en-US"/>
        </w:rPr>
        <w:t>Oleh mereka, Ibnu Rusyd dinyatakan seorang rasionalis yang meyakini filsafat berada unggul di atas agama. Dia percaya, ”Realitas absolut tidak dapat ditemukan dalam wahyu mana pun, melainkan hanya dapat dijumpai dalam karya-karya Aristoteles.”"“ Dari pemeriksaan terhadap statemen Ibnu Rusyd, sebagian mereka menyimpulkan pandangannya bahwa kaum filosof tidak perlu nabi.</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Di samping itu, kekhasan lain mazhab Averroisme adalah keya- kinannya terhadap asas DUALISME KEBENARAN. Maksudnya, ”Tidak ada hubungan apa pun antara kebenaran menurut filsafat dan kebenaran menurut ilmu-ilmu Ilahi. Untuk masing-masing objek kajian, terdapat kebenaran yang berbeda-beda</w:t>
      </w:r>
      <w:r>
        <w:rPr>
          <w:rStyle w:val="FootnoteAnchor"/>
        </w:rPr>
        <w:footnoteReference w:id="23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Pandangan Ibnu Rusyd yang berkenaan dengan relasi akal dan wahyu dapat dijumpai dalam karyanya, seperti Tahafut at Tahaafut, Fashl Al Maqaail Fi Ma Bayna Hikmah wa Al-Syariah min At-Ittishal, Al-Kasaf ’min Manahij Al-Adillah. Untuk mengenal dan menimbang </w:t>
      </w:r>
      <w:bookmarkStart w:id="220" w:name="pg5378_50596"/>
    </w:p>
    <w:p>
      <w:pPr>
        <w:pStyle w:val="BookText"/>
        <w:bidi w:val="0"/>
        <w:rPr/>
      </w:pPr>
      <w:bookmarkEnd w:id="220"/>
      <w:r>
        <w:rPr>
          <w:rFonts w:eastAsia="Times New Roman" w:cs="Times New Roman" w:ascii="Times New Roman" w:hAnsi="Times New Roman"/>
          <w:color w:val="111111"/>
          <w:sz w:val="28"/>
          <w:szCs w:val="28"/>
          <w:lang w:val="en-US"/>
        </w:rPr>
        <w:t>benar-salahnya, berikut akan diulas secara sepintas isi ketiga karya itu.</w:t>
      </w:r>
    </w:p>
    <w:p>
      <w:pPr>
        <w:pStyle w:val="Heading4"/>
        <w:numPr>
          <w:ilvl w:val="3"/>
          <w:numId w:val="1"/>
        </w:numPr>
        <w:bidi w:val="0"/>
        <w:jc w:val="left"/>
        <w:rPr/>
      </w:pPr>
      <w:bookmarkStart w:id="221" w:name="__RefHeading___Toc1351206_581953129"/>
      <w:bookmarkStart w:id="222" w:name="_Toc82"/>
      <w:bookmarkEnd w:id="221"/>
      <w:r>
        <w:rPr/>
        <w:t>Tahafut Al-Tahafut</w:t>
      </w:r>
      <w:bookmarkEnd w:id="222"/>
    </w:p>
    <w:p>
      <w:pPr>
        <w:pStyle w:val="BookText"/>
        <w:bidi w:val="0"/>
        <w:jc w:val="both"/>
        <w:rPr/>
      </w:pPr>
      <w:r>
        <w:rPr>
          <w:rFonts w:eastAsia="Times New Roman" w:cs="Times New Roman" w:ascii="Times New Roman" w:hAnsi="Times New Roman"/>
          <w:color w:val="111111"/>
          <w:sz w:val="28"/>
          <w:szCs w:val="28"/>
          <w:lang w:val="en-US"/>
        </w:rPr>
        <w:t>Abu Hamid Ghazali (450-550 H) dalam Tahafut Al-Falaasifah, mengkitisi 20 butir kontradiksi kaum filosof. Ujung-ujungnya, dia memvonis mereka kaﬁr karena meyakini ketakberawalan (qadim) alam, ketaktahuan Tuhan terhadap hal-ihwal partikular, dan menafikan kebangkitan jasmani (Ma'ad Jasmani').</w:t>
      </w:r>
    </w:p>
    <w:p>
      <w:pPr>
        <w:pStyle w:val="BookText"/>
        <w:bidi w:val="0"/>
        <w:jc w:val="both"/>
        <w:rPr/>
      </w:pPr>
      <w:r>
        <w:rPr>
          <w:rFonts w:eastAsia="Times New Roman" w:cs="Times New Roman" w:ascii="Times New Roman" w:hAnsi="Times New Roman"/>
          <w:color w:val="111111"/>
          <w:sz w:val="28"/>
          <w:szCs w:val="28"/>
          <w:lang w:val="en-US"/>
        </w:rPr>
        <w:t>lbnu Rusyd lalu menulis Tahafut Al-Tahafut sebagai jawaban atas Ghazali. Kesimpulannya, selain tidak menunaikan hak agama dan syariat sebagaimana mestinya, Ghazali juga tidak memperlakukan para filosof dan filsafat secara proporsional.</w:t>
      </w:r>
      <w:r>
        <w:rPr>
          <w:rStyle w:val="FootnoteAnchor"/>
        </w:rPr>
        <w:footnoteReference w:id="233"/>
      </w:r>
      <w:r>
        <w:rPr>
          <w:rFonts w:eastAsia="Times New Roman" w:cs="Times New Roman" w:ascii="Times New Roman" w:hAnsi="Times New Roman"/>
          <w:color w:val="111111"/>
          <w:sz w:val="28"/>
          <w:szCs w:val="28"/>
          <w:lang w:val="en-US"/>
        </w:rPr>
        <w:t>Bahkan dia mengklaim, Ghazali menulis karyanya itu bukan dalam rangka mencari kebenaran, tetapi lebih disebabkan situasi—kondisi yang berkembang dan demi mencari popularitas semata.</w:t>
      </w:r>
      <w:r>
        <w:rPr>
          <w:rStyle w:val="FootnoteAnchor"/>
        </w:rPr>
        <w:footnoteReference w:id="234"/>
      </w:r>
      <w:r>
        <w:rPr>
          <w:rFonts w:eastAsia="Times New Roman" w:cs="Times New Roman" w:ascii="Times New Roman" w:hAnsi="Times New Roman"/>
          <w:color w:val="111111"/>
          <w:sz w:val="28"/>
          <w:szCs w:val="28"/>
          <w:lang w:val="en-US"/>
        </w:rPr>
        <w:t>Memang, dia menerima sebagian kritik yang dilancarkan Ghazali. Akan tetapi, dalam catatannya, rangkaian kritik itu seyogianya diarahkan kepada Ibnu Sina dan Farabi yang menurutnya telah menyimpang dari mazhab Aristotelian.</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Menurut Ibnu Rusyd, pengetahuan yang diperoleh via wahyu merupakan penyempurna ilmu-ilmu rasional. Semua hal yang tidak dapat diperoleh akal dengan sendirinya dapat diraih lewat agama (wahyu).</w:t>
      </w:r>
      <w:r>
        <w:rPr>
          <w:rStyle w:val="FootnoteAnchor"/>
        </w:rPr>
        <w:footnoteReference w:id="236"/>
      </w:r>
      <w:r>
        <w:rPr>
          <w:rFonts w:eastAsia="Times New Roman" w:cs="Times New Roman" w:ascii="Times New Roman" w:hAnsi="Times New Roman"/>
          <w:color w:val="111111"/>
          <w:sz w:val="28"/>
          <w:szCs w:val="28"/>
          <w:lang w:val="en-US"/>
        </w:rPr>
        <w:t>Atas dasar itu, tugas filsafat adalah menganalisis secara rasional seluruh aturan agama. Bila tidak mampu menjangkaunya, akal akan langsung mengakui kelemahannya sendiri.</w:t>
      </w:r>
      <w:r>
        <w:rPr>
          <w:rStyle w:val="FootnoteAnchor"/>
        </w:rPr>
        <w:footnoteReference w:id="23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Untuk memasuki ranah pengetahuan rasional dan filsafat, pada hematnya, diperlukan kualitas subjektif yang meliputi kesabaran, </w:t>
      </w:r>
      <w:bookmarkStart w:id="223" w:name="pg5378_50598"/>
    </w:p>
    <w:p>
      <w:pPr>
        <w:pStyle w:val="BookText"/>
        <w:bidi w:val="0"/>
        <w:rPr/>
      </w:pPr>
      <w:bookmarkEnd w:id="223"/>
      <w:r>
        <w:rPr>
          <w:rFonts w:eastAsia="Times New Roman" w:cs="Times New Roman" w:ascii="Times New Roman" w:hAnsi="Times New Roman"/>
          <w:color w:val="111111"/>
          <w:sz w:val="28"/>
          <w:szCs w:val="28"/>
          <w:lang w:val="en-US"/>
        </w:rPr>
        <w:t>ketegaran, dan objektifitas. Dia mengharamkan upaya mengekspos pengetahuan rasional dan filsafat ke tengah masyarakat</w:t>
      </w:r>
      <w:r>
        <w:rPr>
          <w:rStyle w:val="FootnoteAnchor"/>
        </w:rPr>
        <w:footnoteReference w:id="238"/>
      </w:r>
      <w:r>
        <w:rPr>
          <w:rFonts w:eastAsia="Times New Roman" w:cs="Times New Roman" w:ascii="Times New Roman" w:hAnsi="Times New Roman"/>
          <w:color w:val="111111"/>
          <w:sz w:val="28"/>
          <w:szCs w:val="28"/>
          <w:lang w:val="en-US"/>
        </w:rPr>
        <w:t>Sebagaimana sejumlah fuqaha menggunakan metode tekstual dan cenderung tidak mempraktikkan qiyas dalam bidang hukum praktis, Ibnu Rusyd yakin bahwa metode tekstual ini juga sangat bermanfaat untuk mendekatkan masyarakat umum pada kebahagiaan sejati.</w:t>
      </w:r>
      <w:r>
        <w:rPr>
          <w:rStyle w:val="FootnoteAnchor"/>
        </w:rPr>
        <w:footnoteReference w:id="239"/>
      </w:r>
      <w:r>
        <w:rPr>
          <w:rFonts w:eastAsia="Times New Roman" w:cs="Times New Roman" w:ascii="Times New Roman" w:hAnsi="Times New Roman"/>
          <w:color w:val="111111"/>
          <w:sz w:val="28"/>
          <w:szCs w:val="28"/>
          <w:lang w:val="en-US"/>
        </w:rPr>
        <w:t>Itulah alasan mengapa para pemikir terdahulu mengupas masalah ini dengan menggunakan bahasa isyarat (simbolik), khususnya agar kalangan ahli hikmah (filosof) yang berilmu kokoh (</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Al-Rasikhin fi Al-Ilm) saja yang dapat menyingkap maknanya (takwil).</w:t>
      </w:r>
    </w:p>
    <w:p>
      <w:pPr>
        <w:pStyle w:val="BookText"/>
        <w:bidi w:val="0"/>
        <w:jc w:val="both"/>
        <w:rPr/>
      </w:pPr>
      <w:r>
        <w:rPr>
          <w:rFonts w:eastAsia="Times New Roman" w:cs="Times New Roman" w:ascii="Times New Roman" w:hAnsi="Times New Roman"/>
          <w:color w:val="111111"/>
          <w:sz w:val="28"/>
          <w:szCs w:val="28"/>
          <w:lang w:val="en-US"/>
        </w:rPr>
        <w:t>Menurut Ibnu Rusyd, setiap nabi pasti filosof, namun tidak semua filosof itu nabi. Tentunya, setiap agama wahyuni niscaya rasional. Akan halnya jika keberadaan sebuah agama yang semata- mata rasional bisa diterima, maka dapat dipastikan bahwa agama semacam ini lebih rendah nilainya ketimbang agama yang berbasis pada akal dan wahyu.</w:t>
      </w:r>
    </w:p>
    <w:p>
      <w:pPr>
        <w:pStyle w:val="Heading4"/>
        <w:numPr>
          <w:ilvl w:val="3"/>
          <w:numId w:val="1"/>
        </w:numPr>
        <w:bidi w:val="0"/>
        <w:jc w:val="left"/>
        <w:rPr/>
      </w:pPr>
      <w:bookmarkStart w:id="224" w:name="__RefHeading___Toc1351208_581953129"/>
      <w:bookmarkStart w:id="225" w:name="_Toc83"/>
      <w:bookmarkEnd w:id="224"/>
      <w:r>
        <w:rPr/>
        <w:t>Fashl Al-Maqal fi ma bain Al-Hikmah wa Al-Syari‘ah min Al-Ittisha‘l</w:t>
      </w:r>
      <w:bookmarkEnd w:id="225"/>
    </w:p>
    <w:p>
      <w:pPr>
        <w:pStyle w:val="BookText"/>
        <w:bidi w:val="0"/>
        <w:jc w:val="both"/>
        <w:rPr/>
      </w:pPr>
      <w:r>
        <w:rPr>
          <w:rFonts w:eastAsia="Times New Roman" w:cs="Times New Roman" w:ascii="Times New Roman" w:hAnsi="Times New Roman"/>
          <w:color w:val="111111"/>
          <w:sz w:val="28"/>
          <w:szCs w:val="28"/>
          <w:lang w:val="en-US"/>
        </w:rPr>
        <w:t>Tidak sekadar mengkaji hikmah (filsafat), dalam karya ini Ibnu Rusyd juga menyinggung koherensinya dan syariat (agama). Topik utama kitab ini berkaitan dengan takwil. Dalam pandangannya, kaum filosof yang berbekal argumentasi akal merupakan sosok yang punya keluasan wawasan dan kedalaman ilmu. Alquran menyebutnya sebagai otoritas penakwil ayat-ayat yang tak-jelas (Mutasyabih). Adapun masyarakat awam hanya diwajibkan mengamalkan dirnensi harfiah-nya semata.</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konteks ini, Ibnu Rusyd berposisi sebagai pakar fikih (Faqih) yang sedang menghadapi fukaha yang tidak menyukai, bahkan mengharamkan, belajar-mengajar filsafat. Dalam bab pembukaan </w:t>
      </w:r>
    </w:p>
    <w:p>
      <w:pPr>
        <w:pStyle w:val="BookText"/>
        <w:bidi w:val="0"/>
        <w:rPr/>
      </w:pPr>
      <w:r>
        <w:rPr>
          <w:rFonts w:eastAsia="Times New Roman" w:cs="Times New Roman" w:ascii="Times New Roman" w:hAnsi="Times New Roman"/>
          <w:color w:val="111111"/>
          <w:sz w:val="28"/>
          <w:szCs w:val="28"/>
          <w:lang w:val="en-US"/>
        </w:rPr>
        <w:t>karyanya, dia menjelaskan relasi hukum fikih dengan proses belajar filsafat. Dengannya, filsafat hanya diorientasikan untuk mencapai realitas seluruh eksistensi di jagat raya menuju Sang Penciptanya. Atas dasar itulah dia lantas mewajibkan kajian rasional dan filsafat.</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Salah satu kunci dari seluruh persoalan dalam pemikiran Ibnu Rusyd ditekankan secara sempurna dalam karya ini, yaitu klasifikasi individu-individu masyarakat—secara epistemologis menurut kecenderungan fitrah dan nalurinya—ke dalam tiga kategori pengguna: demonstrasi (burhan), dialektika (Jadal), dan retorika (khitabah). Menurutnya, masing-masing kategori di atas relevan dengan kewajiban yang diajarkan Islam sebagai agama yang benar, dan tugas dakwahnya diselaraskan dengan kekhasan dan kemampuannya.</w:t>
      </w:r>
      <w:r>
        <w:rPr>
          <w:rStyle w:val="FootnoteAnchor"/>
        </w:rPr>
        <w:footnoteReference w:id="241"/>
      </w:r>
      <w:r>
        <w:rPr>
          <w:rFonts w:eastAsia="Times New Roman" w:cs="Times New Roman" w:ascii="Times New Roman" w:hAnsi="Times New Roman"/>
          <w:color w:val="111111"/>
          <w:sz w:val="28"/>
          <w:szCs w:val="28"/>
          <w:lang w:val="en-US"/>
        </w:rPr>
        <w:t>Semua itu harus sesuai dengan panggilan fitrahnya agar tidak terjadi kontradiksi. Dengan begitu:</w:t>
      </w:r>
    </w:p>
    <w:p>
      <w:pPr>
        <w:pStyle w:val="BookText"/>
        <w:bidi w:val="0"/>
        <w:jc w:val="both"/>
        <w:rPr/>
      </w:pPr>
      <w:r>
        <w:rPr>
          <w:rFonts w:eastAsia="Times New Roman" w:cs="Times New Roman" w:ascii="Times New Roman" w:hAnsi="Times New Roman"/>
          <w:color w:val="111111"/>
          <w:sz w:val="28"/>
          <w:szCs w:val="28"/>
          <w:lang w:val="en-US"/>
        </w:rPr>
        <w:t>Berpikir secara burhani 'logis’ tidak akan sampai menentang apa yang telah disampaikan agama, karena kebenaran tidak akan menentang kebenaran; justru ia sepakat dan memastikannya.</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Beberapa pihak mengkritisi paradigma Ibnu Rusyd tadi dengan menunjukkan sejumlah demonstrasi dan argumentasi akal yang berpotensi menentang agama. Mengantisipasi kemungkinan ini, Ibnu Rusyd lalu menyarankan agar menakwil ungkapan harfiah ini dengan tetap menjaga kaidah bahasa, yakni dengan memaknainya secara metaforis (nmjﬁzx) hingga relevan dengan konklusi demonstrasi logis. Klaim besar Ibnu Rusyd menyatakan, "Jika tak ada jalan lagi dalam segala kasus, untuk mengharmonikan akal dan wahyu, kecuali melalui penakwilan, maka bukti-bukti atas makna [hasil] penakwilan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tersebut bisa ditemukan dari dalam agama itu sendiri.</w:t>
      </w:r>
      <w:r>
        <w:rPr>
          <w:rStyle w:val="FootnoteAnchor"/>
        </w:rPr>
        <w:footnoteReference w:id="243"/>
      </w:r>
      <w:bookmarkStart w:id="226" w:name="pg5378_50602"/>
    </w:p>
    <w:p>
      <w:pPr>
        <w:pStyle w:val="BookText"/>
        <w:bidi w:val="0"/>
        <w:rPr/>
      </w:pPr>
      <w:bookmarkEnd w:id="226"/>
      <w:r>
        <w:rPr>
          <w:rFonts w:eastAsia="Times New Roman" w:cs="Times New Roman" w:ascii="Times New Roman" w:hAnsi="Times New Roman"/>
          <w:color w:val="111111"/>
          <w:sz w:val="28"/>
          <w:szCs w:val="28"/>
          <w:lang w:val="en-US"/>
        </w:rPr>
        <w:t>Dengan begitu, Ibnu Rusyd mulai memasuki bidang luas takwil berikut syarat-syaratnya. Di antaranya, tidak semua teks agama dapat/boleh ditakwil, karena memaksakan takwil terhadap sebagian teks agama akan mengakibatkan kekafiran dan kemurtadan. Contohnya, ancaman siksa neraka dan kabar gembira berupa nikmat surga semata-mata dimaksudkan hanya untuk menciptakan kedamaian dan ketentraman di dunia ini, tetapi kenyataannya tidak ada kebahagiaan dan kesengsaraan ukhrawi. Jelas, orang yang beranggapan semacam ini bermain di wilayah kekafiran.</w:t>
      </w:r>
    </w:p>
    <w:p>
      <w:pPr>
        <w:pStyle w:val="BookText"/>
        <w:bidi w:val="0"/>
        <w:jc w:val="both"/>
        <w:rPr/>
      </w:pPr>
      <w:r>
        <w:rPr>
          <w:rFonts w:eastAsia="Times New Roman" w:cs="Times New Roman" w:ascii="Times New Roman" w:hAnsi="Times New Roman"/>
          <w:color w:val="111111"/>
          <w:sz w:val="28"/>
          <w:szCs w:val="28"/>
          <w:lang w:val="en-US"/>
        </w:rPr>
        <w:t>Ada pula sebagian perkara agama yang harus ditakwil filosof (ahl al-burhan), sementara kalangan lain hanya boleh merujuk makna harfiahnya semata.</w:t>
      </w:r>
      <w:r>
        <w:rPr>
          <w:rStyle w:val="FootnoteAnchor"/>
        </w:rPr>
        <w:footnoteReference w:id="244"/>
      </w:r>
      <w:r>
        <w:rPr>
          <w:rFonts w:eastAsia="Times New Roman" w:cs="Times New Roman" w:ascii="Times New Roman" w:hAnsi="Times New Roman"/>
          <w:color w:val="111111"/>
          <w:sz w:val="28"/>
          <w:szCs w:val="28"/>
          <w:lang w:val="en-US"/>
        </w:rPr>
        <w:t>Pada saat yang sama, kalangan filosof wajib mengungkapkan seluruh hasil takwilnya hanya dalam karya yang bersifat demonstratif (burhan), seraya dijauhkan dari jangkauan publik. Ini lantaran pembeberan hasil takwil kepada pihak yang inkompeten sama saja dengan merenggut makna harfiah dari pemahamannya, selain juga tidak menyodorkan makna alternatif. Akibatnya, dia kehilangan kedua-duanya (makna harfiah maupun batiniah/ takwil). Tindakan ini bahkan menjadi kekafiran bila saja menyangkut prinsip agama.</w:t>
      </w:r>
      <w:r>
        <w:rPr>
          <w:rStyle w:val="FootnoteAnchor"/>
        </w:rPr>
        <w:footnoteReference w:id="245"/>
      </w:r>
    </w:p>
    <w:p>
      <w:pPr>
        <w:pStyle w:val="Heading4"/>
        <w:numPr>
          <w:ilvl w:val="3"/>
          <w:numId w:val="1"/>
        </w:numPr>
        <w:bidi w:val="0"/>
        <w:jc w:val="left"/>
        <w:rPr/>
      </w:pPr>
      <w:bookmarkStart w:id="227" w:name="__RefHeading___Toc1351210_581953129"/>
      <w:bookmarkStart w:id="228" w:name="_Toc84"/>
      <w:bookmarkEnd w:id="227"/>
      <w:r>
        <w:rPr/>
        <w:t>Al-Kasyf ‘an Manéhij Al-Adillah</w:t>
      </w:r>
      <w:bookmarkEnd w:id="22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Karya ini merupakan rangkaian dari Fashl Al-Maqal fi ma baina Al-hikmah wa Al-Syari'ah min Al-Ittishal. Dalam buku ini, Ibnu Rusyd terlebih dahulu menerangkan kewajiban kalangan awam agar komit pada makna harfiah dan tidak melakukan takwil, lalu berusaha memeriksa unit-unit akidah yang harus diterima awam tanpa proses takwil. Sebagai contoh, jawaban atas pertanyaan awam seputar fisikalitas (jism) Tuhan adalah ”tiada sesuatu yang menyamai-Nya” (Laisa Kamistlihi Syai'). jawaban ini diajukan agar tidak mengafirmasi </w:t>
      </w:r>
      <w:bookmarkStart w:id="229" w:name="pg5378_50604"/>
    </w:p>
    <w:p>
      <w:pPr>
        <w:pStyle w:val="BookText"/>
        <w:bidi w:val="0"/>
        <w:rPr/>
      </w:pPr>
      <w:bookmarkEnd w:id="229"/>
      <w:r>
        <w:rPr>
          <w:rFonts w:eastAsia="Times New Roman" w:cs="Times New Roman" w:ascii="Times New Roman" w:hAnsi="Times New Roman"/>
          <w:color w:val="111111"/>
          <w:sz w:val="28"/>
          <w:szCs w:val="28"/>
          <w:lang w:val="en-US"/>
        </w:rPr>
        <w:t>fisikalitas Tuhan, tidak pula menegaskan nonfisikalitas-Nya.</w:t>
      </w:r>
      <w:r>
        <w:rPr>
          <w:rStyle w:val="FootnoteAnchor"/>
        </w:rPr>
        <w:footnoteReference w:id="246"/>
      </w:r>
      <w:r>
        <w:rPr>
          <w:rFonts w:eastAsia="Times New Roman" w:cs="Times New Roman" w:ascii="Times New Roman" w:hAnsi="Times New Roman"/>
          <w:color w:val="111111"/>
          <w:sz w:val="28"/>
          <w:szCs w:val="28"/>
          <w:lang w:val="en-US"/>
        </w:rPr>
        <w:t>Di antara argumentasi yang dia kemukakan, kalangan awam senantiasa menilai sesuatu itu eksis jika bisa dijangkau indra dan imajinasi (khayal). Karenanya, jika fisikalitas Tuhan itu langsung ditolak, maka Tuhan akan didefinisikan sebagai eksistensi yang melampaui indra dan imajinasi, hingga akibatnya, kalangan awam niscaya akan mengingkari eksistensi-Nya demikian.</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Dalam pandangan lbnu Rusyd, para teolog (Mutakallim) yang menakwil ayat seperti ’Tuhan bersemayam di singgasana’ dan mengeksposnya ke kalangan awam adalah pihak yang dikecam Alquran sebagai pengikut ayat-ayat Mutasyabihat.“</w:t>
      </w:r>
      <w:r>
        <w:rPr>
          <w:rStyle w:val="FootnoteAnchor"/>
        </w:rPr>
        <w:footnoteReference w:id="248"/>
      </w:r>
      <w:r>
        <w:rPr>
          <w:rFonts w:eastAsia="Times New Roman" w:cs="Times New Roman" w:ascii="Times New Roman" w:hAnsi="Times New Roman"/>
          <w:color w:val="111111"/>
          <w:sz w:val="28"/>
          <w:szCs w:val="28"/>
          <w:lang w:val="en-US"/>
        </w:rPr>
        <w:t>Takwil semacam ini tidak didasari argumentasi logis (burhani) yang kuat sehingga tak akan pernah memuaskan para filosof, kaum arif, tidak juga bermanfaat bagi khalayak luas yang hanya diwajibkan mengikuti makna harfiahnya. Dalam hal ini, mengikuti makna harfiah teks suci dan menjauh dari takwil akan lebih membantu kaum awam mencapai tujuan utama keberagamaannya, yakni terbangunnya semangat beramal.</w:t>
      </w:r>
      <w:r>
        <w:rPr>
          <w:rStyle w:val="FootnoteAnchor"/>
        </w:rPr>
        <w:footnoteReference w:id="249"/>
      </w:r>
    </w:p>
    <w:p>
      <w:pPr>
        <w:pStyle w:val="Heading4"/>
        <w:numPr>
          <w:ilvl w:val="3"/>
          <w:numId w:val="1"/>
        </w:numPr>
        <w:bidi w:val="0"/>
        <w:jc w:val="left"/>
        <w:rPr/>
      </w:pPr>
      <w:bookmarkStart w:id="230" w:name="__RefHeading___Toc1351212_581953129"/>
      <w:bookmarkStart w:id="231" w:name="_Toc85"/>
      <w:bookmarkEnd w:id="230"/>
      <w:r>
        <w:rPr/>
        <w:t>Averroisme Barat dan Dualisme Kebenaran</w:t>
      </w:r>
      <w:bookmarkEnd w:id="23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Abad Pertengahan, khususnya abad XIII, terjadi gesekan pemikiran di benua Eropa antara kaum rasionalis Rusydian (Averrois) dengan kalangan fideis Kristen. Kalangan Rusydian mengusung doktrin ’dualisme kebenaran’. Sejurnlah pemikir yang meneliti gagasan filosof Muslim ini menganggap doktrin ini tidak berasal dari Ibnu Rusyd; tetapi dari para pengikutnya di dataran Eropa </w:t>
      </w:r>
    </w:p>
    <w:p>
      <w:pPr>
        <w:pStyle w:val="BookText"/>
        <w:bidi w:val="0"/>
        <w:rPr/>
      </w:pPr>
      <w:r>
        <w:rPr>
          <w:rFonts w:eastAsia="Times New Roman" w:cs="Times New Roman" w:ascii="Times New Roman" w:hAnsi="Times New Roman"/>
          <w:color w:val="111111"/>
          <w:sz w:val="28"/>
          <w:szCs w:val="28"/>
          <w:lang w:val="en-US"/>
        </w:rPr>
        <w:t>(Latin).</w:t>
      </w:r>
      <w:r>
        <w:rPr>
          <w:rStyle w:val="FootnoteAnchor"/>
        </w:rPr>
        <w:footnoteReference w:id="250"/>
      </w:r>
      <w:r>
        <w:rPr>
          <w:rFonts w:eastAsia="Times New Roman" w:cs="Times New Roman" w:ascii="Times New Roman" w:hAnsi="Times New Roman"/>
          <w:color w:val="111111"/>
          <w:sz w:val="28"/>
          <w:szCs w:val="28"/>
          <w:lang w:val="en-US"/>
        </w:rPr>
        <w:t>Dalam adi-karyanya, The History of Civiliza tion, Will Durant menuliskan:</w:t>
      </w:r>
    </w:p>
    <w:p>
      <w:pPr>
        <w:pStyle w:val="BookText"/>
        <w:bidi w:val="0"/>
        <w:jc w:val="both"/>
        <w:rPr/>
      </w:pPr>
      <w:r>
        <w:rPr>
          <w:rFonts w:eastAsia="Times New Roman" w:cs="Times New Roman" w:ascii="Times New Roman" w:hAnsi="Times New Roman"/>
          <w:color w:val="111111"/>
          <w:sz w:val="28"/>
          <w:szCs w:val="28"/>
          <w:lang w:val="en-US"/>
        </w:rPr>
        <w:t>Demi memuaskan hati kalangan petinggi gereja inkuisisi, sebagian pendukung gagasan Ibnu Rusyd (Averroisme) terpaksa mengusung doktrin dualisme kebenaran. Dalam arti, boleh jacli sebuah proposisi valid berdasarkan kaidah-kaidah filsafat dan proses nalar alamiah, namun invalid menurut kitab suci dan ajaran Almasih. Dalam kondisi ini, mereka mengklaim bahwa, berdasarkan hukum iman, mereka meyakini keberadaan sesuatu yang, berdasarkan hukum akal, sekaligus mereka meragukan.</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Walaupun, paling tidak, sebagian dari pandangan yang dinisbatkan kepada kaum Averrois adalah dampak kesalahpahaman kalangan kritikus, namun itu saja sudah membentuk rasionalisme radikal dan absolut hingga mengakibatkan cukup banyak ajaran agama yang diingkari. Pihak hierarki gereja lalu mengeluarkan beragam keputusan yang berisi daftar sejumlah keyakinan yang diklaim sudah menyimpang. Karenanya, mengimani semua itu dianggap kekafiran. Pada 1269 dan 1277, uskup agung Paris mengumumkan daftar keyakinan itu demikian:</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 pemah ada eksistensi sebagai manusia pertama; Ruh akan rusak dengan rusaknya badan; Tuhan tidak mengetahui berbagai peristiwa, satu demi satu; Kehendak Tuhan tidak berkuasa atas perbuatan manusia; Penciptaan itu tidak mungkin, karena sekali mati, benda langsung hancur dan tak mampu lagi bangkit dari bumi sediakala; Filosof tidak boleh meyakini hari Kebangkitan, karena akal tidak mengakui kebenarannya; </w:t>
      </w:r>
      <w:bookmarkStart w:id="232" w:name="pg5378_50608"/>
    </w:p>
    <w:p>
      <w:pPr>
        <w:pStyle w:val="BookText"/>
        <w:bidi w:val="0"/>
        <w:rPr/>
      </w:pPr>
      <w:bookmarkEnd w:id="232"/>
      <w:r>
        <w:rPr>
          <w:rFonts w:eastAsia="Times New Roman" w:cs="Times New Roman" w:ascii="Times New Roman" w:hAnsi="Times New Roman"/>
          <w:color w:val="111111"/>
          <w:sz w:val="28"/>
          <w:szCs w:val="28"/>
          <w:lang w:val="en-US"/>
        </w:rPr>
        <w:t>Kebahagiaan dapat diperoleh di dunia ini, bukan di akhirat; Orang-orang berakal di dunia ini hanyalah kaum filosof saja.</w:t>
      </w:r>
      <w:r>
        <w:rPr>
          <w:rStyle w:val="FootnoteAnchor"/>
        </w:rPr>
        <w:footnoteReference w:id="252"/>
      </w:r>
    </w:p>
    <w:p>
      <w:pPr>
        <w:pStyle w:val="Heading4"/>
        <w:numPr>
          <w:ilvl w:val="3"/>
          <w:numId w:val="1"/>
        </w:numPr>
        <w:bidi w:val="0"/>
        <w:jc w:val="left"/>
        <w:rPr/>
      </w:pPr>
      <w:bookmarkStart w:id="233" w:name="__RefHeading___Toc1351214_581953129"/>
      <w:bookmarkStart w:id="234" w:name="_Toc86"/>
      <w:bookmarkEnd w:id="233"/>
      <w:r>
        <w:rPr/>
        <w:t>Kesimpulan</w:t>
      </w:r>
      <w:bookmarkEnd w:id="234"/>
    </w:p>
    <w:p>
      <w:pPr>
        <w:pStyle w:val="BookText"/>
        <w:bidi w:val="0"/>
        <w:jc w:val="both"/>
        <w:rPr/>
      </w:pPr>
      <w:r>
        <w:rPr>
          <w:rFonts w:eastAsia="Times New Roman" w:cs="Times New Roman" w:ascii="Times New Roman" w:hAnsi="Times New Roman"/>
          <w:color w:val="111111"/>
          <w:sz w:val="28"/>
          <w:szCs w:val="28"/>
          <w:lang w:val="en-US"/>
        </w:rPr>
        <w:t>Dari pemeriksaan terhadap karya—karya Ibnu Rusyd, dapat disimpulkan bahwa pandangan otentik ﬁlosof Muslim ini jauh berbeda dengan yang dinisbatkan oleh sebagian pihak. Akibatnya, ia diperlakukan secara tidak adil, sampai-sampai dituding sebagai penulis karya ”Tiga Sosok Culas” yang, di dalamnya, tiga nabi besar (Musa as, Isa as, dan Muhammad Saw) diklaim sebagai para penipu.</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Berkenaan dengan pandangannya seputar ’relasi akal dan wahyu’, Ibnu Rusyd mengklasifikasi individu dalam dua kategori; filosof (pengguna argumentasi akal) dan awam (pengguna dialektika dan retorika). Adapun metodologi yang dianjurkan agar digunakan khalayak luas adalah literalisme ekstrim. Menurut Ibnu Rusyd, jika kaum awam dibiarkan dengan kondisi normalnya, niscaya dalam banyak hal mereka ridak akan memahami pertentangan akal dan wahyu sehingga tidak disibukkan mencari solusinya. Lain halnya jika menyadari pertentangan lahiriah itu, maka gelinjang hasrat kritis mereka harus diredam. Caranya, mereka diberi pemahaman bahwa dengan dalil apa pun, persoalan ini hanya menghasilkan ambiguitas dan paradoksi (tasyribuh); sementara hanya Tuhan yang tahu takwilnya. Adapun tugas filosof adalah mengatasi paradoksi itu dengan cara menakwil proposisi agama sedemikian rupa agar relevan dengan argumen rasional.</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Barangkali klasifikasi inilah yang memicu kemunculan ’dualisme kebenaran’. Kaum Averrois Barat menganggap filosof Andalusia ini menyatakan bahwa hikmah (filsafat) dan agama memiliki domain yang berbeda, dan hakikat kebenaran versi masing-masing punya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tolok ukur yang juga beda. Dalam domain agama, metode yang digunakan adalah metode literal yang berlandaskan ayat dan riwayat. Ini dianggap proporsional, tanpa perlu dipersoalkan apa dan bagaimananya secara rasional. Sementara dalam domain hikmah, akal menjadi tulang punggung. Ketidaksesuaiannya dengan ajaran agama tidak lantas merusak sedikit pun hakikat kebenarannya. Persepsi tentang pandangan Ibnu Rusyd ini jelas tidak berdasar. Bila agama dan hikmah memiliki domain yang berbeda, juga tak punya objek dan kebenaran yang identik untuk dibicarakan, lantas mengapa Ibnu Rusyd sendiri begitu sibuk memperlihatkan keselarasan keduanya? Motivasinya kepada masyarakat umum untuk menggunakan metode literal bukan dalam rangka supaya makna harfiah itu—sekalipun bertentangan dengan argumentasi akal- senantiasa selaras dengan hakikat kebenaran, tetapi hanya karena sesuai dengan kepentingan masyarakat awam, yaitu membangkitkan semangat beramal; bukan memuaskan dahaga intelektual mereka.</w:t>
      </w:r>
      <w:r>
        <w:rPr>
          <w:rStyle w:val="FootnoteAnchor"/>
        </w:rPr>
        <w:footnoteReference w:id="254"/>
      </w:r>
      <w:r>
        <w:rPr>
          <w:rFonts w:eastAsia="Times New Roman" w:cs="Times New Roman" w:ascii="Times New Roman" w:hAnsi="Times New Roman"/>
          <w:color w:val="111111"/>
          <w:sz w:val="28"/>
          <w:szCs w:val="28"/>
          <w:lang w:val="en-US"/>
        </w:rPr>
        <w:t xml:space="preserve">Sebagaimana telah disinggung, inilah klasifikasi yang menyebabkan munculnya doktrin ’dualisme kebenaran’ yang diklaim sumbernya dari karya-karya Ibnu Rusyd. Terdapat kemungkinan lain yang layak dikemukakan. Ibnu Rusyd dididik dalam lingkungan Islam serta cukup intensif mengakses ayat dan hadis sahih Nabi. Maka dari itu, dia tidak menemukan konﬂik serius antara akal dan ajaran agama. Namun, tatkala pemikiran ini dipelajari para pemikir Nasrani — sementara persepsi mereka tentang agama sebatas Kristen, belum lagi mereka menjumpai sekian ajaran prinsipalnya yang antiakal—hanya akan tersedia dua opsi bagi mereka: mengingkari agama, atau memisahkan domain agama dari filsafat. Umumnya mereka memilih opsi kedua yang, karenanya, melahirkan dokrtin ’dualisme kebenaran’.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Di atas semua itu, faktor penyebab kaum agamawan menolak pandangan Ibnu Rusyd ialah sikapnya memprioritaskan argumentasi akal di atas dalil syariat (agama). Ibnu Rusyd menyerukan agar menakwil dalil syariat seputar masalah-masalah kontradiktif sampai sebangun dengan argumentasi filsafat. Adalah penilaian sepihak jika seruan ini dianggap mendorong munculnya anggapan bahwa akal dan ﬁlsafat lebih superior di atas wahyu dan agama. Memang, dalam konteks definisi, ﬁlsafat merupakan ilmu yang dalil—dalilnya berbasis di atas demonstrasi (burhan) akal, sehingga tak diragukan lagi kredibilitas [hukum-hukumnya]. Namun, semata-mata asumsi bila apa saja yang telah dilakukan dan terjadi di alam luar ini dianggap tak pemah sedikit pun melanggar deﬁnisi tersebut.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35" w:name="pg5378_50616"/>
      <w:bookmarkStart w:id="236" w:name="pg5378_50616"/>
      <w:bookmarkEnd w:id="236"/>
    </w:p>
    <w:p>
      <w:pPr>
        <w:pStyle w:val="Heading2"/>
        <w:numPr>
          <w:ilvl w:val="1"/>
          <w:numId w:val="1"/>
        </w:numPr>
        <w:bidi w:val="0"/>
        <w:jc w:val="left"/>
        <w:rPr/>
      </w:pPr>
      <w:bookmarkStart w:id="237" w:name="pg5378_50616"/>
      <w:bookmarkStart w:id="238" w:name="__RefHeading___Toc1351216_581953129"/>
      <w:bookmarkStart w:id="239" w:name="_Toc87"/>
      <w:bookmarkEnd w:id="237"/>
      <w:bookmarkEnd w:id="238"/>
      <w:r>
        <w:rPr/>
        <w:t>BAB 5 LITERALISME AHLI SUNAH</w:t>
      </w:r>
      <w:bookmarkEnd w:id="23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40" w:name="__RefHeading___Toc1351218_581953129"/>
      <w:bookmarkStart w:id="241" w:name="_Toc88"/>
      <w:bookmarkEnd w:id="240"/>
      <w:r>
        <w:rPr/>
        <w:t>Point</w:t>
      </w:r>
      <w:bookmarkStart w:id="242" w:name="pg5378_50617"/>
      <w:bookmarkEnd w:id="241"/>
    </w:p>
    <w:p>
      <w:pPr>
        <w:pStyle w:val="BookText"/>
        <w:bidi w:val="0"/>
        <w:rPr/>
      </w:pPr>
      <w:bookmarkEnd w:id="242"/>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Literalisme merupakan mazhab pemikiran yang memposisikan teks dan makna harfiah Alquran dan Sunah sebagai satu satunya rujukan serta sumber pengetahuan agama. Perspektif keberagamaan ini meliputi berbagai pihak (individu dan kelompok) yang semuanya punya kekhasan yang sama, yaitu mengabaikan argumentasi akal.</w:t>
      </w:r>
    </w:p>
    <w:p>
      <w:pPr>
        <w:pStyle w:val="BookText"/>
        <w:bidi w:val="0"/>
        <w:jc w:val="both"/>
        <w:rPr/>
      </w:pPr>
      <w:r>
        <w:rPr>
          <w:rFonts w:eastAsia="Times New Roman" w:cs="Times New Roman" w:ascii="Times New Roman" w:hAnsi="Times New Roman"/>
          <w:color w:val="111111"/>
          <w:sz w:val="28"/>
          <w:szCs w:val="28"/>
          <w:lang w:val="en-US"/>
        </w:rPr>
        <w:t>Menurut kaum literalis, rasionalisme hanya berguna bila pandangannya selaras atau relevan dengan pandangan kalangan pemimpin agama. Saat itulah akal harus menjadi pelayan syariat serta mencarikan bukti harfiah ayat dan riwayat. Walaupun penolakan terhadap posisi akal tak seradikal itu, namun sebagian dari mereka tetap berasumsi bahwa asas-asas keagamaan tidak bertumpu pada rasionalisme. Alhasil, kendati demikian, banyak kaum literal berusaha membela ajaran agamanya lewat argumentasi akal. Namun, mereka yakin akal atau rasio yang dimanfaatkan untuk memahami dimensi permukaan teks suci (ayat dan riwayat) dengan cara lebih mendalam dan luas, serta menguak relasi—relasi harfiah seraya menggali intisari agama yang terpendam, tidak menghasilkan selain dugaan semata.</w:t>
      </w:r>
    </w:p>
    <w:p>
      <w:pPr>
        <w:pStyle w:val="BookText"/>
        <w:bidi w:val="0"/>
        <w:jc w:val="both"/>
        <w:rPr/>
      </w:pPr>
      <w:r>
        <w:rPr>
          <w:rFonts w:eastAsia="Times New Roman" w:cs="Times New Roman" w:ascii="Times New Roman" w:hAnsi="Times New Roman"/>
          <w:color w:val="111111"/>
          <w:sz w:val="28"/>
          <w:szCs w:val="28"/>
          <w:lang w:val="en-US"/>
        </w:rPr>
        <w:t>Semenjak fajar Islam, sudah muncul sejumlah figur dan kelompok religius yang sangat kaku memperlakukan teks Alquran dan hadis Rasul Saw serta berusaha menanggalkan argumentasi akal. Lambat laun fenomena ini menjadi zeitgeist (semangat zaman) yang memunculkan sejumlah mazhab yang antirasionalisme seperti: Khawarij, Agnostisisme (mu'aththiilah), Antropomorfisme (musyabbihah), Hanbalisme, dan Zhahiriyah. Dalam bab ini, akan diulas sejumlah mazhab dalam tubuh Ahli Sunah yang memiliki kecenderungan literalistik.</w:t>
      </w:r>
    </w:p>
    <w:p>
      <w:pPr>
        <w:pStyle w:val="Heading3"/>
        <w:numPr>
          <w:ilvl w:val="2"/>
          <w:numId w:val="1"/>
        </w:numPr>
        <w:bidi w:val="0"/>
        <w:jc w:val="left"/>
        <w:rPr/>
      </w:pPr>
      <w:bookmarkStart w:id="243" w:name="__RefHeading___Toc1351220_581953129"/>
      <w:bookmarkStart w:id="244" w:name="_Toc89"/>
      <w:bookmarkEnd w:id="243"/>
      <w:r>
        <w:rPr/>
        <w:t>Ahli Hadis, Pelopor Literalisme</w:t>
      </w:r>
      <w:bookmarkEnd w:id="244"/>
    </w:p>
    <w:p>
      <w:pPr>
        <w:pStyle w:val="Heading4"/>
        <w:numPr>
          <w:ilvl w:val="3"/>
          <w:numId w:val="1"/>
        </w:numPr>
        <w:bidi w:val="0"/>
        <w:jc w:val="left"/>
        <w:rPr/>
      </w:pPr>
      <w:bookmarkStart w:id="245" w:name="__RefHeading___Toc1351222_581953129"/>
      <w:bookmarkStart w:id="246" w:name="_Toc90"/>
      <w:bookmarkEnd w:id="245"/>
      <w:r>
        <w:rPr/>
        <w:t>Point</w:t>
      </w:r>
      <w:bookmarkEnd w:id="24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Pasca wafat Rasulullah Saw, kalangan Ahli Sunah menyaksikan kemunculan sejumlah pemikir yang jadi rujukan masyarakat dalam </w:t>
      </w:r>
    </w:p>
    <w:p>
      <w:pPr>
        <w:pStyle w:val="BookText"/>
        <w:bidi w:val="0"/>
        <w:rPr/>
      </w:pPr>
      <w:r>
        <w:rPr>
          <w:rFonts w:eastAsia="Times New Roman" w:cs="Times New Roman" w:ascii="Times New Roman" w:hAnsi="Times New Roman"/>
          <w:color w:val="111111"/>
          <w:sz w:val="28"/>
          <w:szCs w:val="28"/>
          <w:lang w:val="en-US"/>
        </w:rPr>
        <w:t>Literalisme Ahli Sunah</w:t>
      </w:r>
    </w:p>
    <w:p>
      <w:pPr>
        <w:pStyle w:val="BookText"/>
        <w:bidi w:val="0"/>
        <w:jc w:val="both"/>
        <w:rPr/>
      </w:pPr>
      <w:r>
        <w:rPr>
          <w:rFonts w:eastAsia="Times New Roman" w:cs="Times New Roman" w:ascii="Times New Roman" w:hAnsi="Times New Roman"/>
          <w:color w:val="111111"/>
          <w:sz w:val="28"/>
          <w:szCs w:val="28"/>
          <w:lang w:val="en-US"/>
        </w:rPr>
        <w:t>masalah pengetahuan Alquran dan Sunah. Kala itu, mereka menyediakan berbagai keperluan masyarakat sekaitan dengan agama yang rata-rata berkisar pada hukum fikih. Dari segi metodologi penyimpulan hukum dari sumber agama, mereka terbagi ke dalam dua kelompok besar.</w:t>
      </w:r>
    </w:p>
    <w:p>
      <w:pPr>
        <w:pStyle w:val="BookText"/>
        <w:bidi w:val="0"/>
        <w:jc w:val="both"/>
        <w:rPr/>
      </w:pPr>
      <w:r>
        <w:rPr>
          <w:rFonts w:eastAsia="Times New Roman" w:cs="Times New Roman" w:ascii="Times New Roman" w:hAnsi="Times New Roman"/>
          <w:color w:val="111111"/>
          <w:sz w:val="28"/>
          <w:szCs w:val="28"/>
          <w:lang w:val="en-US"/>
        </w:rPr>
        <w:t xml:space="preserve">Kelompok pertama terdiri dari tokoh-tokoh Ahli Sunah yang membatasi metodologinya tidak melampaui teks riwayat. Di antara mereka, Malik bin Anas (93-179 H), Muhammad bin Idris Syafi’i (150-204 H), Sufyan Tsauri (w. 161 H), Ahmad bin Hanbal (161-241 H), dan Dawud bin Ali Isfahani (200-270 H). Mereka menolak keras segala usaha mengakomodasi setiap hal yang berhubungan dengan pengetahuan dan pemahaman manusia ke dalam agama, apa pun itu namanya. Umpamanya, menolak segala jenis Qiyas </w:t>
      </w:r>
      <w:r>
        <w:rPr>
          <w:rStyle w:val="FootnoteAnchor"/>
        </w:rPr>
        <w:footnoteReference w:id="255"/>
      </w:r>
      <w:r>
        <w:rPr>
          <w:rFonts w:eastAsia="Times New Roman" w:cs="Times New Roman" w:ascii="Times New Roman" w:hAnsi="Times New Roman"/>
          <w:color w:val="111111"/>
          <w:sz w:val="28"/>
          <w:szCs w:val="28"/>
          <w:lang w:val="en-US"/>
        </w:rPr>
        <w:t>yang dianggap sebagai bentuk intervensi akal yang tidak proporsional dalam wilayah agama Tuhan</w:t>
      </w:r>
      <w:r>
        <w:rPr>
          <w:rStyle w:val="FootnoteAnchor"/>
        </w:rPr>
        <w:footnoteReference w:id="256"/>
      </w:r>
      <w:r>
        <w:rPr>
          <w:rFonts w:eastAsia="Times New Roman" w:cs="Times New Roman" w:ascii="Times New Roman" w:hAnsi="Times New Roman"/>
          <w:color w:val="111111"/>
          <w:sz w:val="28"/>
          <w:szCs w:val="28"/>
          <w:lang w:val="en-US"/>
        </w:rPr>
        <w:t xml:space="preserve">Mereka inilah yang lalu menyebut dirinya sebagai Ahli Hadis (ashhrib al—hadis) dengan warga Hijaz sebagai mayoritas pengusungnya. </w:t>
      </w:r>
      <w:r>
        <w:rPr>
          <w:rStyle w:val="FootnoteAnchor"/>
        </w:rPr>
        <w:footnoteReference w:id="25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kelompok kedua, selain Alquran dan Sunah, juga berpegang pada qiyas, bahkan mereka lebih memprioritaskannya ketimbang hadis lemah (dho’if). Figur terkemuka kelompok ini adalah Abu Hanifah (80-150 H) yang sangat aktif berkiprah di wilayah Irak. Kelompok ini umum dikenal sebagai As-Sahb Ar-Ra'y </w:t>
      </w:r>
      <w:r>
        <w:rPr>
          <w:rStyle w:val="FootnoteAnchor"/>
        </w:rPr>
        <w:footnoteReference w:id="258"/>
      </w:r>
    </w:p>
    <w:p>
      <w:pPr>
        <w:pStyle w:val="BookText"/>
        <w:bidi w:val="0"/>
        <w:rPr/>
      </w:pPr>
      <w:r>
        <w:rPr>
          <w:rFonts w:eastAsia="Times New Roman" w:cs="Times New Roman" w:ascii="Times New Roman" w:hAnsi="Times New Roman"/>
          <w:color w:val="111111"/>
          <w:sz w:val="28"/>
          <w:szCs w:val="28"/>
          <w:lang w:val="en-US"/>
        </w:rPr>
        <w:t>Sebagian Ahli Hadis menganggap perhatian khusus terhadap hadis sama artinya dengan mengabaikan akal. Akibatnya, mereka pun terjerumus dalam Literalisme Radikal. Saat mendengar kata "hadis”, mereka segera mengamini, tanpa merasa perlu memperhatikan validitas sanadnya. Kalangan yang menerima hadis-hadis tanpa dasar ini biasa disebut hasywiyyah. Dengan menganclalkan metode literal di ranah keyakinan agama dan sifat-sifat llahi, mereka pun akhirnya menyimpang jauh. Tanpa tedeng aling-aling, mereka menetapkan fisikalitas Tuhan: bahwa berkat keikhlasan melalui penghambaan kepada Allah Swt, seorang Muslim dapat meraih kedudukan tinggi di sisi Allah serta berjumpa dan berkesempatan mencium tangan-Nya.</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Kebanyakan Ahli Hadis kuatir terjerumus gejala antropomorfistik: Tasybih ’penyerupaan' [Tuhan dan sifat-sifatnya dengan makhluk], dan tajsum ’penjasadan' [Tuhan sebagaimana tubuh fisikal makhluk]. Namun, mereka tidak menemukan altematif selain menyerahkan sepenuhnya pemaknaan sifat (Tuhan) kepada Tuhan itu sendiri. Sebagai contoh, Malik bin Anas pernah ditanya tentang Bersenmyamnya Allah di ’arasy. Setelah sejenak tertunduk, dengan wajah berkeringat dia lantas menjawab:</w:t>
      </w:r>
    </w:p>
    <w:p>
      <w:pPr>
        <w:pStyle w:val="BookText"/>
        <w:bidi w:val="0"/>
        <w:jc w:val="both"/>
        <w:rPr/>
      </w:pPr>
      <w:r>
        <w:rPr>
          <w:rFonts w:eastAsia="Times New Roman" w:cs="Times New Roman" w:ascii="Times New Roman" w:hAnsi="Times New Roman"/>
          <w:color w:val="111111"/>
          <w:sz w:val="28"/>
          <w:szCs w:val="28"/>
          <w:lang w:val="en-US"/>
        </w:rPr>
        <w:t>Makna ’bersemayam’ itu jelas, hanya bentuknya tidak diketahui,</w:t>
      </w:r>
    </w:p>
    <w:p>
      <w:pPr>
        <w:pStyle w:val="BookText"/>
        <w:bidi w:val="0"/>
        <w:jc w:val="both"/>
        <w:rPr/>
      </w:pPr>
      <w:r>
        <w:rPr>
          <w:rFonts w:eastAsia="Times New Roman" w:cs="Times New Roman" w:ascii="Times New Roman" w:hAnsi="Times New Roman"/>
          <w:color w:val="111111"/>
          <w:sz w:val="28"/>
          <w:szCs w:val="28"/>
          <w:lang w:val="en-US"/>
        </w:rPr>
        <w:t>namun mengimaninya wajib, dan bertanya tentangnya adalah bid’ah.</w:t>
      </w:r>
      <w:r>
        <w:rPr>
          <w:rStyle w:val="FootnoteAnchor"/>
        </w:rPr>
        <w:footnoteReference w:id="26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Manakala diajukan ayat-ayat seperti: Tangan Allah di atas tangan-tangan mereka, di satu sisi, kalangan ini menghadapi dilema antara memaknai ’tangan' secara harfiah atau memahaminya sebagai ’kekuasaan'. Cara terakhir ini jelas tidak lazim dilakukan. Namun di sisi lain, mereka juga sangat melarang menyamakan Tuhan dengan </w:t>
      </w:r>
      <w:bookmarkStart w:id="247" w:name="pg5378_50623"/>
    </w:p>
    <w:p>
      <w:pPr>
        <w:pStyle w:val="BookText"/>
        <w:bidi w:val="0"/>
        <w:rPr/>
      </w:pPr>
      <w:bookmarkEnd w:id="247"/>
      <w:r>
        <w:rPr>
          <w:rFonts w:eastAsia="Times New Roman" w:cs="Times New Roman" w:ascii="Times New Roman" w:hAnsi="Times New Roman"/>
          <w:color w:val="111111"/>
          <w:sz w:val="28"/>
          <w:szCs w:val="28"/>
          <w:lang w:val="en-US"/>
        </w:rPr>
        <w:t>apa pun. Sampai-sampai beberapa di antara mereka, demi mengelak dari ’penyerupaan’ (tasybih) Tuhan, tidak memperkenankan kata yad (tangan) diterjemahkan ke dalam bahasa lain. Bahkan mereka yakin, bila seseorang membaca ayat ini sambil menggoyang—goyang tangannya, maka tangan itu harus dipotong.</w:t>
      </w:r>
      <w:r>
        <w:rPr>
          <w:rStyle w:val="FootnoteAnchor"/>
        </w:rPr>
        <w:footnoteReference w:id="261"/>
      </w:r>
    </w:p>
    <w:p>
      <w:pPr>
        <w:pStyle w:val="Heading4"/>
        <w:numPr>
          <w:ilvl w:val="3"/>
          <w:numId w:val="1"/>
        </w:numPr>
        <w:bidi w:val="0"/>
        <w:jc w:val="left"/>
        <w:rPr/>
      </w:pPr>
      <w:bookmarkStart w:id="248" w:name="__RefHeading___Toc1351224_581953129"/>
      <w:bookmarkStart w:id="249" w:name="_Toc91"/>
      <w:bookmarkEnd w:id="248"/>
      <w:r>
        <w:rPr/>
        <w:t>Mengecam Teologi</w:t>
      </w:r>
      <w:bookmarkEnd w:id="249"/>
    </w:p>
    <w:p>
      <w:pPr>
        <w:pStyle w:val="BookText"/>
        <w:bidi w:val="0"/>
        <w:jc w:val="both"/>
        <w:rPr/>
      </w:pPr>
      <w:r>
        <w:rPr>
          <w:rFonts w:eastAsia="Times New Roman" w:cs="Times New Roman" w:ascii="Times New Roman" w:hAnsi="Times New Roman"/>
          <w:color w:val="111111"/>
          <w:sz w:val="28"/>
          <w:szCs w:val="28"/>
          <w:lang w:val="en-US"/>
        </w:rPr>
        <w:t>Satu bentuk penentangan Ahli Hadis yang menyasar kajian-kajian akal dalam konteks pengajaran agama adalah mengecam teologi (ilmu kalam). Syafi'i, misalnya, menganggap dialog teologis lebih buruk dari semua dosa selain syirik. Adapun jenis hukuman yang layak bagi kaum teolog, menurutnya:</w:t>
      </w:r>
    </w:p>
    <w:p>
      <w:pPr>
        <w:pStyle w:val="BookText"/>
        <w:bidi w:val="0"/>
        <w:jc w:val="both"/>
        <w:rPr/>
      </w:pPr>
      <w:r>
        <w:rPr>
          <w:rFonts w:eastAsia="Times New Roman" w:cs="Times New Roman" w:ascii="Times New Roman" w:hAnsi="Times New Roman"/>
          <w:color w:val="111111"/>
          <w:sz w:val="28"/>
          <w:szCs w:val="28"/>
          <w:lang w:val="en-US"/>
        </w:rPr>
        <w:t>Mereka harus dicambuk dan diarak ke hadapan semua warga dan kabilah seraya diserukan, 'lnilah balasan bagi orang yang telah melalaikan Alquran dan Sunah dan mementingkan teologi.</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Vonis ini berlaku sepanjang sejarah. Sejumlah kitab dan karya tulis ringkas disusun untuk mendeskripsikan penentangan tersebut. Bahkan lmam Haramain Juwaini (419—478 H), pakar teologi mazhab Asy’ariyah, konon di akhir hayatnya "bertobat” dan kembali pada hadis Nabi seraya menunjukkan penyesalannya mempelajari teologi. Demikian ia menuturkan:</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menuntut realitas dan lari dari taklid, aku mencarinya di samudera pengetahuan Islam yang luas dan dalam. Aku telah menyelami banyak daerah terlarang. Namun sekarang aku telah meninggalkan semua itu. Sekarang aku menghadapkan wajahku pada seruan kebenaran 'berpeganglah pada agama kaum perempuan tua!’, yang dengannya Allah merahmatiku. Aku akan </w:t>
      </w:r>
    </w:p>
    <w:p>
      <w:pPr>
        <w:pStyle w:val="BookText"/>
        <w:bidi w:val="0"/>
        <w:rPr/>
      </w:pPr>
      <w:r>
        <w:rPr>
          <w:rFonts w:eastAsia="Times New Roman" w:cs="Times New Roman" w:ascii="Times New Roman" w:hAnsi="Times New Roman"/>
          <w:color w:val="111111"/>
          <w:sz w:val="28"/>
          <w:szCs w:val="28"/>
          <w:lang w:val="en-US"/>
        </w:rPr>
        <w:t>mati dengan memeluk agama kaum wanita tua itu.</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Seperti tokoh-tokoh Ahli Hadis lain, Ahmad bin Hanbal juga mengecam teologi. Para pengikutnya dilarang duduk bersama kaum teolog. Dia menganggap kaum teolog tidak mampu mengecap apa dan bagaimana kebahagiaan ukhrawi. Sikapnya yang ekstrim sampai-sampai membuatnya memandang sahabat lamanya, Haris Muhasibi yang tekun menggeluti kajian rasional dan teologi, sebagai musuh.</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Kendati demikian, dalam kesehariannya, adakalanya Ahmad bin Hanbal terpaksa menggunakan argumentasi rasional demi membendung arus serangan penentangnya.</w:t>
      </w:r>
      <w:r>
        <w:rPr>
          <w:rStyle w:val="FootnoteAnchor"/>
        </w:rPr>
        <w:footnoteReference w:id="265"/>
      </w:r>
      <w:r>
        <w:rPr>
          <w:rFonts w:eastAsia="Times New Roman" w:cs="Times New Roman" w:ascii="Times New Roman" w:hAnsi="Times New Roman"/>
          <w:color w:val="111111"/>
          <w:sz w:val="28"/>
          <w:szCs w:val="28"/>
          <w:lang w:val="en-US"/>
        </w:rPr>
        <w:t>Contoh konkret dari gejala ini dapat ditemukan dalam karyanya, AL-Radd Ala Al-Jahmiyah wa Al-Zanaadiqah (Kritik atas Jahmiyah dan Zindiq).</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Untuk lebih jelas lagi, ada baiknya menyimak perdebatan Ahmad bin Hanbal (ABH) dengan lbnu Abi Dawud (IAD) sekaitan dengan isu ’Alquran sebagai makhluk’.</w:t>
      </w:r>
    </w:p>
    <w:p>
      <w:pPr>
        <w:pStyle w:val="BookText"/>
        <w:bidi w:val="0"/>
        <w:jc w:val="both"/>
        <w:rPr/>
      </w:pPr>
      <w:r>
        <w:rPr>
          <w:rFonts w:eastAsia="Times New Roman" w:cs="Times New Roman" w:ascii="Times New Roman" w:hAnsi="Times New Roman"/>
          <w:color w:val="111111"/>
          <w:sz w:val="28"/>
          <w:szCs w:val="28"/>
          <w:lang w:val="en-US"/>
        </w:rPr>
        <w:t>IAD: Apakah Allah juga mampu berbicara kepada Nabi Muhammad Saw, sebagaimana Dia berbicara kepada Musa as?</w:t>
      </w:r>
    </w:p>
    <w:p>
      <w:pPr>
        <w:pStyle w:val="BookText"/>
        <w:bidi w:val="0"/>
        <w:jc w:val="both"/>
        <w:rPr/>
      </w:pPr>
      <w:r>
        <w:rPr>
          <w:rFonts w:eastAsia="Times New Roman" w:cs="Times New Roman" w:ascii="Times New Roman" w:hAnsi="Times New Roman"/>
          <w:color w:val="111111"/>
          <w:sz w:val="28"/>
          <w:szCs w:val="28"/>
          <w:lang w:val="en-US"/>
        </w:rPr>
        <w:t>ABH: Ya!</w:t>
      </w:r>
    </w:p>
    <w:p>
      <w:pPr>
        <w:pStyle w:val="BookText"/>
        <w:bidi w:val="0"/>
        <w:jc w:val="both"/>
        <w:rPr/>
      </w:pPr>
      <w:r>
        <w:rPr>
          <w:rFonts w:eastAsia="Times New Roman" w:cs="Times New Roman" w:ascii="Times New Roman" w:hAnsi="Times New Roman"/>
          <w:color w:val="111111"/>
          <w:sz w:val="28"/>
          <w:szCs w:val="28"/>
          <w:lang w:val="en-US"/>
        </w:rPr>
        <w:t>IAD: Kalau begitu, bukankah ini meniscayakan kalam Tuhan pemah tidak ada kemudian jadi ada?</w:t>
      </w:r>
    </w:p>
    <w:p>
      <w:pPr>
        <w:pStyle w:val="BookText"/>
        <w:bidi w:val="0"/>
        <w:jc w:val="both"/>
        <w:rPr/>
      </w:pPr>
      <w:r>
        <w:rPr>
          <w:rFonts w:eastAsia="Times New Roman" w:cs="Times New Roman" w:ascii="Times New Roman" w:hAnsi="Times New Roman"/>
          <w:color w:val="111111"/>
          <w:sz w:val="28"/>
          <w:szCs w:val="28"/>
          <w:lang w:val="en-US"/>
        </w:rPr>
        <w:t>ABH: Aku ini Ahli Hadis; bukan Ahli Kalam (teolog yang menggunakan argumentasi akal)!</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IAD: Kamu ini sedang berdiskusi dan berdebat, tetapi ketika tidak bisa menjawab, kamu lantas mengatakan, ”Aku bukan Ahli Kalam"!</w:t>
      </w:r>
      <w:r>
        <w:rPr>
          <w:rStyle w:val="FootnoteAnchor"/>
        </w:rPr>
        <w:footnoteReference w:id="267"/>
      </w:r>
      <w:bookmarkStart w:id="250" w:name="pg5378_50627"/>
    </w:p>
    <w:p>
      <w:pPr>
        <w:pStyle w:val="BookText"/>
        <w:bidi w:val="0"/>
        <w:rPr/>
      </w:pPr>
      <w:bookmarkEnd w:id="250"/>
      <w:r>
        <w:rPr>
          <w:rFonts w:eastAsia="Times New Roman" w:cs="Times New Roman" w:ascii="Times New Roman" w:hAnsi="Times New Roman"/>
          <w:color w:val="111111"/>
          <w:sz w:val="28"/>
          <w:szCs w:val="28"/>
          <w:lang w:val="en-US"/>
        </w:rPr>
        <w:t>Alhasil, barangkali inilah salah satu penyebab munculnya kelahiran istilah (As-Shahb Al-Hadist, serta penisbatan mazhab fikih dan akidah ini pada sosok Ahmad bin Hanbal. Namun, sebagian pengikutnya hanya mengikutinya di bidang kajian fikih. juga sejak itulah, dalam banyak hal, Hanbalisme disejajarkan dengan Ahli Hadis.</w:t>
      </w:r>
    </w:p>
    <w:p>
      <w:pPr>
        <w:pStyle w:val="Heading4"/>
        <w:numPr>
          <w:ilvl w:val="3"/>
          <w:numId w:val="1"/>
        </w:numPr>
        <w:bidi w:val="0"/>
        <w:jc w:val="left"/>
        <w:rPr/>
      </w:pPr>
      <w:bookmarkStart w:id="251" w:name="__RefHeading___Toc1351226_581953129"/>
      <w:bookmarkStart w:id="252" w:name="_Toc92"/>
      <w:bookmarkEnd w:id="251"/>
      <w:r>
        <w:rPr/>
        <w:t>Kaum Hanbalis dan Kemandulan Akal</w:t>
      </w:r>
      <w:bookmarkEnd w:id="252"/>
    </w:p>
    <w:p>
      <w:pPr>
        <w:pStyle w:val="Heading5"/>
        <w:numPr>
          <w:ilvl w:val="4"/>
          <w:numId w:val="1"/>
        </w:numPr>
        <w:bidi w:val="0"/>
        <w:jc w:val="left"/>
        <w:rPr/>
      </w:pPr>
      <w:bookmarkStart w:id="253" w:name="__RefHeading___Toc1351228_581953129"/>
      <w:bookmarkStart w:id="254" w:name="_Toc93"/>
      <w:bookmarkEnd w:id="253"/>
      <w:r>
        <w:rPr/>
        <w:t>Point</w:t>
      </w:r>
      <w:bookmarkEnd w:id="254"/>
    </w:p>
    <w:p>
      <w:pPr>
        <w:pStyle w:val="Heading6"/>
        <w:numPr>
          <w:ilvl w:val="5"/>
          <w:numId w:val="1"/>
        </w:numPr>
        <w:bidi w:val="0"/>
        <w:jc w:val="left"/>
        <w:rPr/>
      </w:pPr>
      <w:bookmarkStart w:id="255" w:name="__RefHeading___Toc1351230_581953129"/>
      <w:bookmarkStart w:id="256" w:name="_Toc94"/>
      <w:bookmarkEnd w:id="255"/>
      <w:r>
        <w:rPr/>
        <w:t>Point</w:t>
      </w:r>
      <w:bookmarkEnd w:id="256"/>
    </w:p>
    <w:p>
      <w:pPr>
        <w:pStyle w:val="BookText"/>
        <w:bidi w:val="0"/>
        <w:jc w:val="both"/>
        <w:rPr/>
      </w:pPr>
      <w:r>
        <w:rPr>
          <w:rFonts w:eastAsia="Times New Roman" w:cs="Times New Roman" w:ascii="Times New Roman" w:hAnsi="Times New Roman"/>
          <w:color w:val="111111"/>
          <w:sz w:val="28"/>
          <w:szCs w:val="28"/>
          <w:lang w:val="en-US"/>
        </w:rPr>
        <w:t>Dalam tubuh Ahli Sunah, pengikut Ahmad bin Hanbal menjadi kelompok yang paling ekstrim dalam mengusung metode Ahli Hadis. Sejarah mencatat bahwa kaum Hanbalis tergolong sangat tidak toleran. Cukup dengan sedikit alasan saja, itu pun dibuat buat, mereka mudah memvonis rival-rivalnya sebagai ashab al—bid’ah (pengikut bid’ah) dan sesat. Bahkan mereka tidak sudi bertenggang rasa dengan sosok Abul Hasan Asy’ari (260-324 H) yang juga mengaku sebagai penyebar ajaran Ahmad bin Hanbal. Akibatnya, kedua kelompok ini pun saling bersitegang sepanjang sejarah.</w:t>
      </w:r>
    </w:p>
    <w:p>
      <w:pPr>
        <w:pStyle w:val="BookText"/>
        <w:bidi w:val="0"/>
        <w:jc w:val="both"/>
        <w:rPr/>
      </w:pPr>
      <w:r>
        <w:rPr>
          <w:rFonts w:eastAsia="Times New Roman" w:cs="Times New Roman" w:ascii="Times New Roman" w:hAnsi="Times New Roman"/>
          <w:color w:val="111111"/>
          <w:sz w:val="28"/>
          <w:szCs w:val="28"/>
          <w:lang w:val="en-US"/>
        </w:rPr>
        <w:t>Sebagian besar pengikut Asy’ariyah, juga sebagian kecil Hanbalis</w:t>
      </w:r>
      <w:r>
        <w:rPr>
          <w:rStyle w:val="FootnoteAnchor"/>
        </w:rPr>
        <w:footnoteReference w:id="268"/>
      </w:r>
      <w:r>
        <w:rPr>
          <w:rFonts w:eastAsia="Times New Roman" w:cs="Times New Roman" w:ascii="Times New Roman" w:hAnsi="Times New Roman"/>
          <w:color w:val="111111"/>
          <w:sz w:val="28"/>
          <w:szCs w:val="28"/>
          <w:lang w:val="en-US"/>
        </w:rPr>
        <w:t>yang termasuk mazhab Ahli Sunah, menganggap metode literal dan antirasional radikal kaum Hanbalis main stream yang sangat bertolak</w:t>
      </w:r>
    </w:p>
    <w:p>
      <w:pPr>
        <w:pStyle w:val="BookText"/>
        <w:bidi w:val="0"/>
        <w:jc w:val="both"/>
        <w:rPr/>
      </w:pPr>
      <w:r>
        <w:rPr>
          <w:rFonts w:eastAsia="Times New Roman" w:cs="Times New Roman" w:ascii="Times New Roman" w:hAnsi="Times New Roman"/>
          <w:color w:val="111111"/>
          <w:sz w:val="28"/>
          <w:szCs w:val="28"/>
          <w:lang w:val="en-US"/>
        </w:rPr>
        <w:t xml:space="preserve">belakang dengan fitrah kemanusiaan dan esensi keislaman. Ibnu Khaldun (732-808 H) </w:t>
      </w:r>
      <w:r>
        <w:rPr>
          <w:rStyle w:val="FootnoteAnchor"/>
        </w:rPr>
        <w:footnoteReference w:id="269"/>
      </w:r>
      <w:r>
        <w:rPr>
          <w:rFonts w:eastAsia="Times New Roman" w:cs="Times New Roman" w:ascii="Times New Roman" w:hAnsi="Times New Roman"/>
          <w:color w:val="111111"/>
          <w:sz w:val="28"/>
          <w:szCs w:val="28"/>
          <w:lang w:val="en-US"/>
        </w:rPr>
        <w:t>menuliskan: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Pengikut (muqallid) Ahmad bin Hanbal itu sedikit </w:t>
      </w:r>
    </w:p>
    <w:p>
      <w:pPr>
        <w:pStyle w:val="BookText"/>
        <w:bidi w:val="0"/>
        <w:rPr/>
      </w:pPr>
      <w:r>
        <w:rPr>
          <w:rFonts w:eastAsia="Times New Roman" w:cs="Times New Roman" w:ascii="Times New Roman" w:hAnsi="Times New Roman"/>
          <w:color w:val="111111"/>
          <w:sz w:val="28"/>
          <w:szCs w:val="28"/>
          <w:lang w:val="en-US"/>
        </w:rPr>
        <w:t xml:space="preserve">Ahmad bin Hanbal dan Sifat Khabariya </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Ahmad bin Hanbal merupakan tokoh pendiri salah satu dari empat mazhab fikih arus utama Ahli Sunah. Namun, menurut sejumlah dokumen, dalam hal ini, dia hanya menukil hadis. Karenanya Thabari (224-310 H), misalnya, tidak menempatkannya dalam jajaran pakar fikih (fuqaha’). Ini sempat menyulut reaksi sangat keras kalangan Hanbalis di masa Thabari. Saat Thabari wafat, para pengikutnya kuatir kalau-kalau para Hanbalis akan memperlakukan jenazahnya secara tak terhormat. Akhirnya dia dikebumikan malam hari di dalam rumahnya sendiri.</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Alhasil, pada kenyataannya, jika tidak dalam keadaan terpaksa, para tokoh Hanbalis tidak akan merilis fatwa apa pun. Kalaupun benar-benar terpaksa, mereka akan membuat fatwa dengan tetap berusaha untuk tidak keluar dari redaksi teks (riwayat).</w:t>
      </w:r>
    </w:p>
    <w:p>
      <w:pPr>
        <w:pStyle w:val="BookText"/>
        <w:bidi w:val="0"/>
        <w:jc w:val="both"/>
        <w:rPr/>
      </w:pPr>
      <w:r>
        <w:rPr>
          <w:rFonts w:eastAsia="Times New Roman" w:cs="Times New Roman" w:ascii="Times New Roman" w:hAnsi="Times New Roman"/>
          <w:color w:val="111111"/>
          <w:sz w:val="28"/>
          <w:szCs w:val="28"/>
          <w:lang w:val="en-US"/>
        </w:rPr>
        <w:t>Sejarah membuktikan bahwa dalam kesehariannya, Ahmad bin Hanbal sangat ketat melaksanakan sunah Nabi. Misalnya, Nabi memberi satu dinar kepada orang yang membekam (pengobatan hijﬁnzah) beliau; Ahmad bin Hanbal juga melakukan hal serupa, tidak lebih tidak kurang. Dia juga mulai menukil hadis dan berfatwa pada usia 40 tahun—sebagai bukti dirinya mengikuti Rasulullah Saw.</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Ahmad bin Hanbal menyusun sebuah risalah singkat seputar akidah resmi Ahli Sunah yang, jika diingkari, akan dicap bid’ah.</w:t>
      </w:r>
      <w:r>
        <w:rPr>
          <w:rStyle w:val="FootnoteAnchor"/>
        </w:rPr>
        <w:footnoteReference w:id="273"/>
      </w:r>
      <w:r>
        <w:rPr>
          <w:rFonts w:eastAsia="Times New Roman" w:cs="Times New Roman" w:ascii="Times New Roman" w:hAnsi="Times New Roman"/>
          <w:color w:val="111111"/>
          <w:sz w:val="28"/>
          <w:szCs w:val="28"/>
          <w:lang w:val="en-US"/>
        </w:rPr>
        <w:t>Salah satu kutipan yang ada di dalamnya adalah persoalan yang berhubungan dengan sifat Allah Swt:</w:t>
      </w:r>
    </w:p>
    <w:p>
      <w:pPr>
        <w:pStyle w:val="BookText"/>
        <w:bidi w:val="0"/>
        <w:jc w:val="both"/>
        <w:rPr/>
      </w:pPr>
      <w:r>
        <w:rPr>
          <w:rFonts w:eastAsia="Times New Roman" w:cs="Times New Roman" w:ascii="Times New Roman" w:hAnsi="Times New Roman"/>
          <w:color w:val="111111"/>
          <w:sz w:val="28"/>
          <w:szCs w:val="28"/>
          <w:lang w:val="en-US"/>
        </w:rPr>
        <w:t>Setiap malam—sebagaimana dikehendaki—Nya serta adanya</w:t>
      </w:r>
    </w:p>
    <w:p>
      <w:pPr>
        <w:pStyle w:val="BookText"/>
        <w:bidi w:val="0"/>
        <w:jc w:val="both"/>
        <w:rPr/>
      </w:pPr>
      <w:r>
        <w:rPr>
          <w:rFonts w:eastAsia="Times New Roman" w:cs="Times New Roman" w:ascii="Times New Roman" w:hAnsi="Times New Roman"/>
          <w:color w:val="111111"/>
          <w:sz w:val="28"/>
          <w:szCs w:val="28"/>
          <w:lang w:val="en-US"/>
        </w:rPr>
        <w:t>ayat ”tiada yang menyerupai-Nya dan Dia Maha Mendengar dan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Maha Melihat"—Allah Swt turun ke langit dunia, sampai jarak </w:t>
      </w:r>
    </w:p>
    <w:p>
      <w:pPr>
        <w:pStyle w:val="BookText"/>
        <w:bidi w:val="0"/>
        <w:rPr/>
      </w:pPr>
      <w:r>
        <w:rPr>
          <w:rFonts w:eastAsia="Times New Roman" w:cs="Times New Roman" w:ascii="Times New Roman" w:hAnsi="Times New Roman"/>
          <w:color w:val="111111"/>
          <w:sz w:val="28"/>
          <w:szCs w:val="28"/>
          <w:lang w:val="en-US"/>
        </w:rPr>
        <w:t>antara-Nya dengan semua hati hamba-Nya hanya dua jari dari jari-jari Tuhan... Allah Swt telah menciptakan Adam as dengan kedua tangan-Nya. Langit dan bumi di Hari Kiamat akan berada dalam genggaman—Nya. Dengan tangan—Nya, sekelompok orang dikeluarkan dari neraka, sedangkan para penghuni surga akan menghadapkan wajah untuk menatap wajah-Nya. Setelah itu mereka dimuliakan dengan manifestasi-Nya, sehingga anugerah yang mereka peroleh kian sempurna.</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Baris-baris kalimat di atas murni saduran dari teks ayat Alquran dan hadis, yang diklaim Ahli Hadis sebagai legal. Sikap Ahmad bin Hanbal yang begitu memaksakan makna tekstual sifat- sifat Allah Swt itu menunjukkan penentangannya terhadap para rivalnya yang menggunakan metode takwil sehingga makna yang dipahami melampaui makna tekstualnya. Pada saat yang sama, demi menghindar dari antropomorfisme sekaitan dengan makna ayat ”Tiada yang menyerupai—Nya” dan ungkapan "Apa pun yang dikehenndaki—Nya”, dia menyatakan bahwa hakikat sifat-sifat tersebut tidak dapat dipahami.</w:t>
      </w:r>
    </w:p>
    <w:p>
      <w:pPr>
        <w:pStyle w:val="BookText"/>
        <w:bidi w:val="0"/>
        <w:jc w:val="both"/>
        <w:rPr/>
      </w:pPr>
      <w:r>
        <w:rPr>
          <w:rFonts w:eastAsia="Times New Roman" w:cs="Times New Roman" w:ascii="Times New Roman" w:hAnsi="Times New Roman"/>
          <w:color w:val="111111"/>
          <w:sz w:val="28"/>
          <w:szCs w:val="28"/>
          <w:lang w:val="en-US"/>
        </w:rPr>
        <w:t>Seorang penulis kontemporer yang bermaksud menutupi kelemahan dan kekeliruan metode fikih dan akidah Ahmad bin Hanbal, mengatakan: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Dia sangat berpegang teguh pada riwayat sehingga tidak berani melampauinya; entah dengan menakwil ataupun menafsirkan- nya selain dengan makna tekstual. Jika untuk memahami hadis diperlukan sesuatu yang lain, dia tidak akan hanya menjadikan akal sebagai sarana, melainkan hadis itu sendiri akan dia jadikan sarananya. Dengan sarana itu pula dia selalu menafsirkan Alquran.</w:t>
      </w:r>
      <w:r>
        <w:rPr>
          <w:rStyle w:val="FootnoteAnchor"/>
        </w:rPr>
        <w:footnoteReference w:id="275"/>
      </w:r>
      <w:bookmarkStart w:id="257" w:name="pg5378_50633"/>
    </w:p>
    <w:p>
      <w:pPr>
        <w:pStyle w:val="Heading4"/>
        <w:numPr>
          <w:ilvl w:val="3"/>
          <w:numId w:val="1"/>
        </w:numPr>
        <w:bidi w:val="0"/>
        <w:jc w:val="left"/>
        <w:rPr/>
      </w:pPr>
      <w:bookmarkStart w:id="258" w:name="__RefHeading___Toc1351232_581953129"/>
      <w:bookmarkStart w:id="259" w:name="_Toc95"/>
      <w:bookmarkEnd w:id="257"/>
      <w:bookmarkEnd w:id="258"/>
      <w:r>
        <w:rPr/>
        <w:t>Unsur Anti akal Hanbaliyah Makin Populer</w:t>
      </w:r>
      <w:bookmarkEnd w:id="259"/>
    </w:p>
    <w:p>
      <w:pPr>
        <w:pStyle w:val="BookText"/>
        <w:bidi w:val="0"/>
        <w:jc w:val="both"/>
        <w:rPr/>
      </w:pPr>
      <w:r>
        <w:rPr>
          <w:rFonts w:eastAsia="Times New Roman" w:cs="Times New Roman" w:ascii="Times New Roman" w:hAnsi="Times New Roman"/>
          <w:color w:val="111111"/>
          <w:sz w:val="28"/>
          <w:szCs w:val="28"/>
          <w:lang w:val="en-US"/>
        </w:rPr>
        <w:t>Kendati Ahmad bin Hanbal berupaya dengan berbagai cara agar literalismenya tidak sampai menjebak dirinya dalam Antropomorfisme, namun secara praktis, para pengikutnya justru melakukan Tasybih 'penyerupaan' dan mengangkat tajsim ’penjasadan' Tuhan.</w:t>
      </w:r>
      <w:r>
        <w:rPr>
          <w:rStyle w:val="FootnoteAnchor"/>
        </w:rPr>
        <w:footnoteReference w:id="276"/>
      </w:r>
      <w:r>
        <w:rPr>
          <w:rFonts w:eastAsia="Times New Roman" w:cs="Times New Roman" w:ascii="Times New Roman" w:hAnsi="Times New Roman"/>
          <w:color w:val="111111"/>
          <w:sz w:val="28"/>
          <w:szCs w:val="28"/>
          <w:lang w:val="en-US"/>
        </w:rPr>
        <w:t>Inilah satu dari sekian faktor yang memicu pertikaian mereka dengan mazhab Syafi’iyah33 dan Asy’ariyah. Tambahan lagi, dalam pelaksanaan amar makruf nahi munkar (salah satu tema yang, di dalamnya, akal diakomodasi semitra dengan keberagamaan), tanpa kearifan yang memadai, mereka mengesankan diri sebagai kaum religius yang kasar dan arogan. Dengan mengandalkan sejumlah riwayat dhaif dan tidak utuh, mereka melarang orang-orang menziarahi kubur para pemimpin agama dan menyebutnya sebagai Bid'ah.</w:t>
      </w:r>
    </w:p>
    <w:p>
      <w:pPr>
        <w:pStyle w:val="BookText"/>
        <w:bidi w:val="0"/>
        <w:jc w:val="both"/>
        <w:rPr/>
      </w:pPr>
      <w:r>
        <w:rPr>
          <w:rFonts w:eastAsia="Times New Roman" w:cs="Times New Roman" w:ascii="Times New Roman" w:hAnsi="Times New Roman"/>
          <w:color w:val="111111"/>
          <w:sz w:val="28"/>
          <w:szCs w:val="28"/>
          <w:lang w:val="en-US"/>
        </w:rPr>
        <w:t>Ibnu Atsir menuturkan fenomena yang marak pada 323 H. Saat itu, kaum Hanbalis biasanya akan mencegat perempuan dan lelaki yang berjalan bersama di jalan raya atau gang-gang kota Baghdad seraya menanyakan hubungan keduanya. Bila jawabannya dianggap tidak sesuai, mereka akan langsung memukuli dan memakinya. Setelah itu, keduanya akan digelandang ke pengadilan untuk dijatuhi hukuman (hudud) Tuhan. Tindakan ini mendorong khalifah saat itu, Radhi Billah, mengeluarkan statemen penentangan terhadap mereka:</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Kalian selalu mengatakan paras kalian yang buruk itu paras Tuhan sendiri! Sebagaimana kalian mengatakan bahwa Dia punya telapak tangan, jari jemari, dua kaki, alas kaki emas, rambut keriting, naik ke langit, dan turun ke bumi! Terkadang kalian juga mencela para pemimpin dan pemuka agama, sebagaimana kalian menengarai para pengikut keluarga Muhammad Saw </w:t>
      </w:r>
      <w:bookmarkStart w:id="260" w:name="pg5378_50635"/>
    </w:p>
    <w:p>
      <w:pPr>
        <w:pStyle w:val="BookText"/>
        <w:bidi w:val="0"/>
        <w:rPr/>
      </w:pPr>
      <w:bookmarkEnd w:id="260"/>
      <w:r>
        <w:rPr>
          <w:rFonts w:eastAsia="Times New Roman" w:cs="Times New Roman" w:ascii="Times New Roman" w:hAnsi="Times New Roman"/>
          <w:color w:val="111111"/>
          <w:sz w:val="28"/>
          <w:szCs w:val="28"/>
          <w:lang w:val="en-US"/>
        </w:rPr>
        <w:t>sebagai kaﬁr! Begitu juga Kalian mengingkari ziarah kubur para pemimpin, dan kalian vonis pelakunya ahli bid’ah. Padahal kalian sendiri telah mendatangi kuburan manusia awam yang tidak punya keutamaan bahkan hubungan keturunan (Nasab) atau kerabat dengan Nabi! Laknat Allah tertuju pada setan yang telah menghiasi perbuatan buruk kalian sehingga tampak elok di mata kalian.</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Contoh lain adalah surat yang dilayangkan sekelompok pemuka Asy'ariyah untuk mendukung Abu Nashr Qusyairi (w. 514 H). Di dalamnya dijelaskan penyimpangan akidah kaum Hanbalis:</w:t>
      </w:r>
    </w:p>
    <w:p>
      <w:pPr>
        <w:pStyle w:val="BookText"/>
        <w:bidi w:val="0"/>
        <w:jc w:val="both"/>
        <w:rPr/>
      </w:pPr>
      <w:r>
        <w:rPr>
          <w:rFonts w:eastAsia="Times New Roman" w:cs="Times New Roman" w:ascii="Times New Roman" w:hAnsi="Times New Roman"/>
          <w:color w:val="111111"/>
          <w:sz w:val="28"/>
          <w:szCs w:val="28"/>
          <w:lang w:val="en-US"/>
        </w:rPr>
        <w:t>Sekelompok Hasywiyah yang mengatasnamakan Hanbalis. mereka meyakini Allah memiliki kaki, gigi, jari jemari, menunggang keledai, memiliki wajah bercahaya dan terlihat muda, berambut keriting, punya mahkota berkilau, beralas kaki emas, dan mondar-mandir (naik-turun). Mereka menyebarluaskan riwayat-riwayat semacam itu di kalangan awam, seraya menghindari penakwilan dan pemaknaan yang melampaui makna tekstual.</w:t>
      </w:r>
      <w:r>
        <w:rPr>
          <w:rStyle w:val="FootnoteAnchor"/>
        </w:rPr>
        <w:footnoteReference w:id="278"/>
      </w:r>
    </w:p>
    <w:p>
      <w:pPr>
        <w:pStyle w:val="Heading3"/>
        <w:numPr>
          <w:ilvl w:val="2"/>
          <w:numId w:val="1"/>
        </w:numPr>
        <w:bidi w:val="0"/>
        <w:jc w:val="left"/>
        <w:rPr/>
      </w:pPr>
      <w:bookmarkStart w:id="261" w:name="__RefHeading___Toc1351234_581953129"/>
      <w:bookmarkStart w:id="262" w:name="_Toc96"/>
      <w:bookmarkEnd w:id="261"/>
      <w:r>
        <w:rPr/>
        <w:t>Mazhab Zhahiriyah, Pewaris Ahli Hadis</w:t>
      </w:r>
      <w:bookmarkEnd w:id="26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Salah satu pengusung metode literal (dengan kekhasannya) dalam bidang fikih dan cabang-cabang agama (furu'uddin), yang juga lantas diterapkan di ranah akidah dan prinsip-prinsip agama (ushuluddin), adalah mazhab Zhahiriyah yang didirikan Dawud bin Ali Isfahani (200-270 H). Pada masa sebelumnya, dia pengikut mazhab Syaﬁ’iyah,</w:t>
      </w:r>
      <w:r>
        <w:rPr>
          <w:rStyle w:val="FootnoteAnchor"/>
        </w:rPr>
        <w:footnoteReference w:id="279"/>
      </w:r>
      <w:r>
        <w:rPr>
          <w:rFonts w:eastAsia="Times New Roman" w:cs="Times New Roman" w:ascii="Times New Roman" w:hAnsi="Times New Roman"/>
          <w:color w:val="111111"/>
          <w:sz w:val="28"/>
          <w:szCs w:val="28"/>
          <w:lang w:val="en-US"/>
        </w:rPr>
        <w:t xml:space="preserve">bahkan menulis dua buku seputar keutamaan Imam Syafi’i. Namun, </w:t>
      </w:r>
    </w:p>
    <w:p>
      <w:pPr>
        <w:pStyle w:val="BookText"/>
        <w:bidi w:val="0"/>
        <w:rPr/>
      </w:pPr>
      <w:r>
        <w:rPr>
          <w:rFonts w:eastAsia="Times New Roman" w:cs="Times New Roman" w:ascii="Times New Roman" w:hAnsi="Times New Roman"/>
          <w:color w:val="111111"/>
          <w:sz w:val="28"/>
          <w:szCs w:val="28"/>
          <w:lang w:val="en-US"/>
        </w:rPr>
        <w:t>karena metodenya berbeda dengan yang diusung mazhab lain dalam tubuh Ahli Sunah, dia lantas menolak segala jenis qiyas dan ijtihad. Dengan dalih menjaga agama dari infiltrasi pemikiran manusia, dia bersikeras pada makna tekstual Kitab dan Sunah. Akibatnya, dia diidentifikasi sebagai pendiri mazhab fikih tersendiri.</w:t>
      </w:r>
    </w:p>
    <w:p>
      <w:pPr>
        <w:pStyle w:val="BookText"/>
        <w:bidi w:val="0"/>
        <w:jc w:val="both"/>
        <w:rPr/>
      </w:pPr>
      <w:r>
        <w:rPr>
          <w:rFonts w:eastAsia="Times New Roman" w:cs="Times New Roman" w:ascii="Times New Roman" w:hAnsi="Times New Roman"/>
          <w:color w:val="111111"/>
          <w:sz w:val="28"/>
          <w:szCs w:val="28"/>
          <w:lang w:val="en-US"/>
        </w:rPr>
        <w:t>Dalam sejarah, keseluruhan empat mazhab fikih yang sekarang ini terdapat dalam tubuh Ahli Sunah mengalami pasang surut— sebagiannya kalah pamor dari mazhab Zhahiriyah. Seorang geolog dan penulis sejarah terkemuka abad IV I-Iijriah, Muqaddasi, sampai- sampai tidak mencantumkan Hanbaliyah dalam deretan mazhab arus utama di zamannya.</w:t>
      </w:r>
      <w:r>
        <w:rPr>
          <w:rStyle w:val="FootnoteAnchor"/>
        </w:rPr>
        <w:footnoteReference w:id="280"/>
      </w:r>
      <w:r>
        <w:rPr>
          <w:rFonts w:eastAsia="Times New Roman" w:cs="Times New Roman" w:ascii="Times New Roman" w:hAnsi="Times New Roman"/>
          <w:color w:val="111111"/>
          <w:sz w:val="28"/>
          <w:szCs w:val="28"/>
          <w:lang w:val="en-US"/>
        </w:rPr>
        <w:t>Dia hanya menyebutkan nama empat mazhab, yakni Hanafiyah, Malikiyah, Syafi'iyah, dan Zhahiriyah.</w:t>
      </w:r>
    </w:p>
    <w:p>
      <w:pPr>
        <w:pStyle w:val="BookText"/>
        <w:bidi w:val="0"/>
        <w:jc w:val="both"/>
        <w:rPr/>
      </w:pPr>
      <w:r>
        <w:rPr>
          <w:rFonts w:eastAsia="Times New Roman" w:cs="Times New Roman" w:ascii="Times New Roman" w:hAnsi="Times New Roman"/>
          <w:color w:val="111111"/>
          <w:sz w:val="28"/>
          <w:szCs w:val="28"/>
          <w:lang w:val="en-US"/>
        </w:rPr>
        <w:t>Beberapa sejarawan menilai Dawud Zhahiri sebagai sosok yang tidak menguasai Teologi (ilmu Kalam)</w:t>
      </w:r>
      <w:r>
        <w:rPr>
          <w:rStyle w:val="FootnoteAnchor"/>
        </w:rPr>
        <w:footnoteReference w:id="281"/>
      </w:r>
      <w:r>
        <w:rPr>
          <w:rFonts w:eastAsia="Times New Roman" w:cs="Times New Roman" w:ascii="Times New Roman" w:hAnsi="Times New Roman"/>
          <w:color w:val="111111"/>
          <w:sz w:val="28"/>
          <w:szCs w:val="28"/>
          <w:lang w:val="en-US"/>
        </w:rPr>
        <w:t>Di saat bersamaan, kepercayaannya bahwa 'Alquran itu makhluk’ telah membuat Ahmad bin Hanbal putus asa hingga tak lagi menyambut kehadirannya walau segala usaha telah ditempuhnya. Alhasil, kepercayaan Dawud tadi merupakan indikasi dirinya telah menarik jarak dari haluan fikihnya, clan menempatkan dirinya berada di sebuah lembah yang tidak ada sangkut pautnya dengan Alquran dan Sunah.</w:t>
      </w:r>
    </w:p>
    <w:p>
      <w:pPr>
        <w:pStyle w:val="BookText"/>
        <w:bidi w:val="0"/>
        <w:jc w:val="both"/>
        <w:rPr/>
      </w:pPr>
      <w:r>
        <w:rPr>
          <w:rFonts w:eastAsia="Times New Roman" w:cs="Times New Roman" w:ascii="Times New Roman" w:hAnsi="Times New Roman"/>
          <w:color w:val="111111"/>
          <w:sz w:val="28"/>
          <w:szCs w:val="28"/>
          <w:lang w:val="en-US"/>
        </w:rPr>
        <w:t>Sepeninggal pendirinya, mazhab yang didirikan Dawud ini di-lanjutkan putra-putra dan murid-muridnya. Hanya resistensi dan penyebarluasan mazhab ini sangat berhutang budi pada upaya gigih Ibnu Hazm Andalusi (384-456 H).</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Selain pakar dalam bidang fikih dan ushul fikih, Ibnu Hazm yang punya banyak gagasan dan karya tulis, juga punya wawasan yang cukup luas dalam Logika dan Filsafat Yunani. Menurutnya, ilmu- ilmu semacam itu sangat bermanfaat untuk memahami alam semesta dan mengetahui asal-usul terciptanya semua makhluk.</w:t>
      </w:r>
      <w:r>
        <w:rPr>
          <w:rStyle w:val="FootnoteAnchor"/>
        </w:rPr>
        <w:footnoteReference w:id="282"/>
      </w:r>
      <w:r>
        <w:rPr>
          <w:rFonts w:eastAsia="Times New Roman" w:cs="Times New Roman" w:ascii="Times New Roman" w:hAnsi="Times New Roman"/>
          <w:color w:val="111111"/>
          <w:sz w:val="28"/>
          <w:szCs w:val="28"/>
          <w:lang w:val="en-US"/>
        </w:rPr>
        <w:t xml:space="preserve">Pakar fikih </w:t>
      </w:r>
    </w:p>
    <w:p>
      <w:pPr>
        <w:pStyle w:val="BookText"/>
        <w:bidi w:val="0"/>
        <w:rPr/>
      </w:pPr>
      <w:r>
        <w:rPr>
          <w:rFonts w:eastAsia="Times New Roman" w:cs="Times New Roman" w:ascii="Times New Roman" w:hAnsi="Times New Roman"/>
          <w:color w:val="111111"/>
          <w:sz w:val="28"/>
          <w:szCs w:val="28"/>
          <w:lang w:val="en-US"/>
        </w:rPr>
        <w:t>Literalisme Ahli Sunah</w:t>
      </w:r>
    </w:p>
    <w:p>
      <w:pPr>
        <w:pStyle w:val="BookText"/>
        <w:bidi w:val="0"/>
        <w:jc w:val="both"/>
        <w:rPr/>
      </w:pPr>
      <w:r>
        <w:rPr>
          <w:rFonts w:eastAsia="Times New Roman" w:cs="Times New Roman" w:ascii="Times New Roman" w:hAnsi="Times New Roman"/>
          <w:color w:val="111111"/>
          <w:sz w:val="28"/>
          <w:szCs w:val="28"/>
          <w:lang w:val="en-US"/>
        </w:rPr>
        <w:t>beraliran Zhahiriyah ini juga cukup menguasai argumen-argurnen teologis. Namun menurutnya, berkenaan dengan prinsip-prinsip dasar agama (seperti Tauhid dan Kenabian), tidak digunakannya argumen rasional dan hanya mengikuti apa yang telah diajarkan Nabi juga dapat dibenarkan.</w:t>
      </w:r>
      <w:r>
        <w:rPr>
          <w:rStyle w:val="FootnoteAnchor"/>
        </w:rPr>
        <w:footnoteReference w:id="283"/>
      </w:r>
      <w:r>
        <w:rPr>
          <w:rFonts w:eastAsia="Times New Roman" w:cs="Times New Roman" w:ascii="Times New Roman" w:hAnsi="Times New Roman"/>
          <w:color w:val="111111"/>
          <w:sz w:val="28"/>
          <w:szCs w:val="28"/>
          <w:lang w:val="en-US"/>
        </w:rPr>
        <w:t>Atas dasar ini, bila dengan mendengar ucapan orang yang mengaku nabi, seseorang menemukan ketenangan dan dengan hati lapang mendengarkan semuanya, maka ia telah melangkah di jalan petunjuk, dan tidak lagi perlu menempuh liku- liku jalan rumit argu-mentasi. Akan halnya bila terus berada dalam kebimbangan, dirinya harus segera memperoleh kepastian dengan argumen rasional.</w:t>
      </w:r>
      <w:r>
        <w:rPr>
          <w:rStyle w:val="FootnoteAnchor"/>
        </w:rPr>
        <w:footnoteReference w:id="28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Konon, selain itu, kaum Zhahiriyah juga meyakini bahwa teks- teks syariat terbebas dari makna batin dan simbolisme-dimensi yang hanya dapat dipahami orang-orang tertentu saja. Beberapa kalangan, terutama pengikut tasawuf, Syiah lsmailiyah, dan Syiah Imamiyah tidak menyetujui pandangan ini. Mereka menyodorkan bukti riwayat yang rnenyebutkan adanya kandungan batin Alquran. </w:t>
      </w:r>
      <w:r>
        <w:rPr>
          <w:rStyle w:val="FootnoteAnchor"/>
        </w:rPr>
        <w:footnoteReference w:id="285"/>
      </w:r>
      <w:r>
        <w:rPr>
          <w:rFonts w:eastAsia="Times New Roman" w:cs="Times New Roman" w:ascii="Times New Roman" w:hAnsi="Times New Roman"/>
          <w:color w:val="111111"/>
          <w:sz w:val="28"/>
          <w:szCs w:val="28"/>
          <w:lang w:val="en-US"/>
        </w:rPr>
        <w:t>Mereka lebih menekankan adanya makna batin bagi Alquran. Namun, kalangan sufi dan Ismailiyah acapkali keliru dalam menentukan subjek yang mengetahui makna batin tersebut. Akibatnya, banyak pengikut dua aliran ini yang menipu satu kelompok sekaligus dikecam kelompok lain. Berdasarkan data dari berbagai hadis, keluarga Nabi merupakan subjek dan pemilik ilmu- ilmu khusus. Karena itu, dapat dipastikan merekalah figur-figur yang mengetahui makna batin tersebut.</w:t>
      </w:r>
      <w:r>
        <w:rPr>
          <w:rStyle w:val="FootnoteAnchor"/>
        </w:rPr>
        <w:footnoteReference w:id="286"/>
      </w:r>
      <w:bookmarkStart w:id="263" w:name="pg5378_50640"/>
    </w:p>
    <w:p>
      <w:pPr>
        <w:pStyle w:val="BookText"/>
        <w:bidi w:val="0"/>
        <w:rPr/>
      </w:pPr>
      <w:bookmarkEnd w:id="263"/>
      <w:r>
        <w:rPr>
          <w:rFonts w:eastAsia="Times New Roman" w:cs="Times New Roman" w:ascii="Times New Roman" w:hAnsi="Times New Roman"/>
          <w:color w:val="111111"/>
          <w:sz w:val="28"/>
          <w:szCs w:val="28"/>
          <w:lang w:val="en-US"/>
        </w:rPr>
        <w:t>Alhasil, mengenai metodologi literalnya, Ibnu Hazm juga sangat menekankan ketiadaan makna batin dan simbolisme:</w:t>
      </w:r>
    </w:p>
    <w:p>
      <w:pPr>
        <w:pStyle w:val="BookText"/>
        <w:bidi w:val="0"/>
        <w:jc w:val="both"/>
        <w:rPr/>
      </w:pPr>
      <w:r>
        <w:rPr>
          <w:rFonts w:eastAsia="Times New Roman" w:cs="Times New Roman" w:ascii="Times New Roman" w:hAnsi="Times New Roman"/>
          <w:color w:val="111111"/>
          <w:sz w:val="28"/>
          <w:szCs w:val="28"/>
          <w:lang w:val="en-US"/>
        </w:rPr>
        <w:t>Ketahuilah, agama Allah itu jelas (zhahir), tak ada yang tersembunyi (bathin) di dalamnya; ia tampak (jahr) hingga tak ada rahasia (sirr) di baliknya Sungguh Rasulullah tak pernah menyembunyikan syariat ini walaupun hanya satu kata. Beliau juga tidak pernah memberitahukan sesuatu [yang berasal] dari syariat kepada orang—orang khusus, seperti istri—istri, anak perempuan, paman, sepupu, maupun sahabatnya, yang menyebabkannya tidak diketahui orang berkulit merah, hitam, ataupun penggembala kambing.</w:t>
      </w:r>
      <w:r>
        <w:rPr>
          <w:rStyle w:val="FootnoteAnchor"/>
        </w:rPr>
        <w:footnoteReference w:id="287"/>
      </w:r>
    </w:p>
    <w:p>
      <w:pPr>
        <w:pStyle w:val="Heading3"/>
        <w:numPr>
          <w:ilvl w:val="2"/>
          <w:numId w:val="1"/>
        </w:numPr>
        <w:bidi w:val="0"/>
        <w:jc w:val="left"/>
        <w:rPr/>
      </w:pPr>
      <w:bookmarkStart w:id="264" w:name="__RefHeading___Toc1351236_581953129"/>
      <w:bookmarkStart w:id="265" w:name="_Toc97"/>
      <w:bookmarkEnd w:id="264"/>
      <w:r>
        <w:rPr/>
        <w:t>Antirasionalisme, Dalih Menolak Qiyas</w:t>
      </w:r>
      <w:bookmarkEnd w:id="265"/>
    </w:p>
    <w:p>
      <w:pPr>
        <w:pStyle w:val="BookText"/>
        <w:bidi w:val="0"/>
        <w:jc w:val="both"/>
        <w:rPr/>
      </w:pPr>
      <w:r>
        <w:rPr>
          <w:rFonts w:eastAsia="Times New Roman" w:cs="Times New Roman" w:ascii="Times New Roman" w:hAnsi="Times New Roman"/>
          <w:color w:val="111111"/>
          <w:sz w:val="28"/>
          <w:szCs w:val="28"/>
          <w:lang w:val="en-US"/>
        </w:rPr>
        <w:t>Sebagaimana sudah disinggung sebelumnya, faktor yang membe- dakan fikih mazhab Zhahiriyah dengan mazhab fikih lainnya adalah penolakannya terhadap qiyas.</w:t>
      </w:r>
      <w:r>
        <w:rPr>
          <w:rStyle w:val="FootnoteAnchor"/>
        </w:rPr>
        <w:footnoteReference w:id="28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konteks penggunaan qiyas dan ijtihad dari 'pendapat pribadi' (bi al-ro'y), kalau saja mazhab-mazhab fikih Ahli Sunah itu dikomparasikan, niscaya mazhab Hanafiyah lebih unggul. Peringkat setelahnya, dapat dirunut sebagai berikut: Syafi’iyah, Malikiyah, Hanbaliyah, dan Zahiriyah.</w:t>
      </w:r>
      <w:r>
        <w:rPr>
          <w:rStyle w:val="FootnoteAnchor"/>
        </w:rPr>
        <w:footnoteReference w:id="289"/>
      </w:r>
      <w:r>
        <w:rPr>
          <w:rFonts w:eastAsia="Times New Roman" w:cs="Times New Roman" w:ascii="Times New Roman" w:hAnsi="Times New Roman"/>
          <w:color w:val="111111"/>
          <w:sz w:val="28"/>
          <w:szCs w:val="28"/>
          <w:lang w:val="en-US"/>
        </w:rPr>
        <w:t>Zhahiriyah menjadi mazhab yang paling keras menolak qiyas. Menurut sebagian pengamat, pada praktiknya mazhab ini juga terpaksa mengamalkan qiyas, kendati dengan sebutan lain, yakni dalil.</w:t>
      </w:r>
      <w:r>
        <w:rPr>
          <w:rStyle w:val="FootnoteAnchor"/>
        </w:rPr>
        <w:footnoteReference w:id="290"/>
      </w:r>
      <w:r>
        <w:rPr>
          <w:rFonts w:eastAsia="Times New Roman" w:cs="Times New Roman" w:ascii="Times New Roman" w:hAnsi="Times New Roman"/>
          <w:color w:val="111111"/>
          <w:sz w:val="28"/>
          <w:szCs w:val="28"/>
          <w:lang w:val="en-US"/>
        </w:rPr>
        <w:t xml:space="preserve">Namun, dengan mencermati tujuh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kategori dalil yang dikemukakan Ibnu Hazm, jelas sudah bahwa tak satu pun dari-nya yang tergolong qiyas dalam bidang fikih.</w:t>
      </w:r>
      <w:r>
        <w:rPr>
          <w:rStyle w:val="FootnoteAnchor"/>
        </w:rPr>
        <w:footnoteReference w:id="291"/>
      </w:r>
      <w:r>
        <w:rPr>
          <w:rFonts w:eastAsia="Times New Roman" w:cs="Times New Roman" w:ascii="Times New Roman" w:hAnsi="Times New Roman"/>
          <w:color w:val="111111"/>
          <w:sz w:val="28"/>
          <w:szCs w:val="28"/>
          <w:lang w:val="en-US"/>
        </w:rPr>
        <w:t>Menurut Ibnu Hazm, konsistensi pada makna literal Alquran dan Sunah bukan hanya dalam bidang ﬁkih semata, melainkan juga dalam masalah-masalah keyakinan (akidah). Hanya dalam satu kondisi makna literal itu bisa/boleh diabaikan, yaitu manakala ayat atau riwayat lain, dan konsensus kaum Muslimin ataupun keswanyataan indrawi (darurah Hissiyah) menggugurkan konsistensi tersebut.</w:t>
      </w:r>
      <w:r>
        <w:rPr>
          <w:rStyle w:val="FootnoteAnchor"/>
        </w:rPr>
        <w:footnoteReference w:id="292"/>
      </w:r>
      <w:r>
        <w:rPr>
          <w:rFonts w:eastAsia="Times New Roman" w:cs="Times New Roman" w:ascii="Times New Roman" w:hAnsi="Times New Roman"/>
          <w:color w:val="111111"/>
          <w:sz w:val="28"/>
          <w:szCs w:val="28"/>
          <w:lang w:val="en-US"/>
        </w:rPr>
        <w:t>Yang dimaksud Ibnu Hazm dengan keswanyataan indrawi, sejauh ungkapannya,</w:t>
      </w:r>
      <w:r>
        <w:rPr>
          <w:rStyle w:val="FootnoteAnchor"/>
        </w:rPr>
        <w:footnoteReference w:id="293"/>
      </w:r>
      <w:r>
        <w:rPr>
          <w:rFonts w:eastAsia="Times New Roman" w:cs="Times New Roman" w:ascii="Times New Roman" w:hAnsi="Times New Roman"/>
          <w:color w:val="111111"/>
          <w:sz w:val="28"/>
          <w:szCs w:val="28"/>
          <w:lang w:val="en-US"/>
        </w:rPr>
        <w:t>mencakup hal-hal yang sudah jelas dengan sendirinya (badihi): yang sebegitu gamblang dan tak teragukan lagi dalam memastikan bahwa makna harfiah dari sebuah teks bukanlah maksud si penutur. Contohnya, ”Kini, kota berada di tangan penguasa". Statemen ini tetap relevan bahkan dengan asumsi putusnya tangan si penguasa sebelum itu. Oleh karenanya, makna literal dan harfiah kata-kata dalam statemen itu dapat diabaikan dengan mudah, seraya memaknainya secara metaforis (majazi). Bahkan boleh jadi, dalam kondisi semacam ini, tidak terjadi pertentangan apa pun dengan makna literal, karena sejak awal, teks sudah tampil jelas (zhahir) dengan makna metaforisnya.</w:t>
      </w:r>
      <w:r>
        <w:rPr>
          <w:rStyle w:val="FootnoteAnchor"/>
        </w:rPr>
        <w:footnoteReference w:id="294"/>
      </w:r>
      <w:r>
        <w:rPr>
          <w:rFonts w:eastAsia="Times New Roman" w:cs="Times New Roman" w:ascii="Times New Roman" w:hAnsi="Times New Roman"/>
          <w:color w:val="111111"/>
          <w:sz w:val="28"/>
          <w:szCs w:val="28"/>
          <w:lang w:val="en-US"/>
        </w:rPr>
        <w:t xml:space="preserve">Alhasil, sebagaimana akan diuraikan kemudian, berkenaan dengan keyakinan (akidah), Ibnu Hazm cenderung menggabungkan metoda literalisme dan rasionalisme. Namun, dalam bidang fikih dan upaya merumuskan fatwa, adakalanya dia mengedepankan literalisme. Inilah salah satu alasan yang mendorong sejumlah pemikir menentangnya. Senyatanya, seraya mengatasnamakan penolakan terhadap qiyas dalam persoalan-persoalan semacam itu, Ibnu Hazm tidak lagi menghiraukan kaidah konvensional bahasa. Untuk lebih </w:t>
      </w:r>
    </w:p>
    <w:p>
      <w:pPr>
        <w:pStyle w:val="BookText"/>
        <w:bidi w:val="0"/>
        <w:rPr/>
      </w:pPr>
      <w:r>
        <w:rPr>
          <w:rFonts w:eastAsia="Times New Roman" w:cs="Times New Roman" w:ascii="Times New Roman" w:hAnsi="Times New Roman"/>
          <w:color w:val="111111"/>
          <w:sz w:val="28"/>
          <w:szCs w:val="28"/>
          <w:lang w:val="en-US"/>
        </w:rPr>
        <w:t>jelas lagi, berikut akan dilakukan analisis terhadap fatwa fikihnya. Namun sebelum itu, pisau analisis akan lebih dulu membedah dalil hadis yang dijadikan sebagai sandaran.</w:t>
      </w:r>
    </w:p>
    <w:p>
      <w:pPr>
        <w:pStyle w:val="BookText"/>
        <w:bidi w:val="0"/>
        <w:jc w:val="both"/>
        <w:rPr/>
      </w:pPr>
      <w:r>
        <w:rPr>
          <w:rFonts w:eastAsia="Times New Roman" w:cs="Times New Roman" w:ascii="Times New Roman" w:hAnsi="Times New Roman"/>
          <w:color w:val="111111"/>
          <w:sz w:val="28"/>
          <w:szCs w:val="28"/>
          <w:lang w:val="en-US"/>
        </w:rPr>
        <w:t>Janganlah di antara kalian membuang air kecil di air menggenang dan menggunakan air itu untuk mandi ataupun berwudu.</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Teks ini adalah sabda Nabi Saw yang dinukil oleh kalangan pakar hadis Ahli Sunah, lalu diuraikan Ibnu Hazm untuk menghasilkan beberapa poin berikut:</w:t>
      </w:r>
    </w:p>
    <w:p>
      <w:pPr>
        <w:pStyle w:val="BookText"/>
        <w:bidi w:val="0"/>
        <w:jc w:val="both"/>
        <w:rPr/>
      </w:pPr>
      <w:r>
        <w:rPr>
          <w:rFonts w:eastAsia="Times New Roman" w:cs="Times New Roman" w:ascii="Times New Roman" w:hAnsi="Times New Roman"/>
          <w:color w:val="111111"/>
          <w:sz w:val="28"/>
          <w:szCs w:val="28"/>
          <w:lang w:val="en-US"/>
        </w:rPr>
        <w:t>a. Jika sifat-sifat air itu tidak berubah, dibolehkan meminumnya (karena fokus teks hadis tersebut hanya larangan mandi dan wudu, bukan boleh-tidaknya meminum).</w:t>
      </w:r>
    </w:p>
    <w:p>
      <w:pPr>
        <w:pStyle w:val="BookText"/>
        <w:bidi w:val="0"/>
        <w:jc w:val="both"/>
        <w:rPr/>
      </w:pPr>
      <w:r>
        <w:rPr>
          <w:rFonts w:eastAsia="Times New Roman" w:cs="Times New Roman" w:ascii="Times New Roman" w:hAnsi="Times New Roman"/>
          <w:color w:val="111111"/>
          <w:sz w:val="28"/>
          <w:szCs w:val="28"/>
          <w:lang w:val="en-US"/>
        </w:rPr>
        <w:t>b. Hukum ini tidak berlaku untuk benda-benda najis selain air kecil, seperti air besar (kotoran), juga demikian jika buang air kecil di tempat lain, lalu air itu berpindah ke genangan air tadi.</w:t>
      </w:r>
    </w:p>
    <w:p>
      <w:pPr>
        <w:pStyle w:val="BookText"/>
        <w:bidi w:val="0"/>
        <w:jc w:val="both"/>
        <w:rPr/>
      </w:pPr>
      <w:r>
        <w:rPr>
          <w:rFonts w:eastAsia="Times New Roman" w:cs="Times New Roman" w:ascii="Times New Roman" w:hAnsi="Times New Roman"/>
          <w:color w:val="111111"/>
          <w:sz w:val="28"/>
          <w:szCs w:val="28"/>
          <w:lang w:val="en-US"/>
        </w:rPr>
        <w:t>c. Orang lain dibolehkan mandi dan wudu di genangan air itu.</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Berkenaan dengan pengkhususan larangan bagi orang yang buang air kecil saja, Ibnu Hazm berdalil bahwa jika hukum itu meliputi orang lain, tentu Nabi tidak akan tinggal diam [dan pasti menjelaskannya secara terperinci], karena beliau mustahil tidak mampu menjelaskannya secara detail, atau lupa memberitahu, atau menyerahkan tanggung jawab ’pengambilan hukum’ (istinbath) Ilahi dari alam gaib kepada selain beliau.</w:t>
      </w:r>
      <w:r>
        <w:rPr>
          <w:rStyle w:val="FootnoteAnchor"/>
        </w:rPr>
        <w:footnoteReference w:id="29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Literalisme semacam ini mirip dengan jawaban seorang budak pada tuannya yang bertanya, ”Mengapa kamu tidak membukakan pintu untuk tamu yang ingin masuk?" Lalu budak itu menjawab, "Karena Tuan hanya mengatakan, 'Lihat siapa yang ada di balik pintu!' dan tidak menyuruhku membukakannya.” </w:t>
      </w:r>
      <w:bookmarkStart w:id="266" w:name="pg5378_50646"/>
    </w:p>
    <w:p>
      <w:pPr>
        <w:pStyle w:val="BookText"/>
        <w:bidi w:val="0"/>
        <w:rPr/>
      </w:pPr>
      <w:bookmarkEnd w:id="266"/>
      <w:r>
        <w:rPr>
          <w:rFonts w:eastAsia="Times New Roman" w:cs="Times New Roman" w:ascii="Times New Roman" w:hAnsi="Times New Roman"/>
          <w:color w:val="111111"/>
          <w:sz w:val="28"/>
          <w:szCs w:val="28"/>
          <w:lang w:val="en-US"/>
        </w:rPr>
        <w:t>entu saja, Nabi mustahil alpa atau tak mampu menjelaskan hukum secara terperinci. Namun, bertolak dari semua itu, dapat dipahami bahwa pandangan di atas itu sangat bertentangan dengan AKAL SEHAT (’uqala'i). Manusia berakal mempercayakan sekian banyak maksud- maksud eksplisitnya kepada pemahaman audien. Karenanya, dia tidak perlu memberikan penjelasan panjang lebar serbarinci yang umumnya akan menjemukan orang. Nabi adalah sayyidul 'uqola'i’ ’pemimpin kaum berakal’ dan lazim menggunakan akal sehat. Atas dasar ini, mayoritas pakar fikih, baik dari Syiah maupun Ahli Sunah, memosisikan akal sehat dan ’urf sebagai kriteria perumusan fatwa, sehingga mereka bukan penerjemah literal teks hadis.</w:t>
      </w:r>
    </w:p>
    <w:p>
      <w:pPr>
        <w:pStyle w:val="Heading3"/>
        <w:numPr>
          <w:ilvl w:val="2"/>
          <w:numId w:val="1"/>
        </w:numPr>
        <w:bidi w:val="0"/>
        <w:jc w:val="left"/>
        <w:rPr/>
      </w:pPr>
      <w:bookmarkStart w:id="267" w:name="__RefHeading___Toc1351238_581953129"/>
      <w:bookmarkStart w:id="268" w:name="_Toc98"/>
      <w:bookmarkEnd w:id="267"/>
      <w:r>
        <w:rPr/>
        <w:t>Kombinasi Literalisme-Rasionalisme</w:t>
      </w:r>
      <w:bookmarkEnd w:id="268"/>
    </w:p>
    <w:p>
      <w:pPr>
        <w:pStyle w:val="BookText"/>
        <w:bidi w:val="0"/>
        <w:jc w:val="both"/>
        <w:rPr/>
      </w:pPr>
      <w:r>
        <w:rPr>
          <w:rFonts w:eastAsia="Times New Roman" w:cs="Times New Roman" w:ascii="Times New Roman" w:hAnsi="Times New Roman"/>
          <w:color w:val="111111"/>
          <w:sz w:val="28"/>
          <w:szCs w:val="28"/>
          <w:lang w:val="en-US"/>
        </w:rPr>
        <w:t>Dalam menjelaskan sifat khabariyah Tuhan, Ibnu Hazm cenderung menggunakan metode yang lebih moderat. Dia menganggap metode yang umum disebut kaum rasionalis sebagai ’takwil’ tetap berorientasi literal. Karena itulah ada kemiripan antara output literalismenya dengan konsekuensi-konsekuensi rasionalisme.</w:t>
      </w:r>
      <w:r>
        <w:rPr>
          <w:rStyle w:val="FootnoteAnchor"/>
        </w:rPr>
        <w:footnoteReference w:id="29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Metode literal Ibnu Hazm menggiringnya pada keyakinan bahwa Allah memiliki satu tangan, dua tangan, dan banyak tangan. Ini lantaran ketiga ungkapan itu maktub secara literal dalam teks Alquran.</w:t>
      </w:r>
      <w:r>
        <w:rPr>
          <w:rStyle w:val="FootnoteAnchor"/>
        </w:rPr>
        <w:footnoteReference w:id="299"/>
      </w:r>
      <w:r>
        <w:rPr>
          <w:rFonts w:eastAsia="Times New Roman" w:cs="Times New Roman" w:ascii="Times New Roman" w:hAnsi="Times New Roman"/>
          <w:color w:val="111111"/>
          <w:sz w:val="28"/>
          <w:szCs w:val="28"/>
          <w:lang w:val="en-US"/>
        </w:rPr>
        <w:t>Namun berkenaan dengan mata [Tuhan], dia hanya meyakini dua kemungkinan; satu atau banyak mata.</w:t>
      </w:r>
      <w:r>
        <w:rPr>
          <w:rStyle w:val="FootnoteAnchor"/>
        </w:rPr>
        <w:footnoteReference w:id="300"/>
      </w:r>
      <w:r>
        <w:rPr>
          <w:rFonts w:eastAsia="Times New Roman" w:cs="Times New Roman" w:ascii="Times New Roman" w:hAnsi="Times New Roman"/>
          <w:color w:val="111111"/>
          <w:sz w:val="28"/>
          <w:szCs w:val="28"/>
          <w:lang w:val="en-US"/>
        </w:rPr>
        <w:t xml:space="preserve">Adapun kemungkinan ketiga, yakni dua mata [bagi Tuhan], tidak dijumpai </w:t>
      </w:r>
    </w:p>
    <w:p>
      <w:pPr>
        <w:pStyle w:val="BookText"/>
        <w:bidi w:val="0"/>
        <w:rPr/>
      </w:pPr>
      <w:r>
        <w:rPr>
          <w:rFonts w:eastAsia="Times New Roman" w:cs="Times New Roman" w:ascii="Times New Roman" w:hAnsi="Times New Roman"/>
          <w:color w:val="111111"/>
          <w:sz w:val="28"/>
          <w:szCs w:val="28"/>
          <w:lang w:val="en-US"/>
        </w:rPr>
        <w:t xml:space="preserve">dalam teks Alquran maupun sunah Nabi. </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Sebaliknya, tatkala sifat-sifat Tuhan dikaji secara semantik, Ibnu Hazm secara tegas mengelak memaknainya secara jasmaniah (fisikal). Sampai—sampai dia menuduhkan tajsfm ’penjasadan Tuhan’ kepada Asy’ari yang memaknai ’tangan-tangan’ itu sebagai ’dua tangan’.</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Masih ada pandangan lain Ibnu Hazm yang juga ambigu. Di antaranya, maksud dari ’tangan Tuhan’, ’kedua tangan Tuhan’, dan seterusnya, adalah tak lain dari dzat Tuhan itu sendiri. Juga masih menurutnya, yang dimaksud Alquran dalam teksnya, "Kemanapun engkau berpaling maka di sana terdapat wajah Allah," adalah kehadiran dzat Allah beserta ilmu-Nya.</w:t>
      </w:r>
      <w:r>
        <w:rPr>
          <w:rStyle w:val="FootnoteAnchor"/>
        </w:rPr>
        <w:footnoteReference w:id="30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Terdapat satu hadis masyhur yang berhubungan dengan masalah sifat khabariyah. [Nabi bersabda], ”Allah menciptakan Adam sesuai bentuk-Nya." Secara umum, kaum Ahli Sunah memahami hadis ini sebagai berikut, ”Allah mencipta Adam dengan bentuk Diri- Nya." Saat itu, seluruh mazhab (sesuai pendapat masing-masing) akan menakwil dan menafsir, atau menyerahkan makna sebenarnya kepada Tuhan. Sebagian orang menganggap, berbentuknya [eksistensi] Allah diakibatkan pemahaman mereka terhadap hadis tersebut. Akan halnya Ibnu Hazm memahami hadis itu sebagai berikut: maksud kata ’bentuk-Nya’ (Shuratihi) adalah bentuk atau forma khusus yang, atas dasar itu, Allah menciptakan Adam. Adapun penisbatan bentuk itu kepada Allah semata-mata karena keagungan bentuk yang dimaksud. lni sebagaimana semua rumah merupakan rumah Allah, namun hanya Ka'bah saja yang disebut baitullah (rumah Allah) karena aspek kemuliaannya.</w:t>
      </w:r>
      <w:r>
        <w:rPr>
          <w:rStyle w:val="FootnoteAnchor"/>
        </w:rPr>
        <w:footnoteReference w:id="304"/>
      </w:r>
      <w:bookmarkStart w:id="269" w:name="pg5378_50650"/>
    </w:p>
    <w:p>
      <w:pPr>
        <w:pStyle w:val="Heading3"/>
        <w:numPr>
          <w:ilvl w:val="2"/>
          <w:numId w:val="1"/>
        </w:numPr>
        <w:bidi w:val="0"/>
        <w:jc w:val="left"/>
        <w:rPr/>
      </w:pPr>
      <w:bookmarkStart w:id="270" w:name="__RefHeading___Toc1351240_581953129"/>
      <w:bookmarkStart w:id="271" w:name="_Toc99"/>
      <w:bookmarkEnd w:id="269"/>
      <w:bookmarkEnd w:id="270"/>
      <w:r>
        <w:rPr/>
        <w:t>Ibnu Taimiyah dan Kebangkitan Kembali Literalisme Radikal</w:t>
      </w:r>
      <w:bookmarkEnd w:id="271"/>
    </w:p>
    <w:p>
      <w:pPr>
        <w:pStyle w:val="Heading4"/>
        <w:numPr>
          <w:ilvl w:val="3"/>
          <w:numId w:val="1"/>
        </w:numPr>
        <w:bidi w:val="0"/>
        <w:jc w:val="left"/>
        <w:rPr/>
      </w:pPr>
      <w:bookmarkStart w:id="272" w:name="__RefHeading___Toc1351242_581953129"/>
      <w:bookmarkStart w:id="273" w:name="_Toc100"/>
      <w:bookmarkEnd w:id="272"/>
      <w:r>
        <w:rPr/>
        <w:t>Point</w:t>
      </w:r>
      <w:bookmarkEnd w:id="273"/>
    </w:p>
    <w:p>
      <w:pPr>
        <w:pStyle w:val="BookText"/>
        <w:bidi w:val="0"/>
        <w:jc w:val="both"/>
        <w:rPr/>
      </w:pPr>
      <w:r>
        <w:rPr>
          <w:rFonts w:eastAsia="Times New Roman" w:cs="Times New Roman" w:ascii="Times New Roman" w:hAnsi="Times New Roman"/>
          <w:color w:val="111111"/>
          <w:sz w:val="28"/>
          <w:szCs w:val="28"/>
          <w:lang w:val="en-US"/>
        </w:rPr>
        <w:t>Di awal abad Vll Hijriah, pemikiran Ahli Hadis mengalami masa surut. Lalu Ibnu Taimiyah Harrani (661-728 H) berusaha menghidupkan kembali akidah dan pemikiran mazhab ini, khususnya versi Ahmad bin Hanbal. Dengan slogan memikat ”Kembali ke Ajaran Salaf”, dia tak segan—segan mencap para penentangnya sebagai AGEN BID’AH. Selain itu, alih-alih menyerang secara terang-terangan pemikiran rasional serta menyebarluaskan sikap kelompoknya yang antirasional, dia malah berusaha melucuti senjata kaum rasionalis. Misalnya, aksioma yang mengatakan ”teks yang sahih mustahil akan bertentangan dengan akal”</w:t>
      </w:r>
      <w:r>
        <w:rPr>
          <w:rStyle w:val="FootnoteAnchor"/>
        </w:rPr>
        <w:footnoteReference w:id="305"/>
      </w:r>
      <w:r>
        <w:rPr>
          <w:rFonts w:eastAsia="Times New Roman" w:cs="Times New Roman" w:ascii="Times New Roman" w:hAnsi="Times New Roman"/>
          <w:color w:val="111111"/>
          <w:sz w:val="28"/>
          <w:szCs w:val="28"/>
          <w:lang w:val="en-US"/>
        </w:rPr>
        <w:t>justru dijadikan alat untuk mengagresi kaum rasionalis religius. Dia merangkai prosa puitik untuk menyindir orang-orang yang berpikiran tidak sepertinya, demikian:</w:t>
      </w:r>
    </w:p>
    <w:p>
      <w:pPr>
        <w:pStyle w:val="BookText"/>
        <w:bidi w:val="0"/>
        <w:jc w:val="both"/>
        <w:rPr/>
      </w:pPr>
      <w:r>
        <w:rPr>
          <w:rFonts w:eastAsia="Times New Roman" w:cs="Times New Roman" w:ascii="Times New Roman" w:hAnsi="Times New Roman"/>
          <w:color w:val="111111"/>
          <w:sz w:val="28"/>
          <w:szCs w:val="28"/>
          <w:lang w:val="en-US"/>
        </w:rPr>
        <w:t xml:space="preserve">Yusafsithuna fi al-aqliyyat, wa yuqormithuna fi al-sam'iyyat </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Mereka tampil sofis dalam segala hal yang berkaitan dengan akal, dan menjadi orang Qaramitah dalam perkara apa saja yang berurusan dengan nash dan teks agama: percaya bahwa makna literal ayat dan riwayat menyimpan makna batin.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keyakinannya, kaum Salaf bukan hanya superior di wilayah teks, tetapi juga nyaris sempurna dalam memahami hadis dan riwayat. Tidak cuma itu, kaum ini juga begitu unggul dalam urusan rasionalisasi dan memiliki pemahaman yang jauh lebih </w:t>
      </w:r>
      <w:bookmarkStart w:id="274" w:name="pg5378_50652"/>
    </w:p>
    <w:p>
      <w:pPr>
        <w:pStyle w:val="BookText"/>
        <w:bidi w:val="0"/>
        <w:rPr/>
      </w:pPr>
      <w:bookmarkEnd w:id="274"/>
      <w:r>
        <w:rPr>
          <w:rFonts w:eastAsia="Times New Roman" w:cs="Times New Roman" w:ascii="Times New Roman" w:hAnsi="Times New Roman"/>
          <w:color w:val="111111"/>
          <w:sz w:val="28"/>
          <w:szCs w:val="28"/>
          <w:lang w:val="en-US"/>
        </w:rPr>
        <w:t>mendekati kebenaran. Karena itu, jalan keselamatan dapat ditempuh dan diraih melalui mereka.</w:t>
      </w:r>
      <w:r>
        <w:rPr>
          <w:rStyle w:val="FootnoteAnchor"/>
        </w:rPr>
        <w:footnoteReference w:id="307"/>
      </w:r>
    </w:p>
    <w:p>
      <w:pPr>
        <w:pStyle w:val="Heading4"/>
        <w:numPr>
          <w:ilvl w:val="3"/>
          <w:numId w:val="1"/>
        </w:numPr>
        <w:bidi w:val="0"/>
        <w:jc w:val="left"/>
        <w:rPr/>
      </w:pPr>
      <w:bookmarkStart w:id="275" w:name="__RefHeading___Toc1351244_581953129"/>
      <w:bookmarkStart w:id="276" w:name="_Toc101"/>
      <w:bookmarkEnd w:id="275"/>
      <w:r>
        <w:rPr/>
        <w:t>Posisi Akal dalam Syariat</w:t>
      </w:r>
      <w:bookmarkEnd w:id="276"/>
    </w:p>
    <w:p>
      <w:pPr>
        <w:pStyle w:val="BookText"/>
        <w:bidi w:val="0"/>
        <w:jc w:val="both"/>
        <w:rPr/>
      </w:pPr>
      <w:r>
        <w:rPr>
          <w:rFonts w:eastAsia="Times New Roman" w:cs="Times New Roman" w:ascii="Times New Roman" w:hAnsi="Times New Roman"/>
          <w:color w:val="111111"/>
          <w:sz w:val="28"/>
          <w:szCs w:val="28"/>
          <w:lang w:val="en-US"/>
        </w:rPr>
        <w:t>Di satu sisi, dengan berbekal perintah ayat-ayat alquran untuk merenung dan berpikir Ibnu Taimiyah melegitimasi argumentasi akal. Dalam konteks ini, dia mendeklarasikan bahwa ajaran Ahli Sunah dan Ahli Hadis steril dari sikap antiakal serta menjauhi taklid buta terhadap kaum Salaf.</w:t>
      </w:r>
      <w:r>
        <w:rPr>
          <w:rStyle w:val="FootnoteAnchor"/>
        </w:rPr>
        <w:footnoteReference w:id="308"/>
      </w:r>
      <w:r>
        <w:rPr>
          <w:rFonts w:eastAsia="Times New Roman" w:cs="Times New Roman" w:ascii="Times New Roman" w:hAnsi="Times New Roman"/>
          <w:color w:val="111111"/>
          <w:sz w:val="28"/>
          <w:szCs w:val="28"/>
          <w:lang w:val="en-US"/>
        </w:rPr>
        <w:t>Namun, di sisi lain, dia menolak mentah- mentah pemikiran dan argumentasi rasional. Sampai-sampai secara praktis, tak tersisa secuil pun celah untuk berargumentasi secara rasional, kalau bukan justru sekadar slogan saja. Dalam beberapa kesempatan, dia mengemukakan sejumlah perdebatan di kalangan rasionalis. Tujuannya tak lain untuk menggugat kebenaran pemikiran rasional:</w:t>
      </w:r>
    </w:p>
    <w:p>
      <w:pPr>
        <w:pStyle w:val="BookText"/>
        <w:bidi w:val="0"/>
        <w:jc w:val="both"/>
        <w:rPr/>
      </w:pPr>
      <w:r>
        <w:rPr>
          <w:rFonts w:eastAsia="Times New Roman" w:cs="Times New Roman" w:ascii="Times New Roman" w:hAnsi="Times New Roman"/>
          <w:color w:val="111111"/>
          <w:sz w:val="28"/>
          <w:szCs w:val="28"/>
          <w:lang w:val="en-US"/>
        </w:rPr>
        <w:t xml:space="preserve">Oh, andai kutahu, akal mana yang dapat dijadikan tolok ukur (kebenaran) Kitab dan Sunah! </w:t>
      </w:r>
      <w:r>
        <w:rPr>
          <w:rStyle w:val="FootnoteAnchor"/>
        </w:rPr>
        <w:footnoteReference w:id="30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Faktor lain yang menjadikan Ibnu Taimiyah menekankan hal itu adalah kenyataan Alquran dan Sunah sebagai sumber yang kaya pengetahuan aklani; fakta yang juga ditegaskan oleh filosof dan teolog, bahkan sekian banyak argumen rasional mereka diperoleh dari sumber wahyuni ini. Akan tetapi, sejumlah komentar dibuat Ibnu Taimiyah sedemikian rupa sehingga perumusan argumen akal yang disinggung Alquran dan Sunah—apalagi yang tidak pemah disinggung di dalamnya—seolah-olah bagian dari fase awal menuju kesesatan.</w:t>
      </w:r>
      <w:r>
        <w:rPr>
          <w:rStyle w:val="FootnoteAnchor"/>
        </w:rPr>
        <w:footnoteReference w:id="310"/>
      </w:r>
    </w:p>
    <w:p>
      <w:pPr>
        <w:pStyle w:val="BookText"/>
        <w:bidi w:val="0"/>
        <w:rPr/>
      </w:pPr>
      <w:r>
        <w:rPr>
          <w:rFonts w:eastAsia="Times New Roman" w:cs="Times New Roman" w:ascii="Times New Roman" w:hAnsi="Times New Roman"/>
          <w:color w:val="111111"/>
          <w:sz w:val="28"/>
          <w:szCs w:val="28"/>
          <w:lang w:val="en-US"/>
        </w:rPr>
        <w:t>Atas dasar ini, sesuai dengan pendahulunya, seperti Ahmad bin Hanbal, Ibnu Taimiyah bahkan menganggap bid’ah segala penggunaan kata-kata yang tak termaktub dalam Alquran dan Sunah. Semisal, istilah ’jabr’ (keterpaksaan)—dalam konteks yang dipahami kaum teolog— tidak pernah digunakan dalam Alquran maupun Sunah. Karenanya, tidak boleh menyatakan entah keterpaksaan manusia maupun ketakterpaksaannya. Yang benar adalah, ”Sesungguhnya Allah memberi Petunjuk kepada siapa yang dikehendaki-Nya, dan menyesatkan siapa yang dikehendaki- Nya."</w:t>
      </w:r>
      <w:r>
        <w:rPr>
          <w:rStyle w:val="FootnoteAnchor"/>
        </w:rPr>
        <w:footnoteReference w:id="31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Ulasan seputar ada-tidaknya konflik antara akal dan teks agama sangat mendominasi karya-karya Ibnu Taimiyah. Inilah kekhasannya. Bahkan dia menulis karya khusus sekaitan dengannya, yaitu Dar’ Ta’arudh Al-’Aql wa Al-Naql-</w:t>
      </w:r>
      <w:r>
        <w:rPr>
          <w:rStyle w:val="FootnoteAnchor"/>
        </w:rPr>
        <w:footnoteReference w:id="312"/>
      </w:r>
      <w:r>
        <w:rPr>
          <w:rFonts w:eastAsia="Times New Roman" w:cs="Times New Roman" w:ascii="Times New Roman" w:hAnsi="Times New Roman"/>
          <w:color w:val="111111"/>
          <w:sz w:val="28"/>
          <w:szCs w:val="28"/>
          <w:lang w:val="en-US"/>
        </w:rPr>
        <w:t>(Menolak Pertentangan Akal dan Teks). Sekilas dari judul dan kandungan bukunya, terkesan bahwa Ibnu Taimiyah merupakan figur rasionalis. Namun, jika dicermati lebih jauh, kesan semacam itu menyesatkan. Dalam karyanya itu, dia bukan dalam rangka mengharmonikan akal dan teks agama, tetapi malah menyapu bersih segala jenis gagasan rasional yang tidak selaras dengan makna literal yang awal kali mengemuka dari teks. Dia juga tak menyinggung sedikit pun pertentangan akal dan teks agama yang, boleh jadi, berrnula dari pemalsuan hadis ataupun kesalahan perawi.</w:t>
      </w:r>
      <w:r>
        <w:rPr>
          <w:rStyle w:val="FootnoteAnchor"/>
        </w:rPr>
        <w:footnoteReference w:id="313"/>
      </w:r>
      <w:r>
        <w:rPr>
          <w:rFonts w:eastAsia="Times New Roman" w:cs="Times New Roman" w:ascii="Times New Roman" w:hAnsi="Times New Roman"/>
          <w:color w:val="111111"/>
          <w:sz w:val="28"/>
          <w:szCs w:val="28"/>
          <w:lang w:val="en-US"/>
        </w:rPr>
        <w:t>Sebaliknya, siapapun yang meriwayatkan hadis perihal keutamaan akal justru divonisnya sebagai pemalsu hadis.</w:t>
      </w:r>
      <w:r>
        <w:rPr>
          <w:rStyle w:val="FootnoteAnchor"/>
        </w:rPr>
        <w:footnoteReference w:id="314"/>
      </w:r>
      <w:r>
        <w:rPr>
          <w:rFonts w:eastAsia="Times New Roman" w:cs="Times New Roman" w:ascii="Times New Roman" w:hAnsi="Times New Roman"/>
          <w:color w:val="111111"/>
          <w:sz w:val="28"/>
          <w:szCs w:val="28"/>
          <w:lang w:val="en-US"/>
        </w:rPr>
        <w:t xml:space="preserve">Seluruh hadis Nabi Saw yang mengindikasikan keutamaan akal akan langsung dinilai tidak sahih: </w:t>
      </w:r>
      <w:bookmarkStart w:id="277" w:name="pg5378_50657"/>
    </w:p>
    <w:p>
      <w:pPr>
        <w:pStyle w:val="BookText"/>
        <w:bidi w:val="0"/>
        <w:rPr/>
      </w:pPr>
      <w:bookmarkEnd w:id="277"/>
      <w:r>
        <w:rPr>
          <w:rFonts w:eastAsia="Times New Roman" w:cs="Times New Roman" w:ascii="Times New Roman" w:hAnsi="Times New Roman"/>
          <w:color w:val="111111"/>
          <w:sz w:val="28"/>
          <w:szCs w:val="28"/>
          <w:lang w:val="en-US"/>
        </w:rPr>
        <w:t>Hadis-hadis yang diriwayatkan dari Nabi berkaitan dengan akal tidaklah otentik, dan para perawinya bukan orang jujur dan [tidak] dapat dipercaya.</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Barangkali dapat dikatakan bahwa salah satu prinsip rasionalisme ialah menerima substansialitas rasional baik-buruk (al-husn wa al-qubh al-dzati) setiap perbuatan manusia. Pandangan lbnu Taimiyah tentang prinsip ini, pada batas tertentu, mirip dengan pemikiran Muktazilah dan Syiah Imamiyah. Dia menerima sebagian ide substansialitas baik-buruk perbuatan.</w:t>
      </w:r>
      <w:r>
        <w:rPr>
          <w:rStyle w:val="FootnoteAnchor"/>
        </w:rPr>
        <w:footnoteReference w:id="316"/>
      </w:r>
      <w:r>
        <w:rPr>
          <w:rFonts w:eastAsia="Times New Roman" w:cs="Times New Roman" w:ascii="Times New Roman" w:hAnsi="Times New Roman"/>
          <w:color w:val="111111"/>
          <w:sz w:val="28"/>
          <w:szCs w:val="28"/>
          <w:lang w:val="en-US"/>
        </w:rPr>
        <w:t>Akan tetapi secara praktis, prinsip teoretis itu ibarat fondasi yang terkubur begitu saja sehingga tidak berpengaruh pada struktur pemikiran mazhabnya. Karena, salah satu tujuan utama kaum teolog melontarkan prinsip ini adalah eﬁsiensinya dalam menjelaskan sifat-sifat Allah Swt. Akan halnya lbnu Taimiyah justru mendisfungsi prinsip tersebut: yaitu ketika dia menegaskan bahwa Al-Khaliq tidak bisa dibandingkan dengan makhluk, dan baik-buruknya tindakan Tuhan tidak bisa disimpulkan dari baik-buruknya sebagian perkara manusia.</w:t>
      </w:r>
      <w:r>
        <w:rPr>
          <w:rStyle w:val="FootnoteAnchor"/>
        </w:rPr>
        <w:footnoteReference w:id="317"/>
      </w:r>
    </w:p>
    <w:p>
      <w:pPr>
        <w:pStyle w:val="Heading4"/>
        <w:numPr>
          <w:ilvl w:val="3"/>
          <w:numId w:val="1"/>
        </w:numPr>
        <w:bidi w:val="0"/>
        <w:jc w:val="left"/>
        <w:rPr/>
      </w:pPr>
      <w:bookmarkStart w:id="278" w:name="__RefHeading___Toc1351246_581953129"/>
      <w:bookmarkStart w:id="279" w:name="_Toc102"/>
      <w:bookmarkEnd w:id="278"/>
      <w:r>
        <w:rPr/>
        <w:t>Ciri Khas Sifat Khabariyah versi lbnu Taimiyah</w:t>
      </w:r>
      <w:bookmarkEnd w:id="27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lbnu Taimiyah termasuk sosok yang meyakini makna literal sifat- sifat khabariyah, dan bersikukuh dengannya. Dengannya, dia tidak segan-segan menyatakan bahwa Tuhan ’berjasad’ (Jismani). Meski begitu, Allah tidak boleh disamakan dengan seluruh ciptaan-Nya. Dalam hal ini, menyamakan ’fisikalitas’ (Tajsim) dan 'penyerupaan' (tasybih) Tuhan merupakan kesalahan fatal yang pemah dilakukan kaum teolog.</w:t>
      </w:r>
      <w:r>
        <w:rPr>
          <w:rStyle w:val="FootnoteAnchor"/>
        </w:rPr>
        <w:footnoteReference w:id="318"/>
      </w:r>
    </w:p>
    <w:p>
      <w:pPr>
        <w:pStyle w:val="BookText"/>
        <w:bidi w:val="0"/>
        <w:rPr/>
      </w:pPr>
      <w:r>
        <w:rPr>
          <w:rFonts w:eastAsia="Times New Roman" w:cs="Times New Roman" w:ascii="Times New Roman" w:hAnsi="Times New Roman"/>
          <w:color w:val="111111"/>
          <w:sz w:val="28"/>
          <w:szCs w:val="28"/>
          <w:lang w:val="en-US"/>
        </w:rPr>
        <w:t>Menurut keyakinan yang diusung Ibnu Taimiyah dan mazhabnya, Tuhan memiliki tangan, kaki, dan mata. Juga tempat tinggal dan bersemayam di langit.</w:t>
      </w:r>
      <w:r>
        <w:rPr>
          <w:rStyle w:val="FootnoteAnchor"/>
        </w:rPr>
        <w:footnoteReference w:id="319"/>
      </w:r>
      <w:r>
        <w:rPr>
          <w:rFonts w:eastAsia="Times New Roman" w:cs="Times New Roman" w:ascii="Times New Roman" w:hAnsi="Times New Roman"/>
          <w:color w:val="111111"/>
          <w:sz w:val="28"/>
          <w:szCs w:val="28"/>
          <w:lang w:val="en-US"/>
        </w:rPr>
        <w:t>Dia turun ke langit dunia setiap waktu menjelang subuh. Dia akan berjalan di Hari Kiamat dengan diiringi pasukan malaikat.</w:t>
      </w:r>
      <w:r>
        <w:rPr>
          <w:rStyle w:val="FootnoteAnchor"/>
        </w:rPr>
        <w:footnoteReference w:id="320"/>
      </w:r>
      <w:r>
        <w:rPr>
          <w:rFonts w:eastAsia="Times New Roman" w:cs="Times New Roman" w:ascii="Times New Roman" w:hAnsi="Times New Roman"/>
          <w:color w:val="111111"/>
          <w:sz w:val="28"/>
          <w:szCs w:val="28"/>
          <w:lang w:val="en-US"/>
        </w:rPr>
        <w:t>Orang-orang mukmin pada hari itulah dapat melihat keagungan Tuhan dengan mata kepala. Kendati demikian, ”Tiada sesuatu apa pun seperti-Nya”.</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Ibnu Taimiyah menisbatkan keyakinan semacam ini kepada kaum Salaf. Namun, dia menegaskan bahwa pandangan kaum Salaf—yang meyakini seluruh makna dari sifat-sifat itu telah diserahkan kepada Allah Swt, dan celah untuk memahaminya sama sekali telah tertutup bagi manusia-tak lebih dari omong kosong dan klaim belaka. Mengikuti pandangan Malik bin Anas, dia menandaskan bahwa seluruh makna sifat ini dapat dicerap dan dicapai, namun bentuknya tidak bisa diketahui. Sebagai contoh, makna dan ‘bentuk’ turunnya Tuhan ke langit dunia:</w:t>
      </w:r>
    </w:p>
    <w:p>
      <w:pPr>
        <w:pStyle w:val="BookText"/>
        <w:bidi w:val="0"/>
        <w:jc w:val="both"/>
        <w:rPr/>
      </w:pPr>
      <w:r>
        <w:rPr>
          <w:rFonts w:eastAsia="Times New Roman" w:cs="Times New Roman" w:ascii="Times New Roman" w:hAnsi="Times New Roman"/>
          <w:color w:val="111111"/>
          <w:sz w:val="28"/>
          <w:szCs w:val="28"/>
          <w:lang w:val="en-US"/>
        </w:rPr>
        <w:t>Makna turun sudah diketahui, namun kaifiyyah ’bentuk’nya tidak diketahui. Mengimaninya merupakan keharusan. Bertanya tentang-nya adalah bid'ah.</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Padahal, pada saat yang sama, dia mengutip Ahmad bin Hanbal yang saat ditanya tentangnya, menjawab:</w:t>
      </w:r>
    </w:p>
    <w:p>
      <w:pPr>
        <w:pStyle w:val="BookText"/>
        <w:bidi w:val="0"/>
        <w:jc w:val="both"/>
        <w:rPr/>
      </w:pPr>
      <w:r>
        <w:rPr>
          <w:rFonts w:eastAsia="Times New Roman" w:cs="Times New Roman" w:ascii="Times New Roman" w:hAnsi="Times New Roman"/>
          <w:color w:val="111111"/>
          <w:sz w:val="28"/>
          <w:szCs w:val="28"/>
          <w:lang w:val="en-US"/>
        </w:rPr>
        <w:t>Kita mengimani dan membenarkannya [hadis-hadis itu], meski tak ada bentuk ataupun makna?</w:t>
      </w:r>
      <w:r>
        <w:rPr>
          <w:rStyle w:val="FootnoteAnchor"/>
        </w:rPr>
        <w:footnoteReference w:id="32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sini, Ibnu Taimiyah bermaksud mencari pembenaran atas pernyataan Ahmad bin Hanbal, dan ungkapan ’tak ada makna’ (La </w:t>
      </w:r>
    </w:p>
    <w:p>
      <w:pPr>
        <w:pStyle w:val="BookText"/>
        <w:bidi w:val="0"/>
        <w:rPr/>
      </w:pPr>
      <w:r>
        <w:rPr>
          <w:rFonts w:eastAsia="Times New Roman" w:cs="Times New Roman" w:ascii="Times New Roman" w:hAnsi="Times New Roman"/>
          <w:color w:val="111111"/>
          <w:sz w:val="28"/>
          <w:szCs w:val="28"/>
          <w:lang w:val="en-US"/>
        </w:rPr>
        <w:t>ma'na) ditafsirkan sebagai berikut; dengan takwil, kita tidak tidak mencipta makna sifat itu, tetapi kita biarkan saja makna literalnya tampak sebagaimana adanya.</w:t>
      </w:r>
    </w:p>
    <w:p>
      <w:pPr>
        <w:pStyle w:val="BookText"/>
        <w:bidi w:val="0"/>
        <w:jc w:val="both"/>
        <w:rPr/>
      </w:pPr>
      <w:r>
        <w:rPr>
          <w:rFonts w:eastAsia="Times New Roman" w:cs="Times New Roman" w:ascii="Times New Roman" w:hAnsi="Times New Roman"/>
          <w:color w:val="111111"/>
          <w:sz w:val="28"/>
          <w:szCs w:val="28"/>
          <w:lang w:val="en-US"/>
        </w:rPr>
        <w:t>Perlu dijelaskan lebih jauh bahwa untuk mengelak dari Antropomorfisme (tasybih), sebagian tokoh Ahli Hadis klasik melarang menggerakkan tangan sewaktu membaca ayat yang menyebutkan ’tangan Tuhan’. Namun Ibnu Tairniyah tidak berpikir ke arah itu. Sebagaimana disebutkan Ibnu Batutah (w. 779 H) dalam buku catatan perjalanannya yang termasyhur, Ibnu Taimiyah mendeskripsikan turunnya Allah dari langit sebagaimana dirinya turun dari mimbar:</w:t>
      </w:r>
    </w:p>
    <w:p>
      <w:pPr>
        <w:pStyle w:val="BookText"/>
        <w:bidi w:val="0"/>
        <w:jc w:val="both"/>
        <w:rPr/>
      </w:pPr>
      <w:r>
        <w:rPr>
          <w:rFonts w:eastAsia="Times New Roman" w:cs="Times New Roman" w:ascii="Times New Roman" w:hAnsi="Times New Roman"/>
          <w:color w:val="111111"/>
          <w:sz w:val="28"/>
          <w:szCs w:val="28"/>
          <w:lang w:val="en-US"/>
        </w:rPr>
        <w:t>Di hari Jumat, sewaktu Ibnu Taimiyah berada di mimbar masjid Jami’ (Damaskus) dan sedang berkhotbah, aku memasuki masjid. Salah satu fokusnya berkisar tentang ‘Allah turun ke langit dunia sebagaimana aku turun’, sembari turun dari satu anak tangga mimbar. Sewaktu menyaksikan perilaku Ibnu Taimiyah itu, seorang ahli fikih mazhab Maliki, Ibnu Zahra, kontan protes terhadap perilakunya, dan menyatakan keliru analoginya. Namun, tiba-tiba saja seluruh hadirin berdiri dan menyerang ahli fikih itu dengan menghujaninya pukulan dan lemparan sandal.</w:t>
      </w:r>
      <w:r>
        <w:rPr>
          <w:rStyle w:val="FootnoteAnchor"/>
        </w:rPr>
        <w:footnoteReference w:id="32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Menurut Ibnu Taimiyah, seluruh ajaran tauhid, nama-nama, dan sifat-sifat Allah yang maktub dalam kitab Taurat di masanya sesuai mutlak dengan ajaran Alquran.</w:t>
      </w:r>
      <w:r>
        <w:rPr>
          <w:rStyle w:val="FootnoteAnchor"/>
        </w:rPr>
        <w:footnoteReference w:id="325"/>
      </w:r>
      <w:r>
        <w:rPr>
          <w:rFonts w:eastAsia="Times New Roman" w:cs="Times New Roman" w:ascii="Times New Roman" w:hAnsi="Times New Roman"/>
          <w:color w:val="111111"/>
          <w:sz w:val="28"/>
          <w:szCs w:val="28"/>
          <w:lang w:val="en-US"/>
        </w:rPr>
        <w:t>lni dikuatkan juga oleh sebuah hadis dari Sahih Al-Bukhari‘ dan Sahih Muslim</w:t>
      </w:r>
      <w:r>
        <w:rPr>
          <w:rStyle w:val="FootnoteAnchor"/>
        </w:rPr>
        <w:footnoteReference w:id="326"/>
      </w:r>
    </w:p>
    <w:p>
      <w:pPr>
        <w:pStyle w:val="BookText"/>
        <w:bidi w:val="0"/>
        <w:rPr/>
      </w:pPr>
      <w:r>
        <w:rPr>
          <w:rFonts w:eastAsia="Times New Roman" w:cs="Times New Roman" w:ascii="Times New Roman" w:hAnsi="Times New Roman"/>
          <w:color w:val="111111"/>
          <w:sz w:val="28"/>
          <w:szCs w:val="28"/>
          <w:lang w:val="en-US"/>
        </w:rPr>
        <w:t>Seorang cendekiawan Yahudi mendatangi Nabi Saw dan mengatakan, ”... Di Hari Kiamat, Allah akan meletakkan segenap langit di satu jari-Nya, semua lapisan bumi di jari lainnya, gunung—gunung beserta pepohonan di jari ketiga, air dan tanah di jari keempat, sementara hasil ciptaan lain diletakkan di jari kelima. Lantas Dia menjepit semuanya seraya berfirman, ’Aku adalah Tuhan, Aku adalah Tuhan."’ Dengan perasaan takjub</w:t>
      </w:r>
      <w:r>
        <w:rPr>
          <w:rStyle w:val="FootnoteAnchor"/>
        </w:rPr>
        <w:footnoteReference w:id="327"/>
      </w:r>
      <w:r>
        <w:rPr>
          <w:rFonts w:eastAsia="Times New Roman" w:cs="Times New Roman" w:ascii="Times New Roman" w:hAnsi="Times New Roman"/>
          <w:color w:val="111111"/>
          <w:sz w:val="28"/>
          <w:szCs w:val="28"/>
          <w:lang w:val="en-US"/>
        </w:rPr>
        <w:t>seraya membenarkan uraian orang Yahudi itu, Nabi tersenyum lantas membaca ayat, ”Dan mereka tidak mengagungkan Allah dengan pengagungan yang semestinya pndahal bumi selurulmya dalam genggaman-Nya pada Hari Kiamat dan langit digulung dengan tangan Kanan-Nya. Maha Suci Tuhan dan Mha Tinggi Dia dari apa yang mereka persekutukan" (QS Al-Zumar [39]: 67).</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lnilah deskripsi tentang ”sosok” Tuhan yang dikemukakan dalam sejumlah riwayat. Seperti umumnya kalangan ulama Ahli Sunah, Ibnu Taimiyah juga mengakui hadis-hadis semacam ini mu’tabar ’otentik’ dan tidak dapat disangkal kesahihannya. Berikutnya, dia berusaha keras mengadvokasi makna literal dari hadis-hadis tersebut. Seraya itu, dia menentang dan menolak setiap argumentasi yang dianggap menentang makna literalnya. Kendati begitu, adakalanya dia menggunakan penalaran rasional dalam menimbang sejumlah riwayat yang terkait dengan sifat-sifat Allah Swt. Hanya penalaran rasional ini lantas dioperasikan untuk memahami bahwa ukuran singgasana (’Arsy) Allah tidak mungkin lebih besar dari Diri-Nya. Karena itu, riwayat yang menyatakan bahwa Allah Swt meliput seluruh singgasana (’Arsy), lebih diutamakan ketimbang riwayat yang mengatakan: </w:t>
      </w:r>
      <w:bookmarkStart w:id="280" w:name="pg5378_50664"/>
    </w:p>
    <w:p>
      <w:pPr>
        <w:pStyle w:val="BookText"/>
        <w:bidi w:val="0"/>
        <w:rPr/>
      </w:pPr>
      <w:bookmarkEnd w:id="280"/>
      <w:r>
        <w:rPr>
          <w:rFonts w:eastAsia="Times New Roman" w:cs="Times New Roman" w:ascii="Times New Roman" w:hAnsi="Times New Roman"/>
          <w:color w:val="111111"/>
          <w:sz w:val="28"/>
          <w:szCs w:val="28"/>
          <w:lang w:val="en-US"/>
        </w:rPr>
        <w:t>Setelah Allah bersemayam di ’Arsy, tempat yang tersisa hanya sejarak empat jari tangan. Sejarak itu pula Tuhan unggul.</w:t>
      </w:r>
      <w:r>
        <w:rPr>
          <w:rStyle w:val="FootnoteAnchor"/>
        </w:rPr>
        <w:footnoteReference w:id="328"/>
      </w:r>
    </w:p>
    <w:p>
      <w:pPr>
        <w:pStyle w:val="Heading4"/>
        <w:numPr>
          <w:ilvl w:val="3"/>
          <w:numId w:val="1"/>
        </w:numPr>
        <w:bidi w:val="0"/>
        <w:jc w:val="left"/>
        <w:rPr/>
      </w:pPr>
      <w:bookmarkStart w:id="281" w:name="__RefHeading___Toc1351248_581953129"/>
      <w:bookmarkStart w:id="282" w:name="_Toc103"/>
      <w:bookmarkEnd w:id="281"/>
      <w:r>
        <w:rPr/>
        <w:t>Menolak Logika Aristotelian</w:t>
      </w:r>
      <w:bookmarkEnd w:id="282"/>
    </w:p>
    <w:p>
      <w:pPr>
        <w:pStyle w:val="BookText"/>
        <w:bidi w:val="0"/>
        <w:jc w:val="both"/>
        <w:rPr/>
      </w:pPr>
      <w:r>
        <w:rPr>
          <w:rFonts w:eastAsia="Times New Roman" w:cs="Times New Roman" w:ascii="Times New Roman" w:hAnsi="Times New Roman"/>
          <w:color w:val="111111"/>
          <w:sz w:val="28"/>
          <w:szCs w:val="28"/>
          <w:lang w:val="en-US"/>
        </w:rPr>
        <w:t xml:space="preserve">Ibnu Taimiyah menolak mentah-mentah logika aristotelian. Untuk itu, dia menulis karya khusus, Nashihah Ahl Al-Iman fi Al-Radd 'ala Manthiq Al-Yunan </w:t>
      </w:r>
      <w:r>
        <w:rPr>
          <w:rStyle w:val="FootnoteAnchor"/>
        </w:rPr>
        <w:footnoteReference w:id="329"/>
      </w:r>
      <w:r>
        <w:rPr>
          <w:rFonts w:eastAsia="Times New Roman" w:cs="Times New Roman" w:ascii="Times New Roman" w:hAnsi="Times New Roman"/>
          <w:color w:val="111111"/>
          <w:sz w:val="28"/>
          <w:szCs w:val="28"/>
          <w:lang w:val="en-US"/>
        </w:rPr>
        <w:t>(Nasihat Kritis Orang Beriman perihal Logika Yunani). Penolakannya ini merupakan pengejawantahan dari ide bahwa seluruh ihwal rasional yang tidak direstui Alquran dan Sunah adalah ilegal. Logikanya begini: bila segenap sahabat dianggap kelompok yang paling tahu, sementara generasi setelahnya dipandang lebih dekat dengan masa Nabi dan secara ilmu, amal, akal, serta keimanan jauh lebih baik dari generasi setelahnya</w:t>
      </w:r>
      <w:r>
        <w:rPr>
          <w:rStyle w:val="FootnoteAnchor"/>
        </w:rPr>
        <w:footnoteReference w:id="330"/>
      </w:r>
      <w:r>
        <w:rPr>
          <w:rFonts w:eastAsia="Times New Roman" w:cs="Times New Roman" w:ascii="Times New Roman" w:hAnsi="Times New Roman"/>
          <w:color w:val="111111"/>
          <w:sz w:val="28"/>
          <w:szCs w:val="28"/>
          <w:lang w:val="en-US"/>
        </w:rPr>
        <w:t>maka bagaimana mungkin logika Yunani yang diimpor ke dunia Islam beberapa abad setelah kemunculan Islam dapat diterima, dan mempelajarinya sebagai kewajiban agama (Taklif Syar'i?)</w:t>
      </w:r>
      <w:r>
        <w:rPr>
          <w:rStyle w:val="FootnoteAnchor"/>
        </w:rPr>
        <w:footnoteReference w:id="331"/>
      </w:r>
      <w:r>
        <w:rPr>
          <w:rFonts w:eastAsia="Times New Roman" w:cs="Times New Roman" w:ascii="Times New Roman" w:hAnsi="Times New Roman"/>
          <w:color w:val="111111"/>
          <w:sz w:val="28"/>
          <w:szCs w:val="28"/>
          <w:lang w:val="en-US"/>
        </w:rPr>
        <w:t>Berkenaan dengan logika dan filsafat Yunani, Ibnu Qayyim —juru bicara mazhab gurunya, Ibnu Taimiyah —mengklaimnya sebagai bencana besar bagi dunia Islam</w:t>
      </w:r>
      <w:r>
        <w:rPr>
          <w:rStyle w:val="FootnoteAnchor"/>
        </w:rPr>
        <w:footnoteReference w:id="33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Syariat berasal dari Allah dan berakhir kepada-Nya. Di dalamnya tidak ada kata-kata bingung para pendukung logika yang, sebenarnya, berasal dari keterangan seorang musyrik clan penyembah berhala Yunani. Bagaimana mungkin akal orang musyrik dijadikan tolok ukur kebenaran Wahyu Ilahi? Apa </w:t>
      </w:r>
    </w:p>
    <w:p>
      <w:pPr>
        <w:pStyle w:val="BookText"/>
        <w:bidi w:val="0"/>
        <w:rPr/>
      </w:pPr>
      <w:r>
        <w:rPr>
          <w:rFonts w:eastAsia="Times New Roman" w:cs="Times New Roman" w:ascii="Times New Roman" w:hAnsi="Times New Roman"/>
          <w:color w:val="111111"/>
          <w:sz w:val="28"/>
          <w:szCs w:val="28"/>
          <w:lang w:val="en-US"/>
        </w:rPr>
        <w:t>hubungan filsafat dan agarna? Apa hubungan firman Tuhan alam semesta dengan pemikiran bangsa Yunani sang penyembah api</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Konon, dalam upaya menetapkan ilegalitas logika aristotelian, Ibnu Taimiyah mengemukakan beberapa konsepnya seraya kemudian mengritiknya. Usaha ini tergolong bagus dan layak diapresiasi, karena aturan berpikir semacam itu sebenarnya telah eksis dan inheren dalam fitrah manusia, kendati Aristoteles yang merumuskannya. Tentu dalam hal ini, kekeliruan mungkin saja terjadi. Namun, jika sejak awal diklaim bahwa setiap produk rasional yang tidak dilegitimasi Alquran dan Sunah hanyalah kekufuran dan zindiq (menentang kebenaran agama) dan apa saja yang berlabel ’Yunani’ adalah cela yang tak terampuni, niscaya sikap objektif dalam menilai sesuatu tak akan pernah terwujud, dan fanatisme serta kejumudan juga akan kian pekat mengental.</w:t>
      </w:r>
    </w:p>
    <w:p>
      <w:pPr>
        <w:pStyle w:val="BookText"/>
        <w:bidi w:val="0"/>
        <w:jc w:val="both"/>
        <w:rPr/>
      </w:pPr>
      <w:r>
        <w:rPr>
          <w:rFonts w:eastAsia="Times New Roman" w:cs="Times New Roman" w:ascii="Times New Roman" w:hAnsi="Times New Roman"/>
          <w:color w:val="111111"/>
          <w:sz w:val="28"/>
          <w:szCs w:val="28"/>
          <w:lang w:val="en-US"/>
        </w:rPr>
        <w:t>Sebenamya, terdapat banyak kerancuan dalam kritik-kritik Ibnu Taimiyah terhadap logika Aristetolian. Namun agar tidak sampai melenceng jauh dari alur pembahasan, dalam kesempatan kali ini, hanya salah satu di antaranya yang dapat dikemukakan. Dalam pandangan Ibnu Taimiyah, selain pendukung logika Aristotelian, tidak ada satupun orang berakal akan merumuskan argurnentasi rasionalnya hanya dari dua premis (major dan minor). Padahal, jumlah premis setiap argumentasi bisa berubah sesuai kebutuhan. Misalnya, setiap kali dijumpai ayat atau hadis yang menyatakan, Minuman memabukan itu haram, maka ini sudah bisa dijadikan satu- satunya premis untuk langsung disimpulkan haramnya minuman keras; tanpa lagi perlu premis lain.</w:t>
      </w:r>
      <w:r>
        <w:rPr>
          <w:rStyle w:val="FootnoteAnchor"/>
        </w:rPr>
        <w:footnoteReference w:id="33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 tanggapan atas pernyataan ini, dapat dikatakan bahwa penarikan kesimpulan ini telah didahului premis lain yang sudah </w:t>
      </w:r>
      <w:bookmarkStart w:id="283" w:name="pg5378_50668"/>
    </w:p>
    <w:p>
      <w:pPr>
        <w:pStyle w:val="BookText"/>
        <w:bidi w:val="0"/>
        <w:rPr/>
      </w:pPr>
      <w:bookmarkEnd w:id="283"/>
      <w:r>
        <w:rPr>
          <w:rFonts w:eastAsia="Times New Roman" w:cs="Times New Roman" w:ascii="Times New Roman" w:hAnsi="Times New Roman"/>
          <w:color w:val="111111"/>
          <w:sz w:val="28"/>
          <w:szCs w:val="28"/>
          <w:lang w:val="en-US"/>
        </w:rPr>
        <w:t>diterima [kendati tidak diungkapkan secara eksplisit]. Senyatanya, premis lain ini berfungsi sebagai major argumentasi tadi, yaitu statemen Setiap yang bersumber dan’ Alquran dan Sunah Nabi adalah hukum Allah. Jelas sekali, setiap Muslim niscaya menerima premis Dan ia akan menarik kesimpulan hukum haram itu setelah mengkombinasikan premis ini dengan premis tersebut di atas. Karena itu, tidak menyebutkan suatu premis dalam rumusan argumentasi bukan berarti premis tersebut tidak diperlukan.</w:t>
      </w:r>
    </w:p>
    <w:p>
      <w:pPr>
        <w:pStyle w:val="Heading4"/>
        <w:numPr>
          <w:ilvl w:val="3"/>
          <w:numId w:val="1"/>
        </w:numPr>
        <w:bidi w:val="0"/>
        <w:jc w:val="left"/>
        <w:rPr/>
      </w:pPr>
      <w:bookmarkStart w:id="284" w:name="__RefHeading___Toc1351250_581953129"/>
      <w:bookmarkStart w:id="285" w:name="_Toc104"/>
      <w:bookmarkEnd w:id="284"/>
      <w:r>
        <w:rPr/>
        <w:t>Reaksi terhadap Pemikiran Ibnu Taimiyah</w:t>
      </w:r>
      <w:bookmarkEnd w:id="285"/>
    </w:p>
    <w:p>
      <w:pPr>
        <w:pStyle w:val="BookText"/>
        <w:bidi w:val="0"/>
        <w:jc w:val="both"/>
        <w:rPr/>
      </w:pPr>
      <w:r>
        <w:rPr>
          <w:rFonts w:eastAsia="Times New Roman" w:cs="Times New Roman" w:ascii="Times New Roman" w:hAnsi="Times New Roman"/>
          <w:color w:val="111111"/>
          <w:sz w:val="28"/>
          <w:szCs w:val="28"/>
          <w:lang w:val="en-US"/>
        </w:rPr>
        <w:t>Literalitasme radikal dan marginalisasi peran akal dalam menelaah kandungan riwayat menyebabkan Ibnu Taimiyah, walau dengan slogannya ’Kembali ke Salaf', harus berhadapan dengan segenap kaum Salaf. Pada hematnya, apa saja yang saat itu diajarkan sebagai tauhid mumi dan yang sesungguhnya, justru dianggap syirik dan sesat hanya bersandar pada beberapa riwayat yang tak berdasar atau bisa dimaknai secara rasional.</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Sejak dulu, upaya menjalin hubungan yang lebih erat dengan para pembawa pesan tauhid mengharuskan kaum Muslimin menempuh berbagai kesulitan. Dengan berkumpul di tempat turunnya wahyu, serta berziarah ke makam para kekasih Allah, mereka bermaksud ’meneguhkan sumpah setia’ (tajdid al-bai’ah). Tindakan ini, selain selaras dengan akal dan fitrah, juga dikonfirmasi sejumlah hadis dan sirah ’amaliyyah ’pola kehidupan’ Nabi Saw. Namun, tiba-tiba, Ibnu Taimiyah menyerang tradisi ini yang sebenamya sudah umum dipraktikkan kaum Muslimin. Dengan mengandalkan beberapa hadis, seperti, ”]anganlah kalian bepergian kecuali menuju tiga masjid; Al-Haram, Al-Aqsa, dan masjidku ini</w:t>
      </w:r>
      <w:r>
        <w:rPr>
          <w:rStyle w:val="FootnoteAnchor"/>
        </w:rPr>
        <w:footnoteReference w:id="335"/>
      </w:r>
      <w:r>
        <w:rPr>
          <w:rFonts w:eastAsia="Times New Roman" w:cs="Times New Roman" w:ascii="Times New Roman" w:hAnsi="Times New Roman"/>
          <w:color w:val="111111"/>
          <w:sz w:val="28"/>
          <w:szCs w:val="28"/>
          <w:lang w:val="en-US"/>
        </w:rPr>
        <w:t xml:space="preserve">dia menghukumi </w:t>
      </w:r>
    </w:p>
    <w:p>
      <w:pPr>
        <w:pStyle w:val="BookText"/>
        <w:bidi w:val="0"/>
        <w:rPr/>
      </w:pPr>
      <w:r>
        <w:rPr>
          <w:rFonts w:eastAsia="Times New Roman" w:cs="Times New Roman" w:ascii="Times New Roman" w:hAnsi="Times New Roman"/>
          <w:color w:val="111111"/>
          <w:sz w:val="28"/>
          <w:szCs w:val="28"/>
          <w:lang w:val="en-US"/>
        </w:rPr>
        <w:t>sesat praktik menziarahi makam Nabi Saw</w:t>
      </w:r>
      <w:r>
        <w:rPr>
          <w:rStyle w:val="FootnoteAnchor"/>
        </w:rPr>
        <w:footnoteReference w:id="336"/>
      </w:r>
      <w:r>
        <w:rPr>
          <w:rFonts w:eastAsia="Times New Roman" w:cs="Times New Roman" w:ascii="Times New Roman" w:hAnsi="Times New Roman"/>
          <w:color w:val="111111"/>
          <w:sz w:val="28"/>
          <w:szCs w:val="28"/>
          <w:lang w:val="en-US"/>
        </w:rPr>
        <w:t>ataupun makam Nabi Ibrahlm as.</w:t>
      </w:r>
      <w:r>
        <w:rPr>
          <w:rStyle w:val="FootnoteAnchor"/>
        </w:rPr>
        <w:footnoteReference w:id="337"/>
      </w:r>
      <w:r>
        <w:rPr>
          <w:rFonts w:eastAsia="Times New Roman" w:cs="Times New Roman" w:ascii="Times New Roman" w:hAnsi="Times New Roman"/>
          <w:color w:val="111111"/>
          <w:sz w:val="28"/>
          <w:szCs w:val="28"/>
          <w:lang w:val="en-US"/>
        </w:rPr>
        <w:t>Sewaktu mengunjungi masjid Aqsa dan usai berceramah seputar topik itu di hadapan khalayak, Ibnu Qayim Jauzi (murid setia Ibnu Taimiyah) mengumumkan, ”Atas dasar itu, aku akan pulang dari sini tanpa menziarahi makam Ibrahlm Al-Khalil.</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Selain itu, Ibnu Taimiyah juga menyasar sejumlah masalah,</w:t>
      </w:r>
      <w:r>
        <w:rPr>
          <w:rStyle w:val="FootnoteAnchor"/>
        </w:rPr>
        <w:footnoteReference w:id="339"/>
      </w:r>
      <w:r>
        <w:rPr>
          <w:rFonts w:eastAsia="Times New Roman" w:cs="Times New Roman" w:ascii="Times New Roman" w:hAnsi="Times New Roman"/>
          <w:color w:val="111111"/>
          <w:sz w:val="28"/>
          <w:szCs w:val="28"/>
          <w:lang w:val="en-US"/>
        </w:rPr>
        <w:t>seperti ’bermediasi’ (tawassul) dengan para kekasih Allah ataupun mencari berkah (tabarruk) pada situs-situs peninggalan mereka— yang semua itu telah jadi kebiasaan umum Muslimin sejak dulu dan memiliki dasar Alquran, Sunah, dan pola hidup Muslimin di masa awal Islam. Sekalipun demikian, Ibnu Taimiyah mengklaimnya sebagai syirik dan penyekutuan Allah.</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Sikap antirasional Ibnu Taimiyah yang tercermin dalam pandangan dan inovasinya itu ternyata tidak dianggap hal menarik oleh kalangan intelektual Muslim; kalau bukan malah menjadi target kecaman keras kalangan pemuka mazhab-mazhab Ahli Sunah. Tak ayal, Ibnu Taimiyah harus berkali-kali merasakan hidup dalam penjara, dan akhirnya menghembuskan nafas terakhir dalam salah satu penjara.</w:t>
      </w:r>
      <w:r>
        <w:rPr>
          <w:rStyle w:val="FootnoteAnchor"/>
        </w:rPr>
        <w:footnoteReference w:id="34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Syamsuddin Muhammad Dzahabi (w. 748 H), sejarahwan yang hidup sezaman dengan Ibnu Taimiyah menilai kecaman dan penistaan yang dialami Ibnu Taimiyah tidak sepadan dengan posisi </w:t>
      </w:r>
      <w:bookmarkStart w:id="286" w:name="pg5378_50672"/>
    </w:p>
    <w:p>
      <w:pPr>
        <w:pStyle w:val="BookText"/>
        <w:bidi w:val="0"/>
        <w:rPr/>
      </w:pPr>
      <w:bookmarkEnd w:id="286"/>
      <w:r>
        <w:rPr>
          <w:rFonts w:eastAsia="Times New Roman" w:cs="Times New Roman" w:ascii="Times New Roman" w:hAnsi="Times New Roman"/>
          <w:color w:val="111111"/>
          <w:sz w:val="28"/>
          <w:szCs w:val="28"/>
          <w:lang w:val="en-US"/>
        </w:rPr>
        <w:t>keilmuannya. Dalam karyanya yang berjudul ’Tadzkirat Al-Huffadz’,</w:t>
      </w:r>
      <w:r>
        <w:rPr>
          <w:rStyle w:val="FootnoteAnchor"/>
        </w:rPr>
        <w:footnoteReference w:id="342"/>
      </w:r>
      <w:r>
        <w:rPr>
          <w:rFonts w:eastAsia="Times New Roman" w:cs="Times New Roman" w:ascii="Times New Roman" w:hAnsi="Times New Roman"/>
          <w:color w:val="111111"/>
          <w:sz w:val="28"/>
          <w:szCs w:val="28"/>
          <w:lang w:val="en-US"/>
        </w:rPr>
        <w:t>Dzahabi memuji Ibnu Taimiyah. Dan dalam salah satu surat bernada teguran, dia memperingatkannya:</w:t>
      </w:r>
    </w:p>
    <w:p>
      <w:pPr>
        <w:pStyle w:val="BookText"/>
        <w:bidi w:val="0"/>
        <w:jc w:val="both"/>
        <w:rPr/>
      </w:pPr>
      <w:r>
        <w:rPr>
          <w:rFonts w:eastAsia="Times New Roman" w:cs="Times New Roman" w:ascii="Times New Roman" w:hAnsi="Times New Roman"/>
          <w:color w:val="111111"/>
          <w:sz w:val="28"/>
          <w:szCs w:val="28"/>
          <w:lang w:val="en-US"/>
        </w:rPr>
        <w:t>Sampai kapan engkau akan terus melihat duri di mata saudaramu, sementara engkau melupakan ranting pohon di pelupuk matamu? Betapa engkau selalu memuji diri dan semua ucapan kosongmu, sementara para ulama kau kecam dan kau remehkan! Engkau senantiasa mencari—cari kesalahan banyak orang Apakah belum tiba waktunya kau bertaubat dari perbuatanmu ini? Bukankah usiamu sekarang menjelang akhir tujuh puluhan dan ajal sudah di ambang pintu? Namun aku tidak yakin engkau akan menerima ucapanku dan mendengar nasihatku, melainkan akan berusaha keras menjawab suratku ini dengan [menulis] berjilid-jilid buku... jika posisimu di sisiku seperti ini, padahal aku termasuk orang yang mencintaimu dan selalu menyayangimu, bagaimana dengan musuh-musuhmu yang memandangmu? Walhasil, jika dalam kesendirian (diam-diam) engkau mereguk manfaat dari semua ucapanku ini, walaupun mencemoohku secara terbuka, maka aku telah mencapai tujuan dari menulis surat ini.</w:t>
      </w:r>
      <w:r>
        <w:rPr>
          <w:rStyle w:val="FootnoteAnchor"/>
        </w:rPr>
        <w:footnoteReference w:id="343"/>
      </w:r>
    </w:p>
    <w:p>
      <w:pPr>
        <w:pStyle w:val="Heading3"/>
        <w:numPr>
          <w:ilvl w:val="2"/>
          <w:numId w:val="1"/>
        </w:numPr>
        <w:bidi w:val="0"/>
        <w:jc w:val="left"/>
        <w:rPr/>
      </w:pPr>
      <w:bookmarkStart w:id="287" w:name="__RefHeading___Toc1351252_581953129"/>
      <w:bookmarkStart w:id="288" w:name="_Toc105"/>
      <w:bookmarkEnd w:id="287"/>
      <w:r>
        <w:rPr/>
        <w:t>Wahabisme, Wajah Baru Ahli Hadis</w:t>
      </w:r>
      <w:bookmarkEnd w:id="28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Setelah Ibnu Taimiyah meninggal dunia, beberapa muridnya seperti Ibnu Katsir Dimasyqi (701-774 H) dan Ibnu Qayyim Jauzi (691-751 H) berusaha menyebarluaskan ajarannya. Namun usaha mereka tidak menuai hasil maksimal. Dalam beberapa masa, mazhab pemikiran ini terkucil dan tidak populer. Sampai akhirnya, pada abad XII H, Muhammad bin Abdul Wahhab (1115-1207 H) mengibarkan panji Salafisme. Dia memberi nuansa baru bagi pemikiran Ibnu Taimiyah. Bahkan, dibanding pendahulunya, pemikirannya jauh lebih kaku </w:t>
      </w:r>
    </w:p>
    <w:p>
      <w:pPr>
        <w:pStyle w:val="BookText"/>
        <w:bidi w:val="0"/>
        <w:rPr/>
      </w:pPr>
      <w:r>
        <w:rPr>
          <w:rFonts w:eastAsia="Times New Roman" w:cs="Times New Roman" w:ascii="Times New Roman" w:hAnsi="Times New Roman"/>
          <w:color w:val="111111"/>
          <w:sz w:val="28"/>
          <w:szCs w:val="28"/>
          <w:lang w:val="en-US"/>
        </w:rPr>
        <w:t>(jumud), khususnya yang berkaitan dengan orientasi pada makna literal teks serta pengkafiran dan Vonis-sesat terhadap lawan- lawannya.</w:t>
      </w:r>
      <w:r>
        <w:rPr>
          <w:rStyle w:val="FootnoteAnchor"/>
        </w:rPr>
        <w:footnoteReference w:id="344"/>
      </w:r>
      <w:r>
        <w:rPr>
          <w:rFonts w:eastAsia="Times New Roman" w:cs="Times New Roman" w:ascii="Times New Roman" w:hAnsi="Times New Roman"/>
          <w:color w:val="111111"/>
          <w:sz w:val="28"/>
          <w:szCs w:val="28"/>
          <w:lang w:val="en-US"/>
        </w:rPr>
        <w:t>' Pandangan-pandangan ekstrimnya yang jauh dari logika dan cenderung irasional membuatnya terasing dari ajaran lslam itu sendiri. Ini memicu reaksi dari seluruh kalangan Muslimin. Vonis hukuman mati bahkan pemah dijatuhkan kepadanya, hanya dia lolos dari ancaman maut itu berkat bantuan Muhammad bin Saud (kakek moyang klan Saudi). lni sekaligus menjadi momentum penyebarluasan ajaran-nya di jazirah Hijaz.</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Ajaran Muhammad bin Abdul Wahhab, yang kemudian dikenal dengan sebutan Wahhabisme ini, lantas menjadi mazhab resmi di Kerajaan Arab Saudi. Dengan mengerahkan seluruh sarana politik, ekonomi, dan budayanya, kerajaan ini berusaha mengeluarkan para pengikut mazhab ini dari isolasi dalam dunia Islam yang selama ini mereka alami. Bersikap ngotot antirasional dan menutup mata dari tuntutan zaman telah menampilkan Islam mereka dalam wajah yang sangat kasar. Literalisme gaya Wahhabi sedemikian rupa sampai-sampai sebagian pengikumya menolak memanfaatkan hasil teknologi, seperti mobil dan telepon, karena masuk dalam kategori bid'ah. Sejak itu, mereka menyulut dimensi berbagai problem yang merepotkan elite penguasa kerajaan Arab Saudi sendiri. Akhirnya, pada 1349 H, mereka pun melakukan sejumlah pemberontakan.</w:t>
      </w:r>
      <w:r>
        <w:rPr>
          <w:rStyle w:val="FootnoteAnchor"/>
        </w:rPr>
        <w:footnoteReference w:id="34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Kelompok ini mengklaim dirinya pengikut Sunah Nabi. Seraya itu, mereka menganggap ajaran kelompok Muslim lain yang berbeda dengan kelompoknya—baik Ahli Sunah maupun Syiah—masih tergolusi ajaran syirik (menyekutukan Tuhan). Lantaran </w:t>
      </w:r>
    </w:p>
    <w:p>
      <w:pPr>
        <w:pStyle w:val="BookText"/>
        <w:bidi w:val="0"/>
        <w:rPr/>
      </w:pPr>
      <w:r>
        <w:rPr>
          <w:rFonts w:eastAsia="Times New Roman" w:cs="Times New Roman" w:ascii="Times New Roman" w:hAnsi="Times New Roman"/>
          <w:color w:val="111111"/>
          <w:sz w:val="28"/>
          <w:szCs w:val="28"/>
          <w:lang w:val="en-US"/>
        </w:rPr>
        <w:t>terus berusaha menghubung-hubungkan masa awal Islam dengan Literalisme, akhlmya mereka mengklaim dirinya sebagai juru-hidup ajaran para pendahulu (Salaf). Mereka mengusung slogan yang berhasil menarik perhatian sebagian orang:</w:t>
      </w:r>
    </w:p>
    <w:p>
      <w:pPr>
        <w:pStyle w:val="BookText"/>
        <w:bidi w:val="0"/>
        <w:jc w:val="both"/>
        <w:rPr/>
      </w:pPr>
      <w:r>
        <w:rPr>
          <w:rFonts w:eastAsia="Times New Roman" w:cs="Times New Roman" w:ascii="Times New Roman" w:hAnsi="Times New Roman"/>
          <w:color w:val="111111"/>
          <w:sz w:val="28"/>
          <w:szCs w:val="28"/>
          <w:lang w:val="en-US"/>
        </w:rPr>
        <w:t>Setiap kebaikan berkat ikut Salaf</w:t>
      </w:r>
    </w:p>
    <w:p>
      <w:pPr>
        <w:pStyle w:val="BookText"/>
        <w:bidi w:val="0"/>
        <w:jc w:val="both"/>
        <w:rPr/>
      </w:pPr>
      <w:r>
        <w:rPr>
          <w:rFonts w:eastAsia="Times New Roman" w:cs="Times New Roman" w:ascii="Times New Roman" w:hAnsi="Times New Roman"/>
          <w:color w:val="111111"/>
          <w:sz w:val="28"/>
          <w:szCs w:val="28"/>
          <w:lang w:val="en-US"/>
        </w:rPr>
        <w:t>setiap keburukan akibat bid’ah para Khalaf</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Mereka mengimbau semua Muslim untuk mengikuti Salaf. Lebih dari itu, mereka menganggap adanya konsensus (ijma') di kalangan sahabat dan tabi’in untuk meninggalkan pemikiran rasional serta menjauhi penakwilan teks.</w:t>
      </w:r>
      <w:r>
        <w:rPr>
          <w:rStyle w:val="FootnoteAnchor"/>
        </w:rPr>
        <w:footnoteReference w:id="348"/>
      </w:r>
      <w:r>
        <w:rPr>
          <w:rFonts w:eastAsia="Times New Roman" w:cs="Times New Roman" w:ascii="Times New Roman" w:hAnsi="Times New Roman"/>
          <w:color w:val="111111"/>
          <w:sz w:val="28"/>
          <w:szCs w:val="28"/>
          <w:lang w:val="en-US"/>
        </w:rPr>
        <w:t>Atas dasar inilah mereka lantas menuduh setiap kelompok yang, walau tak seberapa, mencurahkan perhatian pada posisi dan fungsi akal serta melibatkan akal dalam proses memahami ajaran wahyu sebagai pengikuti syariat akal. Seorang penulis kontemporer berpaham Wahhabi, misalnya, menyatakan bahwa terkait dengan penggunaan akal dalam berargumentasi, kaum Asy’ariyah berada di posisi tengah; antara Ahli Hadis dan Muktazilah</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Tatkala Asy’ariyah mengaku sebagai Ahli Sunah, maka itu klaim sangat besar yang tidak akan mampu dibuktikannya Kendati mereka, secara minimal, juga merujuk Sunah Nabi, namun hal semacam ini bukan karena kesadaran harus mengikuti Sunah, tetapi lebih dikarenakan akal telah memberi kesaksian alas kandungan Sunah tersebut Sebagaimana Imam Ahmad bin Hanbal mengatakan, ”Meski mampu mengakses Sunah yang sesungguhnya, kaum teolog (mutakallim, dan kaum rasionalis) tak akan menjadi Ahli Sunah."</w:t>
      </w:r>
      <w:r>
        <w:rPr>
          <w:rStyle w:val="FootnoteAnchor"/>
        </w:rPr>
        <w:footnoteReference w:id="349"/>
      </w:r>
      <w:bookmarkStart w:id="289" w:name="pg5378_50678"/>
    </w:p>
    <w:p>
      <w:pPr>
        <w:pStyle w:val="BookText"/>
        <w:bidi w:val="0"/>
        <w:rPr/>
      </w:pPr>
      <w:bookmarkEnd w:id="289"/>
      <w:r>
        <w:rPr>
          <w:rFonts w:eastAsia="Times New Roman" w:cs="Times New Roman" w:ascii="Times New Roman" w:hAnsi="Times New Roman"/>
          <w:color w:val="111111"/>
          <w:sz w:val="28"/>
          <w:szCs w:val="28"/>
          <w:lang w:val="en-US"/>
        </w:rPr>
        <w:t>Mengikuti para pendahulunya, kaum Wahhabi masa kini sangat menekankan sifat-sifat jasmaniah Tuhan. Mereka terang-terangan mengatakan, ”Sesungguhnya akal tidak berhak terlibat dalam kajian seputar nama-nama (asma') dan sifat—sifat [Tuhan]</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Lantaran meminggirkan peran akal, mereka terlihat tenang- tenang saja menghadapi pelbagai kritik dan analisis rasional. Mereka bahkan tidak melihat kendala apa pun yang mengganggu pemahamannya yang ambigu. Penjelmaan ajaran Wahhabi ini juga dapat disaksikan dalam klaim yang terus menerus disuarakan seputar ”kembali kepada metode Salaf Saleh".</w:t>
      </w:r>
    </w:p>
    <w:p>
      <w:pPr>
        <w:pStyle w:val="BookText"/>
        <w:bidi w:val="0"/>
        <w:jc w:val="both"/>
        <w:rPr/>
      </w:pPr>
      <w:r>
        <w:rPr>
          <w:rFonts w:eastAsia="Times New Roman" w:cs="Times New Roman" w:ascii="Times New Roman" w:hAnsi="Times New Roman"/>
          <w:color w:val="111111"/>
          <w:sz w:val="28"/>
          <w:szCs w:val="28"/>
          <w:lang w:val="en-US"/>
        </w:rPr>
        <w:t>Dalam masalah sifat-sifat llahi, penakwilan tidak dibenarkan. Namun sifat-sifat tersebut harus ditetapkan apa adanya secara literal dan selayak posisi Tuhan, tanpa mengakibatkan distorsi maupun Agnostisisme (ta’thil),</w:t>
      </w:r>
      <w:r>
        <w:rPr>
          <w:rStyle w:val="FootnoteAnchor"/>
        </w:rPr>
        <w:footnoteReference w:id="351"/>
      </w:r>
      <w:r>
        <w:rPr>
          <w:rFonts w:eastAsia="Times New Roman" w:cs="Times New Roman" w:ascii="Times New Roman" w:hAnsi="Times New Roman"/>
          <w:color w:val="111111"/>
          <w:sz w:val="28"/>
          <w:szCs w:val="28"/>
          <w:lang w:val="en-US"/>
        </w:rPr>
        <w:t>atau bagaimana cara memahami sifat-sifat tersebut, atau menganggapnya sebagaimana sifat-sifat makhluk Uraian kami ini berlaku pada semua sifat seperti: mata, telinga, tangan, dan kaki.</w:t>
      </w:r>
      <w:r>
        <w:rPr>
          <w:rStyle w:val="FootnoteAnchor"/>
        </w:rPr>
        <w:footnoteReference w:id="352"/>
      </w:r>
    </w:p>
    <w:p>
      <w:pPr>
        <w:pStyle w:val="Heading3"/>
        <w:numPr>
          <w:ilvl w:val="2"/>
          <w:numId w:val="1"/>
        </w:numPr>
        <w:bidi w:val="0"/>
        <w:jc w:val="left"/>
        <w:rPr/>
      </w:pPr>
      <w:bookmarkStart w:id="290" w:name="__RefHeading___Toc1351254_581953129"/>
      <w:bookmarkStart w:id="291" w:name="_Toc106"/>
      <w:bookmarkEnd w:id="290"/>
      <w:r>
        <w:rPr/>
        <w:t>Literalisme Menuai Kritik</w:t>
      </w:r>
      <w:bookmarkEnd w:id="291"/>
    </w:p>
    <w:p>
      <w:pPr>
        <w:pStyle w:val="Heading4"/>
        <w:numPr>
          <w:ilvl w:val="3"/>
          <w:numId w:val="1"/>
        </w:numPr>
        <w:bidi w:val="0"/>
        <w:jc w:val="left"/>
        <w:rPr/>
      </w:pPr>
      <w:bookmarkStart w:id="292" w:name="__RefHeading___Toc1351256_581953129"/>
      <w:bookmarkStart w:id="293" w:name="_Toc107"/>
      <w:bookmarkEnd w:id="292"/>
      <w:r>
        <w:rPr/>
        <w:t>Point</w:t>
      </w:r>
      <w:bookmarkEnd w:id="29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Patut direnungkan, bagaimana mungkin di ranah budaya Islam yang sarat konsep rasional, dapat muncul pandangan-pandangan lemah dan tak berdasar semacam itu — yang bahkan sebagian orang tertipu olehnya. Lantas, bagaimana nasib Alquran yang dalam berbagai ayatnya sangat menekankan kemestian berpikir dan merenung demi memperluas wawasan tauhid, kenabian, dan Hari Akhir (eskatologi)? Mengapa mereka mengabaikan riwayat-riwayat yang menyebutkan urgensi berpikir? Bila metode Salaf Saleh saja layak dijadikan tolok </w:t>
      </w:r>
    </w:p>
    <w:p>
      <w:pPr>
        <w:pStyle w:val="BookText"/>
        <w:bidi w:val="0"/>
        <w:rPr/>
      </w:pPr>
      <w:r>
        <w:rPr>
          <w:rFonts w:eastAsia="Times New Roman" w:cs="Times New Roman" w:ascii="Times New Roman" w:hAnsi="Times New Roman"/>
          <w:color w:val="111111"/>
          <w:sz w:val="28"/>
          <w:szCs w:val="28"/>
          <w:lang w:val="en-US"/>
        </w:rPr>
        <w:t>ukur kebenaran suatu perbuatan, lantas bagaimana dengan sosok yang ditempatkan sebagai gerbang ilmu Nabi; figur yang lewat Nahj Al-Balaghoh-nya mampu memuaskan dahaga para pemikir? Apakah kata-kata Ahmad bin Hanbal dan Malik bin Anas yang lahir puluhan tahun setelah wafatnya Rasul Saw jauh lebih berharga dan lebih layak diutamakan ketimbang kata-kata figur agung, Muslim pertama, sahabat Nabi paling tahu, serta paling dekat kedudukannya di sisi Rasul, yakni Amirul Mukminin Ali bin Abi Thalib?!</w:t>
      </w:r>
    </w:p>
    <w:p>
      <w:pPr>
        <w:pStyle w:val="BookText"/>
        <w:bidi w:val="0"/>
        <w:jc w:val="both"/>
        <w:rPr/>
      </w:pPr>
      <w:r>
        <w:rPr>
          <w:rFonts w:eastAsia="Times New Roman" w:cs="Times New Roman" w:ascii="Times New Roman" w:hAnsi="Times New Roman"/>
          <w:color w:val="111111"/>
          <w:sz w:val="28"/>
          <w:szCs w:val="28"/>
          <w:lang w:val="en-US"/>
        </w:rPr>
        <w:t>Sikap pilih kasih kaum literalis terhadap sahabat Nabi dan pembelaannya pada ungkapan-ungkapan yang, secara harfiah, antirasio menunjukkan bahwa mereka menerima agama berdasarkan postulat-postulat absurd yang muncul dari pola pikir yang kaku dan dangkal. Disadari ataupun tidak, akibat membatasi wawasan Islam pada level permukaan dan kulit luar yang kering seraya bersikap antirasional, mereka telah mereduksi kandungan ajaran agama. Darinya, dapat dipahami, manakah ajaran yang benar dan mampu membimbing umat manusia, dan manakah ajaran yang keliru serta berpotensi mendangkalkan pikiran manusia.</w:t>
      </w:r>
    </w:p>
    <w:p>
      <w:pPr>
        <w:pStyle w:val="BookText"/>
        <w:bidi w:val="0"/>
        <w:jc w:val="both"/>
        <w:rPr/>
      </w:pPr>
      <w:r>
        <w:rPr>
          <w:rFonts w:eastAsia="Times New Roman" w:cs="Times New Roman" w:ascii="Times New Roman" w:hAnsi="Times New Roman"/>
          <w:color w:val="111111"/>
          <w:sz w:val="28"/>
          <w:szCs w:val="28"/>
          <w:lang w:val="en-US"/>
        </w:rPr>
        <w:t>Tak diragukan lagi, kemunculan dan penyebaran mazhab ini di tengah budaya dan pemikiran Islam merupakan akibat dari penyelewengan ajaran-ajaran kitab Ilahi dan sunah Nabi. Faktor- faktor utama yang mendorong semua itu adalah penolakan terhadap ajaran Ahlul Bait Nabi (yang senantiasa dikatakan Rasul sebagai 'pendamping Alquran’), fabrikasi hadis-hadis palsu yang lantas disusupkan ke dalam ajaran Islam, serta tipudaya kaum elite (penguasa) yang menggiring dinamika pemikiran masyarakat kepada kepentingan mereka.</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Alhasil, dari seluruh uraian di atas, terdapat sejumlah poin yang penting dicatat: </w:t>
      </w:r>
      <w:bookmarkStart w:id="294" w:name="pg5378_50682"/>
    </w:p>
    <w:p>
      <w:pPr>
        <w:pStyle w:val="Heading4"/>
        <w:numPr>
          <w:ilvl w:val="3"/>
          <w:numId w:val="1"/>
        </w:numPr>
        <w:bidi w:val="0"/>
        <w:jc w:val="left"/>
        <w:rPr/>
      </w:pPr>
      <w:bookmarkStart w:id="295" w:name="__RefHeading___Toc1351258_581953129"/>
      <w:bookmarkStart w:id="296" w:name="_Toc108"/>
      <w:bookmarkEnd w:id="294"/>
      <w:bookmarkEnd w:id="295"/>
      <w:r>
        <w:rPr/>
        <w:t>Makna Mengikuti Teks (Literal)</w:t>
      </w:r>
      <w:bookmarkEnd w:id="296"/>
    </w:p>
    <w:p>
      <w:pPr>
        <w:pStyle w:val="BookText"/>
        <w:bidi w:val="0"/>
        <w:jc w:val="both"/>
        <w:rPr/>
      </w:pPr>
      <w:r>
        <w:rPr>
          <w:rFonts w:eastAsia="Times New Roman" w:cs="Times New Roman" w:ascii="Times New Roman" w:hAnsi="Times New Roman"/>
          <w:color w:val="111111"/>
          <w:sz w:val="28"/>
          <w:szCs w:val="28"/>
          <w:lang w:val="en-US"/>
        </w:rPr>
        <w:t>Tak diragukan lagi, konsekuensi dari keimanan kepada Allah dan Rasul-Nya adalah menerima ”kalam Ilahi” tanpa syarat. Dalam hal ini, tidak diperkenankan menakwil teks Alquran dan Sunah secara sewenang-wenang tanpa pertimbangan aklani, agar terhindar dari kecenderungan menafsir sesuka hati. Jika tidak, ajaran Ilahi niscaya akan mengalami degradasi dari nilai keilahiannya dan menjelma sebagai budak nafsu intelektualitas manusia.</w:t>
      </w:r>
      <w:r>
        <w:rPr>
          <w:rStyle w:val="FootnoteAnchor"/>
        </w:rPr>
        <w:footnoteReference w:id="353"/>
      </w:r>
      <w:r>
        <w:rPr>
          <w:rFonts w:eastAsia="Times New Roman" w:cs="Times New Roman" w:ascii="Times New Roman" w:hAnsi="Times New Roman"/>
          <w:color w:val="111111"/>
          <w:sz w:val="28"/>
          <w:szCs w:val="28"/>
          <w:lang w:val="en-US"/>
        </w:rPr>
        <w:t>Inilah jenis PENAFSIRAN PRIBADI (tafsfr bi al-ra’y) yang sangat dikecam keras kalangan pemimpin agama yang mulia.</w:t>
      </w:r>
    </w:p>
    <w:p>
      <w:pPr>
        <w:pStyle w:val="BookText"/>
        <w:bidi w:val="0"/>
        <w:jc w:val="both"/>
        <w:rPr/>
      </w:pPr>
      <w:r>
        <w:rPr>
          <w:rFonts w:eastAsia="Times New Roman" w:cs="Times New Roman" w:ascii="Times New Roman" w:hAnsi="Times New Roman"/>
          <w:color w:val="111111"/>
          <w:sz w:val="28"/>
          <w:szCs w:val="28"/>
          <w:lang w:val="en-US"/>
        </w:rPr>
        <w:t>Atas dasar itu, ketundukan pada teks secara literal merupakan sebuah kemestian. Sayang, tesis ini kerap disalahgunakan dan dipelintir sedemikian rupa, sebagaimana tercermin pada literalisme radikal. Para penganutnya memelintir slogan ’Mengikuti Teks Literal Alquran dan Sunah’ demi mengafirmasi antropomorfisme sifat-sifat Tuhan, serta menjadikannya standar hakiki keimanan. Padahal, banyak sekali ayat maupun hadis yang mereka jadikan sandaran justru mengandungi ‘makna konvensional’ yang gamblang dan mudah dipaharni; makna yang jelas-jelas menentang apa yang mereka maksudkan. Sebagai contoh, kata .'Yad 'tangan’; bila diungkapkan secara mandiri tanpa didampingi kata lain, umumnya pikiran akan merujuk pada salah satu anggota tubuh manusia. Namun, bila disandingkan dengan kata lain, maka adakalanya makna yang dikandung kata ini akan berbeda hingga tak lagi identik dengan anggota tubuh manusia. Perhatikan bebarapa bait syair Sa'di di bawah ini:</w:t>
      </w:r>
    </w:p>
    <w:p>
      <w:pPr>
        <w:pStyle w:val="BookText"/>
        <w:bidi w:val="0"/>
        <w:jc w:val="both"/>
        <w:rPr/>
      </w:pPr>
      <w:r>
        <w:rPr>
          <w:rFonts w:eastAsia="Times New Roman" w:cs="Times New Roman" w:ascii="Times New Roman" w:hAnsi="Times New Roman"/>
          <w:color w:val="111111"/>
          <w:sz w:val="28"/>
          <w:szCs w:val="28"/>
          <w:lang w:val="en-US"/>
        </w:rPr>
        <w:t>Kini nikmatmu ada di tanganmu, sadarilah</w:t>
      </w:r>
    </w:p>
    <w:p>
      <w:pPr>
        <w:pStyle w:val="BookText"/>
        <w:bidi w:val="0"/>
        <w:jc w:val="both"/>
        <w:rPr/>
      </w:pPr>
      <w:r>
        <w:rPr>
          <w:rFonts w:eastAsia="Times New Roman" w:cs="Times New Roman" w:ascii="Times New Roman" w:hAnsi="Times New Roman"/>
          <w:color w:val="111111"/>
          <w:sz w:val="28"/>
          <w:szCs w:val="28"/>
          <w:lang w:val="en-US"/>
        </w:rPr>
        <w:t>kekuasaan pun beralih dari tangan ke tangam, ketahuilah.</w:t>
      </w:r>
    </w:p>
    <w:p>
      <w:pPr>
        <w:pStyle w:val="BookText"/>
        <w:bidi w:val="0"/>
        <w:jc w:val="both"/>
        <w:rPr/>
      </w:pPr>
      <w:r>
        <w:rPr>
          <w:rFonts w:eastAsia="Times New Roman" w:cs="Times New Roman" w:ascii="Times New Roman" w:hAnsi="Times New Roman"/>
          <w:color w:val="111111"/>
          <w:sz w:val="28"/>
          <w:szCs w:val="28"/>
          <w:lang w:val="en-US"/>
        </w:rPr>
        <w:t>Satu syarat kelangsungan kekuasaan, penuhilah</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jangan pernah angkat tangan kuat di atas yang lemah.</w:t>
      </w:r>
      <w:r>
        <w:rPr>
          <w:rStyle w:val="FootnoteAnchor"/>
        </w:rPr>
        <w:footnoteReference w:id="354"/>
      </w:r>
      <w:bookmarkStart w:id="297" w:name="pg5378_50684"/>
    </w:p>
    <w:p>
      <w:pPr>
        <w:pStyle w:val="BookText"/>
        <w:bidi w:val="0"/>
        <w:rPr/>
      </w:pPr>
      <w:bookmarkEnd w:id="297"/>
      <w:r>
        <w:rPr>
          <w:rFonts w:eastAsia="Times New Roman" w:cs="Times New Roman" w:ascii="Times New Roman" w:hAnsi="Times New Roman"/>
          <w:color w:val="111111"/>
          <w:sz w:val="28"/>
          <w:szCs w:val="28"/>
          <w:lang w:val="en-US"/>
        </w:rPr>
        <w:t>Tak diragukan lagi, 'tangan’ yang dimaksud bukanlah makna literalnya, akan tetapi makna metaforis (Majaz). Demikian pula, saat Alquran menggunakan kata ’tangan terbuka’ untuk Allah dalam firman—Nya, ”... akan tetapi kedua tangan-Nya terbuka” (al—Maidah [S]: 64). Darinya, siapakah orang berakal dan beritikad baik yang tidak memaknainya sebagai ’kemurahan Ilahi’? Akankah dia malah mengafirmasi dogma bahwa "Tuhan merniliki tangan secara fisik"? Di sinilah kejanggalan lbnu Taimiyah</w:t>
      </w:r>
      <w:r>
        <w:rPr>
          <w:rStyle w:val="FootnoteAnchor"/>
        </w:rPr>
        <w:footnoteReference w:id="355"/>
      </w:r>
      <w:r>
        <w:rPr>
          <w:rFonts w:eastAsia="Times New Roman" w:cs="Times New Roman" w:ascii="Times New Roman" w:hAnsi="Times New Roman"/>
          <w:color w:val="111111"/>
          <w:sz w:val="28"/>
          <w:szCs w:val="28"/>
          <w:lang w:val="en-US"/>
        </w:rPr>
        <w:t>dan para pengikutnya:</w:t>
      </w:r>
      <w:r>
        <w:rPr>
          <w:rStyle w:val="FootnoteAnchor"/>
        </w:rPr>
        <w:footnoteReference w:id="356"/>
      </w:r>
      <w:r>
        <w:rPr>
          <w:rFonts w:eastAsia="Times New Roman" w:cs="Times New Roman" w:ascii="Times New Roman" w:hAnsi="Times New Roman"/>
          <w:color w:val="111111"/>
          <w:sz w:val="28"/>
          <w:szCs w:val="28"/>
          <w:lang w:val="en-US"/>
        </w:rPr>
        <w:t>mereka masih saja memahami kata tersebut secara naif sebagai "tangan” dalam pengertian fisik, seraya mengajukan ungkapan ”Fulan telah membuka tangannya” sebagai pembuktiannya bahwa selain bermakna kemurahan, kata ’tangan' di dalamnya juga bisa dipahami sebagai satu bagian dari anggota tubuh!</w:t>
      </w:r>
      <w:r>
        <w:rPr>
          <w:rStyle w:val="FootnoteAnchor"/>
        </w:rPr>
        <w:footnoteReference w:id="357"/>
      </w:r>
    </w:p>
    <w:p>
      <w:pPr>
        <w:pStyle w:val="Heading4"/>
        <w:numPr>
          <w:ilvl w:val="3"/>
          <w:numId w:val="1"/>
        </w:numPr>
        <w:bidi w:val="0"/>
        <w:jc w:val="left"/>
        <w:rPr/>
      </w:pPr>
      <w:bookmarkStart w:id="298" w:name="__RefHeading___Toc1351260_581953129"/>
      <w:bookmarkStart w:id="299" w:name="_Toc109"/>
      <w:bookmarkEnd w:id="298"/>
      <w:r>
        <w:rPr/>
        <w:t>Ambiguitas, Jalan Keluar tanpa Jaminan</w:t>
      </w:r>
      <w:bookmarkEnd w:id="299"/>
    </w:p>
    <w:p>
      <w:pPr>
        <w:pStyle w:val="BookText"/>
        <w:bidi w:val="0"/>
        <w:jc w:val="both"/>
        <w:rPr/>
      </w:pPr>
      <w:r>
        <w:rPr>
          <w:rFonts w:eastAsia="Times New Roman" w:cs="Times New Roman" w:ascii="Times New Roman" w:hAnsi="Times New Roman"/>
          <w:color w:val="111111"/>
          <w:sz w:val="28"/>
          <w:szCs w:val="28"/>
          <w:lang w:val="en-US"/>
        </w:rPr>
        <w:t>Berkaitan dengan sifat-sifat Khabariyah, sekelompok terjerumus dalam jurang Agnostisisme (Ta'thil): menganggap rasio manusia mustahil mernahami sifat-sifat tersebut pada level apa pun. Sekelompok lain justru terperosok ke lembah antropomorfisme (tasybih) yang meniscayakan 'fisikalitas’ (jism) Tuhan.</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Kelompok ketiga yang juga berperan dalam membentuk mayoritas Ahli Sunah adalah kelompok yang acap melontarkan ungkapan-ungkapan kabur dan ambigu. Sebagai contoh, sekali waktu mereka mengartikan istilah 'tangan’ dan ’kaki' Tuhan berdasarkan makna literalnya. Lalu, mereka membantah ucapannya sendiri dengan mengatakan bahwa itu bukan seperti tangan dan kaki manusia. Begitu juga dalam kasus turunnya Allah dari singgasana (’Arsy) yang diklaim sebagaimana manusia turun dari tempat tinggi ke tempat lebih rendah. Namun, mereka lekas merevisinya dengan </w:t>
      </w:r>
    </w:p>
    <w:p>
      <w:pPr>
        <w:pStyle w:val="BookText"/>
        <w:bidi w:val="0"/>
        <w:rPr/>
      </w:pPr>
      <w:r>
        <w:rPr>
          <w:rFonts w:eastAsia="Times New Roman" w:cs="Times New Roman" w:ascii="Times New Roman" w:hAnsi="Times New Roman"/>
          <w:color w:val="111111"/>
          <w:sz w:val="28"/>
          <w:szCs w:val="28"/>
          <w:lang w:val="en-US"/>
        </w:rPr>
        <w:t>Literalisme Ahli Sunah</w:t>
      </w:r>
    </w:p>
    <w:p>
      <w:pPr>
        <w:pStyle w:val="BookText"/>
        <w:bidi w:val="0"/>
        <w:jc w:val="both"/>
        <w:rPr/>
      </w:pPr>
      <w:r>
        <w:rPr>
          <w:rFonts w:eastAsia="Times New Roman" w:cs="Times New Roman" w:ascii="Times New Roman" w:hAnsi="Times New Roman"/>
          <w:color w:val="111111"/>
          <w:sz w:val="28"/>
          <w:szCs w:val="28"/>
          <w:lang w:val="en-US"/>
        </w:rPr>
        <w:t>mengatakan bahwa proses turunnya Tuhan dari singgasana tidak mengakibatkan ’arsy kosong dari eksistensi-Nya.</w:t>
      </w:r>
      <w:r>
        <w:rPr>
          <w:rStyle w:val="FootnoteAnchor"/>
        </w:rPr>
        <w:footnoteReference w:id="358"/>
      </w:r>
      <w:r>
        <w:rPr>
          <w:rFonts w:eastAsia="Times New Roman" w:cs="Times New Roman" w:ascii="Times New Roman" w:hAnsi="Times New Roman"/>
          <w:color w:val="111111"/>
          <w:sz w:val="28"/>
          <w:szCs w:val="28"/>
          <w:lang w:val="en-US"/>
        </w:rPr>
        <w:t>Adakalanya istilah ’tanpa bentuk' (bi la kaif) dijadikan bahkan sebagai tameng untuk melindungi diri dari tudingan tasybih ’menyerupakan Tuhan dengan makhluk’.</w:t>
      </w:r>
    </w:p>
    <w:p>
      <w:pPr>
        <w:pStyle w:val="BookText"/>
        <w:bidi w:val="0"/>
        <w:jc w:val="both"/>
        <w:rPr/>
      </w:pPr>
      <w:r>
        <w:rPr>
          <w:rFonts w:eastAsia="Times New Roman" w:cs="Times New Roman" w:ascii="Times New Roman" w:hAnsi="Times New Roman"/>
          <w:color w:val="111111"/>
          <w:sz w:val="28"/>
          <w:szCs w:val="28"/>
          <w:lang w:val="en-US"/>
        </w:rPr>
        <w:t>Mereka serupakan Dia dengan makhluk.</w:t>
      </w:r>
    </w:p>
    <w:p>
      <w:pPr>
        <w:pStyle w:val="BookText"/>
        <w:bidi w:val="0"/>
        <w:jc w:val="both"/>
        <w:rPr/>
      </w:pPr>
      <w:r>
        <w:rPr>
          <w:rFonts w:eastAsia="Times New Roman" w:cs="Times New Roman" w:ascii="Times New Roman" w:hAnsi="Times New Roman"/>
          <w:color w:val="111111"/>
          <w:sz w:val="28"/>
          <w:szCs w:val="28"/>
          <w:lang w:val="en-US"/>
        </w:rPr>
        <w:t>Namun ketakutan atas kecaman makhluk, membuat mereka bersembunyi</w:t>
      </w:r>
    </w:p>
    <w:p>
      <w:pPr>
        <w:pStyle w:val="BookText"/>
        <w:bidi w:val="0"/>
        <w:jc w:val="both"/>
        <w:rPr/>
      </w:pPr>
      <w:r>
        <w:rPr>
          <w:rFonts w:eastAsia="Times New Roman" w:cs="Times New Roman" w:ascii="Times New Roman" w:hAnsi="Times New Roman"/>
          <w:color w:val="111111"/>
          <w:sz w:val="28"/>
          <w:szCs w:val="28"/>
          <w:lang w:val="en-US"/>
        </w:rPr>
        <w:t>di balik slogan ’tanpa bentuk' (bi la kayf).</w:t>
      </w:r>
      <w:r>
        <w:rPr>
          <w:rStyle w:val="FootnoteAnchor"/>
        </w:rPr>
        <w:footnoteReference w:id="35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Sebenamya ini merupakan contradictio in terminis (terminologi yang unsur-unsur pembentuknya bersifat kontradiktif) lantaran ’frase awal’ dan ’frase akhirnya’ saling meniadakan. Namun, jika itu tetap dipertahankan, maka konsekuensinya akan menjadikan ajaran murni Islam, setidaknya, bersifat ambigu dan bernuansa antropomorﬁstik (tasybih). Barangkali, faktor dominan yang membuat Ahli Hadis berpendirian demikian ialah adanya riwayat—riwayat yang secara eksplisit menyebutkan ’fisikalitas' (jism) Tuhan. Bisa dibayangkan, misalnya, manakala hadis-hadis yang menyebutkan ‘Tuhan dapat dilihat' di Hari Kiamat dianggap tak terganggu gugat lagi, suka atau tidak ayat yang paling gamblang maknanya sekalipun akan dipelintir. Seperti ayat "Dia tidak dapat dijtmgknu penglihatan mata, sedangkan Din dapat menjangkau segala yang terlihat" (QS AI-An’am [6]: 103), diperlakukan untuk menguatkan maksud tadi, padahal ayat ini secara tegas menolak apa pun kemungkinan ’mengindra [wujud] Tuhan’. </w:t>
      </w:r>
      <w:bookmarkStart w:id="300" w:name="pg5378_50688"/>
    </w:p>
    <w:p>
      <w:pPr>
        <w:pStyle w:val="Heading4"/>
        <w:numPr>
          <w:ilvl w:val="3"/>
          <w:numId w:val="1"/>
        </w:numPr>
        <w:bidi w:val="0"/>
        <w:jc w:val="left"/>
        <w:rPr/>
      </w:pPr>
      <w:bookmarkStart w:id="301" w:name="__RefHeading___Toc1351262_581953129"/>
      <w:bookmarkStart w:id="302" w:name="_Toc110"/>
      <w:bookmarkEnd w:id="300"/>
      <w:bookmarkEnd w:id="301"/>
      <w:r>
        <w:rPr/>
        <w:t>Ragam Kecenderungan Kaum Salaf</w:t>
      </w:r>
      <w:bookmarkEnd w:id="302"/>
    </w:p>
    <w:p>
      <w:pPr>
        <w:pStyle w:val="BookText"/>
        <w:bidi w:val="0"/>
        <w:jc w:val="both"/>
        <w:rPr/>
      </w:pPr>
      <w:r>
        <w:rPr>
          <w:rFonts w:eastAsia="Times New Roman" w:cs="Times New Roman" w:ascii="Times New Roman" w:hAnsi="Times New Roman"/>
          <w:color w:val="111111"/>
          <w:sz w:val="28"/>
          <w:szCs w:val="28"/>
          <w:lang w:val="en-US"/>
        </w:rPr>
        <w:t>Dalam membela keyakinan-keyakinannya, pengikut Ahli Hadis begitu teguh berpegang pada kalimat ”para pendahulu (Salaf)”. Dengan cara ini, mereka meyakinkan kita seolah-olah seluruh sahabat dan tabi’in punya pandangan yang identik dengan Wahabisme. Berikut kritik atas pandangan ini:</w:t>
      </w:r>
    </w:p>
    <w:p>
      <w:pPr>
        <w:pStyle w:val="BookText"/>
        <w:bidi w:val="0"/>
        <w:jc w:val="both"/>
        <w:rPr/>
      </w:pPr>
      <w:r>
        <w:rPr>
          <w:rFonts w:eastAsia="Times New Roman" w:cs="Times New Roman" w:ascii="Times New Roman" w:hAnsi="Times New Roman"/>
          <w:color w:val="111111"/>
          <w:sz w:val="28"/>
          <w:szCs w:val="28"/>
          <w:lang w:val="en-US"/>
        </w:rPr>
        <w:t>Pertama, pandangan dan perilaku pribadi para pendahulu (Salaf) secara an sich tidak punya nilai, apalagi untuk dijadikan dasar hukum. Hanya ada satu jalan paling absah untuk memahami ajaran- ajaran Islam, yaitu menggali Al-Qur’an dan Sunah dalam terang akal seutuh-nya.</w:t>
      </w:r>
    </w:p>
    <w:p>
      <w:pPr>
        <w:pStyle w:val="BookText"/>
        <w:bidi w:val="0"/>
        <w:jc w:val="both"/>
        <w:rPr/>
      </w:pPr>
      <w:r>
        <w:rPr>
          <w:rFonts w:eastAsia="Times New Roman" w:cs="Times New Roman" w:ascii="Times New Roman" w:hAnsi="Times New Roman"/>
          <w:color w:val="111111"/>
          <w:sz w:val="28"/>
          <w:szCs w:val="28"/>
          <w:lang w:val="en-US"/>
        </w:rPr>
        <w:t>Kedua, ada Cara pandang yang berbeda di kalangan Salaf sendiri berkenaan dengan fungsi akal dalam proses memahami ajaran-ajaran langit, khususnya sifat-sifat Ilahi.</w:t>
      </w:r>
      <w:r>
        <w:rPr>
          <w:rStyle w:val="FootnoteAnchor"/>
        </w:rPr>
        <w:footnoteReference w:id="360"/>
      </w:r>
      <w:r>
        <w:rPr>
          <w:rFonts w:eastAsia="Times New Roman" w:cs="Times New Roman" w:ascii="Times New Roman" w:hAnsi="Times New Roman"/>
          <w:color w:val="111111"/>
          <w:sz w:val="28"/>
          <w:szCs w:val="28"/>
          <w:lang w:val="en-US"/>
        </w:rPr>
        <w:t>Sebagian mereka meremehkan peran akal sehingga terjerumus dalam Antropomorfisme (tasybih)</w:t>
      </w:r>
      <w:r>
        <w:rPr>
          <w:rStyle w:val="FootnoteAnchor"/>
        </w:rPr>
        <w:footnoteReference w:id="361"/>
      </w:r>
      <w:r>
        <w:rPr>
          <w:rFonts w:eastAsia="Times New Roman" w:cs="Times New Roman" w:ascii="Times New Roman" w:hAnsi="Times New Roman"/>
          <w:color w:val="111111"/>
          <w:sz w:val="28"/>
          <w:szCs w:val="28"/>
          <w:lang w:val="en-US"/>
        </w:rPr>
        <w:t>dan 'pendelegasian absolut’ (tafwidh). Namun, Ahlul Bait Nabi Saw yang dijauhkan dari ekstrimisme—baik kanan (ifrath) maupun kiri (tafrith)—menunjukkan posisi sejati akal dan wahyu. Rumusan ini merupakan warisan intelektual yang sangat berharga.</w:t>
      </w:r>
    </w:p>
    <w:p>
      <w:pPr>
        <w:pStyle w:val="BookText"/>
        <w:bidi w:val="0"/>
        <w:jc w:val="both"/>
        <w:rPr/>
      </w:pPr>
      <w:r>
        <w:rPr>
          <w:rFonts w:eastAsia="Times New Roman" w:cs="Times New Roman" w:ascii="Times New Roman" w:hAnsi="Times New Roman"/>
          <w:color w:val="111111"/>
          <w:sz w:val="28"/>
          <w:szCs w:val="28"/>
          <w:lang w:val="en-US"/>
        </w:rPr>
        <w:t>Sebagai penutup bab ini, patut direnungkan mutiara hikmah yang disampaikan Amirul Mukminin Ali bin Abi Thalib seputar batasan akal manusia dalam memahami sifat Ilahi:</w:t>
      </w:r>
    </w:p>
    <w:p>
      <w:pPr>
        <w:pStyle w:val="BookText"/>
        <w:bidi w:val="0"/>
        <w:jc w:val="both"/>
        <w:rPr/>
      </w:pPr>
      <w:r>
        <w:rPr>
          <w:rFonts w:eastAsia="Times New Roman" w:cs="Times New Roman" w:ascii="Times New Roman" w:hAnsi="Times New Roman"/>
          <w:color w:val="111111"/>
          <w:sz w:val="28"/>
          <w:szCs w:val="28"/>
          <w:lang w:val="en-US"/>
        </w:rPr>
        <w:t>Allah tidak menjadikan akal hingga mengenal hakikat sifat- Nya, kendati Dia tidak menahannya dari kewajiban mengenal- Nya.</w:t>
      </w:r>
      <w:r>
        <w:rPr>
          <w:rStyle w:val="FootnoteAnchor"/>
        </w:rPr>
        <w:footnoteReference w:id="36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:156 </w:t>
      </w:r>
      <w:bookmarkStart w:id="303" w:name="pg5378_50689"/>
    </w:p>
    <w:p>
      <w:pPr>
        <w:pStyle w:val="Heading2"/>
        <w:numPr>
          <w:ilvl w:val="1"/>
          <w:numId w:val="1"/>
        </w:numPr>
        <w:bidi w:val="0"/>
        <w:jc w:val="left"/>
        <w:rPr/>
      </w:pPr>
      <w:bookmarkStart w:id="304" w:name="__RefHeading___Toc1351264_581953129"/>
      <w:bookmarkStart w:id="305" w:name="_Toc111"/>
      <w:bookmarkEnd w:id="303"/>
      <w:bookmarkEnd w:id="304"/>
      <w:r>
        <w:rPr/>
        <w:t>BAB 6 AKAL: PERSPEKTIF AKHBARIYAH</w:t>
      </w:r>
      <w:bookmarkEnd w:id="30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06" w:name="__RefHeading___Toc1351266_581953129"/>
      <w:bookmarkStart w:id="307" w:name="_Toc112"/>
      <w:bookmarkEnd w:id="306"/>
      <w:r>
        <w:rPr/>
        <w:t>Point</w:t>
      </w:r>
      <w:bookmarkStart w:id="308" w:name="pg5378_50691"/>
      <w:bookmarkEnd w:id="307"/>
    </w:p>
    <w:p>
      <w:pPr>
        <w:pStyle w:val="BookText"/>
        <w:bidi w:val="0"/>
        <w:rPr/>
      </w:pPr>
      <w:bookmarkEnd w:id="308"/>
      <w:r>
        <w:rPr>
          <w:rFonts w:eastAsia="Times New Roman" w:cs="Times New Roman" w:ascii="Times New Roman" w:hAnsi="Times New Roman"/>
          <w:color w:val="111111"/>
          <w:sz w:val="28"/>
          <w:szCs w:val="28"/>
          <w:lang w:val="en-US"/>
        </w:rPr>
        <w:t>Akhbariyah adalah sekelompok lain dari ulama yang antirasional</w:t>
      </w:r>
    </w:p>
    <w:p>
      <w:pPr>
        <w:pStyle w:val="BookText"/>
        <w:bidi w:val="0"/>
        <w:jc w:val="both"/>
        <w:rPr/>
      </w:pPr>
      <w:r>
        <w:rPr>
          <w:rFonts w:eastAsia="Times New Roman" w:cs="Times New Roman" w:ascii="Times New Roman" w:hAnsi="Times New Roman"/>
          <w:color w:val="111111"/>
          <w:sz w:val="28"/>
          <w:szCs w:val="28"/>
          <w:lang w:val="en-US"/>
        </w:rPr>
        <w:t>dan ahli ﬁkih yang literalis. Mereka lahir dari dalam pemikiran Syiah, dan tumbuh secara aktif dalam rangka menyerang pola pikir rasionalis kaum Ushuli dan kalangan teolog. Mereka bahkan sangat keterlaluan dalam mengecam akal serta menyalahkan ulama-ulama rasionalis.</w:t>
      </w:r>
    </w:p>
    <w:p>
      <w:pPr>
        <w:pStyle w:val="BookText"/>
        <w:bidi w:val="0"/>
        <w:jc w:val="both"/>
        <w:rPr/>
      </w:pPr>
      <w:r>
        <w:rPr>
          <w:rFonts w:eastAsia="Times New Roman" w:cs="Times New Roman" w:ascii="Times New Roman" w:hAnsi="Times New Roman"/>
          <w:color w:val="111111"/>
          <w:sz w:val="28"/>
          <w:szCs w:val="28"/>
          <w:lang w:val="en-US"/>
        </w:rPr>
        <w:t>Dalam bab ini, akan diuraikan lebih jauh sejarah kaum Akhbariyah, plus pemikiran dan faktor penyebab kemunculannya, berikut sejumlah masalah yang terkait dengan posisi dan peran akal. Selain itu, akan dikemukakan pula nilai argumentasi mereka dalam mengingkari validitas hukumnya sebagai salah satu sumber pengetahuan agama.</w:t>
      </w:r>
    </w:p>
    <w:p>
      <w:pPr>
        <w:pStyle w:val="Heading3"/>
        <w:numPr>
          <w:ilvl w:val="2"/>
          <w:numId w:val="1"/>
        </w:numPr>
        <w:bidi w:val="0"/>
        <w:jc w:val="left"/>
        <w:rPr/>
      </w:pPr>
      <w:bookmarkStart w:id="309" w:name="__RefHeading___Toc1351268_581953129"/>
      <w:bookmarkStart w:id="310" w:name="_Toc113"/>
      <w:bookmarkEnd w:id="309"/>
      <w:r>
        <w:rPr/>
        <w:t>Latar Belakang Historis</w:t>
      </w:r>
      <w:bookmarkEnd w:id="310"/>
    </w:p>
    <w:p>
      <w:pPr>
        <w:pStyle w:val="BookText"/>
        <w:bidi w:val="0"/>
        <w:jc w:val="both"/>
        <w:rPr/>
      </w:pPr>
      <w:r>
        <w:rPr>
          <w:rFonts w:eastAsia="Times New Roman" w:cs="Times New Roman" w:ascii="Times New Roman" w:hAnsi="Times New Roman"/>
          <w:color w:val="111111"/>
          <w:sz w:val="28"/>
          <w:szCs w:val="28"/>
          <w:lang w:val="en-US"/>
        </w:rPr>
        <w:t>Sejak kapan kelompok Akhbari lahir di kalangan fuqaha Syiah? Apakah di masa para imam maksum? Apakah paham semacam ini sudah eksis, setidaknya, di masa awal pasca Kegaiban [Imam Mahdi]? Atau seperti keyakinan sebagian kalangan</w:t>
      </w:r>
      <w:r>
        <w:rPr>
          <w:rStyle w:val="FootnoteAnchor"/>
        </w:rPr>
        <w:footnoteReference w:id="363"/>
      </w:r>
      <w:r>
        <w:rPr>
          <w:rFonts w:eastAsia="Times New Roman" w:cs="Times New Roman" w:ascii="Times New Roman" w:hAnsi="Times New Roman"/>
          <w:color w:val="111111"/>
          <w:sz w:val="28"/>
          <w:szCs w:val="28"/>
          <w:lang w:val="en-US"/>
        </w:rPr>
        <w:t>, yakni sejak diprakarasai Muhammad Amin Astar Abadi?</w:t>
      </w:r>
    </w:p>
    <w:p>
      <w:pPr>
        <w:pStyle w:val="BookText"/>
        <w:bidi w:val="0"/>
        <w:jc w:val="both"/>
        <w:rPr/>
      </w:pPr>
      <w:r>
        <w:rPr>
          <w:rFonts w:eastAsia="Times New Roman" w:cs="Times New Roman" w:ascii="Times New Roman" w:hAnsi="Times New Roman"/>
          <w:color w:val="111111"/>
          <w:sz w:val="28"/>
          <w:szCs w:val="28"/>
          <w:lang w:val="en-US"/>
        </w:rPr>
        <w:t>Untuk menjawab pertanyaan ini, perlu kiranya menengok dan mengamati sejarah fikih Syiah dan ragam wacana serta pelbagai alirannya, berikut proses pembentukannya. Darinya dapat ditemukan kejelasan yang memadai secara argumentatif seputar kemunculan literalisme radikal di tengah kalangan fuqaha dan tokoh Syiah, termasuk vase-vase sejarahnya.</w:t>
      </w:r>
    </w:p>
    <w:p>
      <w:pPr>
        <w:pStyle w:val="BookText"/>
        <w:bidi w:val="0"/>
        <w:jc w:val="both"/>
        <w:rPr/>
      </w:pPr>
      <w:r>
        <w:rPr>
          <w:rFonts w:eastAsia="Times New Roman" w:cs="Times New Roman" w:ascii="Times New Roman" w:hAnsi="Times New Roman"/>
          <w:color w:val="111111"/>
          <w:sz w:val="28"/>
          <w:szCs w:val="28"/>
          <w:lang w:val="en-US"/>
        </w:rPr>
        <w:t>Adakalanya dinyatakan bahwa kajian argumentatif dan rasional seputar ajaran agama dan masalah-masalah ilmu Ushul Fikih mulai mengemuka pasca kegaiban [Imam Mahdi]—selain diakibatkan se-jumlah faktor penyebab serta tujuan-tujuan internal maupun eksternal mazhab yang berbeda. Adapun pada masa sebelumnya,</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semua itu tidak memerlukan ijtihad dan perangkat disiplin teologi </w:t>
      </w:r>
    </w:p>
    <w:p>
      <w:pPr>
        <w:pStyle w:val="BookText"/>
        <w:bidi w:val="0"/>
        <w:rPr/>
      </w:pPr>
      <w:r>
        <w:rPr>
          <w:rFonts w:eastAsia="Times New Roman" w:cs="Times New Roman" w:ascii="Times New Roman" w:hAnsi="Times New Roman"/>
          <w:color w:val="111111"/>
          <w:sz w:val="28"/>
          <w:szCs w:val="28"/>
          <w:lang w:val="en-US"/>
        </w:rPr>
        <w:t>(kalam) lantaran keberadaan imam maksum. Saat itu, pengetahuan dan hukum agama diperoleh kaum Syiah dengan cara yang sangat gampang dan lewat kanal yang paling terjamin, yaitu bertanya langsung kepada sosok imam.</w:t>
      </w:r>
    </w:p>
    <w:p>
      <w:pPr>
        <w:pStyle w:val="BookText"/>
        <w:bidi w:val="0"/>
        <w:jc w:val="both"/>
        <w:rPr/>
      </w:pPr>
      <w:r>
        <w:rPr>
          <w:rFonts w:eastAsia="Times New Roman" w:cs="Times New Roman" w:ascii="Times New Roman" w:hAnsi="Times New Roman"/>
          <w:color w:val="111111"/>
          <w:sz w:val="28"/>
          <w:szCs w:val="28"/>
          <w:lang w:val="en-US"/>
        </w:rPr>
        <w:t>Dengan demikian, wawasan teologi dan fikih Syiah hingga periode akhir kehadiran imam maksum, kira-kira di penghujung abad 3 H, lebih berkisar pada penukilan hadis atau riwayat, sementara teologi maupun fikih argumentatif dan rasional tidak memiliki posisi yang berarti di umat Syiah</w:t>
      </w:r>
      <w:r>
        <w:rPr>
          <w:rStyle w:val="FootnoteAnchor"/>
        </w:rPr>
        <w:footnoteReference w:id="364"/>
      </w:r>
      <w:r>
        <w:rPr>
          <w:rFonts w:eastAsia="Times New Roman" w:cs="Times New Roman" w:ascii="Times New Roman" w:hAnsi="Times New Roman"/>
          <w:color w:val="111111"/>
          <w:sz w:val="28"/>
          <w:szCs w:val="28"/>
          <w:lang w:val="en-US"/>
        </w:rPr>
        <w:t>Padahal, kalau saja melengok kembali riwayat-riwayat dari para imam maksum, atau yang maktub dalam kitab-kitab ilmu Rijal, dan Sejarah, jelas terbukti metode rasional dan fikih ijtihad sudah berkembang semasa hidup mereka. Para imam itu bahkan, dengan pelbagai cara, acap memotivasi murid-muridnya untuk mengkaji teologi. Beberapa di antara teolog seperti: Hisyam bin Hakam, Mukmin Taq (Muhammad bin Nukman), dan Hisyam bin Salim, diproyeksikan untuk membidangi secara spesial tema- tema besar teologi dan ushuluddin.</w:t>
      </w:r>
    </w:p>
    <w:p>
      <w:pPr>
        <w:pStyle w:val="BookText"/>
        <w:bidi w:val="0"/>
        <w:jc w:val="both"/>
        <w:rPr/>
      </w:pPr>
      <w:r>
        <w:rPr>
          <w:rFonts w:eastAsia="Times New Roman" w:cs="Times New Roman" w:ascii="Times New Roman" w:hAnsi="Times New Roman"/>
          <w:color w:val="111111"/>
          <w:sz w:val="28"/>
          <w:szCs w:val="28"/>
          <w:lang w:val="en-US"/>
        </w:rPr>
        <w:t>Begitu pula dalam masalah-masalah fikih; para imam senantiasa berusaha keras mengembangkan daya kreatifitas argumentasi dan ijtihad murid-muridnya.</w:t>
      </w:r>
    </w:p>
    <w:p>
      <w:pPr>
        <w:pStyle w:val="BookText"/>
        <w:bidi w:val="0"/>
        <w:jc w:val="both"/>
        <w:rPr/>
      </w:pPr>
      <w:r>
        <w:rPr>
          <w:rFonts w:eastAsia="Times New Roman" w:cs="Times New Roman" w:ascii="Times New Roman" w:hAnsi="Times New Roman"/>
          <w:color w:val="111111"/>
          <w:sz w:val="28"/>
          <w:szCs w:val="28"/>
          <w:lang w:val="en-US"/>
        </w:rPr>
        <w:t>Merujuknya kalangan Syiah kepada ahli hukum seperti Yunus bin Abdurahman, Zurarah bin A’yan</w:t>
      </w:r>
      <w:r>
        <w:rPr>
          <w:rStyle w:val="FootnoteAnchor"/>
        </w:rPr>
        <w:footnoteReference w:id="365"/>
      </w:r>
      <w:r>
        <w:rPr>
          <w:rFonts w:eastAsia="Times New Roman" w:cs="Times New Roman" w:ascii="Times New Roman" w:hAnsi="Times New Roman"/>
          <w:color w:val="111111"/>
          <w:sz w:val="28"/>
          <w:szCs w:val="28"/>
          <w:lang w:val="en-US"/>
        </w:rPr>
        <w:t>, dan Muhammad bin Muslim merupakan sekelumit bukti perhatian para imam dalam masalah ini.</w:t>
      </w:r>
      <w:r>
        <w:rPr>
          <w:rStyle w:val="FootnoteAnchor"/>
        </w:rPr>
        <w:footnoteReference w:id="366"/>
      </w:r>
      <w:r>
        <w:rPr>
          <w:rFonts w:eastAsia="Times New Roman" w:cs="Times New Roman" w:ascii="Times New Roman" w:hAnsi="Times New Roman"/>
          <w:color w:val="111111"/>
          <w:sz w:val="28"/>
          <w:szCs w:val="28"/>
          <w:lang w:val="en-US"/>
        </w:rPr>
        <w:t>Seorang murid Imam Shadiq yang terluka dan dibebat pembalut menanyakan hukum dan cara berwudu. Lalu Imam menjawab:</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Engkau akan mengetahui jelas masalah ini dan semisalnya dari Alquran. Allah Swt berfirman, "Dalam agama, Allah tidak menetapkan bagi kamu pekerjaaan yang berat dan menyulitkan". Karenanya, usap-lah di atas pembalut itu.</w:t>
      </w:r>
      <w:r>
        <w:rPr>
          <w:rStyle w:val="FootnoteAnchor"/>
        </w:rPr>
        <w:footnoteReference w:id="367"/>
      </w:r>
    </w:p>
    <w:p>
      <w:pPr>
        <w:pStyle w:val="BookText"/>
        <w:bidi w:val="0"/>
        <w:rPr/>
      </w:pPr>
      <w:r>
        <w:rPr>
          <w:rFonts w:eastAsia="Times New Roman" w:cs="Times New Roman" w:ascii="Times New Roman" w:hAnsi="Times New Roman"/>
          <w:color w:val="111111"/>
          <w:sz w:val="28"/>
          <w:szCs w:val="28"/>
          <w:lang w:val="en-US"/>
        </w:rPr>
        <w:t xml:space="preserve">Terdapat sebuah hadis termasyhur </w:t>
      </w:r>
      <w:r>
        <w:rPr>
          <w:rStyle w:val="FootnoteAnchor"/>
        </w:rPr>
        <w:footnoteReference w:id="368"/>
      </w:r>
      <w:r>
        <w:rPr>
          <w:rFonts w:eastAsia="Times New Roman" w:cs="Times New Roman" w:ascii="Times New Roman" w:hAnsi="Times New Roman"/>
          <w:color w:val="111111"/>
          <w:sz w:val="28"/>
          <w:szCs w:val="28"/>
          <w:lang w:val="en-US"/>
        </w:rPr>
        <w:t>Tugas kami adalah menyampaikan ushul (kaidah pokok), dan tugas kalian adalah manyampaikan tafri ‘(penguraian)"; hadis yang disampaikan dengan beragam redaksi sebagai satu dari sekian argumentasi kuat atas klaim di atas. Dalam hadis ini, para imam menyatakan tegas tugasnya sejauh menjelaskan prinsip-prinsip dan kaidah-kaidah umum hukum [praktis] serta keyakinan [teoretis]. Sementara pemahaman partikular dan penerapan hukum umum itu secara proporsional diserahkan pada murid-muridnya.</w:t>
      </w:r>
    </w:p>
    <w:p>
      <w:pPr>
        <w:pStyle w:val="BookText"/>
        <w:bidi w:val="0"/>
        <w:jc w:val="both"/>
        <w:rPr/>
      </w:pPr>
      <w:r>
        <w:rPr>
          <w:rFonts w:eastAsia="Times New Roman" w:cs="Times New Roman" w:ascii="Times New Roman" w:hAnsi="Times New Roman"/>
          <w:color w:val="111111"/>
          <w:sz w:val="28"/>
          <w:szCs w:val="28"/>
          <w:lang w:val="en-US"/>
        </w:rPr>
        <w:t>Lebih dari sekadar di atas, ada sejumlah riwayat dan dokumen sejarah yang tak dapat dipungkiri bahwa di masa para imam, sudah muncul kecenderungan yang beragam dan berbeda-beda di kalangan Syiah sekaitan dengan masalah keyakinan dan fikih.</w:t>
      </w:r>
      <w:r>
        <w:rPr>
          <w:rStyle w:val="FootnoteAnchor"/>
        </w:rPr>
        <w:footnoteReference w:id="369"/>
      </w:r>
      <w:r>
        <w:rPr>
          <w:rFonts w:eastAsia="Times New Roman" w:cs="Times New Roman" w:ascii="Times New Roman" w:hAnsi="Times New Roman"/>
          <w:color w:val="111111"/>
          <w:sz w:val="28"/>
          <w:szCs w:val="28"/>
          <w:lang w:val="en-US"/>
        </w:rPr>
        <w:t>Umpama, beberapa pengikut Ahlul Bait mengadukan keberatannya terhadap pola pikir dan pandangan Hisyam bin Hakam kepada Imam Shadiq dan Imam Kazhim, dan dapat diamati bagaimana kedua imam ini, seraya memaparkan situasi forum dan kondisi audiens yang dihadami Hisyam, memberikan jawaban kepada mereka</w:t>
      </w:r>
      <w:r>
        <w:rPr>
          <w:rStyle w:val="FootnoteAnchor"/>
        </w:rPr>
        <w:footnoteReference w:id="370"/>
      </w:r>
      <w:r>
        <w:rPr>
          <w:rFonts w:eastAsia="Times New Roman" w:cs="Times New Roman" w:ascii="Times New Roman" w:hAnsi="Times New Roman"/>
          <w:color w:val="111111"/>
          <w:sz w:val="28"/>
          <w:szCs w:val="28"/>
          <w:lang w:val="en-US"/>
        </w:rPr>
        <w:t>Beberapa yang lain juga mengadukan kepada para imam soal pandangan serba kontradiktif sebagian pengikut Ahlul Bait berkaitan dengan masalah tauhid dan sifat-sifat Allah Swt.</w:t>
      </w:r>
      <w:r>
        <w:rPr>
          <w:rStyle w:val="FootnoteAnchor"/>
        </w:rPr>
        <w:footnoteReference w:id="371"/>
      </w:r>
      <w:r>
        <w:rPr>
          <w:rFonts w:eastAsia="Times New Roman" w:cs="Times New Roman" w:ascii="Times New Roman" w:hAnsi="Times New Roman"/>
          <w:color w:val="111111"/>
          <w:sz w:val="28"/>
          <w:szCs w:val="28"/>
          <w:lang w:val="en-US"/>
        </w:rPr>
        <w:t>Dalam satu surat yang ditujukan kepada Imam Muhammad Jawad, Ali bin Mehziyar bertanya tentang keabsahan shalat di belakang para pengikut Yunus bin Abdurahman</w:t>
      </w:r>
      <w:r>
        <w:rPr>
          <w:rStyle w:val="FootnoteAnchor"/>
        </w:rPr>
        <w:footnoteReference w:id="37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Berkenaan dengan masalah ketuhanan, Imam Ali Ridha pemah bertanya kegada Bazanti perihal perdebatannya dengan Hisyam bin </w:t>
      </w:r>
    </w:p>
    <w:p>
      <w:pPr>
        <w:pStyle w:val="BookText"/>
        <w:bidi w:val="0"/>
        <w:rPr/>
      </w:pPr>
      <w:r>
        <w:rPr>
          <w:rFonts w:eastAsia="Times New Roman" w:cs="Times New Roman" w:ascii="Times New Roman" w:hAnsi="Times New Roman"/>
          <w:color w:val="111111"/>
          <w:sz w:val="28"/>
          <w:szCs w:val="28"/>
          <w:lang w:val="en-US"/>
        </w:rPr>
        <w:t>Hakam; dan secara implisit, Imam terlihat mendukung Hisyam.</w:t>
      </w:r>
      <w:r>
        <w:rPr>
          <w:rStyle w:val="FootnoteAnchor"/>
        </w:rPr>
        <w:footnoteReference w:id="373"/>
      </w:r>
      <w:r>
        <w:rPr>
          <w:rFonts w:eastAsia="Times New Roman" w:cs="Times New Roman" w:ascii="Times New Roman" w:hAnsi="Times New Roman"/>
          <w:color w:val="111111"/>
          <w:sz w:val="28"/>
          <w:szCs w:val="28"/>
          <w:lang w:val="en-US"/>
        </w:rPr>
        <w:t>Namun, Abdurahman bin Hajjaj, murid Imam Shadiq, menganggap Hisyam sebagai kafir. Menariknya lagi, Hisyam bin Hakam menulis buku yang isinya menolak pandangan Mukmin Taq.” Sementara, pada saat yang sama, Hisyam dan Mukmin sama-sama didukung Imam Shadiq.</w:t>
      </w:r>
    </w:p>
    <w:p>
      <w:pPr>
        <w:pStyle w:val="BookText"/>
        <w:bidi w:val="0"/>
        <w:jc w:val="both"/>
        <w:rPr/>
      </w:pPr>
      <w:r>
        <w:rPr>
          <w:rFonts w:eastAsia="Times New Roman" w:cs="Times New Roman" w:ascii="Times New Roman" w:hAnsi="Times New Roman"/>
          <w:color w:val="111111"/>
          <w:sz w:val="28"/>
          <w:szCs w:val="28"/>
          <w:lang w:val="en-US"/>
        </w:rPr>
        <w:t>Alhasil, pemikiran yang mengacu pada hadis dengan cara menukilnya secara literal seraya mengelak dari proses penalaran dan ijtihad memang relatif digandrungi banyak pihak. Namun demikian, hadis-hadis dan dokumen-dokumen sejarah—sebagaimana telah disebutkan di atas tadi—membuktikan bahwa secara faktual, di kalangan murid para imam, telah muncul kecenderungan ijtihad dan rasionalisme. Bahkan para imam sendiri berusaha memotivasi murid- muridnya untuk itu agar terhindar dari sikap tidak proporsional, dan agar tetap mengusung paradigma jalan tengah. Hanya saja, pasca-Kegaiban Besar [Imam Mahdi], berangsur-angsur kaum Akhbari menenggelamkan kelompok yang memfungsikan akal dan mengusung metode ijtihad.</w:t>
      </w:r>
    </w:p>
    <w:p>
      <w:pPr>
        <w:pStyle w:val="BookText"/>
        <w:bidi w:val="0"/>
        <w:jc w:val="both"/>
        <w:rPr/>
      </w:pPr>
      <w:r>
        <w:rPr>
          <w:rFonts w:eastAsia="Times New Roman" w:cs="Times New Roman" w:ascii="Times New Roman" w:hAnsi="Times New Roman"/>
          <w:color w:val="111111"/>
          <w:sz w:val="28"/>
          <w:szCs w:val="28"/>
          <w:lang w:val="en-US"/>
        </w:rPr>
        <w:t>Berdasarkan catatan sejarah dan buku-buku Rijal, kaum Akhbari disebut-sebut mulai muncul di kalangan fuqaha dan ulama Syiah pada akhir abad 3 H. Pada kurun itu pula bahkan sejumlah daerah seperti: Qom (Iran) yang warganya bermazhab Syiah, jatuh di bawah pengaruh pemikiran kaum Akhbari. Implikasinya, kalangan Ahli Hadis dan kaum literalis di daerah itu menentang dan menyerang dengan sengit keluarga Naubakh yang merepresentasi pakar teologi rasionalis.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Pemikiran kaum Akhbari berkembang dan dominan selama satu abad, yakni hingga akhir abad IV H. Alhasil, dapat dikatakan bahwa mayoritas mutlak ulama Syiah sepanjang abad tersebut merupakan penganut Akhbariyah. </w:t>
      </w:r>
    </w:p>
    <w:p>
      <w:pPr>
        <w:pStyle w:val="BookText"/>
        <w:bidi w:val="0"/>
        <w:rPr/>
      </w:pPr>
      <w:r>
        <w:rPr>
          <w:rFonts w:eastAsia="Times New Roman" w:cs="Times New Roman" w:ascii="Times New Roman" w:hAnsi="Times New Roman"/>
          <w:color w:val="111111"/>
          <w:sz w:val="28"/>
          <w:szCs w:val="28"/>
          <w:lang w:val="en-US"/>
        </w:rPr>
        <w:t>Kalangan Akhbari (meliputi kaum fuqaha dan para pakar hadis) terdiri dari dua kelompok: radikal dan moderat. Beberapa nama besar yang mencuat dari kelompok radikal diantaranya Abul Hasan Nasyi</w:t>
      </w:r>
      <w:r>
        <w:rPr>
          <w:rStyle w:val="FootnoteAnchor"/>
        </w:rPr>
        <w:footnoteReference w:id="374"/>
      </w:r>
      <w:r>
        <w:rPr>
          <w:rFonts w:eastAsia="Times New Roman" w:cs="Times New Roman" w:ascii="Times New Roman" w:hAnsi="Times New Roman"/>
          <w:color w:val="111111"/>
          <w:sz w:val="28"/>
          <w:szCs w:val="28"/>
          <w:lang w:val="en-US"/>
        </w:rPr>
        <w:t>(w. 366 H). Dia menolak apa pun penilaian dan pemeriksaan terhadap kualitas sanad hadis, seraya menegaskan semua hadis sebagai kebenaran yang wajib diikuti.</w:t>
      </w:r>
      <w:r>
        <w:rPr>
          <w:rStyle w:val="FootnoteAnchor"/>
        </w:rPr>
        <w:footnoteReference w:id="375"/>
      </w:r>
      <w:r>
        <w:rPr>
          <w:rFonts w:eastAsia="Times New Roman" w:cs="Times New Roman" w:ascii="Times New Roman" w:hAnsi="Times New Roman"/>
          <w:color w:val="111111"/>
          <w:sz w:val="28"/>
          <w:szCs w:val="28"/>
          <w:lang w:val="en-US"/>
        </w:rPr>
        <w:t>Berbeda dengan Kualini yang tampak moderat. Kendatipun menempatkan hadis sebagai poros, dia tetap memberi peluang pemeriksaan sanad, bahkan dia punya kriteria khas dalam menilai mana hadis muwatstsaq dan mana yang bukan.</w:t>
      </w:r>
    </w:p>
    <w:p>
      <w:pPr>
        <w:pStyle w:val="BookText"/>
        <w:bidi w:val="0"/>
        <w:jc w:val="both"/>
        <w:rPr/>
      </w:pPr>
      <w:r>
        <w:rPr>
          <w:rFonts w:eastAsia="Times New Roman" w:cs="Times New Roman" w:ascii="Times New Roman" w:hAnsi="Times New Roman"/>
          <w:color w:val="111111"/>
          <w:sz w:val="28"/>
          <w:szCs w:val="28"/>
          <w:lang w:val="en-US"/>
        </w:rPr>
        <w:t>Sampai tiba masa Syeikh Mufid (338-413 H), lalu Sayid Murtadha (355-436 H) dan Syeikh Thusi (w. 460 H). Mereka menulis pelbagai karya tulis dan risalah seputar Teologi dan Ushul Fikih. Karya- karya itu membantah pandangan-pandangan literalistik pakar hadis yang kemudian mengristal sebagai gerakan rasionalisme dalam sistem keyakinan dan fikih, atau lebih tepatnya, menghidupkan kembali rasionalisme sekelompok toelog dan fuqaha semasa hidup para imam maksum. Gejala ini pada gilirannya menjadi pertanda awal kemerosotan dan kepunahan berangsur paham Akhbariyah. Terhitung mulai abad V H dan seterusnya, sekte ini nyaris lenyap dari kancah pemikiran ketuhanan dan fikih [Syiah]. Kondisi Akhbariyah ini terus berlangsung sekian abad tanpa pernah bisa kembali eksis sebagai aliran yang utuh.</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sejumlah karya tulisnya, Syeikh Mufid begitu keras dan ekstensif mengecam kaum Iiteralis, musuh aka] dan ijtihad itu.</w:t>
      </w:r>
      <w:r>
        <w:rPr>
          <w:rStyle w:val="FootnoteAnchor"/>
        </w:rPr>
        <w:footnoteReference w:id="376"/>
      </w:r>
      <w:r>
        <w:rPr>
          <w:rFonts w:eastAsia="Times New Roman" w:cs="Times New Roman" w:ascii="Times New Roman" w:hAnsi="Times New Roman"/>
          <w:color w:val="111111"/>
          <w:sz w:val="28"/>
          <w:szCs w:val="28"/>
          <w:lang w:val="en-US"/>
        </w:rPr>
        <w:t xml:space="preserve">Dalam buku Al-Masﬁ’il Al-Sarawiyyah, khususnya saat menjawab pertanyaan tentang nilai pendapat mereka (kaum Akhbari), ia mengatakan: </w:t>
      </w:r>
    </w:p>
    <w:p>
      <w:pPr>
        <w:pStyle w:val="BookText"/>
        <w:bidi w:val="0"/>
        <w:rPr/>
      </w:pPr>
      <w:r>
        <w:rPr>
          <w:rFonts w:eastAsia="Times New Roman" w:cs="Times New Roman" w:ascii="Times New Roman" w:hAnsi="Times New Roman"/>
          <w:color w:val="111111"/>
          <w:sz w:val="28"/>
          <w:szCs w:val="28"/>
          <w:lang w:val="en-US"/>
        </w:rPr>
        <w:t>Ahli hadis hanya sekadar menukil hadis pendek-panjang, tanpa pemah puas dengan hanya sekadar menukil hadis-hadis yang sahih. Mereka bukanlah peneliti dan pemikir riwayat. Hadis-hadis mereka campuran hadis sahih dan hadis rusak; yang identifikasinya dapat dilakukan hanya melalui pemikiran terhadap prinsip-prinsip (ushul) dan bertolak dari pemahaman yang benar.</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Tidak cukup sampai di situ, penolakan terhadap sekte ini dituangkan Syeikh Mufid secara khusus dalam buku yang bertajuk Maqayis Al-Anwar fi Al-Rodd 'ala Ahl Al-Akhbar.</w:t>
      </w:r>
      <w:r>
        <w:rPr>
          <w:rStyle w:val="FootnoteAnchor"/>
        </w:rPr>
        <w:footnoteReference w:id="37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Pada masa itu, istilah ”Akhbari” belum umum disandang kelompok ini. Dalam Awa'il Al-Maqalat, Syeikh Mufid menyebut kelompok tersebut dengan pelbagai nama yang bermiripan: Ahl An-Naql</w:t>
      </w:r>
      <w:r>
        <w:rPr>
          <w:rStyle w:val="FootnoteAnchor"/>
        </w:rPr>
        <w:footnoteReference w:id="379"/>
      </w:r>
      <w:r>
        <w:rPr>
          <w:rFonts w:eastAsia="Times New Roman" w:cs="Times New Roman" w:ascii="Times New Roman" w:hAnsi="Times New Roman"/>
          <w:color w:val="111111"/>
          <w:sz w:val="28"/>
          <w:szCs w:val="28"/>
          <w:lang w:val="en-US"/>
        </w:rPr>
        <w:t>‘,Al-Muta'aliqin bi zhahir al-riwayah</w:t>
      </w:r>
      <w:r>
        <w:rPr>
          <w:rStyle w:val="FootnoteAnchor"/>
        </w:rPr>
        <w:footnoteReference w:id="380"/>
      </w:r>
      <w:r>
        <w:rPr>
          <w:rFonts w:eastAsia="Times New Roman" w:cs="Times New Roman" w:ascii="Times New Roman" w:hAnsi="Times New Roman"/>
          <w:color w:val="111111"/>
          <w:sz w:val="28"/>
          <w:szCs w:val="28"/>
          <w:lang w:val="en-US"/>
        </w:rPr>
        <w:t>, Ashab al-naql</w:t>
      </w:r>
      <w:r>
        <w:rPr>
          <w:rStyle w:val="FootnoteAnchor"/>
        </w:rPr>
        <w:footnoteReference w:id="381"/>
      </w:r>
      <w:r>
        <w:rPr>
          <w:rFonts w:eastAsia="Times New Roman" w:cs="Times New Roman" w:ascii="Times New Roman" w:hAnsi="Times New Roman"/>
          <w:color w:val="111111"/>
          <w:sz w:val="28"/>
          <w:szCs w:val="28"/>
          <w:lang w:val="en-US"/>
        </w:rPr>
        <w:t>, ashab al-atsar</w:t>
      </w:r>
      <w:r>
        <w:rPr>
          <w:rStyle w:val="FootnoteAnchor"/>
        </w:rPr>
        <w:footnoteReference w:id="382"/>
      </w:r>
      <w:r>
        <w:rPr>
          <w:rFonts w:eastAsia="Times New Roman" w:cs="Times New Roman" w:ascii="Times New Roman" w:hAnsi="Times New Roman"/>
          <w:color w:val="111111"/>
          <w:sz w:val="28"/>
          <w:szCs w:val="28"/>
          <w:lang w:val="en-US"/>
        </w:rPr>
        <w:t xml:space="preserve">, hamalat al-atsar </w:t>
      </w:r>
      <w:r>
        <w:rPr>
          <w:rStyle w:val="FootnoteAnchor"/>
        </w:rPr>
        <w:footnoteReference w:id="383"/>
      </w:r>
      <w:r>
        <w:rPr>
          <w:rFonts w:eastAsia="Times New Roman" w:cs="Times New Roman" w:ascii="Times New Roman" w:hAnsi="Times New Roman"/>
          <w:color w:val="111111"/>
          <w:sz w:val="28"/>
          <w:szCs w:val="28"/>
          <w:lang w:val="en-US"/>
        </w:rPr>
        <w:t xml:space="preserve">, hasywiyyah </w:t>
      </w:r>
      <w:r>
        <w:rPr>
          <w:rStyle w:val="FootnoteAnchor"/>
        </w:rPr>
        <w:footnoteReference w:id="384"/>
      </w:r>
      <w:r>
        <w:rPr>
          <w:rFonts w:eastAsia="Times New Roman" w:cs="Times New Roman" w:ascii="Times New Roman" w:hAnsi="Times New Roman"/>
          <w:color w:val="111111"/>
          <w:sz w:val="28"/>
          <w:szCs w:val="28"/>
          <w:lang w:val="en-US"/>
        </w:rPr>
        <w:t>, naqalah al-atsar</w:t>
      </w:r>
      <w:r>
        <w:rPr>
          <w:rStyle w:val="FootnoteAnchor"/>
        </w:rPr>
        <w:footnoteReference w:id="385"/>
      </w:r>
      <w:r>
        <w:rPr>
          <w:rFonts w:eastAsia="Times New Roman" w:cs="Times New Roman" w:ascii="Times New Roman" w:hAnsi="Times New Roman"/>
          <w:color w:val="111111"/>
          <w:sz w:val="28"/>
          <w:szCs w:val="28"/>
          <w:lang w:val="en-US"/>
        </w:rPr>
        <w:t xml:space="preserve">, ashhab hadis </w:t>
      </w:r>
      <w:r>
        <w:rPr>
          <w:rStyle w:val="FootnoteAnchor"/>
        </w:rPr>
        <w:footnoteReference w:id="386"/>
      </w:r>
      <w:r>
        <w:rPr>
          <w:rFonts w:eastAsia="Times New Roman" w:cs="Times New Roman" w:ascii="Times New Roman" w:hAnsi="Times New Roman"/>
          <w:color w:val="111111"/>
          <w:sz w:val="28"/>
          <w:szCs w:val="28"/>
          <w:lang w:val="en-US"/>
        </w:rPr>
        <w:t xml:space="preserve">, hamalat al-akhbar </w:t>
      </w:r>
      <w:r>
        <w:rPr>
          <w:rStyle w:val="FootnoteAnchor"/>
        </w:rPr>
        <w:footnoteReference w:id="387"/>
      </w:r>
      <w:r>
        <w:rPr>
          <w:rFonts w:eastAsia="Times New Roman" w:cs="Times New Roman" w:ascii="Times New Roman" w:hAnsi="Times New Roman"/>
          <w:color w:val="111111"/>
          <w:sz w:val="28"/>
          <w:szCs w:val="28"/>
          <w:lang w:val="en-US"/>
        </w:rPr>
        <w:t xml:space="preserve">, ruwwat al-hadis wa al-atsar </w:t>
      </w:r>
      <w:r>
        <w:rPr>
          <w:rStyle w:val="FootnoteAnchor"/>
        </w:rPr>
        <w:footnoteReference w:id="388"/>
      </w:r>
      <w:r>
        <w:rPr>
          <w:rFonts w:eastAsia="Times New Roman" w:cs="Times New Roman" w:ascii="Times New Roman" w:hAnsi="Times New Roman"/>
          <w:color w:val="111111"/>
          <w:sz w:val="28"/>
          <w:szCs w:val="28"/>
          <w:lang w:val="en-US"/>
        </w:rPr>
        <w:t>, naqalat al-akhbar</w:t>
      </w:r>
      <w:r>
        <w:rPr>
          <w:rStyle w:val="FootnoteAnchor"/>
        </w:rPr>
        <w:footnoteReference w:id="389"/>
      </w:r>
      <w:r>
        <w:rPr>
          <w:rFonts w:eastAsia="Times New Roman" w:cs="Times New Roman" w:ascii="Times New Roman" w:hAnsi="Times New Roman"/>
          <w:color w:val="111111"/>
          <w:sz w:val="28"/>
          <w:szCs w:val="28"/>
          <w:lang w:val="en-US"/>
        </w:rPr>
        <w:t xml:space="preserve">. Sementara nama-nama untuk lawan mereka adalah ulama al-syiah </w:t>
      </w:r>
      <w:r>
        <w:rPr>
          <w:rStyle w:val="FootnoteAnchor"/>
        </w:rPr>
        <w:footnoteReference w:id="390"/>
      </w:r>
      <w:r>
        <w:rPr>
          <w:rFonts w:eastAsia="Times New Roman" w:cs="Times New Roman" w:ascii="Times New Roman" w:hAnsi="Times New Roman"/>
          <w:color w:val="111111"/>
          <w:sz w:val="28"/>
          <w:szCs w:val="28"/>
          <w:lang w:val="en-US"/>
        </w:rPr>
        <w:t xml:space="preserve">, fuqaha al-syiah </w:t>
      </w:r>
      <w:r>
        <w:rPr>
          <w:rStyle w:val="FootnoteAnchor"/>
        </w:rPr>
        <w:footnoteReference w:id="391"/>
      </w:r>
      <w:r>
        <w:rPr>
          <w:rFonts w:eastAsia="Times New Roman" w:cs="Times New Roman" w:ascii="Times New Roman" w:hAnsi="Times New Roman"/>
          <w:color w:val="111111"/>
          <w:sz w:val="28"/>
          <w:szCs w:val="28"/>
          <w:lang w:val="en-US"/>
        </w:rPr>
        <w:t>, nuqqad al-atsar</w:t>
      </w:r>
      <w:r>
        <w:rPr>
          <w:rStyle w:val="FootnoteAnchor"/>
        </w:rPr>
        <w:footnoteReference w:id="392"/>
      </w:r>
      <w:r>
        <w:rPr>
          <w:rFonts w:eastAsia="Times New Roman" w:cs="Times New Roman" w:ascii="Times New Roman" w:hAnsi="Times New Roman"/>
          <w:color w:val="111111"/>
          <w:sz w:val="28"/>
          <w:szCs w:val="28"/>
          <w:lang w:val="en-US"/>
        </w:rPr>
        <w:t xml:space="preserve">, mutakallimi al-Syiah </w:t>
      </w:r>
      <w:r>
        <w:rPr>
          <w:rStyle w:val="FootnoteAnchor"/>
        </w:rPr>
        <w:footnoteReference w:id="393"/>
      </w:r>
      <w:r>
        <w:rPr>
          <w:rFonts w:eastAsia="Times New Roman" w:cs="Times New Roman" w:ascii="Times New Roman" w:hAnsi="Times New Roman"/>
          <w:color w:val="111111"/>
          <w:sz w:val="28"/>
          <w:szCs w:val="28"/>
          <w:lang w:val="en-US"/>
        </w:rPr>
        <w:t xml:space="preserve">, fuqaha </w:t>
      </w:r>
    </w:p>
    <w:p>
      <w:pPr>
        <w:pStyle w:val="BookText"/>
        <w:bidi w:val="0"/>
        <w:rPr/>
      </w:pPr>
      <w:r>
        <w:rPr>
          <w:rFonts w:eastAsia="Times New Roman" w:cs="Times New Roman" w:ascii="Times New Roman" w:hAnsi="Times New Roman"/>
          <w:color w:val="111111"/>
          <w:sz w:val="28"/>
          <w:szCs w:val="28"/>
          <w:lang w:val="en-US"/>
        </w:rPr>
        <w:t>al-Imamiyah</w:t>
      </w:r>
      <w:r>
        <w:rPr>
          <w:rStyle w:val="FootnoteAnchor"/>
        </w:rPr>
        <w:footnoteReference w:id="394"/>
      </w:r>
      <w:r>
        <w:rPr>
          <w:rFonts w:eastAsia="Times New Roman" w:cs="Times New Roman" w:ascii="Times New Roman" w:hAnsi="Times New Roman"/>
          <w:color w:val="111111"/>
          <w:sz w:val="28"/>
          <w:szCs w:val="28"/>
          <w:lang w:val="en-US"/>
        </w:rPr>
        <w:t xml:space="preserve">, muhaqqiqu al-nadzar min al-Imamiyah </w:t>
      </w:r>
      <w:r>
        <w:rPr>
          <w:rStyle w:val="FootnoteAnchor"/>
        </w:rPr>
        <w:footnoteReference w:id="395"/>
      </w:r>
      <w:r>
        <w:rPr>
          <w:rFonts w:eastAsia="Times New Roman" w:cs="Times New Roman" w:ascii="Times New Roman" w:hAnsi="Times New Roman"/>
          <w:color w:val="111111"/>
          <w:sz w:val="28"/>
          <w:szCs w:val="28"/>
          <w:lang w:val="en-US"/>
        </w:rPr>
        <w:t>, ahl al-Fiqh wa al-i'tibar</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Sepertinya, istilah "Akhbari” sebagai lawan dari ”Ushuli" dan ”Kalami” pertama kali digunakan Syahristani dalam bukunya, Al-Milal wa An-Nihall yang terbit pada awal abad VI Hijriah.</w:t>
      </w:r>
      <w:r>
        <w:rPr>
          <w:rStyle w:val="FootnoteAnchor"/>
        </w:rPr>
        <w:footnoteReference w:id="397"/>
      </w:r>
      <w:r>
        <w:rPr>
          <w:rFonts w:eastAsia="Times New Roman" w:cs="Times New Roman" w:ascii="Times New Roman" w:hAnsi="Times New Roman"/>
          <w:color w:val="111111"/>
          <w:sz w:val="28"/>
          <w:szCs w:val="28"/>
          <w:lang w:val="en-US"/>
        </w:rPr>
        <w:t>Berikutnya, Abdul Ialil Qazwaini menggunakan kedua istilah itu secara berdarnpingan dalam bukunya, Al-Naqdz.</w:t>
      </w:r>
    </w:p>
    <w:p>
      <w:pPr>
        <w:pStyle w:val="BookText"/>
        <w:bidi w:val="0"/>
        <w:jc w:val="both"/>
        <w:rPr/>
      </w:pPr>
      <w:r>
        <w:rPr>
          <w:rFonts w:eastAsia="Times New Roman" w:cs="Times New Roman" w:ascii="Times New Roman" w:hAnsi="Times New Roman"/>
          <w:color w:val="111111"/>
          <w:sz w:val="28"/>
          <w:szCs w:val="28"/>
          <w:lang w:val="en-US"/>
        </w:rPr>
        <w:t>Alhasil, setelah Syeikh Mufid dan Sayyid Murtadha menabuh genderang penentangan dan melontarkan sejumlah kritik tajam, sekte Akhbari perlahan-lahan tenggelam sampai lenyap. Memang, masih tersisa sejumlah ﬁgur yang mengusung pemikiran sekte ini,</w:t>
      </w:r>
      <w:r>
        <w:rPr>
          <w:rStyle w:val="FootnoteAnchor"/>
        </w:rPr>
        <w:footnoteReference w:id="398"/>
      </w:r>
      <w:r>
        <w:rPr>
          <w:rFonts w:eastAsia="Times New Roman" w:cs="Times New Roman" w:ascii="Times New Roman" w:hAnsi="Times New Roman"/>
          <w:color w:val="111111"/>
          <w:sz w:val="28"/>
          <w:szCs w:val="28"/>
          <w:lang w:val="en-US"/>
        </w:rPr>
        <w:t>namun kontras dengan masa-masa sebelumnya, mereka tidak lagi memberi pengaruh signifikan bagi perkembangan ilmu Ushul Fikih dan Teologi Syiah. Hingga awal abad XI H, barulah Mulla Muhammad Amin Astarabadi (w. 1033/ 1036 H) merevivalisasi pemikiran Akhbariyah dengan model dan pola baru. Syarat-syarat revivalisasi ini sebenarnya sudah tersedia sejak awal abad X 1-1 lewat sejumlah ahli fikih seperti: Ibn Abi Jumhur Ahsaie dan Mirza Muhammad Astarabadi. Jadi, Mulla Muhammad Amin Astarabadi sendiri, sebenamya, sanggup membangkitkan kembali Akhbariyah dengan memanfaatkan karya-karya pendahulu, khususnya arahan- arahan sang guru, yakni Mirza Muhammad Astarabadi.</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riwayat hidupnya, Mulla Astarabadi semula merupakan seorang mujtahid dan termasuk kalangan Ushuli. Dia bahkan berhasil menerima ijazah ’sertifikat’ ijtihad dari penulis Al-Madarik dan pengarang Al-Ma'alim; dua di antara jajaran tokoh besar </w:t>
      </w:r>
    </w:p>
    <w:p>
      <w:pPr>
        <w:pStyle w:val="BookText"/>
        <w:bidi w:val="0"/>
        <w:rPr/>
      </w:pPr>
      <w:r>
        <w:rPr>
          <w:rFonts w:eastAsia="Times New Roman" w:cs="Times New Roman" w:ascii="Times New Roman" w:hAnsi="Times New Roman"/>
          <w:color w:val="111111"/>
          <w:sz w:val="28"/>
          <w:szCs w:val="28"/>
          <w:lang w:val="en-US"/>
        </w:rPr>
        <w:t>Ushuli masa itu.</w:t>
      </w:r>
      <w:r>
        <w:rPr>
          <w:rStyle w:val="FootnoteAnchor"/>
        </w:rPr>
        <w:footnoteReference w:id="399"/>
      </w:r>
      <w:r>
        <w:rPr>
          <w:rFonts w:eastAsia="Times New Roman" w:cs="Times New Roman" w:ascii="Times New Roman" w:hAnsi="Times New Roman"/>
          <w:color w:val="111111"/>
          <w:sz w:val="28"/>
          <w:szCs w:val="28"/>
          <w:lang w:val="en-US"/>
        </w:rPr>
        <w:t>Mereka memujinya lantaran kualitas moral dan intelektualnya. Namun karena satu dan lain hal, berangsur-angsur dia malah menentang kaum Ushuli dan para mujtahid, menghujat akal dan rasionalisme, hingga merevivalisasi secara lebih transparan, bahkan lebih radikal, paham literalis sebagian ahli fikih dekade awal pasca Kegaiban Besar [Imam Mahdi].</w:t>
      </w:r>
    </w:p>
    <w:p>
      <w:pPr>
        <w:pStyle w:val="BookText"/>
        <w:bidi w:val="0"/>
        <w:jc w:val="both"/>
        <w:rPr/>
      </w:pPr>
      <w:r>
        <w:rPr>
          <w:rFonts w:eastAsia="Times New Roman" w:cs="Times New Roman" w:ascii="Times New Roman" w:hAnsi="Times New Roman"/>
          <w:color w:val="111111"/>
          <w:sz w:val="28"/>
          <w:szCs w:val="28"/>
          <w:lang w:val="en-US"/>
        </w:rPr>
        <w:t>lhwal faktor yang mendorongnya menentang Ushuliyah, Mulla Astarabadi menuturkan, ”Di waktu sahar, malam Jumat, di Makkah Mukarramah, seusai menunaikan shalat malam, aku tertidur dan di alam mimpi berjumpa dengan seseorang yang membacakan ayat Alquran, Barang siapa diberi hikmah, maka telah diberi kebaikan yang banyak. Menjelang subuh, aku terbangun dan membuka-buka kitab Al-Kahfi. Di situ, aku menjumpai sebuah hadis dari Imam Shadiq. Dalam menafsirkan ayat tersebut, beliau berkata, 'Maksud hikmah adalah hadis-hadis Ahlul Bait.'</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Sejak itu, dia bertekad untuk merevivalisasi alur pemikiran para pendahulu. Dalam rangka ini, dia menyatakan menentangannya terhadap akal dan rasionalisme Ushuliyah, dan tak segan-segan menyerang keras tokoh-tokohnya.</w:t>
      </w:r>
    </w:p>
    <w:p>
      <w:pPr>
        <w:pStyle w:val="BookText"/>
        <w:bidi w:val="0"/>
        <w:jc w:val="both"/>
        <w:rPr/>
      </w:pPr>
      <w:r>
        <w:rPr>
          <w:rFonts w:eastAsia="Times New Roman" w:cs="Times New Roman" w:ascii="Times New Roman" w:hAnsi="Times New Roman"/>
          <w:color w:val="111111"/>
          <w:sz w:val="28"/>
          <w:szCs w:val="28"/>
          <w:lang w:val="en-US"/>
        </w:rPr>
        <w:t>Sejauh ini, aliran motivasi dan arus kontribusi sang guru</w:t>
      </w:r>
      <w:r>
        <w:rPr>
          <w:rStyle w:val="FootnoteAnchor"/>
        </w:rPr>
        <w:footnoteReference w:id="401"/>
      </w:r>
      <w:r>
        <w:rPr>
          <w:rFonts w:eastAsia="Times New Roman" w:cs="Times New Roman" w:ascii="Times New Roman" w:hAnsi="Times New Roman"/>
          <w:color w:val="111111"/>
          <w:sz w:val="28"/>
          <w:szCs w:val="28"/>
          <w:lang w:val="en-US"/>
        </w:rPr>
        <w:t>Mirza Muhammad Astarabadi, dalam hal ini menjadi pengaruh yang cukup signifikan terhadap perubahan sikap Mulla Astarabadi itu. Dalam risalah berbahasa Persia, Danesnameh Shahi, sang murid menuliskan: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Setelah mengajarkan seluruh hadis kepadaku, beliau (Mirza Astarabadi) menyerukan, ”Hidupkanlah paham kaum Akhbari </w:t>
      </w:r>
    </w:p>
    <w:p>
      <w:pPr>
        <w:pStyle w:val="BookText"/>
        <w:bidi w:val="0"/>
        <w:rPr/>
      </w:pPr>
      <w:r>
        <w:rPr>
          <w:rFonts w:eastAsia="Times New Roman" w:cs="Times New Roman" w:ascii="Times New Roman" w:hAnsi="Times New Roman"/>
          <w:color w:val="111111"/>
          <w:sz w:val="28"/>
          <w:szCs w:val="28"/>
          <w:lang w:val="en-US"/>
        </w:rPr>
        <w:t>dan tuntaskan segenap kritik yang menentang mereka, karena paham itu telah ada sejak dulu. Akan tetapi Tuhan telah menakdirkan paham ini mengalir dari tintamu. Setelah itu aku....” Beberapa tahun di Madinah, aku hanyut dalam pikiran, merendah di hadapan Allah Swt, bertawasul kepada arwah suci Ahlul Bait. Lagi-lagi aku dengan penuh seksama dan kontemplatif mengamati rangkaian hadis dan buku-buku Ahli Sunah ('Ammah) dan Syiah (Khashshah), sehingga berkat anugerah Allah Swt, berkah penghulu para nabi dan para imam maksum—salam Allah atas mereka!—aku patuhi isyarat yang wajib ditaati dan aku berhasil menulis Al-Fawa’id Al-Madi‘nah. Mereka membaca karya ini, kemudian memujinya dan menyampaikan sanjungan kepada penulisnya.</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Astarabadi melancarkan penolakan kerasnya terhadap ijtihad dan penalaran dengan nada lantang, galak bahkan gegabah. Dalam tempo singkat, dia sudah berhasil mempengaruhi banyak ulama, yang lantas menyebar cepat ke pelbagai kota di Irak.</w:t>
      </w:r>
      <w:r>
        <w:rPr>
          <w:rStyle w:val="FootnoteAnchor"/>
        </w:rPr>
        <w:footnoteReference w:id="403"/>
      </w:r>
      <w:r>
        <w:rPr>
          <w:rFonts w:eastAsia="Times New Roman" w:cs="Times New Roman" w:ascii="Times New Roman" w:hAnsi="Times New Roman"/>
          <w:color w:val="111111"/>
          <w:sz w:val="28"/>
          <w:szCs w:val="28"/>
          <w:lang w:val="en-US"/>
        </w:rPr>
        <w:t>Pada tahap berikutnya, pemikirannya lambat laun mendominasi seluruh pusat keilmuan Syiah di Iran dan lrak. Semua itu mengakibatkan pemikiran Ushuliyah mengalami kemunduran dan kemerosotan krusial secara bertahap.</w:t>
      </w:r>
      <w:r>
        <w:rPr>
          <w:rStyle w:val="FootnoteAnchor"/>
        </w:rPr>
        <w:footnoteReference w:id="40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Terdapat sejumlah nama besar di kalangan ahli hukum yang, sedikit banyak, punya kecenderungan pada pemikiran Akhbariyah.</w:t>
      </w:r>
      <w:r>
        <w:rPr>
          <w:rStyle w:val="FootnoteAnchor"/>
        </w:rPr>
        <w:footnoteReference w:id="405"/>
      </w:r>
      <w:r>
        <w:rPr>
          <w:rFonts w:eastAsia="Times New Roman" w:cs="Times New Roman" w:ascii="Times New Roman" w:hAnsi="Times New Roman"/>
          <w:color w:val="111111"/>
          <w:sz w:val="28"/>
          <w:szCs w:val="28"/>
          <w:lang w:val="en-US"/>
        </w:rPr>
        <w:t>Di antaranya, Muhammad Taqi Majlisi (w. 1070 H), Mulla Muhsin Faidh Kasyani (w. 1091 H)</w:t>
      </w:r>
      <w:r>
        <w:rPr>
          <w:rStyle w:val="FootnoteAnchor"/>
        </w:rPr>
        <w:footnoteReference w:id="406"/>
      </w:r>
      <w:r>
        <w:rPr>
          <w:rFonts w:eastAsia="Times New Roman" w:cs="Times New Roman" w:ascii="Times New Roman" w:hAnsi="Times New Roman"/>
          <w:color w:val="111111"/>
          <w:sz w:val="28"/>
          <w:szCs w:val="28"/>
          <w:lang w:val="en-US"/>
        </w:rPr>
        <w:t>, Syeikh Hurr Amili (w. 1104 H)</w:t>
      </w:r>
      <w:r>
        <w:rPr>
          <w:rStyle w:val="FootnoteAnchor"/>
        </w:rPr>
        <w:footnoteReference w:id="407"/>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Muhammad Bagir Majlisi (w. 1110 H), Sayyid Nikmatullah Jazairi (w. 1112 H), dan Syeikh Yusuf Bahrani (w. 1186 H).</w:t>
      </w:r>
    </w:p>
    <w:p>
      <w:pPr>
        <w:pStyle w:val="BookText"/>
        <w:bidi w:val="0"/>
        <w:jc w:val="both"/>
        <w:rPr/>
      </w:pPr>
      <w:r>
        <w:rPr>
          <w:rFonts w:eastAsia="Times New Roman" w:cs="Times New Roman" w:ascii="Times New Roman" w:hAnsi="Times New Roman"/>
          <w:color w:val="111111"/>
          <w:sz w:val="28"/>
          <w:szCs w:val="28"/>
          <w:lang w:val="en-US"/>
        </w:rPr>
        <w:t>Sekte Akhbariyah sendiri memang sejak awal dan di masa Mulla Astarabadi telah menghadapi penentangan dari sejumlah ulama, pemikir dan filosof. Salah satu figur paling menonjol yang berposisi vis-ti-vis adalah Mulla Shadra (979-1050 H). Tampaknya, teosof ini menjadi tokoh pertama yang mengibarkan bendera penentangan terhadap pemikiran jumud ini. Dalam sejumlah karyanya, dia berulang kali memperingatkan bahaya Akhbariyah dan literalisme. Salah satunya diungkapkan dalam prolog adikaryanya, Al-Hikmah Al-Muta'aliyyah. Dalam prolog bukunya yang lain, Mafatih Al-Ghayb</w:t>
      </w:r>
      <w:r>
        <w:rPr>
          <w:rStyle w:val="FootnoteAnchor"/>
        </w:rPr>
        <w:footnoteReference w:id="408"/>
      </w:r>
      <w:r>
        <w:rPr>
          <w:rFonts w:eastAsia="Times New Roman" w:cs="Times New Roman" w:ascii="Times New Roman" w:hAnsi="Times New Roman"/>
          <w:color w:val="111111"/>
          <w:sz w:val="28"/>
          <w:szCs w:val="28"/>
          <w:lang w:val="en-US"/>
        </w:rPr>
        <w:t>dan Syarh Ushul Al-Kafi</w:t>
      </w:r>
      <w:r>
        <w:rPr>
          <w:rStyle w:val="FootnoteAnchor"/>
        </w:rPr>
        <w:footnoteReference w:id="409"/>
      </w:r>
      <w:r>
        <w:rPr>
          <w:rFonts w:eastAsia="Times New Roman" w:cs="Times New Roman" w:ascii="Times New Roman" w:hAnsi="Times New Roman"/>
          <w:color w:val="111111"/>
          <w:sz w:val="28"/>
          <w:szCs w:val="28"/>
          <w:lang w:val="en-US"/>
        </w:rPr>
        <w:t>, dia menunjukkan kedangkalan pemikiran dan pandangan sekte ini seraya mengidentikkannya dengan Hanbaliyah dan Ahli Hadisnya Ahli Sunah. Dalam parodinya, dia menyebut mereka sejenis kelalawar yang menutup mata dari menatap cahaya, rahasia hikmah dan makrifat, sehingga menghukumi bid’ah dan sesat upaya mendalami ayat—ayat Alquran dan hadis-hadis Ahlul Bait:</w:t>
      </w:r>
    </w:p>
    <w:p>
      <w:pPr>
        <w:pStyle w:val="BookText"/>
        <w:bidi w:val="0"/>
        <w:jc w:val="both"/>
        <w:rPr/>
      </w:pPr>
      <w:r>
        <w:rPr>
          <w:rFonts w:eastAsia="Times New Roman" w:cs="Times New Roman" w:ascii="Times New Roman" w:hAnsi="Times New Roman"/>
          <w:color w:val="111111"/>
          <w:sz w:val="28"/>
          <w:szCs w:val="28"/>
          <w:lang w:val="en-US"/>
        </w:rPr>
        <w:t>Mungkinkah orang taklid buta pada riwayat, merasa puas dengan teks hadis, dan menolak pola-pola logis dan rasional, akan mampu mencapaihakikat?Tidakkah dia memahami bahwa satu-satunya rujukan syariat adalah sabda Nabi Islam, sedangkan upaya membuktikan kebenaran sabda beliau tidaklah mungkin kecuali dengan argumentasi rasional?</w:t>
      </w:r>
      <w:r>
        <w:rPr>
          <w:rStyle w:val="FootnoteAnchor"/>
        </w:rPr>
        <w:footnoteReference w:id="41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demikian, arus pemikiran Akhbariyah terus menyebar luas dan, dalam rentang dua abad, sayangnya mempengaruhi segenap dinamika pemikiran mazhab Syiah. Sampai muncullah beberapa sosok ulama-pejuang besar. Dua di antara yang paling terkemuka </w:t>
      </w:r>
      <w:bookmarkStart w:id="311" w:name="pg5378_50710"/>
    </w:p>
    <w:p>
      <w:pPr>
        <w:pStyle w:val="BookText"/>
        <w:bidi w:val="0"/>
        <w:rPr/>
      </w:pPr>
      <w:bookmarkEnd w:id="311"/>
      <w:r>
        <w:rPr>
          <w:rFonts w:eastAsia="Times New Roman" w:cs="Times New Roman" w:ascii="Times New Roman" w:hAnsi="Times New Roman"/>
          <w:color w:val="111111"/>
          <w:sz w:val="28"/>
          <w:szCs w:val="28"/>
          <w:lang w:val="en-US"/>
        </w:rPr>
        <w:t>adalah Wahid Behbahani dan Syeikh Murtadha Anshari. Di tangan mereka, basis pemikiran Akhbariyah digoncang, kerapuhannya kerap dibongkar jelas, sebelum terhimpun sebagai anasir keruntuhan sekte ini.</w:t>
      </w:r>
    </w:p>
    <w:p>
      <w:pPr>
        <w:pStyle w:val="Heading3"/>
        <w:numPr>
          <w:ilvl w:val="2"/>
          <w:numId w:val="1"/>
        </w:numPr>
        <w:bidi w:val="0"/>
        <w:jc w:val="left"/>
        <w:rPr/>
      </w:pPr>
      <w:bookmarkStart w:id="312" w:name="__RefHeading___Toc1351270_581953129"/>
      <w:bookmarkStart w:id="313" w:name="_Toc114"/>
      <w:bookmarkEnd w:id="312"/>
      <w:r>
        <w:rPr/>
        <w:t>Asal Usul Akhbariyah</w:t>
      </w:r>
      <w:bookmarkEnd w:id="313"/>
    </w:p>
    <w:p>
      <w:pPr>
        <w:pStyle w:val="Heading4"/>
        <w:numPr>
          <w:ilvl w:val="3"/>
          <w:numId w:val="1"/>
        </w:numPr>
        <w:bidi w:val="0"/>
        <w:jc w:val="left"/>
        <w:rPr/>
      </w:pPr>
      <w:bookmarkStart w:id="314" w:name="__RefHeading___Toc1351272_581953129"/>
      <w:bookmarkStart w:id="315" w:name="_Toc115"/>
      <w:bookmarkEnd w:id="314"/>
      <w:r>
        <w:rPr/>
        <w:t>Point</w:t>
      </w:r>
      <w:bookmarkEnd w:id="315"/>
    </w:p>
    <w:p>
      <w:pPr>
        <w:pStyle w:val="BookText"/>
        <w:bidi w:val="0"/>
        <w:jc w:val="both"/>
        <w:rPr/>
      </w:pPr>
      <w:r>
        <w:rPr>
          <w:rFonts w:eastAsia="Times New Roman" w:cs="Times New Roman" w:ascii="Times New Roman" w:hAnsi="Times New Roman"/>
          <w:color w:val="111111"/>
          <w:sz w:val="28"/>
          <w:szCs w:val="28"/>
          <w:lang w:val="en-US"/>
        </w:rPr>
        <w:t>Tak diragukan lagi, pertumbuhan dan perkembangan arus antirasional Akhbariyah di dalam khazanah rasionalisme Syiah, merupakan satu dari sekian fenomena misterius transformasi intelektualitas dan kultur. Ahlul Bait Nabi aktif sebagai agen utama penyeru rasionalisme dan penghidup ayat-ayat tauhid Alquran. Lebih dari itu, para imam memberi penghargaan yang begitu tinggi kepada akal dengan aksentuasi yang kuat dan indah, seperti yang khususnya tertuang dalam pidato-pidato ketuhanan Ali bin Abi Thalib. Sebegitu kuat ajaran dan tuntunan mereka hingga mazhab sebesar Muktazilah, yang disepakati sebagai rasionalis Islam, menyadari dirinya telah berhutang budi kepada mereka.</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Persoalan yang mengemuka, bagaimana menganalisis sekelompok dari pengikut Ahlul Bait yang, dalam upaya menghidupkan tradisi dan budaya mereka, justru menolak rasionalitas, bahkan tidak menyisakan harkat sedikitpun untuk akal dalam menggali kandungan agama?</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Inkonsistensi Akhbariyah dengan garis intelektual dan kultural Ahlul Bait sanggup menggugah sebagian pemikir dan peneliti aktif membuat pelbagai teori dan hipotesis seputar sumber dan akar anti-rasionalitas sekte ini. Masing-masing mengoleksi aneka faktor penafsir kelahiran serta pertumbuhannya di dalam lingkup mazhab Ahlul Bait. Kebanyakan mereka berusaha menelusuri begitu rupa untuk menemukan satu serat faktor yang melampaui mazhab induk atau agamanya. </w:t>
      </w:r>
      <w:bookmarkStart w:id="316" w:name="pg5378_50711"/>
    </w:p>
    <w:p>
      <w:pPr>
        <w:pStyle w:val="BookText"/>
        <w:bidi w:val="0"/>
        <w:rPr/>
      </w:pPr>
      <w:bookmarkEnd w:id="316"/>
      <w:r>
        <w:rPr>
          <w:rFonts w:eastAsia="Times New Roman" w:cs="Times New Roman" w:ascii="Times New Roman" w:hAnsi="Times New Roman"/>
          <w:color w:val="111111"/>
          <w:sz w:val="28"/>
          <w:szCs w:val="28"/>
          <w:lang w:val="en-US"/>
        </w:rPr>
        <w:t>Dalam bagian ini‘, akan dikemukakan yang terpenting dari teori- teori itu, dan diperiksa tingkat akurasinya masing-masing, dengan mengacu pada sumber-sumber sejarah, rangkaian statemen dan karya-karya tulis kaum Akhbari.</w:t>
      </w:r>
    </w:p>
    <w:p>
      <w:pPr>
        <w:pStyle w:val="Heading4"/>
        <w:numPr>
          <w:ilvl w:val="3"/>
          <w:numId w:val="1"/>
        </w:numPr>
        <w:bidi w:val="0"/>
        <w:jc w:val="left"/>
        <w:rPr/>
      </w:pPr>
      <w:bookmarkStart w:id="317" w:name="__RefHeading___Toc1351274_581953129"/>
      <w:bookmarkStart w:id="318" w:name="_Toc116"/>
      <w:bookmarkEnd w:id="317"/>
      <w:r>
        <w:rPr/>
        <w:t>Empirisme Barat</w:t>
      </w:r>
      <w:bookmarkEnd w:id="318"/>
    </w:p>
    <w:p>
      <w:pPr>
        <w:pStyle w:val="BookText"/>
        <w:bidi w:val="0"/>
        <w:jc w:val="both"/>
        <w:rPr/>
      </w:pPr>
      <w:r>
        <w:rPr>
          <w:rFonts w:eastAsia="Times New Roman" w:cs="Times New Roman" w:ascii="Times New Roman" w:hAnsi="Times New Roman"/>
          <w:color w:val="111111"/>
          <w:sz w:val="28"/>
          <w:szCs w:val="28"/>
          <w:lang w:val="en-US"/>
        </w:rPr>
        <w:t>Ayatullah Borujerdi,</w:t>
      </w:r>
      <w:r>
        <w:rPr>
          <w:rStyle w:val="FootnoteAnchor"/>
        </w:rPr>
        <w:footnoteReference w:id="412"/>
      </w:r>
      <w:r>
        <w:rPr>
          <w:rFonts w:eastAsia="Times New Roman" w:cs="Times New Roman" w:ascii="Times New Roman" w:hAnsi="Times New Roman"/>
          <w:color w:val="111111"/>
          <w:sz w:val="28"/>
          <w:szCs w:val="28"/>
          <w:lang w:val="en-US"/>
        </w:rPr>
        <w:t>Syahid Baqir Shadr,</w:t>
      </w:r>
      <w:r>
        <w:rPr>
          <w:rStyle w:val="FootnoteAnchor"/>
        </w:rPr>
        <w:footnoteReference w:id="413"/>
      </w:r>
      <w:r>
        <w:rPr>
          <w:rFonts w:eastAsia="Times New Roman" w:cs="Times New Roman" w:ascii="Times New Roman" w:hAnsi="Times New Roman"/>
          <w:color w:val="111111"/>
          <w:sz w:val="28"/>
          <w:szCs w:val="28"/>
          <w:lang w:val="en-US"/>
        </w:rPr>
        <w:t>dan, sedikit banyak, Syahid Muthahari</w:t>
      </w:r>
      <w:r>
        <w:rPr>
          <w:rStyle w:val="FootnoteAnchor"/>
        </w:rPr>
        <w:footnoteReference w:id="414"/>
      </w:r>
      <w:r>
        <w:rPr>
          <w:rFonts w:eastAsia="Times New Roman" w:cs="Times New Roman" w:ascii="Times New Roman" w:hAnsi="Times New Roman"/>
          <w:color w:val="111111"/>
          <w:sz w:val="28"/>
          <w:szCs w:val="28"/>
          <w:lang w:val="en-US"/>
        </w:rPr>
        <w:t>meyakini bahwa kemunculan pemikiran Akhbari dipengaruhi oleh kebangkitan Eksperimentalisme dan Empirisme Barat. Asumsi ini didukung fakta bahwa sang revivalis Akhbariyah, Mulla Muhammad Astarabadi (w. 1624/1627 M), hidup sezaman dengan Francis Bacon (1561-1626 M). Sebagaimana diketahui, Francis Bacon merupakan salah seorang filosof Barat yang mengawali penggagasan Empirisme</w:t>
      </w:r>
      <w:r>
        <w:rPr>
          <w:rStyle w:val="FootnoteAnchor"/>
        </w:rPr>
        <w:footnoteReference w:id="415"/>
      </w:r>
      <w:r>
        <w:rPr>
          <w:rFonts w:eastAsia="Times New Roman" w:cs="Times New Roman" w:ascii="Times New Roman" w:hAnsi="Times New Roman"/>
          <w:color w:val="111111"/>
          <w:sz w:val="28"/>
          <w:szCs w:val="28"/>
          <w:lang w:val="en-US"/>
        </w:rPr>
        <w:t>yang lantas dilanjutkan dan dikembangkan sebagai sebuah aliran filsafat oleh John Locke (1632- 1704 M) dan David Hume (1711-1776 M).</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Syahid Muthahari bahkan mengungkapkan kemungkinan Astarabadi mengenal pemikiran Bacon dan sealirannya. Menurutnya, selama beberapa waktu, Astarabadi pernah tinggal di Mekah dan Madinah, dan di sanalah dia menekuni pemikirannya. Sementara pada saat yang sama, cukup banyak orang yang mengunjungi kedua Kota sakral dan historis itu dari daratan Eropa. Boleh jadi, lewat merekalah Mulla Astarabadi melakukan kontak intelektual dengan gagasan Empirisme versi Francis Bacon. Kalaupun diandaikan bahwa dia sudah membangun pemikirannya semasih tinggal di Iran dan sebelum bertolak ke Mekah, maka kemungkinannya melakukan </w:t>
      </w:r>
    </w:p>
    <w:p>
      <w:pPr>
        <w:pStyle w:val="BookText"/>
        <w:bidi w:val="0"/>
        <w:rPr/>
      </w:pPr>
      <w:r>
        <w:rPr>
          <w:rFonts w:eastAsia="Times New Roman" w:cs="Times New Roman" w:ascii="Times New Roman" w:hAnsi="Times New Roman"/>
          <w:color w:val="111111"/>
          <w:sz w:val="28"/>
          <w:szCs w:val="28"/>
          <w:lang w:val="en-US"/>
        </w:rPr>
        <w:t>kontak itu tetap kuat, yakni melalui para pengunjung dari Eropa. Ini mengingat pada masa itu, para pemimpin Eropa memiliki hubungan yang baik dengan dinasti Safavid yang berkuasa di Iran.</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Betapapun itu, Mulla Astarabadi seperti halnya kaum Empirisis: sama sekali tidak memberi tempat untuk akal dalam proses pengetahuan—bahkan menolak mutlak validitas pemahaman aklani.</w:t>
      </w:r>
    </w:p>
    <w:p>
      <w:pPr>
        <w:pStyle w:val="BookText"/>
        <w:bidi w:val="0"/>
        <w:jc w:val="both"/>
        <w:rPr/>
      </w:pPr>
      <w:r>
        <w:rPr>
          <w:rFonts w:eastAsia="Times New Roman" w:cs="Times New Roman" w:ascii="Times New Roman" w:hAnsi="Times New Roman"/>
          <w:color w:val="111111"/>
          <w:sz w:val="28"/>
          <w:szCs w:val="28"/>
          <w:lang w:val="en-US"/>
        </w:rPr>
        <w:t>Penjelasannya, Mulla Astarabadi mengklasifikasi pengetahuan ke dalam dua jenis.</w:t>
      </w:r>
      <w:r>
        <w:rPr>
          <w:rStyle w:val="FootnoteAnchor"/>
        </w:rPr>
        <w:footnoteReference w:id="417"/>
      </w:r>
      <w:r>
        <w:rPr>
          <w:rFonts w:eastAsia="Times New Roman" w:cs="Times New Roman" w:ascii="Times New Roman" w:hAnsi="Times New Roman"/>
          <w:color w:val="111111"/>
          <w:sz w:val="28"/>
          <w:szCs w:val="28"/>
          <w:lang w:val="en-US"/>
        </w:rPr>
        <w:t>Pertama, pengetahuan yang bersumber dari cerapan indra dan eksperimen. Kedua, pengetahuan yang tak terjangkau indra, yang berkaitan dengan subjek-subjek metaﬁsis seperti: teologi (Hikmah Ilahiyyah), ushul fikih, fikih teoretis, dan sebagian kaidah logika. Dia lalu menegaskan bahwa jenis pengetahuan pertama saja yang bemilai. Dia sekaligus mengakui nilai ilmu matematika lantaran berbasis, ujung-ujungnya, pada pengetahuan indrawi. Adapun jenis pengetahuan kedua, yang berbasis pada akal dan berkaitan dengan ihwal di luar indra dan pengalaman, bukan sekadar tidak menghasilkan apa pun kebenaran yang pasti, tetapi bahkan sama sekali tak bemilai. Oleh karena itu, dia menentang keras filsafat, teologi dan ushul fikih.</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Sekalipun posisi epistemologis postulat-postulat Empirisme di Eropa dan Akhbariyah dalam tubuh Islam paralel satu sama lain, namun di antara keduanya juga terdapat sejumlah perbedaan krusial dan menonjol. Di antaranya, pengabaian terhadap akal dan pengandaian indra serta eksperimen sebagai basis di benua Eropa berdampak pada ateisme dan ingkar agama. Sementara hal yang sama di dunia Islam diupayakan kaum Akhbari justru dalam rangka mengamalkan agama dan mengembangkan muatan intelektualnya.</w:t>
      </w:r>
      <w:r>
        <w:rPr>
          <w:rStyle w:val="FootnoteAnchor"/>
        </w:rPr>
        <w:footnoteReference w:id="418"/>
      </w:r>
      <w:r>
        <w:rPr>
          <w:rFonts w:eastAsia="Times New Roman" w:cs="Times New Roman" w:ascii="Times New Roman" w:hAnsi="Times New Roman"/>
          <w:color w:val="111111"/>
          <w:sz w:val="28"/>
          <w:szCs w:val="28"/>
          <w:lang w:val="en-US"/>
        </w:rPr>
        <w:t xml:space="preserve">Kaum empirisis bangkit sebagai gerakan perlawanan terhadap </w:t>
      </w:r>
      <w:bookmarkStart w:id="319" w:name="pg5378_50715"/>
    </w:p>
    <w:p>
      <w:pPr>
        <w:pStyle w:val="BookText"/>
        <w:bidi w:val="0"/>
        <w:rPr/>
      </w:pPr>
      <w:bookmarkEnd w:id="319"/>
      <w:r>
        <w:rPr>
          <w:rFonts w:eastAsia="Times New Roman" w:cs="Times New Roman" w:ascii="Times New Roman" w:hAnsi="Times New Roman"/>
          <w:color w:val="111111"/>
          <w:sz w:val="28"/>
          <w:szCs w:val="28"/>
          <w:lang w:val="en-US"/>
        </w:rPr>
        <w:t>agama, adapun kaum Akhbari clalam Islam menampilkan diri sebagai representasi tunggal gerakan religius yang terbentuk dari anasir ajaran yang sesungguhnya. Kalangan empirisis meyakini kerancuan teks—teks agama dan inkompetensinya, sementara kaum Akhbari menganggap teks-teks agama sudah memadai sehingga tidak lagi perlu argumentasi dan penalaran aklani.</w:t>
      </w:r>
    </w:p>
    <w:p>
      <w:pPr>
        <w:pStyle w:val="BookText"/>
        <w:bidi w:val="0"/>
        <w:jc w:val="both"/>
        <w:rPr/>
      </w:pPr>
      <w:r>
        <w:rPr>
          <w:rFonts w:eastAsia="Times New Roman" w:cs="Times New Roman" w:ascii="Times New Roman" w:hAnsi="Times New Roman"/>
          <w:color w:val="111111"/>
          <w:sz w:val="28"/>
          <w:szCs w:val="28"/>
          <w:lang w:val="en-US"/>
        </w:rPr>
        <w:t>Atas dasar ini, klaim yang membuka kemungkinan asal-usul kelahiran pemikiran Akhbariyah dari kebangkitan Empirisme di Barat, tak bergeser dari posisinya sebagai hipotesis semata; tidak ada evidensi apalagi bukti yang patut dipertimbangkan untuk membuktikannya. Meski begitu, juga tidak ada satu bukti yang menafikannya.</w:t>
      </w:r>
    </w:p>
    <w:p>
      <w:pPr>
        <w:pStyle w:val="BookText"/>
        <w:bidi w:val="0"/>
        <w:jc w:val="both"/>
        <w:rPr/>
      </w:pPr>
      <w:r>
        <w:rPr>
          <w:rFonts w:eastAsia="Times New Roman" w:cs="Times New Roman" w:ascii="Times New Roman" w:hAnsi="Times New Roman"/>
          <w:color w:val="111111"/>
          <w:sz w:val="28"/>
          <w:szCs w:val="28"/>
          <w:lang w:val="en-US"/>
        </w:rPr>
        <w:t>Hanya perlu dicatat, paralelisme struktur dan basis pemikiran serta kesamaan masa penggagasannya dari dua tokoh pemikir yang berbeda tidak serta merta menjadi bukti adanya saling pengaruh di antara keduanya. Pada prinsipnya, kemiripan epistemologis dan temporal seperti di atas, sejauh menyangkut persoalan rasional dan epistemologis, tidak dapat dijadikan sebagai kriterium berlangsungnya akses intelektual satu dari yang lain. Kemiripan ini semakin tidak berarti lagi tatkala Akhbariyah sudah berkembang luas sejak awal kurun dunia Islam, kurang-lebih tujuh abad sebelum Bacon lahir. Sedangkan Mulla Astarabadi akan lebih tepat dipandang sebagai pembaharu, bukan pencetus sekte.</w:t>
      </w:r>
    </w:p>
    <w:p>
      <w:pPr>
        <w:pStyle w:val="Heading4"/>
        <w:numPr>
          <w:ilvl w:val="3"/>
          <w:numId w:val="1"/>
        </w:numPr>
        <w:bidi w:val="0"/>
        <w:jc w:val="left"/>
        <w:rPr/>
      </w:pPr>
      <w:bookmarkStart w:id="320" w:name="__RefHeading___Toc1351276_581953129"/>
      <w:bookmarkStart w:id="321" w:name="_Toc117"/>
      <w:bookmarkEnd w:id="320"/>
      <w:r>
        <w:rPr/>
        <w:t>Sinis Menilai Ushul Fikih</w:t>
      </w:r>
      <w:bookmarkEnd w:id="32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Faktor lain yang, masih menurut mereka, melatarbelakangi kemunculan Akhbariyah adalah persepsi buruk terhadap ilmu ushul fikih dan kecurigaan terhadap kalangan ulamanya.</w:t>
      </w:r>
      <w:r>
        <w:rPr>
          <w:rStyle w:val="FootnoteAnchor"/>
        </w:rPr>
        <w:footnoteReference w:id="419"/>
      </w:r>
      <w:r>
        <w:rPr>
          <w:rFonts w:eastAsia="Times New Roman" w:cs="Times New Roman" w:ascii="Times New Roman" w:hAnsi="Times New Roman"/>
          <w:color w:val="111111"/>
          <w:sz w:val="28"/>
          <w:szCs w:val="28"/>
          <w:lang w:val="en-US"/>
        </w:rPr>
        <w:t xml:space="preserve">Dalam analisis mereka, ilmu Ushul Fikih secara historis muncul pertama kali di kalangan Ahli Sunah. Agar tak tertinggal dari prakarsa ini, dan demi </w:t>
      </w:r>
    </w:p>
    <w:p>
      <w:pPr>
        <w:pStyle w:val="BookText"/>
        <w:bidi w:val="0"/>
        <w:rPr/>
      </w:pPr>
      <w:r>
        <w:rPr>
          <w:rFonts w:eastAsia="Times New Roman" w:cs="Times New Roman" w:ascii="Times New Roman" w:hAnsi="Times New Roman"/>
          <w:color w:val="111111"/>
          <w:sz w:val="28"/>
          <w:szCs w:val="28"/>
          <w:lang w:val="en-US"/>
        </w:rPr>
        <w:t>menghindari kecaman kaum Ahli Sunah, maka ulama-ulama Syiah lantas berusaha memenuhi kekurangan ini: menulis dan merumuskan ushul fikih serta menyebarluaskannya di kalangan fuqaha mazhab, kendati para imam melarangnya.</w:t>
      </w:r>
      <w:r>
        <w:rPr>
          <w:rStyle w:val="FootnoteAnchor"/>
        </w:rPr>
        <w:footnoteReference w:id="42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Mulla Astarabadi menuturkan, ”Ibnu Junaid (w. 381 H) dan Ibnu Abi Aqil (wafat pada abad IV H) termasuk orang pertama di awal Kegaiban Besar [Imam Mahdi] yang mempelajari buku-buku teologi dan ushul Muktazilah, dan karenanya, dalam banyak hal terpengaruh oleh pemikirannya. Contohnya, Ibnu Junaid seperti juga kaum rasionalis Ahli Sunah: menggunakan qiyas dalam menangani persoalan fikih.</w:t>
      </w:r>
      <w:r>
        <w:rPr>
          <w:rStyle w:val="FootnoteAnchor"/>
        </w:rPr>
        <w:footnoteReference w:id="421"/>
      </w:r>
      <w:r>
        <w:rPr>
          <w:rFonts w:eastAsia="Times New Roman" w:cs="Times New Roman" w:ascii="Times New Roman" w:hAnsi="Times New Roman"/>
          <w:color w:val="111111"/>
          <w:sz w:val="28"/>
          <w:szCs w:val="28"/>
          <w:lang w:val="en-US"/>
        </w:rPr>
        <w:t>Setelahnya, Syeikh Mufid mengapresiasi mereka dan metode rasionalnya dalam kuliah-kuliahnya dan di hadapan murid-muridnya seperti: Sayyid Murtadha. Dengan demikian, lewat Syeikh Mufid, Sayyid Murtadha dan tokoh-tokoh lainnya dirumuskanlah kaidah-kaidah teologi dan fondasi ilmu ushul dalam paradigma rasionalistik. Inilah yang kemudian berkembang umum di tengah generasi setelah-nya. Hingga tibalah masa Allamah Hilli yang menyempumakan proses ini. Dia sama sekali tidak pernah selangkah pun surut dari upaya merasionalisasi teologi dan fikih Syiah. Hanya dia lengah: sekalipun upaya kaum Ahli Sunah dalam merasionalisasi butir-butir keyakinan dan ushul fikih dapat dibenarkan, itu bukanlah sebuah keniscayaan atau alasan yang cukup bagi kaum Syiah, lantaran pengikut mazhab Ahlul Bait sepenuhnya bergantung pada kepemimpinan para imam sehingga tidak membutuhkan kaidah dan istilah semacam itu.</w:t>
      </w:r>
      <w:r>
        <w:rPr>
          <w:rStyle w:val="FootnoteAnchor"/>
        </w:rPr>
        <w:footnoteReference w:id="422"/>
      </w:r>
    </w:p>
    <w:p>
      <w:pPr>
        <w:pStyle w:val="BookText"/>
        <w:bidi w:val="0"/>
        <w:rPr/>
      </w:pPr>
      <w:r>
        <w:rPr>
          <w:rFonts w:eastAsia="Times New Roman" w:cs="Times New Roman" w:ascii="Times New Roman" w:hAnsi="Times New Roman"/>
          <w:color w:val="111111"/>
          <w:sz w:val="28"/>
          <w:szCs w:val="28"/>
          <w:lang w:val="en-US"/>
        </w:rPr>
        <w:t>Masalah lain yang melapisi analisis mereka ialah penggagasan ilmu ushul fikih yang dilakukan pasca kegaiban [Imam Mahdi], yakni tidak ada yang namanya ilmu Ushul Fikih terdisiplinkan secara sistematis di masa hidup para imam. Dengan bersandar pada asumsi ini, di masa awal kegaiban tersebut, kaum Akhbari mengklaim para sahabat imam yang setia serta kalangan fuqaha seperti: Syeikh Shaduq dan ayahnya, serta Kulaini dan Ali bin Ibrahlm</w:t>
      </w:r>
      <w:r>
        <w:rPr>
          <w:rStyle w:val="FootnoteAnchor"/>
        </w:rPr>
        <w:footnoteReference w:id="423"/>
      </w:r>
      <w:r>
        <w:rPr>
          <w:rFonts w:eastAsia="Times New Roman" w:cs="Times New Roman" w:ascii="Times New Roman" w:hAnsi="Times New Roman"/>
          <w:color w:val="111111"/>
          <w:sz w:val="28"/>
          <w:szCs w:val="28"/>
          <w:lang w:val="en-US"/>
        </w:rPr>
        <w:t>menyimpulkan hukum-hukum keagamaan tanpa menggunakan kaidah-kaidah Ushul Fikih seraya mendistribusikannya kepada masyarakat. Mereka menyatakan, siapapun dapat memahami hukum agama dan mengamalkannya hanya dengan merujuk makna literal dari riwayat Ahlul Bait tanpa perlu lagi kepada ilmu itu.</w:t>
      </w:r>
    </w:p>
    <w:p>
      <w:pPr>
        <w:pStyle w:val="BookText"/>
        <w:bidi w:val="0"/>
        <w:jc w:val="both"/>
        <w:rPr/>
      </w:pPr>
      <w:r>
        <w:rPr>
          <w:rFonts w:eastAsia="Times New Roman" w:cs="Times New Roman" w:ascii="Times New Roman" w:hAnsi="Times New Roman"/>
          <w:color w:val="111111"/>
          <w:sz w:val="28"/>
          <w:szCs w:val="28"/>
          <w:lang w:val="en-US"/>
        </w:rPr>
        <w:t>Cara pandang sinis terhadap ilmu ushul fikih serta kesalahpahaman seputar sejarah kemunculannya menjadi salah satu faktor pemicu kaum Akhbari generasi akhir bersikap vis—(}—vis akal dan kaum rasionalis. Kesimpulan ini benar. Hanya penting dicatat, pertama, kaum Akhbari bukan sekadar menolak peran akal dalam bidang ushul fikih, melainkan juga, setidaknya sebagian di antaranya termasuk Astarabadi, secara total menolak akal sebagai sumber pengetahuan. Itulah sebab-nya mereka mengingkari status apa saja bagi akal dalam urusan agama, entah itu fikih, teologi, maupun keyakinan.</w:t>
      </w:r>
    </w:p>
    <w:p>
      <w:pPr>
        <w:pStyle w:val="BookText"/>
        <w:bidi w:val="0"/>
        <w:jc w:val="both"/>
        <w:rPr/>
      </w:pPr>
      <w:r>
        <w:rPr>
          <w:rFonts w:eastAsia="Times New Roman" w:cs="Times New Roman" w:ascii="Times New Roman" w:hAnsi="Times New Roman"/>
          <w:color w:val="111111"/>
          <w:sz w:val="28"/>
          <w:szCs w:val="28"/>
          <w:lang w:val="en-US"/>
        </w:rPr>
        <w:t>Kendati bukan penyebab utama, namun setidaknya asumsi di atas dapat dipahami sebagai alasan kaum Akhbari kontemporer menentang aktivitas aklani dalam Ushul Fikih. Adapun akar penentangan mereka terhadap penggunaan akal dalam masalah- masalah keyakinan dan teologis harus ditelusuri dalam konteks yang lain.</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sama sekali keliru bila Akhbariyah dan sekelompok Iain dari pemikir dangkal itu mengklaim bahwa ilmu ushul fikih berasal </w:t>
      </w:r>
      <w:bookmarkStart w:id="322" w:name="pg5378_50721"/>
    </w:p>
    <w:p>
      <w:pPr>
        <w:pStyle w:val="BookText"/>
        <w:bidi w:val="0"/>
        <w:rPr/>
      </w:pPr>
      <w:bookmarkEnd w:id="322"/>
      <w:r>
        <w:rPr>
          <w:rFonts w:eastAsia="Times New Roman" w:cs="Times New Roman" w:ascii="Times New Roman" w:hAnsi="Times New Roman"/>
          <w:color w:val="111111"/>
          <w:sz w:val="28"/>
          <w:szCs w:val="28"/>
          <w:lang w:val="en-US"/>
        </w:rPr>
        <w:t>dari ulama Ahli Sunah.</w:t>
      </w:r>
      <w:r>
        <w:rPr>
          <w:rStyle w:val="FootnoteAnchor"/>
        </w:rPr>
        <w:footnoteReference w:id="424"/>
      </w:r>
      <w:r>
        <w:rPr>
          <w:rFonts w:eastAsia="Times New Roman" w:cs="Times New Roman" w:ascii="Times New Roman" w:hAnsi="Times New Roman"/>
          <w:color w:val="111111"/>
          <w:sz w:val="28"/>
          <w:szCs w:val="28"/>
          <w:lang w:val="en-US"/>
        </w:rPr>
        <w:t>lni sepenuhnya bertolak belakang dengan fakta konkret yang tercatat dalam buku sejarah dan riwayat. Kalangan Ahli Sunah bukanlah yang pertama kali memprakarsai dan menyusun ilmu ushul fikih, bukan pula yang paling dahulu menulis di bidang itu. Justru, dasar-dasar ilmu ini pertama kali dikemukakan, dengan mengacu kepada ayat-ayat Alquran, oleh Imam Muhammad Baqir dan Imam Shadiq sebelum diajarkan kepada murid-muridnya. Berkat motivasi dan arahan para imam itulah mereka berhasil, untuk pertama kalinya, menyusun pelbagai buku ushul fikih. Di antaranya, Al-Alfazd wa Mabahitsuha</w:t>
      </w:r>
      <w:r>
        <w:rPr>
          <w:rStyle w:val="FootnoteAnchor"/>
        </w:rPr>
        <w:footnoteReference w:id="425"/>
      </w:r>
      <w:r>
        <w:rPr>
          <w:rFonts w:eastAsia="Times New Roman" w:cs="Times New Roman" w:ascii="Times New Roman" w:hAnsi="Times New Roman"/>
          <w:color w:val="111111"/>
          <w:sz w:val="28"/>
          <w:szCs w:val="28"/>
          <w:lang w:val="en-US"/>
        </w:rPr>
        <w:t>karya Hisyam bin Hakam yang secara khusus mengupas satu tema utama ushul fikih, atau Ikhtilaf Al-Hadis wa masailuh</w:t>
      </w:r>
      <w:r>
        <w:rPr>
          <w:rStyle w:val="FootnoteAnchor"/>
        </w:rPr>
        <w:footnoteReference w:id="426"/>
      </w:r>
      <w:r>
        <w:rPr>
          <w:rFonts w:eastAsia="Times New Roman" w:cs="Times New Roman" w:ascii="Times New Roman" w:hAnsi="Times New Roman"/>
          <w:color w:val="111111"/>
          <w:sz w:val="28"/>
          <w:szCs w:val="28"/>
          <w:lang w:val="en-US"/>
        </w:rPr>
        <w:t>karya Yunus bin Abdurahman seputar tema Ta'arudh ’pertentangan’ antarriwayat, dan tema Al-Ta'adul wa al-tarojuh 'perbandingan dan prioritas’.</w:t>
      </w:r>
    </w:p>
    <w:p>
      <w:pPr>
        <w:pStyle w:val="BookText"/>
        <w:bidi w:val="0"/>
        <w:jc w:val="both"/>
        <w:rPr/>
      </w:pPr>
      <w:r>
        <w:rPr>
          <w:rFonts w:eastAsia="Times New Roman" w:cs="Times New Roman" w:ascii="Times New Roman" w:hAnsi="Times New Roman"/>
          <w:color w:val="111111"/>
          <w:sz w:val="28"/>
          <w:szCs w:val="28"/>
          <w:lang w:val="en-US"/>
        </w:rPr>
        <w:t>Selain itu, terdapat pula sejumlah buku kumpulan riwayat Ahlul Bait yang berkenaan dengan ilmu ushul fikih.</w:t>
      </w:r>
      <w:r>
        <w:rPr>
          <w:rStyle w:val="FootnoteAnchor"/>
        </w:rPr>
        <w:footnoteReference w:id="427"/>
      </w:r>
      <w:r>
        <w:rPr>
          <w:rFonts w:eastAsia="Times New Roman" w:cs="Times New Roman" w:ascii="Times New Roman" w:hAnsi="Times New Roman"/>
          <w:color w:val="111111"/>
          <w:sz w:val="28"/>
          <w:szCs w:val="28"/>
          <w:lang w:val="en-US"/>
        </w:rPr>
        <w:t>Di antaranya, Ushul Al-Rosul, yang berdasarkan pengakuan pengarangnya, mengulas sekitar 4000 hadis yang terkait dengan ushul fikih,“ atau Al-ushul Al-Asliyyah wa Al-Qowa'id Al-Mustanbatah min Al-Ayat wa Al-Akhbar Al-Marwiyyah</w:t>
      </w:r>
      <w:r>
        <w:rPr>
          <w:rStyle w:val="FootnoteAnchor"/>
        </w:rPr>
        <w:footnoteReference w:id="428"/>
      </w:r>
      <w:r>
        <w:rPr>
          <w:rFonts w:eastAsia="Times New Roman" w:cs="Times New Roman" w:ascii="Times New Roman" w:hAnsi="Times New Roman"/>
          <w:color w:val="111111"/>
          <w:sz w:val="28"/>
          <w:szCs w:val="28"/>
          <w:lang w:val="en-US"/>
        </w:rPr>
        <w:t>yang mempelajaari 134 ayat dan 1903 hadis sekaitan dengan tema-tema penting ilmu tersebut.</w:t>
      </w:r>
      <w:r>
        <w:rPr>
          <w:rStyle w:val="FootnoteAnchor"/>
        </w:rPr>
        <w:footnoteReference w:id="429"/>
      </w:r>
    </w:p>
    <w:p>
      <w:pPr>
        <w:pStyle w:val="Heading4"/>
        <w:numPr>
          <w:ilvl w:val="3"/>
          <w:numId w:val="1"/>
        </w:numPr>
        <w:bidi w:val="0"/>
        <w:jc w:val="left"/>
        <w:rPr/>
      </w:pPr>
      <w:bookmarkStart w:id="323" w:name="__RefHeading___Toc1351278_581953129"/>
      <w:bookmarkStart w:id="324" w:name="_Toc118"/>
      <w:bookmarkEnd w:id="323"/>
      <w:r>
        <w:rPr/>
        <w:t>Taklid pada Ahli Sunah</w:t>
      </w:r>
      <w:bookmarkEnd w:id="32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Kalau analisis sebelumnya menganggap permusuhan Akhbariyah terhadap rasionalisme kaum Ushuli sebagai akibat dari </w:t>
      </w:r>
    </w:p>
    <w:p>
      <w:pPr>
        <w:pStyle w:val="BookText"/>
        <w:bidi w:val="0"/>
        <w:rPr/>
      </w:pPr>
      <w:r>
        <w:rPr>
          <w:rFonts w:eastAsia="Times New Roman" w:cs="Times New Roman" w:ascii="Times New Roman" w:hAnsi="Times New Roman"/>
          <w:color w:val="111111"/>
          <w:sz w:val="28"/>
          <w:szCs w:val="28"/>
          <w:lang w:val="en-US"/>
        </w:rPr>
        <w:t>penentangannya terhadap kaum Ahli Sunah, akan halnya sebagian pakar justru yakin sebaliknya: paham Akhbariyah itu berakar pada pemikiran dan keyakinan Ahli Sunah.</w:t>
      </w:r>
      <w:r>
        <w:rPr>
          <w:rStyle w:val="FootnoteAnchor"/>
        </w:rPr>
        <w:footnoteReference w:id="430"/>
      </w:r>
      <w:r>
        <w:rPr>
          <w:rFonts w:eastAsia="Times New Roman" w:cs="Times New Roman" w:ascii="Times New Roman" w:hAnsi="Times New Roman"/>
          <w:color w:val="111111"/>
          <w:sz w:val="28"/>
          <w:szCs w:val="28"/>
          <w:lang w:val="en-US"/>
        </w:rPr>
        <w:t>Ini persis halnya dengan Zhahiriyah dan Hanbaliyah: memerangi pemikiran anti tradisi Muktazilah dan kalangan ahli fikih seperti: Abu Hanifah, dengan itikad menjaga kehormatan Sunah Nabi. Seperti itulah logika Akhbariyah: beranggapan bahwa metoda para mujtahid dan tokoh Ushuli—dalam menghargai akal sebagai basis validitas pemahaman— bertentangan clengan teks-teks agama dan melucuti nilai sakralitas dari hadis-hadis Ahlul Bait. Dengan pola inilah mereka menjejaki tapak kaum Ahli Hadis dan Zhahiriyah.</w:t>
      </w:r>
    </w:p>
    <w:p>
      <w:pPr>
        <w:pStyle w:val="BookText"/>
        <w:bidi w:val="0"/>
        <w:jc w:val="both"/>
        <w:rPr/>
      </w:pPr>
      <w:r>
        <w:rPr>
          <w:rFonts w:eastAsia="Times New Roman" w:cs="Times New Roman" w:ascii="Times New Roman" w:hAnsi="Times New Roman"/>
          <w:color w:val="111111"/>
          <w:sz w:val="28"/>
          <w:szCs w:val="28"/>
          <w:lang w:val="en-US"/>
        </w:rPr>
        <w:t>Tak diragukan lagi, sikap vis-a-vis terhadap kalangan mujtahid rasionalis dan hasrat menghidupkan hadis-hadis para imam merupakan salah satu alasan kuat Akhbariyah. Semua itu dapat ditemukan dalam tulisan-tulisan mereka. lni seperti yang diungkapkan Mulla Astarabadi dalam risalahnya, sekian lama di kota suci Mekah dan Madinah berpikir dan merenung, lalu memutuskan Akhbariyah sebagai alirannya setelah merendahkan diri di hadapan Allah Swt dan bertawasul kepada arwah suci Ahlul Bait. Dalam penuturannya, ” demi menghidupkan hadis-hadis para imam."</w:t>
      </w:r>
    </w:p>
    <w:p>
      <w:pPr>
        <w:pStyle w:val="BookText"/>
        <w:bidi w:val="0"/>
        <w:jc w:val="both"/>
        <w:rPr/>
      </w:pPr>
      <w:r>
        <w:rPr>
          <w:rFonts w:eastAsia="Times New Roman" w:cs="Times New Roman" w:ascii="Times New Roman" w:hAnsi="Times New Roman"/>
          <w:color w:val="111111"/>
          <w:sz w:val="28"/>
          <w:szCs w:val="28"/>
          <w:lang w:val="en-US"/>
        </w:rPr>
        <w:t>Adapun kategorisasi taklid kepada Ahli Hadis dan kaum Zhahiriyah sebagai faktor pembentuk antirasionalitas Akhbariyah, selain tidak ada bukti satu pun yang menegaskan unsur taklid tersebut, analisis ini kekosongan evidensi dan argumentasi yang memadai. Yang sejauh ini tampak jelas, tak satu pun dari kalangan Akhbari pemah mengindikasikan taklid yang dimaksud.</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Perlu diketahui pula, demi menentang kalangan mujtahid rasionalis, Akhbariyah menutup diri dari pengetahuan dan informasi yang berasal dari luar mazhab induk dan agamanya (Syiah dan Islam). Karena, kendati ada banyak riwayat dari para imam suci yang menjelaskan agungnya kedudukan akal keutamaan aktivitas </w:t>
      </w:r>
      <w:bookmarkStart w:id="325" w:name="pg5378_50724"/>
    </w:p>
    <w:p>
      <w:pPr>
        <w:pStyle w:val="BookText"/>
        <w:bidi w:val="0"/>
        <w:rPr/>
      </w:pPr>
      <w:bookmarkEnd w:id="325"/>
      <w:r>
        <w:rPr>
          <w:rFonts w:eastAsia="Times New Roman" w:cs="Times New Roman" w:ascii="Times New Roman" w:hAnsi="Times New Roman"/>
          <w:color w:val="111111"/>
          <w:sz w:val="28"/>
          <w:szCs w:val="28"/>
          <w:lang w:val="en-US"/>
        </w:rPr>
        <w:t>aklani, namun tidak sedikit juga hadis-hadis yang mengecam akal dan aktivitas aklani. Akibatnya, sedikit saja teledor terhadap ruh yang mendominasi pemikiran dan keyakinan Syiah sudah cukup untuk memprioritaskan kelompok hadis [pengecam akaI].</w:t>
      </w:r>
    </w:p>
    <w:p>
      <w:pPr>
        <w:pStyle w:val="BookText"/>
        <w:bidi w:val="0"/>
        <w:jc w:val="both"/>
        <w:rPr/>
      </w:pPr>
      <w:r>
        <w:rPr>
          <w:rFonts w:eastAsia="Times New Roman" w:cs="Times New Roman" w:ascii="Times New Roman" w:hAnsi="Times New Roman"/>
          <w:color w:val="111111"/>
          <w:sz w:val="28"/>
          <w:szCs w:val="28"/>
          <w:lang w:val="en-US"/>
        </w:rPr>
        <w:t>Sebagaimana berikut, akan diulas betapa kesalahpahaman Akhbariyah terhadap hadis-hadis yang mengecam keterlibatan pendapat pribadi (ro’y) dan qiyas dalam menyimpulkan hukum syariat menjadi faktor paling krusial untuk pandangan antirasionalitas mereka.</w:t>
      </w:r>
    </w:p>
    <w:p>
      <w:pPr>
        <w:pStyle w:val="Heading4"/>
        <w:numPr>
          <w:ilvl w:val="3"/>
          <w:numId w:val="1"/>
        </w:numPr>
        <w:bidi w:val="0"/>
        <w:jc w:val="left"/>
        <w:rPr/>
      </w:pPr>
      <w:bookmarkStart w:id="326" w:name="__RefHeading___Toc1351280_581953129"/>
      <w:bookmarkStart w:id="327" w:name="_Toc119"/>
      <w:bookmarkEnd w:id="326"/>
      <w:r>
        <w:rPr/>
        <w:t>Keliru Memahami Hadis Imam</w:t>
      </w:r>
      <w:bookmarkEnd w:id="327"/>
    </w:p>
    <w:p>
      <w:pPr>
        <w:pStyle w:val="BookText"/>
        <w:bidi w:val="0"/>
        <w:jc w:val="both"/>
        <w:rPr/>
      </w:pPr>
      <w:r>
        <w:rPr>
          <w:rFonts w:eastAsia="Times New Roman" w:cs="Times New Roman" w:ascii="Times New Roman" w:hAnsi="Times New Roman"/>
          <w:color w:val="111111"/>
          <w:sz w:val="28"/>
          <w:szCs w:val="28"/>
          <w:lang w:val="en-US"/>
        </w:rPr>
        <w:t>Dalam pelbagai hadis dan riwayat, para imam Ahlul Bait melarang murid-muridnya melakukan qiyas di ranah agama dan menerbitkan fatwa atas dasar pendapat subjektif. Para imam juga menyebutkan hukuman bagi siapa saja yang melanggar atau mengabaikan pesan ini. Serangkaian hadis ini, sekalipun sudah begitu gamblang maksudnya, justru diperlakukan Akhbariyah untuk menjustifikasi kecenderungan antirasionalistik mereka.</w:t>
      </w:r>
    </w:p>
    <w:p>
      <w:pPr>
        <w:pStyle w:val="BookText"/>
        <w:bidi w:val="0"/>
        <w:jc w:val="both"/>
        <w:rPr/>
      </w:pPr>
      <w:r>
        <w:rPr>
          <w:rFonts w:eastAsia="Times New Roman" w:cs="Times New Roman" w:ascii="Times New Roman" w:hAnsi="Times New Roman"/>
          <w:color w:val="111111"/>
          <w:sz w:val="28"/>
          <w:szCs w:val="28"/>
          <w:lang w:val="en-US"/>
        </w:rPr>
        <w:t>Dari segenap faktor yang dianalisis sebagai penyebab munculnya kecenderungan kaum Akhbari di atas, perhatian dan fokus besar mereka untuk bersandar pada hadis-hadis semacam itu tampak lebih dominan</w:t>
      </w:r>
      <w:r>
        <w:rPr>
          <w:rStyle w:val="FootnoteAnchor"/>
        </w:rPr>
        <w:footnoteReference w:id="431"/>
      </w:r>
      <w:r>
        <w:rPr>
          <w:rFonts w:eastAsia="Times New Roman" w:cs="Times New Roman" w:ascii="Times New Roman" w:hAnsi="Times New Roman"/>
          <w:color w:val="111111"/>
          <w:sz w:val="28"/>
          <w:szCs w:val="28"/>
          <w:lang w:val="en-US"/>
        </w:rPr>
        <w:t>Dalam kesempatan ini, akan dikemukakan sebagian hadis dimaksud, dan berlanjut dengan menelaah cara kaum Akhbari menarik kesimpulan.</w:t>
      </w:r>
    </w:p>
    <w:p>
      <w:pPr>
        <w:pStyle w:val="BookText"/>
        <w:bidi w:val="0"/>
        <w:jc w:val="both"/>
        <w:rPr/>
      </w:pPr>
      <w:r>
        <w:rPr>
          <w:rFonts w:eastAsia="Times New Roman" w:cs="Times New Roman" w:ascii="Times New Roman" w:hAnsi="Times New Roman"/>
          <w:color w:val="111111"/>
          <w:sz w:val="28"/>
          <w:szCs w:val="28"/>
          <w:lang w:val="en-US"/>
        </w:rPr>
        <w:t>Sebagian riwayat melarang keras penggunaan qiyas; metoda yang akan berakibat pada kehancuran agama:</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Jika Sunah diqiyas, agama akan hancur.</w:t>
      </w:r>
      <w:r>
        <w:rPr>
          <w:rStyle w:val="FootnoteAnchor"/>
        </w:rPr>
        <w:footnoteReference w:id="432"/>
      </w:r>
    </w:p>
    <w:p>
      <w:pPr>
        <w:pStyle w:val="BookText"/>
        <w:bidi w:val="0"/>
        <w:rPr/>
      </w:pPr>
      <w:r>
        <w:rPr>
          <w:rFonts w:eastAsia="Times New Roman" w:cs="Times New Roman" w:ascii="Times New Roman" w:hAnsi="Times New Roman"/>
          <w:color w:val="111111"/>
          <w:sz w:val="28"/>
          <w:szCs w:val="28"/>
          <w:lang w:val="en-US"/>
        </w:rPr>
        <w:t>Barangsiapa melakukan qiyas, pasti akan binasa.</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Barangsiapa meletakkan agamanya di atas qiyas, maka akan terus tenggelam [dalam Kesesatan].</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Sejumlah hadis lainnya juga menegaskan larangan keras bersandar pada pendapat subjektif dan berfatwa atas dasar penalaran dan aktivitas aklani:</w:t>
      </w:r>
    </w:p>
    <w:p>
      <w:pPr>
        <w:pStyle w:val="BookText"/>
        <w:bidi w:val="0"/>
        <w:jc w:val="both"/>
        <w:rPr/>
      </w:pPr>
      <w:r>
        <w:rPr>
          <w:rFonts w:eastAsia="Times New Roman" w:cs="Times New Roman" w:ascii="Times New Roman" w:hAnsi="Times New Roman"/>
          <w:color w:val="111111"/>
          <w:sz w:val="28"/>
          <w:szCs w:val="28"/>
          <w:lang w:val="en-US"/>
        </w:rPr>
        <w:t>Berhati-hatilah terhadap dua perkara yang bakal membinasakan; berfatwa kepada orang dengan pendapat sendiri dan mengikuti sesuatu yang tak kalian ketahui.</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Barangsiapa berfatwa dengan pandangannya sendiri, sesungguhnya dia telah mengikuti sesutu yang tidak diketahuinya.</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Dalam hadis-hadis lain disebutkan bahwa agama Allah dan Alquran termasuk ihwal yang melampaui akal manusia:</w:t>
      </w:r>
    </w:p>
    <w:p>
      <w:pPr>
        <w:pStyle w:val="BookText"/>
        <w:bidi w:val="0"/>
        <w:jc w:val="both"/>
        <w:rPr/>
      </w:pPr>
      <w:r>
        <w:rPr>
          <w:rFonts w:eastAsia="Times New Roman" w:cs="Times New Roman" w:ascii="Times New Roman" w:hAnsi="Times New Roman"/>
          <w:color w:val="111111"/>
          <w:sz w:val="28"/>
          <w:szCs w:val="28"/>
          <w:lang w:val="en-US"/>
        </w:rPr>
        <w:t>Tidak ada sesuatu yang lebih jauh dari jaungkauan akal manusia kecuali Alquran.</w:t>
      </w:r>
      <w:r>
        <w:rPr>
          <w:rStyle w:val="FootnoteAnchor"/>
        </w:rPr>
        <w:footnoteReference w:id="43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Sesungguhnya agama Allah tidak dapat dicapai tepat dengan akal-akal yang kurang, pendapat-pendapat yang batil, dan ukuran-ukuran yang rusak. Ia juga tak dapat dicapai tepat kecuali dengan penyerahan diri. Maka, barangsiapa menyerahkan dirinya kepada kami, akan selamat, barangsiapa menginginkan hidayah kami, akan mencapai tujuannya, dan barangsiapa mengikuti qiyas dan pendapat subjektif akan hancur.</w:t>
      </w:r>
      <w:r>
        <w:rPr>
          <w:rStyle w:val="FootnoteAnchor"/>
        </w:rPr>
        <w:footnoteReference w:id="438"/>
      </w:r>
    </w:p>
    <w:p>
      <w:pPr>
        <w:pStyle w:val="BookText"/>
        <w:bidi w:val="0"/>
        <w:rPr/>
      </w:pPr>
      <w:r>
        <w:rPr>
          <w:rFonts w:eastAsia="Times New Roman" w:cs="Times New Roman" w:ascii="Times New Roman" w:hAnsi="Times New Roman"/>
          <w:color w:val="111111"/>
          <w:sz w:val="28"/>
          <w:szCs w:val="28"/>
          <w:lang w:val="en-US"/>
        </w:rPr>
        <w:t>Kaum Akhbari mengira, fokus hadis-hadis sejenis di atas ialah kecaman terhadap akal dan argumentasi rasional,</w:t>
      </w:r>
      <w:r>
        <w:rPr>
          <w:rStyle w:val="FootnoteAnchor"/>
        </w:rPr>
        <w:footnoteReference w:id="439"/>
      </w:r>
      <w:r>
        <w:rPr>
          <w:rFonts w:eastAsia="Times New Roman" w:cs="Times New Roman" w:ascii="Times New Roman" w:hAnsi="Times New Roman"/>
          <w:color w:val="111111"/>
          <w:sz w:val="28"/>
          <w:szCs w:val="28"/>
          <w:lang w:val="en-US"/>
        </w:rPr>
        <w:t>termasuk demonstrasi (burhan) dan silogisme (qiyas mantiqi). Jelas, menelaah hadis-hadis tersebut satu derni satu seraya menjelaskan pengertiannya, membutuhkan waktu yang sangat lama. Karena itu, kesempatan ini hanya akan digunakan untuk menjelaskan beberapa hal:</w:t>
      </w:r>
    </w:p>
    <w:p>
      <w:pPr>
        <w:pStyle w:val="BookText"/>
        <w:bidi w:val="0"/>
        <w:jc w:val="both"/>
        <w:rPr/>
      </w:pPr>
      <w:r>
        <w:rPr>
          <w:rFonts w:eastAsia="Times New Roman" w:cs="Times New Roman" w:ascii="Times New Roman" w:hAnsi="Times New Roman"/>
          <w:color w:val="111111"/>
          <w:sz w:val="28"/>
          <w:szCs w:val="28"/>
          <w:lang w:val="en-US"/>
        </w:rPr>
        <w:t>Pertanm, harus dicamkan, ucapan para imam seputar akal bukan hanya terbatas pada hadis-hadis yang telah disebutkan, melainkan juga dalam hadis-hadis lain, dengan jumlah yang jauh lebih banyak, bahkan memuji akal dan penalaran sebegitu rupa hingga tak dapat dibandingkan sama sekali dengan fakultas kognitif lainnya. Sesuai relevansi masalah, beberapa di antara hadis-hadis ini akan diketengahkan pada tempatnya.</w:t>
      </w:r>
    </w:p>
    <w:p>
      <w:pPr>
        <w:pStyle w:val="BookText"/>
        <w:bidi w:val="0"/>
        <w:jc w:val="both"/>
        <w:rPr/>
      </w:pPr>
      <w:r>
        <w:rPr>
          <w:rFonts w:eastAsia="Times New Roman" w:cs="Times New Roman" w:ascii="Times New Roman" w:hAnsi="Times New Roman"/>
          <w:color w:val="111111"/>
          <w:sz w:val="28"/>
          <w:szCs w:val="28"/>
          <w:lang w:val="en-US"/>
        </w:rPr>
        <w:t>Kedua, merujuk prinsip yang berlaku dalam budaya Ahlul Bait, seraya mengamati konteks terbitnya hadis-hadis yang telah disebutkan, dapat dengan jelas dipahami bahwa hadis-hadis itu berkaitan dengan larangan berpegang teguh pada qiyas Fikih</w:t>
      </w:r>
      <w:r>
        <w:rPr>
          <w:rStyle w:val="FootnoteAnchor"/>
        </w:rPr>
        <w:footnoteReference w:id="440"/>
      </w:r>
      <w:r>
        <w:rPr>
          <w:rFonts w:eastAsia="Times New Roman" w:cs="Times New Roman" w:ascii="Times New Roman" w:hAnsi="Times New Roman"/>
          <w:color w:val="111111"/>
          <w:sz w:val="28"/>
          <w:szCs w:val="28"/>
          <w:lang w:val="en-US"/>
        </w:rPr>
        <w:t>dalam menyimpulkan hukum. Sebagian besar hadis itu justru terbit dalam rangka menolak metodologi ijtihad sekelompok orang seperti: Abu Hanifah, yang rnenganggap qiyas sebagai sumber utama penyimpulan hukum.</w:t>
      </w:r>
      <w:r>
        <w:rPr>
          <w:rStyle w:val="FootnoteAnchor"/>
        </w:rPr>
        <w:footnoteReference w:id="44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memang tidak sedikit hadis yang mencela keterlibatan pendapat subjektif dalam perkara agama sekaligus mendesak orang agar sepenuhnya taat pada pemimpin-pemimpin agama. Hanya saja, hadis-hadis ini sama sekali tidak dimaksudkan untuk menafikan </w:t>
      </w:r>
    </w:p>
    <w:p>
      <w:pPr>
        <w:pStyle w:val="BookText"/>
        <w:bidi w:val="0"/>
        <w:rPr/>
      </w:pPr>
      <w:r>
        <w:rPr>
          <w:rFonts w:eastAsia="Times New Roman" w:cs="Times New Roman" w:ascii="Times New Roman" w:hAnsi="Times New Roman"/>
          <w:color w:val="111111"/>
          <w:sz w:val="28"/>
          <w:szCs w:val="28"/>
          <w:lang w:val="en-US"/>
        </w:rPr>
        <w:t>nilai aktivitas aklani dan hasil-hasilnya.</w:t>
      </w:r>
    </w:p>
    <w:p>
      <w:pPr>
        <w:pStyle w:val="BookText"/>
        <w:bidi w:val="0"/>
        <w:jc w:val="both"/>
        <w:rPr/>
      </w:pPr>
      <w:r>
        <w:rPr>
          <w:rFonts w:eastAsia="Times New Roman" w:cs="Times New Roman" w:ascii="Times New Roman" w:hAnsi="Times New Roman"/>
          <w:color w:val="111111"/>
          <w:sz w:val="28"/>
          <w:szCs w:val="28"/>
          <w:lang w:val="en-US"/>
        </w:rPr>
        <w:t>Pada hakikatnya, fokus hadis-hadis ini adalah larangan menempatkan dugaan pribadi sebagai akal dan sarana penggalian hukum agama. Dengan kata Iain, kalau saja penafsiran dan penalaran aklani dilakukan sesuai dengan kriteria-kriteria komunikasi umumnya bangsa Arab (mufohemeh-e ’Arab), prinsip dan postulat rasional serta garis-garis besar Alquran dan Sunah, tentu tidak akan dikecam, kalau bukan malah disanjung sebagai nilai keutamaan.</w:t>
      </w:r>
      <w:r>
        <w:rPr>
          <w:rStyle w:val="FootnoteAnchor"/>
        </w:rPr>
        <w:footnoteReference w:id="442"/>
      </w:r>
      <w:r>
        <w:rPr>
          <w:rFonts w:eastAsia="Times New Roman" w:cs="Times New Roman" w:ascii="Times New Roman" w:hAnsi="Times New Roman"/>
          <w:color w:val="111111"/>
          <w:sz w:val="28"/>
          <w:szCs w:val="28"/>
          <w:lang w:val="en-US"/>
        </w:rPr>
        <w:t>Berkenaan dengan hadis-hadis itu, Allamah Thabathabai mengatakan:</w:t>
      </w:r>
    </w:p>
    <w:p>
      <w:pPr>
        <w:pStyle w:val="BookText"/>
        <w:bidi w:val="0"/>
        <w:jc w:val="both"/>
        <w:rPr/>
      </w:pPr>
      <w:r>
        <w:rPr>
          <w:rFonts w:eastAsia="Times New Roman" w:cs="Times New Roman" w:ascii="Times New Roman" w:hAnsi="Times New Roman"/>
          <w:color w:val="111111"/>
          <w:sz w:val="28"/>
          <w:szCs w:val="28"/>
          <w:lang w:val="en-US"/>
        </w:rPr>
        <w:t>Yang benar, maksud riwayat-riwayat semacam ini adalah larangan mengikuti data-data rasional bagi seorang peneliti yang tidak mampu mengidentifikasi premis mana yang benar dan mana yang tidak.</w:t>
      </w:r>
      <w:r>
        <w:rPr>
          <w:rStyle w:val="FootnoteAnchor"/>
        </w:rPr>
        <w:footnoteReference w:id="443"/>
      </w:r>
    </w:p>
    <w:p>
      <w:pPr>
        <w:pStyle w:val="BookText"/>
        <w:bidi w:val="0"/>
        <w:jc w:val="both"/>
        <w:rPr/>
      </w:pPr>
      <w:r>
        <w:rPr>
          <w:rFonts w:eastAsia="Times New Roman" w:cs="Times New Roman" w:ascii="Times New Roman" w:hAnsi="Times New Roman"/>
          <w:color w:val="111111"/>
          <w:sz w:val="28"/>
          <w:szCs w:val="28"/>
          <w:lang w:val="en-US"/>
        </w:rPr>
        <w:t>Keempat, kendati ada kandungan sejumlah hadis yang mengindikasikan bahwa Alquran tak terjangkau akal, namun ini tidak berarti sebagai larangan menafsir secara intelektual serta menafikan validitas makna literal Alquran.</w:t>
      </w:r>
      <w:r>
        <w:rPr>
          <w:rStyle w:val="FootnoteAnchor"/>
        </w:rPr>
        <w:footnoteReference w:id="444"/>
      </w:r>
      <w:r>
        <w:rPr>
          <w:rFonts w:eastAsia="Times New Roman" w:cs="Times New Roman" w:ascii="Times New Roman" w:hAnsi="Times New Roman"/>
          <w:color w:val="111111"/>
          <w:sz w:val="28"/>
          <w:szCs w:val="28"/>
          <w:lang w:val="en-US"/>
        </w:rPr>
        <w:t>Sebaliknya, semua itu dimaksudkan sebagai peringatan untuk tidak menafsir Alquran secara pribadi subjektif, serta tidak mengklaim sudah mampu mengungkap seluruh rahasianya. Para imam mengajarkan bahwa salah satu tolok ukur identifikasi mana hadis yang benar dan mana yang buatan adalah menimbang dan mengevaluasinya dengan Alquran:</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Campakkan ke tembok hadis yang bertentangan dengan Alquran. </w:t>
      </w:r>
      <w:bookmarkStart w:id="328" w:name="pg5378_50732"/>
    </w:p>
    <w:p>
      <w:pPr>
        <w:pStyle w:val="BookText"/>
        <w:bidi w:val="0"/>
        <w:rPr/>
      </w:pPr>
      <w:bookmarkEnd w:id="328"/>
      <w:r>
        <w:rPr>
          <w:rFonts w:eastAsia="Times New Roman" w:cs="Times New Roman" w:ascii="Times New Roman" w:hAnsi="Times New Roman"/>
          <w:color w:val="111111"/>
          <w:sz w:val="28"/>
          <w:szCs w:val="28"/>
          <w:lang w:val="en-US"/>
        </w:rPr>
        <w:t>Peringatan ini bukan semata-mata bukti atas validitas makna literal Alquran dan pengakuan terhadap potensi seseorang memahami kandungannya, tetapi juga sebagai indikasi bahwa sebelum mengevaluasi hadis, seyogianya kandungan Alquran dipahami dengan baik sebagai kriteria kebenaran dan kesalahan, kemudian hadis diajukan untuk ditimbang. Jadi, kalau kriteria kandungan Alquran ini juga bergantung pada hadis (sebagaimana asumsi kaum Akhbari), maka yang terjadi adalah siklus yang jelas-jelas absurd.</w:t>
      </w:r>
      <w:r>
        <w:rPr>
          <w:rStyle w:val="FootnoteAnchor"/>
        </w:rPr>
        <w:footnoteReference w:id="445"/>
      </w:r>
    </w:p>
    <w:p>
      <w:pPr>
        <w:pStyle w:val="Heading3"/>
        <w:numPr>
          <w:ilvl w:val="2"/>
          <w:numId w:val="1"/>
        </w:numPr>
        <w:bidi w:val="0"/>
        <w:jc w:val="left"/>
        <w:rPr/>
      </w:pPr>
      <w:bookmarkStart w:id="329" w:name="__RefHeading___Toc1351282_581953129"/>
      <w:bookmarkStart w:id="330" w:name="_Toc120"/>
      <w:bookmarkEnd w:id="329"/>
      <w:r>
        <w:rPr/>
        <w:t>Perbedaan Fundamental Akhbariyah dan Ushuliyah</w:t>
      </w:r>
      <w:bookmarkEnd w:id="330"/>
    </w:p>
    <w:p>
      <w:pPr>
        <w:pStyle w:val="BookText"/>
        <w:bidi w:val="0"/>
        <w:jc w:val="both"/>
        <w:rPr/>
      </w:pPr>
      <w:r>
        <w:rPr>
          <w:rFonts w:eastAsia="Times New Roman" w:cs="Times New Roman" w:ascii="Times New Roman" w:hAnsi="Times New Roman"/>
          <w:color w:val="111111"/>
          <w:sz w:val="28"/>
          <w:szCs w:val="28"/>
          <w:lang w:val="en-US"/>
        </w:rPr>
        <w:t>Sebagaimana telah dikemukakan, terdapat sejumlah perbedaan pemikiran antara kaum Ushuli dan Akhbari. Sejumlah pakar menghitung sampai kira-kira 86 poin.</w:t>
      </w:r>
      <w:r>
        <w:rPr>
          <w:rStyle w:val="FootnoteAnchor"/>
        </w:rPr>
        <w:footnoteReference w:id="446"/>
      </w:r>
      <w:r>
        <w:rPr>
          <w:rFonts w:eastAsia="Times New Roman" w:cs="Times New Roman" w:ascii="Times New Roman" w:hAnsi="Times New Roman"/>
          <w:color w:val="111111"/>
          <w:sz w:val="28"/>
          <w:szCs w:val="28"/>
          <w:lang w:val="en-US"/>
        </w:rPr>
        <w:t>Adapun perbedaan mendasar keduanya terletak pada cara pandang mereka terhadap status akal dalam agama. Kaum Ushuli memahami akal sebagai bagian dari agama. Mereka yakin, jika dalam beberapa kondisi tertentu, hukum suatu masalah tidak dijumpai dalam Alquran, Sunah, maupun dukungan konsensus pasti dari para fukaha, maka hukum akal harus ditempuh. Argumentasinya, sebagaimana Alquran, Sunah, dan konsensus ulama, akal merupakan bagian dari sumber agama yang juga mengindikasikan Kehendak Tinta (iradah Tasyri'iyyah) Allah Swt.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perspektif kaum Ushuli, penandingan akal dengan agama hanyalah ungkapan kurang cermat yang bisa dimaklum. Kalaupun penandingan itu ada, maka antara akal dan teks (naql), atau akal dan wahyu. Sebagai pasangan teks agama, akal pun memiliki </w:t>
      </w:r>
    </w:p>
    <w:p>
      <w:pPr>
        <w:pStyle w:val="BookText"/>
        <w:bidi w:val="0"/>
        <w:rPr/>
      </w:pPr>
      <w:r>
        <w:rPr>
          <w:rFonts w:eastAsia="Times New Roman" w:cs="Times New Roman" w:ascii="Times New Roman" w:hAnsi="Times New Roman"/>
          <w:color w:val="111111"/>
          <w:sz w:val="28"/>
          <w:szCs w:val="28"/>
          <w:lang w:val="en-US"/>
        </w:rPr>
        <w:t>status fungsional yang setaraf, yakni sama-sama menjadi sumber penyimpulan hukum agama.“ Tentu saja, akal dengan kriteria ini memiliki sejumlah syarat yang, pada pembahasan berikut, akan dijelaskan lebih jauh.</w:t>
      </w:r>
    </w:p>
    <w:p>
      <w:pPr>
        <w:pStyle w:val="BookText"/>
        <w:bidi w:val="0"/>
        <w:jc w:val="both"/>
        <w:rPr/>
      </w:pPr>
      <w:r>
        <w:rPr>
          <w:rFonts w:eastAsia="Times New Roman" w:cs="Times New Roman" w:ascii="Times New Roman" w:hAnsi="Times New Roman"/>
          <w:color w:val="111111"/>
          <w:sz w:val="28"/>
          <w:szCs w:val="28"/>
          <w:lang w:val="en-US"/>
        </w:rPr>
        <w:t>Akan halnya bagi kaum Akhbari, bukan hanya akal, ijma’ (konsensus) juga tidak dianggap sebagai sumber keagamaan. Mereka yakin, konsensus hanyalah alat yang diciptakan Ahli Sunah untuk mengisi kekosongan intelektual dan hukum dalam agama. lni, masih menurut mereka, berbeda dengan kalangan pengikut Ahlul Bait yang tidak membutuhkan bid’ah semacam itu.</w:t>
      </w:r>
    </w:p>
    <w:p>
      <w:pPr>
        <w:pStyle w:val="BookText"/>
        <w:bidi w:val="0"/>
        <w:jc w:val="both"/>
        <w:rPr/>
      </w:pPr>
      <w:r>
        <w:rPr>
          <w:rFonts w:eastAsia="Times New Roman" w:cs="Times New Roman" w:ascii="Times New Roman" w:hAnsi="Times New Roman"/>
          <w:color w:val="111111"/>
          <w:sz w:val="28"/>
          <w:szCs w:val="28"/>
          <w:lang w:val="en-US"/>
        </w:rPr>
        <w:t>Tidak hanya sampai di situ, kaum Akhbari bahkan menganggap teks [ayat-ayat] Alquran tidak memiliki nilai-bukti (hujjiyyah: validitas). Dalam pandangan mereka, pemahaman atas ayat Alquran dan hadis Nabi praktis menjadi mustahil tanpa merujuk riwayat-riwayat Ahlul Bait. Jalan memperoleh pengetahuan agama, baik yang bersifat keyakinan teoretis maupun fikih praktis, hanyalah riwayat-riwayat Ahlul Bait. Sementara kandungan hakiki ayat dan hadis tidak akan mampu dicerap siapapun kecuali via penafsiran dan keterangan para Imam.</w:t>
      </w:r>
      <w:r>
        <w:rPr>
          <w:rStyle w:val="FootnoteAnchor"/>
        </w:rPr>
        <w:footnoteReference w:id="447"/>
      </w:r>
      <w:r>
        <w:rPr>
          <w:rFonts w:eastAsia="Times New Roman" w:cs="Times New Roman" w:ascii="Times New Roman" w:hAnsi="Times New Roman"/>
          <w:color w:val="111111"/>
          <w:sz w:val="28"/>
          <w:szCs w:val="28"/>
          <w:lang w:val="en-US"/>
        </w:rPr>
        <w:t>Mulla Astarabadi mengatakan:</w:t>
      </w:r>
    </w:p>
    <w:p>
      <w:pPr>
        <w:pStyle w:val="BookText"/>
        <w:bidi w:val="0"/>
        <w:jc w:val="both"/>
        <w:rPr/>
      </w:pPr>
      <w:r>
        <w:rPr>
          <w:rFonts w:eastAsia="Times New Roman" w:cs="Times New Roman" w:ascii="Times New Roman" w:hAnsi="Times New Roman"/>
          <w:color w:val="111111"/>
          <w:sz w:val="28"/>
          <w:szCs w:val="28"/>
          <w:lang w:val="en-US"/>
        </w:rPr>
        <w:t>Untuk memahami hukum-hukum teoretis agama, baik yang pokok maupun bukan, kita tak punya cara lain kecuali mendengar dari Imam Muhammad Bagir dan Imam Shadiq. Menyimpulkan hukum teoretis via Alquran atau Sunah Nabi tidak diperkenankan selama imam-imam Ahlul Bait tidak menyinggung hal itu.</w:t>
      </w:r>
      <w:r>
        <w:rPr>
          <w:rStyle w:val="FootnoteAnchor"/>
        </w:rPr>
        <w:footnoteReference w:id="44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tidak ditemukan riwayat dari para imam berkenaan dengan suatu masalah, maka siapapun harus bungkam dan tidak berfatwa. Atau, jika tidak didapati satu hadis pun dari para imam </w:t>
      </w:r>
      <w:bookmarkStart w:id="331" w:name="pg5378_50736"/>
    </w:p>
    <w:p>
      <w:pPr>
        <w:pStyle w:val="BookText"/>
        <w:bidi w:val="0"/>
        <w:rPr/>
      </w:pPr>
      <w:bookmarkEnd w:id="331"/>
      <w:r>
        <w:rPr>
          <w:rFonts w:eastAsia="Times New Roman" w:cs="Times New Roman" w:ascii="Times New Roman" w:hAnsi="Times New Roman"/>
          <w:color w:val="111111"/>
          <w:sz w:val="28"/>
          <w:szCs w:val="28"/>
          <w:lang w:val="en-US"/>
        </w:rPr>
        <w:t>yang berkenaan dengan suatu ayat Alquran, maka penafsiran ayat semestinya dihindari. Argumentasinya, Ahlul Bait merupakan sosok-sosok yang sesungguhnya audiensi (mukhﬁtab) Alquran. Dari sini jelas, segala bentuk tafsir yang tidak didukung riwayat— riwayat imam akan dinyatakan sebagai penafsiran pribadi (tafsfr bi Ro'y), pendapat tak berdasar dan dikecam para kekasih Allah Swt. Dengan kata lain, kaum Akhbari berkeyakinan, tugas manusia adalah mengamalkan hukum-hukum yang sudah jelas (qath'i), dan tak ada jalan menuju hukum tersebut kecuali lewat riwayat Ahlul Bait. Samahichi menggubah beberapa bait syair:</w:t>
      </w:r>
    </w:p>
    <w:p>
      <w:pPr>
        <w:pStyle w:val="BookText"/>
        <w:bidi w:val="0"/>
        <w:jc w:val="both"/>
        <w:rPr/>
      </w:pPr>
      <w:r>
        <w:rPr>
          <w:rFonts w:eastAsia="Times New Roman" w:cs="Times New Roman" w:ascii="Times New Roman" w:hAnsi="Times New Roman"/>
          <w:color w:val="111111"/>
          <w:sz w:val="28"/>
          <w:szCs w:val="28"/>
          <w:lang w:val="en-US"/>
        </w:rPr>
        <w:t>Wahai pengikutt ijtihad! Berpalinglah</w:t>
      </w:r>
    </w:p>
    <w:p>
      <w:pPr>
        <w:pStyle w:val="BookText"/>
        <w:bidi w:val="0"/>
        <w:jc w:val="both"/>
        <w:rPr/>
      </w:pPr>
      <w:r>
        <w:rPr>
          <w:rFonts w:eastAsia="Times New Roman" w:cs="Times New Roman" w:ascii="Times New Roman" w:hAnsi="Times New Roman"/>
          <w:color w:val="111111"/>
          <w:sz w:val="28"/>
          <w:szCs w:val="28"/>
          <w:lang w:val="en-US"/>
        </w:rPr>
        <w:t>dari jalan salah, drm teguhlah pada riwayat</w:t>
      </w:r>
    </w:p>
    <w:p>
      <w:pPr>
        <w:pStyle w:val="BookText"/>
        <w:bidi w:val="0"/>
        <w:jc w:val="both"/>
        <w:rPr/>
      </w:pPr>
      <w:r>
        <w:rPr>
          <w:rFonts w:eastAsia="Times New Roman" w:cs="Times New Roman" w:ascii="Times New Roman" w:hAnsi="Times New Roman"/>
          <w:color w:val="111111"/>
          <w:sz w:val="28"/>
          <w:szCs w:val="28"/>
          <w:lang w:val="en-US"/>
        </w:rPr>
        <w:t>Dari Ahlul Bait dan perawi-perawi terpercaya</w:t>
      </w:r>
    </w:p>
    <w:p>
      <w:pPr>
        <w:pStyle w:val="BookText"/>
        <w:bidi w:val="0"/>
        <w:jc w:val="both"/>
        <w:rPr/>
      </w:pPr>
      <w:r>
        <w:rPr>
          <w:rFonts w:eastAsia="Times New Roman" w:cs="Times New Roman" w:ascii="Times New Roman" w:hAnsi="Times New Roman"/>
          <w:color w:val="111111"/>
          <w:sz w:val="28"/>
          <w:szCs w:val="28"/>
          <w:lang w:val="en-US"/>
        </w:rPr>
        <w:t>karena nilai prasangka tak sebanding hukum Yakin.</w:t>
      </w:r>
      <w:r>
        <w:rPr>
          <w:rStyle w:val="FootnoteAnchor"/>
        </w:rPr>
        <w:footnoteReference w:id="449"/>
      </w:r>
    </w:p>
    <w:p>
      <w:pPr>
        <w:pStyle w:val="Heading3"/>
        <w:numPr>
          <w:ilvl w:val="2"/>
          <w:numId w:val="1"/>
        </w:numPr>
        <w:bidi w:val="0"/>
        <w:jc w:val="left"/>
        <w:rPr/>
      </w:pPr>
      <w:bookmarkStart w:id="332" w:name="__RefHeading___Toc1351284_581953129"/>
      <w:bookmarkStart w:id="333" w:name="_Toc121"/>
      <w:bookmarkEnd w:id="332"/>
      <w:r>
        <w:rPr/>
        <w:t>Skala Pemikiran Akhbariyah</w:t>
      </w:r>
      <w:bookmarkEnd w:id="333"/>
    </w:p>
    <w:p>
      <w:pPr>
        <w:pStyle w:val="BookText"/>
        <w:bidi w:val="0"/>
        <w:jc w:val="both"/>
        <w:rPr/>
      </w:pPr>
      <w:r>
        <w:rPr>
          <w:rFonts w:eastAsia="Times New Roman" w:cs="Times New Roman" w:ascii="Times New Roman" w:hAnsi="Times New Roman"/>
          <w:color w:val="111111"/>
          <w:sz w:val="28"/>
          <w:szCs w:val="28"/>
          <w:lang w:val="en-US"/>
        </w:rPr>
        <w:t>Pada prinsipnya, Akhbariyah adalah sebuah aliran pemikiran dalam bidang fikih dan hukum parsial agama. Ia amat langka dikenal sebagai mazhab teologi dan epistemologi. Namun, dari pemyataan dan pandangan banyak pengikutnya, tercium kesan generalisasi hingga bersinggungan dengan berbagai bidang. Sayyid Murtadha, misalnya, menulis tentang kaum Akhbari dan Ahli Hadis semasanya:</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Apakah Anda tidak melihat mereka (pengikut Akhbariyah) berdalih dalam masalah ushuluddin (pokok—pokok agama), entah itu ketuhanan, keadilan, kenabian, dan imamah, dengan bersandar pada hadis Wahid; padahal bagi setiap orang berakal sudah jelas itu tidak valid.</w:t>
      </w:r>
      <w:r>
        <w:rPr>
          <w:rStyle w:val="FootnoteAnchor"/>
        </w:rPr>
        <w:footnoteReference w:id="450"/>
      </w:r>
    </w:p>
    <w:p>
      <w:pPr>
        <w:pStyle w:val="BookText"/>
        <w:bidi w:val="0"/>
        <w:rPr/>
      </w:pPr>
      <w:r>
        <w:rPr>
          <w:rFonts w:eastAsia="Times New Roman" w:cs="Times New Roman" w:ascii="Times New Roman" w:hAnsi="Times New Roman"/>
          <w:color w:val="111111"/>
          <w:sz w:val="28"/>
          <w:szCs w:val="28"/>
          <w:lang w:val="en-US"/>
        </w:rPr>
        <w:t>Dari ungkapan ini, dapat dipahami bahwa pandangan kaum Akhbari tidak terbatas pada persoalan cabang keagamaan dan ﬁkih, melainkan juga melebar ke mana-mana. Mereka menganggap, cara memahami dan menyimpulkan segala jenis pengetahuan agama, baik yang berkaitan dengan ushuluddin maupun furu’uddin, hanya lewat riwayat-riwayat Ahlul Bait.</w:t>
      </w:r>
    </w:p>
    <w:p>
      <w:pPr>
        <w:pStyle w:val="BookText"/>
        <w:bidi w:val="0"/>
        <w:jc w:val="both"/>
        <w:rPr/>
      </w:pPr>
      <w:r>
        <w:rPr>
          <w:rFonts w:eastAsia="Times New Roman" w:cs="Times New Roman" w:ascii="Times New Roman" w:hAnsi="Times New Roman"/>
          <w:color w:val="111111"/>
          <w:sz w:val="28"/>
          <w:szCs w:val="28"/>
          <w:lang w:val="en-US"/>
        </w:rPr>
        <w:t>Generalisasi ini juga dipegang pengikut setia pemikiran Mulla Astarabadi dan kaum Akhbari beberapa abad terakhir ini. Mereka beranggapan, satu-satunya jalan selamat untuk memahami keyakinan agama hanyalah dengan mengamalkan hadis-hadis para imam. Pada saat yang sama, mereka justru mengabaikan akal dan demonstrasi filsafat dalam membuktikan keyakinan agama.</w:t>
      </w:r>
    </w:p>
    <w:p>
      <w:pPr>
        <w:pStyle w:val="BookText"/>
        <w:bidi w:val="0"/>
        <w:jc w:val="both"/>
        <w:rPr/>
      </w:pPr>
      <w:r>
        <w:rPr>
          <w:rFonts w:eastAsia="Times New Roman" w:cs="Times New Roman" w:ascii="Times New Roman" w:hAnsi="Times New Roman"/>
          <w:color w:val="111111"/>
          <w:sz w:val="28"/>
          <w:szCs w:val="28"/>
          <w:lang w:val="en-US"/>
        </w:rPr>
        <w:t>Selain pandangan Mulla Astarabadi tentang pengamalan riwayat dalam ushuluddin dan furu’uddin, ada baiknya pula diketengahkan pendapat tokoh Akhbari Iain. Allamah Majlisi, cendekiawan Akhbari yang tergolong moderat, dalam risalahnya, Dar Boreh-e Hukamo va Ushuliyyin va Shuﬁyeh, menuliskan:</w:t>
      </w:r>
    </w:p>
    <w:p>
      <w:pPr>
        <w:pStyle w:val="BookText"/>
        <w:bidi w:val="0"/>
        <w:jc w:val="both"/>
        <w:rPr/>
      </w:pPr>
      <w:r>
        <w:rPr>
          <w:rFonts w:eastAsia="Times New Roman" w:cs="Times New Roman" w:ascii="Times New Roman" w:hAnsi="Times New Roman"/>
          <w:color w:val="111111"/>
          <w:sz w:val="28"/>
          <w:szCs w:val="28"/>
          <w:lang w:val="en-US"/>
        </w:rPr>
        <w:t>Harus dicamkan, kalau saja akal manusia independen, sudah tentu Allah Swt tidak akan mengutus para nabi dan rasul ke tengah mereka seraya menyerahkan semua kepada akal mereka. Padahal tidaklah seperti itu. Kita diperintahkan Allah untuk menaati para nabi dengan firman-Nya, ”Apa yang dibawa Rasul kepada kalian ambillah, dan apa yang dilarangnya jauhilah." Di masa Rasul, semua masalah dirujuk kepada beliau, sampai menjelang wafat, beliau bersabda, "Aku tinggalkan dua pusaka besar: Alquran dan Ahlul Bait." [Karenanya] beliau merujukkan kita kepada Alquran dan Ahlul Bait.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begitu, berkenaan dengan seluruh persoalan agama, baik yang berhubungan dengan ushuluddin dan furu’udin, kita harus merujuk mereka. Dan menjelang kegaibannya (dari tengah umat), imam berkata, ’Kalian merujuk riwayat kami dan para </w:t>
      </w:r>
    </w:p>
    <w:p>
      <w:pPr>
        <w:pStyle w:val="BookText"/>
        <w:bidi w:val="0"/>
        <w:rPr/>
      </w:pPr>
      <w:r>
        <w:rPr>
          <w:rFonts w:eastAsia="Times New Roman" w:cs="Times New Roman" w:ascii="Times New Roman" w:hAnsi="Times New Roman"/>
          <w:color w:val="111111"/>
          <w:sz w:val="28"/>
          <w:szCs w:val="28"/>
          <w:lang w:val="en-US"/>
        </w:rPr>
        <w:t>perawi hadis kami dalam persoalan-persoalan yang tidak jelas bagi kalian.' Dengan demikian, semata-mata kesalahan bila dalam perkara-perkara itu bertindak independen hanya dengan akal, menakwil [ayat] Alquran dan hadis mutawatir dengan isu— isu lemah para filosof, dan berpaling dari Alquran dan Sunah</w:t>
      </w:r>
      <w:r>
        <w:rPr>
          <w:rStyle w:val="FootnoteAnchor"/>
        </w:rPr>
        <w:footnoteReference w:id="451"/>
      </w:r>
    </w:p>
    <w:p>
      <w:pPr>
        <w:pStyle w:val="BookText"/>
        <w:bidi w:val="0"/>
        <w:jc w:val="both"/>
        <w:rPr/>
      </w:pPr>
      <w:r>
        <w:rPr>
          <w:rFonts w:eastAsia="Times New Roman" w:cs="Times New Roman" w:ascii="Times New Roman" w:hAnsi="Times New Roman"/>
          <w:color w:val="111111"/>
          <w:sz w:val="28"/>
          <w:szCs w:val="28"/>
          <w:lang w:val="en-US"/>
        </w:rPr>
        <w:t>Segera usai mengomentari sebuah riwayat dalam Bihar Al-Anwar, Majlisi menambahkan:</w:t>
      </w:r>
    </w:p>
    <w:p>
      <w:pPr>
        <w:pStyle w:val="BookText"/>
        <w:bidi w:val="0"/>
        <w:jc w:val="both"/>
        <w:rPr/>
      </w:pPr>
      <w:r>
        <w:rPr>
          <w:rFonts w:eastAsia="Times New Roman" w:cs="Times New Roman" w:ascii="Times New Roman" w:hAnsi="Times New Roman"/>
          <w:color w:val="111111"/>
          <w:sz w:val="28"/>
          <w:szCs w:val="28"/>
          <w:lang w:val="en-US"/>
        </w:rPr>
        <w:t>Jelas bagi kalian bahwa mereka (kaum Akhbari) telah menutup pintu akal setelah mengenal Imam, memerintahkan orang agar merujukkan segala perkara kepada mereka, dan melarang bersandar dalam setiap masalah kepada akal yang serba kurang (naqis).</w:t>
      </w:r>
      <w:r>
        <w:rPr>
          <w:rStyle w:val="FootnoteAnchor"/>
        </w:rPr>
        <w:footnoteReference w:id="452"/>
      </w:r>
    </w:p>
    <w:p>
      <w:pPr>
        <w:pStyle w:val="BookText"/>
        <w:bidi w:val="0"/>
        <w:jc w:val="both"/>
        <w:rPr/>
      </w:pPr>
      <w:r>
        <w:rPr>
          <w:rFonts w:eastAsia="Times New Roman" w:cs="Times New Roman" w:ascii="Times New Roman" w:hAnsi="Times New Roman"/>
          <w:color w:val="111111"/>
          <w:sz w:val="28"/>
          <w:szCs w:val="28"/>
          <w:lang w:val="en-US"/>
        </w:rPr>
        <w:t>Dari ungkapan di atas, dapat dipahami bahwa dalam persepsi Allamah Majlisi, fungsi dan cakupan akal sekaitan dengan masalah-masalah keagamaan hanya sebatas pengenalan terhadap imam. Selain itu, akal tak lagi bernilai. Padahal, menurut Allamah Thabathabai, bila setelah mengenal imam peran akal dianggap gugur, maka akan gugur pula seluruh prinsip ketuhanan, kenabian, dan imamah, karena akal merupakan fondasi semua itu. Bagaimana mungkin menarik sebuah konklusi dari akal lantas, dengan meletakkannya sebagai basis, menyatakan gugur hukum-hukum akal yang lain?!</w:t>
      </w:r>
      <w:r>
        <w:rPr>
          <w:rStyle w:val="FootnoteAnchor"/>
        </w:rPr>
        <w:footnoteReference w:id="45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Mulla Muhsin Faidh Kasyani adalah ulama besar Iain yang, menurut pengakuannya sendiri</w:t>
      </w:r>
      <w:r>
        <w:rPr>
          <w:rStyle w:val="FootnoteAnchor"/>
        </w:rPr>
        <w:footnoteReference w:id="454"/>
      </w:r>
      <w:r>
        <w:rPr>
          <w:rFonts w:eastAsia="Times New Roman" w:cs="Times New Roman" w:ascii="Times New Roman" w:hAnsi="Times New Roman"/>
          <w:color w:val="111111"/>
          <w:sz w:val="28"/>
          <w:szCs w:val="28"/>
          <w:lang w:val="en-US"/>
        </w:rPr>
        <w:t xml:space="preserve">, tergolong Akhbari moderat. Ia mengulas masalah akidah dalam prolog bukunya, Ilm Al Yaqin fi Ushul Al-Din. Ia mengkritik penjelasan seputar masalah ushuluddin </w:t>
      </w:r>
      <w:bookmarkStart w:id="334" w:name="pg5378_50742"/>
    </w:p>
    <w:p>
      <w:pPr>
        <w:pStyle w:val="BookText"/>
        <w:bidi w:val="0"/>
        <w:rPr/>
      </w:pPr>
      <w:bookmarkEnd w:id="334"/>
      <w:r>
        <w:rPr>
          <w:rFonts w:eastAsia="Times New Roman" w:cs="Times New Roman" w:ascii="Times New Roman" w:hAnsi="Times New Roman"/>
          <w:color w:val="111111"/>
          <w:sz w:val="28"/>
          <w:szCs w:val="28"/>
          <w:lang w:val="en-US"/>
        </w:rPr>
        <w:t>dan wacana keagamaan mengikuti metode yang digunakan kalangan filosof dan teolog. la juga meyakini bahwa pelibatan riwayat dan hadis para imam menjamin keutuhan dan kemantapan dalam menjelaskan keyakinan agama.</w:t>
      </w:r>
      <w:r>
        <w:rPr>
          <w:rStyle w:val="FootnoteAnchor"/>
        </w:rPr>
        <w:footnoteReference w:id="455"/>
      </w:r>
      <w:r>
        <w:rPr>
          <w:rFonts w:eastAsia="Times New Roman" w:cs="Times New Roman" w:ascii="Times New Roman" w:hAnsi="Times New Roman"/>
          <w:color w:val="111111"/>
          <w:sz w:val="28"/>
          <w:szCs w:val="28"/>
          <w:lang w:val="en-US"/>
        </w:rPr>
        <w:t>Di sepanjang bukunya, ia berusaha menjelaskan pelbagai masalah keyakinan berdasarkan metode ini. Kesimpulannya, ruang lingkup dan skala pemikiran Akhbariyah, entah modelnya yang klasik maupun kontemporer, tidak hanya berkisar pada masalah fikih, tetapi juga berurusan dengan masalah- masalah keyakinan dan etika. Ini artinya bertolak belakang dengan generalisasi yang diupayakan pengikut Akhbari sendiri.</w:t>
      </w:r>
    </w:p>
    <w:p>
      <w:pPr>
        <w:pStyle w:val="Heading3"/>
        <w:numPr>
          <w:ilvl w:val="2"/>
          <w:numId w:val="1"/>
        </w:numPr>
        <w:bidi w:val="0"/>
        <w:jc w:val="left"/>
        <w:rPr/>
      </w:pPr>
      <w:bookmarkStart w:id="335" w:name="__RefHeading___Toc1351286_581953129"/>
      <w:bookmarkStart w:id="336" w:name="_Toc122"/>
      <w:bookmarkEnd w:id="335"/>
      <w:r>
        <w:rPr/>
        <w:t>Nilai Validitas [Hukum] Akal</w:t>
      </w:r>
      <w:bookmarkEnd w:id="336"/>
    </w:p>
    <w:p>
      <w:pPr>
        <w:pStyle w:val="Heading4"/>
        <w:numPr>
          <w:ilvl w:val="3"/>
          <w:numId w:val="1"/>
        </w:numPr>
        <w:bidi w:val="0"/>
        <w:jc w:val="left"/>
        <w:rPr/>
      </w:pPr>
      <w:bookmarkStart w:id="337" w:name="__RefHeading___Toc1351288_581953129"/>
      <w:bookmarkStart w:id="338" w:name="_Toc123"/>
      <w:bookmarkEnd w:id="337"/>
      <w:r>
        <w:rPr/>
        <w:t>Point</w:t>
      </w:r>
      <w:bookmarkEnd w:id="338"/>
    </w:p>
    <w:p>
      <w:pPr>
        <w:pStyle w:val="BookText"/>
        <w:bidi w:val="0"/>
        <w:jc w:val="both"/>
        <w:rPr/>
      </w:pPr>
      <w:r>
        <w:rPr>
          <w:rFonts w:eastAsia="Times New Roman" w:cs="Times New Roman" w:ascii="Times New Roman" w:hAnsi="Times New Roman"/>
          <w:color w:val="111111"/>
          <w:sz w:val="28"/>
          <w:szCs w:val="28"/>
          <w:lang w:val="en-US"/>
        </w:rPr>
        <w:t>Tidak semua kaum Akhbari punya pandangan sama terhadap akal, berikut potensinya menyingkap realitas dan fungsinya memediasi hukum syariat. Sebagian mereka menyatakan bahwa dalam semua bidang, akal sama sekali tidak dapat dikategorikan sebagai sumber pengetahuan. Sebab, produk akal dan argumentasi rasional tak lain hanyalah imajiner dan hipotetis.</w:t>
      </w:r>
    </w:p>
    <w:p>
      <w:pPr>
        <w:pStyle w:val="BookText"/>
        <w:bidi w:val="0"/>
        <w:jc w:val="both"/>
        <w:rPr/>
      </w:pPr>
      <w:r>
        <w:rPr>
          <w:rFonts w:eastAsia="Times New Roman" w:cs="Times New Roman" w:ascii="Times New Roman" w:hAnsi="Times New Roman"/>
          <w:color w:val="111111"/>
          <w:sz w:val="28"/>
          <w:szCs w:val="28"/>
          <w:lang w:val="en-US"/>
        </w:rPr>
        <w:t>Akan halnya mayoritas Akhbariyah menerima fungsi akal yang mampu menyingkap realitas dalam berbagai persoalan sejauh tidak berhubungan dengan agama. Pembatasan ini menegaskan pendirian mereka, dengan pelbagai alasan, untuk tetap memandang akal dan data-datanya tidak valid dalam lingkup ajaran agama, "Martabat agama terlampau tinggi di atas akal.” Juga telah dikemukakan, bagaimana pola Allammah Majlisi, antara lain, membatasi fungsi akal hanya dalam rangka mengenal imam maksum. Selain itu, ia (akal) tidak mampu menjangkau ambang ilmu-ilmu Ilahi.</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kata lain, pandangan kaum Akhbari seputar akal dapat ditelaah dari dua sisi; epistemologis dan ushul fikih. Yang pertama berurusan dengan potensi akal menyingkap realitas, dan </w:t>
      </w:r>
    </w:p>
    <w:p>
      <w:pPr>
        <w:pStyle w:val="BookText"/>
        <w:bidi w:val="0"/>
        <w:rPr/>
      </w:pPr>
      <w:r>
        <w:rPr>
          <w:rFonts w:eastAsia="Times New Roman" w:cs="Times New Roman" w:ascii="Times New Roman" w:hAnsi="Times New Roman"/>
          <w:color w:val="111111"/>
          <w:sz w:val="28"/>
          <w:szCs w:val="28"/>
          <w:lang w:val="en-US"/>
        </w:rPr>
        <w:t>yang belakangan terkait dengan fungsi akal memfasilitasi metode pembuktian hukum syariat.</w:t>
      </w:r>
    </w:p>
    <w:p>
      <w:pPr>
        <w:pStyle w:val="BookText"/>
        <w:bidi w:val="0"/>
        <w:jc w:val="both"/>
        <w:rPr/>
      </w:pPr>
      <w:r>
        <w:rPr>
          <w:rFonts w:eastAsia="Times New Roman" w:cs="Times New Roman" w:ascii="Times New Roman" w:hAnsi="Times New Roman"/>
          <w:color w:val="111111"/>
          <w:sz w:val="28"/>
          <w:szCs w:val="28"/>
          <w:lang w:val="en-US"/>
        </w:rPr>
        <w:t>Dalam kerangka ini, Mulla Astarabadi, misalnya, tidak mengategorikan akal sebagai bagian dari sumber pengetahuan; baik dalam lingkup keagamaan maupun non-agama. Karena pada dasamya, dia mengklasifikasi pengetahuan dalam dua jenis: pertama, pengetahuan yang berbasis pada indra dan pengalaman empiris; dan kedua, pengetahuan yang berhubungan dengan masalah—masalah metafisis dan non-indrawi. Jenis kedua inilah yang dianggapnya tidak memiliki kesimpulan yang pasti dan meyakinkan.</w:t>
      </w:r>
    </w:p>
    <w:p>
      <w:pPr>
        <w:pStyle w:val="BookText"/>
        <w:bidi w:val="0"/>
        <w:jc w:val="both"/>
        <w:rPr/>
      </w:pPr>
      <w:r>
        <w:rPr>
          <w:rFonts w:eastAsia="Times New Roman" w:cs="Times New Roman" w:ascii="Times New Roman" w:hAnsi="Times New Roman"/>
          <w:color w:val="111111"/>
          <w:sz w:val="28"/>
          <w:szCs w:val="28"/>
          <w:lang w:val="en-US"/>
        </w:rPr>
        <w:t>Wajar bila dengan paradigma epistemologis seperti ini, Mulla Astarabadi tidak menyisakan sedikitpun posisi dan peluang akal untuk aktif di ranah agama. Adapun bagi rata-rata pengikutnya, nilai validitas akal dan produk-produknya diakui secara epistemologis, kendati dari sudut pandang ushul fikih diklaim invalid.</w:t>
      </w:r>
    </w:p>
    <w:p>
      <w:pPr>
        <w:pStyle w:val="BookText"/>
        <w:bidi w:val="0"/>
        <w:jc w:val="both"/>
        <w:rPr/>
      </w:pPr>
      <w:r>
        <w:rPr>
          <w:rFonts w:eastAsia="Times New Roman" w:cs="Times New Roman" w:ascii="Times New Roman" w:hAnsi="Times New Roman"/>
          <w:color w:val="111111"/>
          <w:sz w:val="28"/>
          <w:szCs w:val="28"/>
          <w:lang w:val="en-US"/>
        </w:rPr>
        <w:t>Apa pun keragaman itu, seluruh pengikut Akhbariyah sepakat dengan asumsi bahwa akal tidak valid di ranah agama, selain tak dapat diangkat sebagai sumber [pengetahuan] agama yang sejajar di sisi Alquran dan Sunah. Tanpa kehilangan poin utama tadi, berikut ini sejumlah dalih yang mereka kemukakan sebelum mengkritisi argumentasi rasional dan tekstual mereka.</w:t>
      </w:r>
    </w:p>
    <w:p>
      <w:pPr>
        <w:pStyle w:val="BookText"/>
        <w:bidi w:val="0"/>
        <w:jc w:val="both"/>
        <w:rPr/>
      </w:pPr>
      <w:r>
        <w:rPr>
          <w:rFonts w:eastAsia="Times New Roman" w:cs="Times New Roman" w:ascii="Times New Roman" w:hAnsi="Times New Roman"/>
          <w:color w:val="111111"/>
          <w:sz w:val="28"/>
          <w:szCs w:val="28"/>
          <w:lang w:val="en-US"/>
        </w:rPr>
        <w:t>Setelah mengutip beberapa riwayat yang rnengistimewakan akal, Syeikh Hurr Amili (w. 1104 H) menulis seputar invaliditas akal:</w:t>
      </w:r>
    </w:p>
    <w:p>
      <w:pPr>
        <w:pStyle w:val="BookText"/>
        <w:bidi w:val="0"/>
        <w:jc w:val="both"/>
        <w:rPr/>
      </w:pPr>
      <w:r>
        <w:rPr>
          <w:rFonts w:eastAsia="Times New Roman" w:cs="Times New Roman" w:ascii="Times New Roman" w:hAnsi="Times New Roman"/>
          <w:color w:val="111111"/>
          <w:sz w:val="28"/>
          <w:szCs w:val="28"/>
          <w:lang w:val="en-US"/>
        </w:rPr>
        <w:t>Tak satu pun riwayat mengenai akal yang menjelaskan validitas akal semata dalam konteks hukum keagamaan. Maksudnya, akal tidak valid dalam hal yang wajib, sunah, haram, boleh (mubah), dan sejenisnya.</w:t>
      </w:r>
      <w:r>
        <w:rPr>
          <w:rStyle w:val="FootnoteAnchor"/>
        </w:rPr>
        <w:footnoteReference w:id="45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kesempatan lain, dalam Bihar Al-Anwar, Allamah Majlisi juga menyebut soal tidak validnya akal: </w:t>
      </w:r>
      <w:bookmarkStart w:id="339" w:name="pg5378_50746"/>
    </w:p>
    <w:p>
      <w:pPr>
        <w:pStyle w:val="BookText"/>
        <w:bidi w:val="0"/>
        <w:rPr/>
      </w:pPr>
      <w:bookmarkEnd w:id="339"/>
      <w:r>
        <w:rPr>
          <w:rFonts w:eastAsia="Times New Roman" w:cs="Times New Roman" w:ascii="Times New Roman" w:hAnsi="Times New Roman"/>
          <w:color w:val="111111"/>
          <w:sz w:val="28"/>
          <w:szCs w:val="28"/>
          <w:lang w:val="en-US"/>
        </w:rPr>
        <w:t>Wahai saudara seiman! Janganlah kalian berbicara atas dasar akal kalian, terutama dalam [menjelaskan] maksud agama dan Tuhan; karena betapa hukum swabukti (badihi) akal kerap rancu dengan dugaan—dugaan yang nyata</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Dalam hal ini, Sayyid Nikmatullah Jazairi (w. 1112 H) membubuhkan catatan:</w:t>
      </w:r>
    </w:p>
    <w:p>
      <w:pPr>
        <w:pStyle w:val="BookText"/>
        <w:bidi w:val="0"/>
        <w:jc w:val="both"/>
        <w:rPr/>
      </w:pPr>
      <w:r>
        <w:rPr>
          <w:rFonts w:eastAsia="Times New Roman" w:cs="Times New Roman" w:ascii="Times New Roman" w:hAnsi="Times New Roman"/>
          <w:color w:val="111111"/>
          <w:sz w:val="28"/>
          <w:szCs w:val="28"/>
          <w:lang w:val="en-US"/>
        </w:rPr>
        <w:t>Semua yang diperoleh akal hanyalah dugaan, imajiner dan, paling maksimalnya, dugaan dan spekulasi semata.</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lni juga tampak dalam kesimpulan Syeikh Yusuf Bahrani (w. 1186 H), tepatnya setelah menjelaskan beberapa riwayat yang mengecam pendapat subjektif dan kepercayaan pada akal. Ia menuliskan:</w:t>
      </w:r>
    </w:p>
    <w:p>
      <w:pPr>
        <w:pStyle w:val="BookText"/>
        <w:bidi w:val="0"/>
        <w:jc w:val="both"/>
        <w:rPr/>
      </w:pPr>
      <w:r>
        <w:rPr>
          <w:rFonts w:eastAsia="Times New Roman" w:cs="Times New Roman" w:ascii="Times New Roman" w:hAnsi="Times New Roman"/>
          <w:color w:val="111111"/>
          <w:sz w:val="28"/>
          <w:szCs w:val="28"/>
          <w:lang w:val="en-US"/>
        </w:rPr>
        <w:t>Masih banyak riwayat mutawatir, dari segi makna, yang membuktikan bahwa syariat bersifat Tauqifiyah (ketentuan Tuhan), hingga akal sama sekali tidak berperan dalam proses penyimpulan hukum.”</w:t>
      </w:r>
    </w:p>
    <w:p>
      <w:pPr>
        <w:pStyle w:val="Heading4"/>
        <w:numPr>
          <w:ilvl w:val="3"/>
          <w:numId w:val="1"/>
        </w:numPr>
        <w:bidi w:val="0"/>
        <w:jc w:val="left"/>
        <w:rPr/>
      </w:pPr>
      <w:bookmarkStart w:id="340" w:name="__RefHeading___Toc1351290_581953129"/>
      <w:bookmarkStart w:id="341" w:name="_Toc124"/>
      <w:bookmarkEnd w:id="340"/>
      <w:r>
        <w:rPr/>
        <w:t>Argumentasi Tekstual</w:t>
      </w:r>
      <w:bookmarkEnd w:id="341"/>
    </w:p>
    <w:p>
      <w:pPr>
        <w:pStyle w:val="BookText"/>
        <w:bidi w:val="0"/>
        <w:jc w:val="both"/>
        <w:rPr/>
      </w:pPr>
      <w:r>
        <w:rPr>
          <w:rFonts w:eastAsia="Times New Roman" w:cs="Times New Roman" w:ascii="Times New Roman" w:hAnsi="Times New Roman"/>
          <w:color w:val="111111"/>
          <w:sz w:val="28"/>
          <w:szCs w:val="28"/>
          <w:lang w:val="en-US"/>
        </w:rPr>
        <w:t>Guna menguatkan klaim, kaum Akhbari bersandar pada jurnlah besar riwayat dari para imam</w:t>
      </w:r>
      <w:r>
        <w:rPr>
          <w:rStyle w:val="FootnoteAnchor"/>
        </w:rPr>
        <w:footnoteReference w:id="459"/>
      </w:r>
      <w:r>
        <w:rPr>
          <w:rFonts w:eastAsia="Times New Roman" w:cs="Times New Roman" w:ascii="Times New Roman" w:hAnsi="Times New Roman"/>
          <w:color w:val="111111"/>
          <w:sz w:val="28"/>
          <w:szCs w:val="28"/>
          <w:lang w:val="en-US"/>
        </w:rPr>
        <w:t>yang mengandung penentangan terhadap intervensi akal, pendapat subjektif, dan qiyas di ranah agama. Orang-orang yang memeluk agama berdasarkan akal diramalkan hidupnya bakal berakhir buruk. Seperti sebelumnya, telah dijelaskan sejumlah riwayat yang berkenaan dengannya. Hanya pada kesempatan ini,</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dikemukakan sebagian lain yang dijadikan rujukan kaum Akhbari. </w:t>
      </w:r>
    </w:p>
    <w:p>
      <w:pPr>
        <w:pStyle w:val="BookText"/>
        <w:bidi w:val="0"/>
        <w:rPr/>
      </w:pPr>
      <w:r>
        <w:rPr>
          <w:rFonts w:eastAsia="Times New Roman" w:cs="Times New Roman" w:ascii="Times New Roman" w:hAnsi="Times New Roman"/>
          <w:color w:val="111111"/>
          <w:sz w:val="28"/>
          <w:szCs w:val="28"/>
          <w:lang w:val="en-US"/>
        </w:rPr>
        <w:t>Dari Abu ]a’far (Imam Muhammad Bagir); beliau berkata, "Sesungguhnya Allah tidak melimpahkan perkara dan penciptaan- Nya kepada para malaikat muqarrob, tidak juga kepada para nabi yang diutus. Akan tetapi, Dia mengutus sekelompok malaikat seraya berfirman, ’Katakanlah demikian-demikian.’ Demikianlah Dia memerintahkan yang wajib dan melarang yang dilarang kepada hamba-hamba.</w:t>
      </w:r>
      <w:r>
        <w:rPr>
          <w:rStyle w:val="FootnoteAnchor"/>
        </w:rPr>
        <w:footnoteReference w:id="460"/>
      </w:r>
    </w:p>
    <w:p>
      <w:pPr>
        <w:pStyle w:val="BookText"/>
        <w:bidi w:val="0"/>
        <w:jc w:val="both"/>
        <w:rPr/>
      </w:pPr>
      <w:r>
        <w:rPr>
          <w:rFonts w:eastAsia="Times New Roman" w:cs="Times New Roman" w:ascii="Times New Roman" w:hAnsi="Times New Roman"/>
          <w:color w:val="111111"/>
          <w:sz w:val="28"/>
          <w:szCs w:val="28"/>
          <w:lang w:val="en-US"/>
        </w:rPr>
        <w:t>Abu Bashir meriwayatkan dari Abu ]a’far (Imam Muhammad Baqir); dia berkata, "Kami mendapatkan masalah-masalah yang tidak kami temukan jawabannya dalam Alquran dan Sunah. Bolehkah kami menanganinya dengan akal?” Imam menjawab, ”Tidak boleh! Jika [dengan itu] mendapatkan jawaban yang benar, kalian tidak mendapat pahala, dan jika keliru, kalian berarti telah berdusta kepada Allah.</w:t>
      </w:r>
      <w:r>
        <w:rPr>
          <w:rStyle w:val="FootnoteAnchor"/>
        </w:rPr>
        <w:footnoteReference w:id="461"/>
      </w:r>
    </w:p>
    <w:p>
      <w:pPr>
        <w:pStyle w:val="BookText"/>
        <w:bidi w:val="0"/>
        <w:jc w:val="both"/>
        <w:rPr/>
      </w:pPr>
      <w:r>
        <w:rPr>
          <w:rFonts w:eastAsia="Times New Roman" w:cs="Times New Roman" w:ascii="Times New Roman" w:hAnsi="Times New Roman"/>
          <w:color w:val="111111"/>
          <w:sz w:val="28"/>
          <w:szCs w:val="28"/>
          <w:lang w:val="en-US"/>
        </w:rPr>
        <w:t>Abul Hasan berkata, "Barangsiapa mengamalkan sesuai pendapat pribadinya akan binasa; barangsiapa meninggalkan Ahlul Bait Nabi-Nya pasti sesat; dan barangsiapa meninggalkan Kitab Allah dan sabda Nabi-Nya niscaya kufur.</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Amirul Mukminin Ali bin Abi Thalib berkata, ”Seorang mukmin tidak meraih agama dari pendapat pribadinya, tetapi agama datang dari Tuhannya lalu dia meraihnya.</w:t>
      </w:r>
      <w:r>
        <w:rPr>
          <w:rStyle w:val="FootnoteAnchor"/>
        </w:rPr>
        <w:footnoteReference w:id="46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Tampak sekali bagaimana para imam mewanti-wanti para pengikutnya untuk tidak menggunakan pendapat subjektif serta bergantung pada akal terbatas (naqis) dan kerancuannya. Darinya dapat dipahami bahwa sekalipun benar, pandangan seseorang tetap tak bemilai. Para malaikat muqarrab dan para nabi utusan Allah saja tidak punya posisi apa-apa, terlebih posisi manusia biasa dengan akalnya yang dangkal dan rancu. Itulah posisi yang dijelaskan </w:t>
      </w:r>
      <w:bookmarkStart w:id="342" w:name="pg5378_50750"/>
    </w:p>
    <w:p>
      <w:pPr>
        <w:pStyle w:val="BookText"/>
        <w:bidi w:val="0"/>
        <w:rPr/>
      </w:pPr>
      <w:bookmarkEnd w:id="342"/>
      <w:r>
        <w:rPr>
          <w:rFonts w:eastAsia="Times New Roman" w:cs="Times New Roman" w:ascii="Times New Roman" w:hAnsi="Times New Roman"/>
          <w:color w:val="111111"/>
          <w:sz w:val="28"/>
          <w:szCs w:val="28"/>
          <w:lang w:val="en-US"/>
        </w:rPr>
        <w:t>Tuhan saat berbicara tentang rasul-Nya yang teragung dan termulia, ”Seandainya dia (Muhammad) mengatakan sebagian perkataan atas (nama) Kami, niscaya benar-benar Kami pegang dia pada tangan kanannya. Kemudian benar-benar Kami potong urat tali jantungnya" (Q5 Al- Haqqah</w:t>
      </w:r>
    </w:p>
    <w:p>
      <w:pPr>
        <w:pStyle w:val="BookText"/>
        <w:bidi w:val="0"/>
        <w:jc w:val="both"/>
        <w:rPr/>
      </w:pPr>
      <w:r>
        <w:rPr>
          <w:rFonts w:eastAsia="Times New Roman" w:cs="Times New Roman" w:ascii="Times New Roman" w:hAnsi="Times New Roman"/>
          <w:color w:val="111111"/>
          <w:sz w:val="28"/>
          <w:szCs w:val="28"/>
          <w:lang w:val="en-US"/>
        </w:rPr>
        <w:t>[69]: 44-46). Sebagai hamba yang bodoh dan lemah, mana mungkin manusia menyandarkan dirinya pada akal, termasuk menjadikannya</w:t>
      </w:r>
    </w:p>
    <w:p>
      <w:pPr>
        <w:pStyle w:val="BookText"/>
        <w:bidi w:val="0"/>
        <w:jc w:val="both"/>
        <w:rPr/>
      </w:pPr>
      <w:r>
        <w:rPr>
          <w:rFonts w:eastAsia="Times New Roman" w:cs="Times New Roman" w:ascii="Times New Roman" w:hAnsi="Times New Roman"/>
          <w:color w:val="111111"/>
          <w:sz w:val="28"/>
          <w:szCs w:val="28"/>
          <w:lang w:val="en-US"/>
        </w:rPr>
        <w:t>salah satu sumber penyimpulan hukum dan jalan menempuh agama Allah.</w:t>
      </w:r>
    </w:p>
    <w:p>
      <w:pPr>
        <w:pStyle w:val="Heading4"/>
        <w:numPr>
          <w:ilvl w:val="3"/>
          <w:numId w:val="1"/>
        </w:numPr>
        <w:bidi w:val="0"/>
        <w:jc w:val="left"/>
        <w:rPr/>
      </w:pPr>
      <w:bookmarkStart w:id="343" w:name="__RefHeading___Toc1351292_581953129"/>
      <w:bookmarkStart w:id="344" w:name="_Toc125"/>
      <w:bookmarkEnd w:id="343"/>
      <w:r>
        <w:rPr/>
        <w:t>Beberapa Kritik</w:t>
      </w:r>
      <w:bookmarkEnd w:id="344"/>
    </w:p>
    <w:p>
      <w:pPr>
        <w:pStyle w:val="BookText"/>
        <w:bidi w:val="0"/>
        <w:jc w:val="both"/>
        <w:rPr/>
      </w:pPr>
      <w:r>
        <w:rPr>
          <w:rFonts w:eastAsia="Times New Roman" w:cs="Times New Roman" w:ascii="Times New Roman" w:hAnsi="Times New Roman"/>
          <w:color w:val="111111"/>
          <w:sz w:val="28"/>
          <w:szCs w:val="28"/>
          <w:lang w:val="en-US"/>
        </w:rPr>
        <w:t>Sebelumnya telah dikemukakan sejumlah kritik terhadap pemaknaan hadis-hadis yang dirujuk kaum Akhbari untuk menjustifikasi invaliditas akal. Berikut sejumlah tambahan mengenainya.</w:t>
      </w:r>
    </w:p>
    <w:p>
      <w:pPr>
        <w:pStyle w:val="BookText"/>
        <w:bidi w:val="0"/>
        <w:jc w:val="both"/>
        <w:rPr/>
      </w:pPr>
      <w:r>
        <w:rPr>
          <w:rFonts w:eastAsia="Times New Roman" w:cs="Times New Roman" w:ascii="Times New Roman" w:hAnsi="Times New Roman"/>
          <w:color w:val="111111"/>
          <w:sz w:val="28"/>
          <w:szCs w:val="28"/>
          <w:lang w:val="en-US"/>
        </w:rPr>
        <w:t>Pertama, kandungan hadis-hadis itu, paling-paling, menyinggung invaliditas akal dalam segala masalah sejauh kaitannya dengan agama. Jadi, bukan secara mutlak dan dalam masalah apa pun, produk akal hanyalah berupa asumsi dan spekulasi belaka. Karena itu, kalaupun hadis-hadis itu bisa digunakan untuk mendukung pendapat sekelompok Akhbariyah Moderat, tetap saja tidak dapat membuktikan kebenaran tesis Astarabadi dan semisalnya, karena skala klaim-klaim mereka ini lebih luas dari sekadar kandungan hadis-hadis tersebut.</w:t>
      </w:r>
    </w:p>
    <w:p>
      <w:pPr>
        <w:pStyle w:val="BookText"/>
        <w:bidi w:val="0"/>
        <w:jc w:val="both"/>
        <w:rPr/>
      </w:pPr>
      <w:r>
        <w:rPr>
          <w:rFonts w:eastAsia="Times New Roman" w:cs="Times New Roman" w:ascii="Times New Roman" w:hAnsi="Times New Roman"/>
          <w:color w:val="111111"/>
          <w:sz w:val="28"/>
          <w:szCs w:val="28"/>
          <w:lang w:val="en-US"/>
        </w:rPr>
        <w:t>Kedua, sebagaimana telah dikemukakan, selain hadis-hadis tersebut, terdapat pula sejumlah riwayat lain yang justru mengagungkan akal. Riwayat-riwayat itu berisi anjuran untuk mengandalkan akal dan daya intelektual secara proporsional seraya menyebutnya sebagai BUKTI (hujjah) Allah bagi hamba-hambaNya.</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Musa Kazhim berkata7'Hai Hisyam! Sesungguhnya Allah telah mengutus dua bukti (hujjah) kepada manusia; yang lahir (zhahirah) dan batin (batiniah). Adapun bukti lahir adalah para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nabi, rasul, dan imam. Sedangkan bukti batin adalah akal.</w:t>
      </w:r>
      <w:r>
        <w:rPr>
          <w:rStyle w:val="FootnoteAnchor"/>
        </w:rPr>
        <w:footnoteReference w:id="464"/>
      </w:r>
      <w:r>
        <w:rPr>
          <w:rFonts w:eastAsia="Times New Roman" w:cs="Times New Roman" w:ascii="Times New Roman" w:hAnsi="Times New Roman"/>
          <w:color w:val="111111"/>
          <w:sz w:val="28"/>
          <w:szCs w:val="28"/>
          <w:lang w:val="en-US"/>
        </w:rPr>
        <w:t>Imam Shadiq berkata, ”bukti Allah atas hamba-hamba-Nya adalah nabi dan bukti antara hamba dan Allah adalah akal.</w:t>
      </w:r>
      <w:r>
        <w:rPr>
          <w:rStyle w:val="FootnoteAnchor"/>
        </w:rPr>
        <w:footnoteReference w:id="465"/>
      </w:r>
      <w:r>
        <w:rPr>
          <w:rFonts w:eastAsia="Times New Roman" w:cs="Times New Roman" w:ascii="Times New Roman" w:hAnsi="Times New Roman"/>
          <w:color w:val="111111"/>
          <w:sz w:val="28"/>
          <w:szCs w:val="28"/>
          <w:lang w:val="en-US"/>
        </w:rPr>
        <w:t>Ketika ditanya, ”Saat ini, apa bukti atas manusia?", Abul Hasan menjawab, ”Akal. Dengannya diketahui pejujur tulus pada Allah hingga mempercayai-Nya, dan orang pendusta terhadap Allah hingga mengingkari-Nya."</w:t>
      </w:r>
      <w:r>
        <w:rPr>
          <w:rStyle w:val="FootnoteAnchor"/>
        </w:rPr>
        <w:footnoteReference w:id="466"/>
      </w:r>
      <w:r>
        <w:rPr>
          <w:rFonts w:eastAsia="Times New Roman" w:cs="Times New Roman" w:ascii="Times New Roman" w:hAnsi="Times New Roman"/>
          <w:color w:val="111111"/>
          <w:sz w:val="28"/>
          <w:szCs w:val="28"/>
          <w:lang w:val="en-US"/>
        </w:rPr>
        <w:t>Lain dari itu, cukup banyak ayat Alquran yang menaruh perhatian khusus pada akal dan seruan untuk memfungsikannya.</w:t>
      </w:r>
    </w:p>
    <w:p>
      <w:pPr>
        <w:pStyle w:val="BookText"/>
        <w:bidi w:val="0"/>
        <w:jc w:val="both"/>
        <w:rPr/>
      </w:pPr>
      <w:r>
        <w:rPr>
          <w:rFonts w:eastAsia="Times New Roman" w:cs="Times New Roman" w:ascii="Times New Roman" w:hAnsi="Times New Roman"/>
          <w:color w:val="111111"/>
          <w:sz w:val="28"/>
          <w:szCs w:val="28"/>
          <w:lang w:val="en-US"/>
        </w:rPr>
        <w:t>Allamah Thabathabai mengatakan,</w:t>
      </w:r>
      <w:r>
        <w:rPr>
          <w:rStyle w:val="FootnoteAnchor"/>
        </w:rPr>
        <w:footnoteReference w:id="467"/>
      </w:r>
      <w:r>
        <w:rPr>
          <w:rFonts w:eastAsia="Times New Roman" w:cs="Times New Roman" w:ascii="Times New Roman" w:hAnsi="Times New Roman"/>
          <w:color w:val="111111"/>
          <w:sz w:val="28"/>
          <w:szCs w:val="28"/>
          <w:lang w:val="en-US"/>
        </w:rPr>
        <w:t>"Lebih dari tiga ratus ayat dalam Alquran mengungkapkan keagungan dan signifikansi akal serta mengingatkan manusia agar berpikir dan menggunakan akal serta metode produktif dan selamat ini.”</w:t>
      </w:r>
    </w:p>
    <w:p>
      <w:pPr>
        <w:pStyle w:val="BookText"/>
        <w:bidi w:val="0"/>
        <w:jc w:val="both"/>
        <w:rPr/>
      </w:pPr>
      <w:r>
        <w:rPr>
          <w:rFonts w:eastAsia="Times New Roman" w:cs="Times New Roman" w:ascii="Times New Roman" w:hAnsi="Times New Roman"/>
          <w:color w:val="111111"/>
          <w:sz w:val="28"/>
          <w:szCs w:val="28"/>
          <w:lang w:val="en-US"/>
        </w:rPr>
        <w:t>Perlu dicatat, sejumlah Akhbari juga menyadari sekian banyaknya ayat dan riwayat yang memuliakan akal, bahkan jelas-jelas menegaskan nilai validitasnya. Karena itulah mereka berusaha</w:t>
      </w:r>
    </w:p>
    <w:p>
      <w:pPr>
        <w:pStyle w:val="BookText"/>
        <w:bidi w:val="0"/>
        <w:jc w:val="both"/>
        <w:rPr/>
      </w:pPr>
      <w:r>
        <w:rPr>
          <w:rFonts w:eastAsia="Times New Roman" w:cs="Times New Roman" w:ascii="Times New Roman" w:hAnsi="Times New Roman"/>
          <w:color w:val="111111"/>
          <w:sz w:val="28"/>
          <w:szCs w:val="28"/>
          <w:lang w:val="en-US"/>
        </w:rPr>
        <w:t>dengan cara tertentu menafsirkannya demikian:</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 diragukan lagi, akal fitri yang lurus merupakan salah satu bukti Allah Swt; pelita penerang yang berasal dari-Nya. Akal demikian bukan hanya koheren dengan syariat, bahkan termasuk syariat internal, sementara Alquran dan Sunah merupakan syariat eksternal. Akal fitri ini sampai kapan pun tak akan pernah berubah [dan resisten] terhadap kekeliruan, fanatisme, nafsu kedudukan, dan lainnya, serta dari seluruh penyebab lain... setinggi-tinggi maksud dari dalil-dalil itu ialah sanjungan untuk akal fitri yang lurus dan mumi dari segala kekeliruan pikiran dan kotoran jiwa. Akal dalam pengertian inilah yang disebut dengan </w:t>
      </w:r>
    </w:p>
    <w:p>
      <w:pPr>
        <w:pStyle w:val="BookText"/>
        <w:bidi w:val="0"/>
        <w:rPr/>
      </w:pPr>
      <w:r>
        <w:rPr>
          <w:rFonts w:eastAsia="Times New Roman" w:cs="Times New Roman" w:ascii="Times New Roman" w:hAnsi="Times New Roman"/>
          <w:color w:val="111111"/>
          <w:sz w:val="28"/>
          <w:szCs w:val="28"/>
          <w:lang w:val="en-US"/>
        </w:rPr>
        <w:t>Hujjah ’bukti’ Allah. Karena, dengan cahaya suci dan fitrah dasar (Fitrah Awaliyyah), akal itu memahami sebagian kewajiban, juga siap untuk menerima kewajiban lain dari syariat.</w:t>
      </w:r>
      <w:r>
        <w:rPr>
          <w:rStyle w:val="FootnoteAnchor"/>
        </w:rPr>
        <w:footnoteReference w:id="468"/>
      </w:r>
    </w:p>
    <w:p>
      <w:pPr>
        <w:pStyle w:val="BookText"/>
        <w:bidi w:val="0"/>
        <w:jc w:val="both"/>
        <w:rPr/>
      </w:pPr>
      <w:r>
        <w:rPr>
          <w:rFonts w:eastAsia="Times New Roman" w:cs="Times New Roman" w:ascii="Times New Roman" w:hAnsi="Times New Roman"/>
          <w:color w:val="111111"/>
          <w:sz w:val="28"/>
          <w:szCs w:val="28"/>
          <w:lang w:val="en-US"/>
        </w:rPr>
        <w:t>Sebelum itu, kalangan pemikir dan mujtahid klasik sebenamya tidak mendudukkan secara baik maksud mereka dari dalil akal dan nilai-buktinya (al-dalil al-’aqli wa al-hujjiyyah).</w:t>
      </w:r>
      <w:r>
        <w:rPr>
          <w:rStyle w:val="FootnoteAnchor"/>
        </w:rPr>
        <w:footnoteReference w:id="469"/>
      </w:r>
      <w:r>
        <w:rPr>
          <w:rFonts w:eastAsia="Times New Roman" w:cs="Times New Roman" w:ascii="Times New Roman" w:hAnsi="Times New Roman"/>
          <w:color w:val="111111"/>
          <w:sz w:val="28"/>
          <w:szCs w:val="28"/>
          <w:lang w:val="en-US"/>
        </w:rPr>
        <w:t>Hingga paruh kedua abad VI, tak satu pun fuqaha besar secara resmi menyebutkan akal sebagai sumber mandiri, sejajar dengan Alquran dan Sunah, bagi proses penyimpulan hukum syariat. Ibnu Idris (w. 598 H) barangkali menjadi ahli fikih pertama yang terang-terangan menyebutkan akal sebagai salah satu sumber penyimpulan hukum, bersama Alquran dan Sunah.</w:t>
      </w:r>
      <w:r>
        <w:rPr>
          <w:rStyle w:val="FootnoteAnchor"/>
        </w:rPr>
        <w:footnoteReference w:id="470"/>
      </w:r>
      <w:r>
        <w:rPr>
          <w:rFonts w:eastAsia="Times New Roman" w:cs="Times New Roman" w:ascii="Times New Roman" w:hAnsi="Times New Roman"/>
          <w:color w:val="111111"/>
          <w:sz w:val="28"/>
          <w:szCs w:val="28"/>
          <w:lang w:val="en-US"/>
        </w:rPr>
        <w:t>Kendati dalam hal ini, ia pun tidak menjelaskan maksudnya dari ‘dalil akal’ secara memadai. Setelahnya, Muhaqqiq Awwal (w. 676 H) menjelaskan sedikit banyak pengertian dari terma tadi dalam prolog bukunya, Al-Mu’tabar.</w:t>
      </w:r>
      <w:r>
        <w:rPr>
          <w:rStyle w:val="FootnoteAnchor"/>
        </w:rPr>
        <w:footnoteReference w:id="471"/>
      </w:r>
      <w:r>
        <w:rPr>
          <w:rFonts w:eastAsia="Times New Roman" w:cs="Times New Roman" w:ascii="Times New Roman" w:hAnsi="Times New Roman"/>
          <w:color w:val="111111"/>
          <w:sz w:val="28"/>
          <w:szCs w:val="28"/>
          <w:lang w:val="en-US"/>
        </w:rPr>
        <w:t>Lagi-lagi, ia juga mencampur aduk pembahasannya dengan sejumlah masalah lain, terutama yang terkait dengan tema al-zuhur al-lafzdi seperti: lahn al khitab,</w:t>
      </w:r>
      <w:r>
        <w:rPr>
          <w:rStyle w:val="FootnoteAnchor"/>
        </w:rPr>
        <w:footnoteReference w:id="472"/>
      </w:r>
      <w:r>
        <w:rPr>
          <w:rFonts w:eastAsia="Times New Roman" w:cs="Times New Roman" w:ascii="Times New Roman" w:hAnsi="Times New Roman"/>
          <w:color w:val="111111"/>
          <w:sz w:val="28"/>
          <w:szCs w:val="28"/>
          <w:lang w:val="en-US"/>
        </w:rPr>
        <w:t>fahwa al-khitab‘</w:t>
      </w:r>
      <w:r>
        <w:rPr>
          <w:rStyle w:val="FootnoteAnchor"/>
        </w:rPr>
        <w:footnoteReference w:id="473"/>
      </w:r>
      <w:r>
        <w:rPr>
          <w:rFonts w:eastAsia="Times New Roman" w:cs="Times New Roman" w:ascii="Times New Roman" w:hAnsi="Times New Roman"/>
          <w:color w:val="111111"/>
          <w:sz w:val="28"/>
          <w:szCs w:val="28"/>
          <w:lang w:val="en-US"/>
        </w:rPr>
        <w:t>dan dalil al-khitab“</w:t>
      </w:r>
      <w:r>
        <w:rPr>
          <w:rStyle w:val="FootnoteAnchor"/>
        </w:rPr>
        <w:footnoteReference w:id="47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Kesimpulannya, sekalipun dalil akal dan nilai-buktinya (al-dalil al-’aqli wa al-hujjiyyah) sudah disepakati kalangan Ushuli, namun tak satu pun dari mereka yang menjelaskannya secara menyeluruh, </w:t>
      </w:r>
      <w:bookmarkStart w:id="345" w:name="pg5378_50756"/>
    </w:p>
    <w:p>
      <w:pPr>
        <w:pStyle w:val="BookText"/>
        <w:bidi w:val="0"/>
        <w:rPr/>
      </w:pPr>
      <w:bookmarkEnd w:id="345"/>
      <w:r>
        <w:rPr>
          <w:rFonts w:eastAsia="Times New Roman" w:cs="Times New Roman" w:ascii="Times New Roman" w:hAnsi="Times New Roman"/>
          <w:color w:val="111111"/>
          <w:sz w:val="28"/>
          <w:szCs w:val="28"/>
          <w:lang w:val="en-US"/>
        </w:rPr>
        <w:t>berikut batasan-batasannya. Barangkali boleh dibilang, bagi kaum Ushuli sendiri, cakupan persoalan tentangnya masih belum terlalu jelas.</w:t>
      </w:r>
      <w:r>
        <w:rPr>
          <w:rStyle w:val="FootnoteAnchor"/>
        </w:rPr>
        <w:footnoteReference w:id="475"/>
      </w:r>
      <w:r>
        <w:rPr>
          <w:rFonts w:eastAsia="Times New Roman" w:cs="Times New Roman" w:ascii="Times New Roman" w:hAnsi="Times New Roman"/>
          <w:color w:val="111111"/>
          <w:sz w:val="28"/>
          <w:szCs w:val="28"/>
          <w:lang w:val="en-US"/>
        </w:rPr>
        <w:t>Selain menjadi faktor penyalahgunaan dan serangan gencar kaum Akhbari terhadap kelompok Ushuli, masalah ini pada gilirannya membuat mereka malah kalut kebingungan.</w:t>
      </w:r>
    </w:p>
    <w:p>
      <w:pPr>
        <w:pStyle w:val="BookText"/>
        <w:bidi w:val="0"/>
        <w:jc w:val="both"/>
        <w:rPr/>
      </w:pPr>
      <w:r>
        <w:rPr>
          <w:rFonts w:eastAsia="Times New Roman" w:cs="Times New Roman" w:ascii="Times New Roman" w:hAnsi="Times New Roman"/>
          <w:color w:val="111111"/>
          <w:sz w:val="28"/>
          <w:szCs w:val="28"/>
          <w:lang w:val="en-US"/>
        </w:rPr>
        <w:t>Berkenaan dengannya, ungkapan Syeikh Yusuf Bahrani dalam Al-hadaiq Al-Nadhirah, memberi kesaksian tentang adanya kesalahpahaman dan kerancuan mereka.</w:t>
      </w:r>
    </w:p>
    <w:p>
      <w:pPr>
        <w:pStyle w:val="BookText"/>
        <w:bidi w:val="0"/>
        <w:jc w:val="both"/>
        <w:rPr/>
      </w:pPr>
      <w:r>
        <w:rPr>
          <w:rFonts w:eastAsia="Times New Roman" w:cs="Times New Roman" w:ascii="Times New Roman" w:hAnsi="Times New Roman"/>
          <w:color w:val="111111"/>
          <w:sz w:val="28"/>
          <w:szCs w:val="28"/>
          <w:lang w:val="en-US"/>
        </w:rPr>
        <w:t>Tentang dalil akal. Satu kelompok memahaminya sebagai asas bebas (ashl al-bara'ah) dan asas kelanjutan (istishhab). Kelompok kedua hanya memahaminya sebagai asas kelanjutan. Kelompok ketiga memahaminya sebagai lahn al-khitab, fahw al-khitab dan dalil al-khitab dan dalil al-khitﬁb. Dan kelompok keempat memahami dalil akal sebagai asas bebas, asas kelanjutan, dan talazzum ’korelasi' dua hukum seperti: pendahuluan wajib (muqaddimah al—wajib), masalah pertentangan (dhidd), dan signifikasi konotatif (daladah iltizamiyah).</w:t>
      </w:r>
      <w:r>
        <w:rPr>
          <w:rStyle w:val="FootnoteAnchor"/>
        </w:rPr>
        <w:footnoteReference w:id="476"/>
      </w:r>
    </w:p>
    <w:p>
      <w:pPr>
        <w:pStyle w:val="Heading4"/>
        <w:numPr>
          <w:ilvl w:val="3"/>
          <w:numId w:val="1"/>
        </w:numPr>
        <w:bidi w:val="0"/>
        <w:jc w:val="left"/>
        <w:rPr/>
      </w:pPr>
      <w:bookmarkStart w:id="346" w:name="__RefHeading___Toc1351294_581953129"/>
      <w:bookmarkStart w:id="347" w:name="_Toc126"/>
      <w:bookmarkEnd w:id="346"/>
      <w:r>
        <w:rPr/>
        <w:t>Argumentasi Rasional</w:t>
      </w:r>
      <w:bookmarkEnd w:id="34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Untuk membuktikan klaimnya dan menerangkan kekeliruan melibatkan akal di bidang ushuluddin dan furu’uddin, Akhbari menghlmpun banyak argumentasi rasional (?!). Kekuatan aklani ini lebih mereka pusatkan untuk menghantam pemikiran kaum Ushuli. Hanya saja, semua argumentasi yang mereka andalkan itu masih bersifat umum yang, kalaupun valid dan kokoh, justru tidak sekadar menggugurkan fungsi akal sebagai medium (thariqiyyah) hukum syariat, melainkan juga menafikan potensinya sebagai penyingkap realitas (kasyifiyyah). </w:t>
      </w:r>
    </w:p>
    <w:p>
      <w:pPr>
        <w:pStyle w:val="BookText"/>
        <w:bidi w:val="0"/>
        <w:rPr/>
      </w:pPr>
      <w:r>
        <w:rPr>
          <w:rFonts w:eastAsia="Times New Roman" w:cs="Times New Roman" w:ascii="Times New Roman" w:hAnsi="Times New Roman"/>
          <w:color w:val="111111"/>
          <w:sz w:val="28"/>
          <w:szCs w:val="28"/>
          <w:lang w:val="en-US"/>
        </w:rPr>
        <w:t>Berkenaan dengannya, Sayyid Nikmatulah Jazairi (w. 1112) mengatakan, "Apa maksudnya mengatakan dalil akal sebagai salah satu sumber agama yang terkandung dalam ushuluddin, ushul fikih, juga furu’ddin? Kalau maksudnya adalah dalil yang dapat diterima akal dan setiap orang berakal, itu tak ada wujudnya di alam nyata. Perselisihan akal setiap orang dalam menyingkap realitas; penyempurnaan produk-produk akal generasi terdahulu berkat upaya generasi berikut; perumusan argumen baru untuk mempertahankan klaim-klaim lama; adalah rangkaian fakta yang menguatkan tidak adanya hukum akal yang diterima semua kalangan. Bila dalil akal itu dimaksudkan sebagai sesuatu yang diterima si pemilik dalil, ini akan menurunkan sekian absurditas yang tidak dapat djpertahankan. Sebab, masing-masing kalangan mengklaim punya dalil akal untuk tiap-tiap pemikirannya. Entah filosof, sufi, sampai kaum Mu‘tazilah dan Asy’ariyah, akan mengklaim diri punya cukup dalil akal yang kokoh demi membela mazhabnya. Karena itu, dalil akal tidak dapat dikategorikan sebagai sumber pengetahuan agama yang valid, karena senjata penumbuk dan penebas justru berada di tangan lawan.‘</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Sebagian Akhbari, dalam menjustifikasi asumsinya seputar dalil akal, merujuk isu-isu dan kritik-kritik yang dilontarkan Fakhru Razi. Di antaranya:</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Perkara-perkara yang disebut burhan (demonstrasi logis) ini, kalau memang itu benar-benar burhan, setiap orang yang mendengar dan memahaminya pasti menerima dan tidak menolaknya. Namun kita saksikan, apa yang diklaim satu pihak sebagai burhan ternyata tidak menghasilkan sekalipun dugaan [apalagi keyakinan] untuk pihak lain. Ini bukti bahwa perkara-perkara itu pada dasarnya bukanlah burhan, melainkan serangkaian premis rapuh yang dilengkapi dengan fanatisme dan hawa nafsu, lantas dianggap sebagian orang sebagai burhan Gejala ini membuktikan </w:t>
      </w:r>
      <w:bookmarkStart w:id="348" w:name="pg5378_50760"/>
    </w:p>
    <w:p>
      <w:pPr>
        <w:pStyle w:val="BookText"/>
        <w:bidi w:val="0"/>
        <w:rPr/>
      </w:pPr>
      <w:bookmarkEnd w:id="348"/>
      <w:r>
        <w:rPr>
          <w:rFonts w:eastAsia="Times New Roman" w:cs="Times New Roman" w:ascii="Times New Roman" w:hAnsi="Times New Roman"/>
          <w:color w:val="111111"/>
          <w:sz w:val="28"/>
          <w:szCs w:val="28"/>
          <w:lang w:val="en-US"/>
        </w:rPr>
        <w:t>bahwa adakalanya perkara yang tidak akurat dan keliru justru dianggap akal sebagai kebenaran. Kesimpulannya, pandangan akal, sekalipun dalam aksiomatika, tidak dapat diterima. Karena itu, semua dalil akal tidak benar.“</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Dari statamen ini, dapat disimpulkan bahwa tidak ada yang namanya akal sebagaj penyingkap realitas dan penghasil konklusi yang meyakinkan. Kalau memang itu ada, pasti diterima oleh orang-orang berakal sejagad dari agama dan aliran apa pun. Tambahan lagi, bila suatu konklusi muncul dari premis swabukti (aksiomatis) dan benar-benar aklani, maka nilai kebenarannya akan kokoh langgeng sehingga tidak menyisakan kemungkinan perubahan pandangan orang yang menyakininya. Nyatanya, banyak ditemukan pemikir dan filosof yang meninggalkan pandangan lamanya setelah menemukan data-data baru, lalu merumuskan pandangan barunya. Semua ini merupakan bukti bahwa dalil akal tidak valid dan tak mampu menyingkap realitas.</w:t>
      </w:r>
    </w:p>
    <w:p>
      <w:pPr>
        <w:pStyle w:val="Heading4"/>
        <w:numPr>
          <w:ilvl w:val="3"/>
          <w:numId w:val="1"/>
        </w:numPr>
        <w:bidi w:val="0"/>
        <w:jc w:val="left"/>
        <w:rPr/>
      </w:pPr>
      <w:bookmarkStart w:id="349" w:name="__RefHeading___Toc1351296_581953129"/>
      <w:bookmarkStart w:id="350" w:name="_Toc127"/>
      <w:bookmarkEnd w:id="349"/>
      <w:r>
        <w:rPr/>
        <w:t>Analisis dan Kritik</w:t>
      </w:r>
      <w:bookmarkEnd w:id="350"/>
    </w:p>
    <w:p>
      <w:pPr>
        <w:pStyle w:val="BookText"/>
        <w:bidi w:val="0"/>
        <w:jc w:val="both"/>
        <w:rPr/>
      </w:pPr>
      <w:r>
        <w:rPr>
          <w:rFonts w:eastAsia="Times New Roman" w:cs="Times New Roman" w:ascii="Times New Roman" w:hAnsi="Times New Roman"/>
          <w:color w:val="111111"/>
          <w:sz w:val="28"/>
          <w:szCs w:val="28"/>
          <w:lang w:val="en-US"/>
        </w:rPr>
        <w:t>Sanggahan paling minimal yang mungkin diajukan adalah inkonsistensi dan swakontradiksi seluruh argumentasi. Dengan menggunakan dalil akal, kaum Akhbari praktis telah bermaksud menetapkan kekeliruan dalil akal. Sadar atau tidak, mereka ibarat duduk di sebuah batang pohon sambil memotong pangkalnya. Menerima argumentasi rasional mereka dan konsisten pada implikasi-implikasinya akan menurunkan konsekuensi yang tak terelakkan, yaitu mengakui validitas akal dan potensinya sebagai penyingkap (kasyifiyyah) realitas.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Mengenai fakta terjadinya kekeliruan dalam pengetahuan aklani, ini tidak layak diacu sebagai alasan untuk mengesampingkan akal. Bukankah kekeliruan juga terjadi dalam pengetahuan indrawi? </w:t>
      </w:r>
    </w:p>
    <w:p>
      <w:pPr>
        <w:pStyle w:val="BookText"/>
        <w:bidi w:val="0"/>
        <w:rPr/>
      </w:pPr>
      <w:r>
        <w:rPr>
          <w:rFonts w:eastAsia="Times New Roman" w:cs="Times New Roman" w:ascii="Times New Roman" w:hAnsi="Times New Roman"/>
          <w:color w:val="111111"/>
          <w:sz w:val="28"/>
          <w:szCs w:val="28"/>
          <w:lang w:val="en-US"/>
        </w:rPr>
        <w:t>Bagaimana mungkin kaum Akhbari mengakui indra sebagai instrumen menyingkap realitas,</w:t>
      </w:r>
      <w:r>
        <w:rPr>
          <w:rStyle w:val="FootnoteAnchor"/>
        </w:rPr>
        <w:footnoteReference w:id="479"/>
      </w:r>
      <w:r>
        <w:rPr>
          <w:rFonts w:eastAsia="Times New Roman" w:cs="Times New Roman" w:ascii="Times New Roman" w:hAnsi="Times New Roman"/>
          <w:color w:val="111111"/>
          <w:sz w:val="28"/>
          <w:szCs w:val="28"/>
          <w:lang w:val="en-US"/>
        </w:rPr>
        <w:t>sementara pada saat yang sama, juga menolak akal sebagai wahana untuk itu hanya lantaran adanya kesalahan di beberapa kasus?!</w:t>
      </w:r>
    </w:p>
    <w:p>
      <w:pPr>
        <w:pStyle w:val="BookText"/>
        <w:bidi w:val="0"/>
        <w:jc w:val="both"/>
        <w:rPr/>
      </w:pPr>
      <w:r>
        <w:rPr>
          <w:rFonts w:eastAsia="Times New Roman" w:cs="Times New Roman" w:ascii="Times New Roman" w:hAnsi="Times New Roman"/>
          <w:color w:val="111111"/>
          <w:sz w:val="28"/>
          <w:szCs w:val="28"/>
          <w:lang w:val="en-US"/>
        </w:rPr>
        <w:t>Perlu dicatat, pertama: maksud validnya hukum akal sejauh relevan dengan hukum-hukum rasional yang meyakinkan (qat'i) dan pasti kebenaranya,</w:t>
      </w:r>
      <w:r>
        <w:rPr>
          <w:rStyle w:val="FootnoteAnchor"/>
        </w:rPr>
        <w:footnoteReference w:id="480"/>
      </w:r>
      <w:r>
        <w:rPr>
          <w:rFonts w:eastAsia="Times New Roman" w:cs="Times New Roman" w:ascii="Times New Roman" w:hAnsi="Times New Roman"/>
          <w:color w:val="111111"/>
          <w:sz w:val="28"/>
          <w:szCs w:val="28"/>
          <w:lang w:val="en-US"/>
        </w:rPr>
        <w:t>bukan yang bersifat hipotetis (zhanni). Dengan hukum-hukum pastinya dan bebas dari sangka, duga dan qiyas, akal merupakan bagian dari sumber agama dan alat penyimpulan hukum syariat._</w:t>
      </w:r>
    </w:p>
    <w:p>
      <w:pPr>
        <w:pStyle w:val="BookText"/>
        <w:bidi w:val="0"/>
        <w:jc w:val="both"/>
        <w:rPr/>
      </w:pPr>
      <w:r>
        <w:rPr>
          <w:rFonts w:eastAsia="Times New Roman" w:cs="Times New Roman" w:ascii="Times New Roman" w:hAnsi="Times New Roman"/>
          <w:color w:val="111111"/>
          <w:sz w:val="28"/>
          <w:szCs w:val="28"/>
          <w:lang w:val="en-US"/>
        </w:rPr>
        <w:t>Kedua, kapan saja, di mana saja, dan dengan Cara apa saja suatu keyakinan (qath'i) diperoleh seseorang, nilai-bukti dan validitasnya adalah substansial (dzati) atau, paling tidak, konsekuensi dasar dari substansi keyakinan. Karena pada prinsipnya, hal-hal substansial dan konsekuensi-konsekuensinya bukanlah objek penetapan dan konvensi, atau dalam istilah kaum Ushuli, ”tak tersentuh tangan penetap; entah secara negatif atau positif".</w:t>
      </w:r>
      <w:r>
        <w:rPr>
          <w:rStyle w:val="FootnoteAnchor"/>
        </w:rPr>
        <w:footnoteReference w:id="481"/>
      </w:r>
    </w:p>
    <w:p>
      <w:pPr>
        <w:pStyle w:val="BookText"/>
        <w:bidi w:val="0"/>
        <w:jc w:val="both"/>
        <w:rPr/>
      </w:pPr>
      <w:r>
        <w:rPr>
          <w:rFonts w:eastAsia="Times New Roman" w:cs="Times New Roman" w:ascii="Times New Roman" w:hAnsi="Times New Roman"/>
          <w:color w:val="111111"/>
          <w:sz w:val="28"/>
          <w:szCs w:val="28"/>
          <w:lang w:val="en-US"/>
        </w:rPr>
        <w:t>Dengan kata lain, sebuah nilai—bukti atau validitas bukanlah komponen tambahan yang lalu dicari dan dikomposisikan dengan keyakinan (qat'i), karena akan terjadi absurditas tahsil haasil (mengupayakan yang sudah ada). Demikian halnya, nilai-bukti itu juga tidak bisa dilepas dari keyakinan, karena akan terjadi absurditas lain, yaitu salb al-syay an nafsihi (negasi terhadap diri sendiri). Darinya dapat dipahami istilah kaum Ushuli di atas, bahwa tidak mungkin menetapkan sekaligus menaﬁkan validitas keyakinan.</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keterangan salah satu tokoh Ushuliyah, status keyakinan ini didekatkan lewat analogi sinar matahari yang memperlihatkan apa saja yang dapat diindra. Umpama, seseorang kehilangan kuda hitam miliknya di tengah gelap malam. Dia baru berhasil melihat </w:t>
      </w:r>
      <w:bookmarkStart w:id="351" w:name="pg5378_50763"/>
    </w:p>
    <w:p>
      <w:pPr>
        <w:pStyle w:val="BookText"/>
        <w:bidi w:val="0"/>
        <w:rPr/>
      </w:pPr>
      <w:bookmarkEnd w:id="351"/>
      <w:r>
        <w:rPr>
          <w:rFonts w:eastAsia="Times New Roman" w:cs="Times New Roman" w:ascii="Times New Roman" w:hAnsi="Times New Roman"/>
          <w:color w:val="111111"/>
          <w:sz w:val="28"/>
          <w:szCs w:val="28"/>
          <w:lang w:val="en-US"/>
        </w:rPr>
        <w:t>kudanya setelah matahari terbit. Lalu, apa yang harus dia lakukan? Haruskah dia mengejar kudanya, mengikatnya dan membawanya pulang? Ataukah membiarkannya begitu saja: diam sambil duduk, tunduk merenung serta menganalisis nilai—bukti dan validitas penglihatannya itu? Tidakkah Cara seperti ini layak dijadikan tertawaan setiap orang?</w:t>
      </w:r>
    </w:p>
    <w:p>
      <w:pPr>
        <w:pStyle w:val="BookText"/>
        <w:bidi w:val="0"/>
        <w:jc w:val="both"/>
        <w:rPr/>
      </w:pPr>
      <w:r>
        <w:rPr>
          <w:rFonts w:eastAsia="Times New Roman" w:cs="Times New Roman" w:ascii="Times New Roman" w:hAnsi="Times New Roman"/>
          <w:color w:val="111111"/>
          <w:sz w:val="28"/>
          <w:szCs w:val="28"/>
          <w:lang w:val="en-US"/>
        </w:rPr>
        <w:t>Intinya, validitas adalah konsekuensi dasar dari substansi keyakinan; sebagaimana genap bagi subtansi empat. Tentu saja, konsekuensi dasar apa pun sama hukumnya dengan substansinya, yakni niscaya secara apriori.</w:t>
      </w:r>
    </w:p>
    <w:p>
      <w:pPr>
        <w:pStyle w:val="BookText"/>
        <w:bidi w:val="0"/>
        <w:jc w:val="both"/>
        <w:rPr/>
      </w:pPr>
      <w:r>
        <w:rPr>
          <w:rFonts w:eastAsia="Times New Roman" w:cs="Times New Roman" w:ascii="Times New Roman" w:hAnsi="Times New Roman"/>
          <w:color w:val="111111"/>
          <w:sz w:val="28"/>
          <w:szCs w:val="28"/>
          <w:lang w:val="en-US"/>
        </w:rPr>
        <w:t>Dengan poin di atas, lalu bagaimana membuktikan validitas dalil akal? Hanya ada dua jalan; rasional dan tekstual. Implikasi jalan pertama adalah absurditas taqaddum al-syay' 'ala nafsihi (sesuatu mendahului dirinya sendiri). Sementara implikasi jalan kedua juga absurditas daur (siklus), karena validitas dalil tekstual sebenarnya juga bersandar pada akal. Konklusinya, validitas dalil akal tidak bisa dibuktikan, tidak juga bisa digugurkan. Dengan predikat seperti ini, masalah validitas dalil akal hanya dapat didudukkan di depan dua kemungkinan; jelas secara substansial (ma'lum bi al-dzat) atau tidak jelas secara substansial (majhul bi al—dzat). Karena itu, masalah ini tidak bisa diusahakan pembuktiannya. Yang hanya bisa dilakukan adalah mengikis keraguan yang muncul dan menggugah kesadaran (tanbih) terhadap validitas dalil akal</w:t>
      </w:r>
      <w:r>
        <w:rPr>
          <w:rStyle w:val="FootnoteAnchor"/>
        </w:rPr>
        <w:footnoteReference w:id="482"/>
      </w:r>
    </w:p>
    <w:p>
      <w:pPr>
        <w:pStyle w:val="Heading4"/>
        <w:numPr>
          <w:ilvl w:val="3"/>
          <w:numId w:val="1"/>
        </w:numPr>
        <w:bidi w:val="0"/>
        <w:jc w:val="left"/>
        <w:rPr/>
      </w:pPr>
      <w:bookmarkStart w:id="352" w:name="__RefHeading___Toc1351298_581953129"/>
      <w:bookmarkStart w:id="353" w:name="_Toc128"/>
      <w:bookmarkEnd w:id="352"/>
      <w:r>
        <w:rPr/>
        <w:t>Kelompok Akhbari dan Masalah Pertentangan Akal dan Teks</w:t>
      </w:r>
      <w:bookmarkEnd w:id="35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seluruh ulasan di atas, tampak bagaimana cara kaum Akhbari mengklaim akal dan data-data aklani sama sekali tak bernilai. Oleh karena itu, tema yang mereka sebut dengan ”akal versus teks” sebenarnya tak pernah mengemuka sebagai duduk </w:t>
      </w:r>
    </w:p>
    <w:p>
      <w:pPr>
        <w:pStyle w:val="BookText"/>
        <w:bidi w:val="0"/>
        <w:rPr/>
      </w:pPr>
      <w:r>
        <w:rPr>
          <w:rFonts w:eastAsia="Times New Roman" w:cs="Times New Roman" w:ascii="Times New Roman" w:hAnsi="Times New Roman"/>
          <w:color w:val="111111"/>
          <w:sz w:val="28"/>
          <w:szCs w:val="28"/>
          <w:lang w:val="en-US"/>
        </w:rPr>
        <w:t>persoalan, apalagi berusaha mencari jalan penyelesaiannya, karena tema pertentangan itu turunan dari asumsi validitas akal dan teks secara sekaligus. Jadi, suatu pertentangan mungkin terjadi bila kedua-duanya diakui sebagai hujah ’bukti’. Akan halnya bagi orang yang menolak akal demikian adanya, dan hanya mengakui validitas teks, pertentangan itu tentu saja tidak akan terjadi, sama sekali.</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Perlu juga untuk disinggung, sebagian tokoh Akhbariyah mengakui validitas akal fitri, dan tentunya mereka juga merancang jalan keluar bagi kemungkinan terjadinya pertentangan antara akal dan teks. Namun demikian, mereka selalu mengedepankan teks dalam semua hipotesis yang memberi kemungkinan pertentangannya dengan akal. Pendirian ini akan tetap mereka pertahankan, sekalipun argumentasi akal terkait dengan akal fitri yang sudah mereka akui sebagai hujjah Allah sekaligus nabi internal. Dalam keadaan apa pun, mereka tidak sudi mendahulukan akal di atas teks."</w:t>
      </w:r>
      <w:r>
        <w:rPr>
          <w:rStyle w:val="FootnoteAnchor"/>
        </w:rPr>
        <w:footnoteReference w:id="48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54" w:name="pg5378_50769"/>
      <w:bookmarkStart w:id="355" w:name="pg5378_50769"/>
      <w:bookmarkEnd w:id="355"/>
    </w:p>
    <w:p>
      <w:pPr>
        <w:pStyle w:val="Heading2"/>
        <w:numPr>
          <w:ilvl w:val="1"/>
          <w:numId w:val="1"/>
        </w:numPr>
        <w:bidi w:val="0"/>
        <w:jc w:val="left"/>
        <w:rPr/>
      </w:pPr>
      <w:bookmarkStart w:id="356" w:name="pg5378_50769"/>
      <w:bookmarkStart w:id="357" w:name="__RefHeading___Toc1351300_581953129"/>
      <w:bookmarkStart w:id="358" w:name="_Toc129"/>
      <w:bookmarkEnd w:id="356"/>
      <w:bookmarkEnd w:id="357"/>
      <w:r>
        <w:rPr/>
        <w:t>BAB 7 WAHYU DAN PENYAKSIAN SUFISTIK</w:t>
      </w:r>
      <w:bookmarkEnd w:id="35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59" w:name="__RefHeading___Toc1351302_581953129"/>
      <w:bookmarkStart w:id="360" w:name="_Toc130"/>
      <w:bookmarkEnd w:id="359"/>
      <w:r>
        <w:rPr/>
        <w:t>Point</w:t>
      </w:r>
      <w:bookmarkEnd w:id="360"/>
    </w:p>
    <w:p>
      <w:pPr>
        <w:pStyle w:val="BookText"/>
        <w:bidi w:val="0"/>
        <w:rPr/>
      </w:pPr>
      <w:r>
        <w:rPr>
          <w:rFonts w:eastAsia="Times New Roman" w:cs="Times New Roman" w:ascii="Times New Roman" w:hAnsi="Times New Roman"/>
          <w:color w:val="111111"/>
          <w:sz w:val="28"/>
          <w:szCs w:val="28"/>
          <w:lang w:val="en-US"/>
        </w:rPr>
        <w:t xml:space="preserve">selain menempatkan akal di kursi yang selayaknya, khazanah Islam juga melegitimasi ilham dan penyaksian batin. Alquran menekankan pencarian agama dan Tuhan sebagai perkara fitri.' Seimbang dengan desakannya untuk berpikir dan tadabbur, ia bahkan menyatakan keheranannya terhadap gejala keraguan, misalnya, seputar wujud Tuhan: ”Apakah ada keraguan terhadap Allah, Pencipta langit dan bumi?! </w:t>
      </w:r>
      <w:r>
        <w:rPr>
          <w:rStyle w:val="FootnoteAnchor"/>
        </w:rPr>
        <w:footnoteReference w:id="484"/>
      </w:r>
    </w:p>
    <w:p>
      <w:pPr>
        <w:pStyle w:val="BookText"/>
        <w:bidi w:val="0"/>
        <w:jc w:val="both"/>
        <w:rPr/>
      </w:pPr>
      <w:r>
        <w:rPr>
          <w:rFonts w:eastAsia="Times New Roman" w:cs="Times New Roman" w:ascii="Times New Roman" w:hAnsi="Times New Roman"/>
          <w:color w:val="111111"/>
          <w:sz w:val="28"/>
          <w:szCs w:val="28"/>
          <w:lang w:val="en-US"/>
        </w:rPr>
        <w:t>Pelbagai mutiara hikmah dari para manusia suci juga aktif menekankan nilai pengetahuan hati (ma’rifah qalbiyyah). Dengan tegas mereka menyatakan bahwa mereka tidak menyembah tuhan yang tak terlihat mata hati.</w:t>
      </w:r>
      <w:r>
        <w:rPr>
          <w:rStyle w:val="FootnoteAnchor"/>
        </w:rPr>
        <w:footnoteReference w:id="485"/>
      </w:r>
      <w:r>
        <w:rPr>
          <w:rFonts w:eastAsia="Times New Roman" w:cs="Times New Roman" w:ascii="Times New Roman" w:hAnsi="Times New Roman"/>
          <w:color w:val="111111"/>
          <w:sz w:val="28"/>
          <w:szCs w:val="28"/>
          <w:lang w:val="en-US"/>
        </w:rPr>
        <w:t>Dalam sebuah penggalan dari munajatnya di Arafah, Imam Husain berbicara kepada Tuhannya:</w:t>
      </w:r>
    </w:p>
    <w:p>
      <w:pPr>
        <w:pStyle w:val="BookText"/>
        <w:bidi w:val="0"/>
        <w:jc w:val="both"/>
        <w:rPr/>
      </w:pPr>
      <w:r>
        <w:rPr>
          <w:rFonts w:eastAsia="Times New Roman" w:cs="Times New Roman" w:ascii="Times New Roman" w:hAnsi="Times New Roman"/>
          <w:color w:val="111111"/>
          <w:sz w:val="28"/>
          <w:szCs w:val="28"/>
          <w:lang w:val="en-US"/>
        </w:rPr>
        <w:t>Apakah selain-Mu memiliki penampakan yang tidak Engkau miliki hingga itu menjadi penampak bagi Diri-Mu? Kapankah Engkau pemah tersembunyi sehingga Engkau perlu bukti yang menjelaskan Diri-Mu? Kapankah Engkau pemah jauh hingga Engkau perlu tanda-tanda yang dapat menuntun ke arah-Mu? Butalah mata yang tak melihat-Mu</w:t>
      </w:r>
      <w:r>
        <w:rPr>
          <w:rStyle w:val="FootnoteAnchor"/>
        </w:rPr>
        <w:footnoteReference w:id="486"/>
      </w:r>
    </w:p>
    <w:p>
      <w:pPr>
        <w:pStyle w:val="BookText"/>
        <w:bidi w:val="0"/>
        <w:jc w:val="both"/>
        <w:rPr/>
      </w:pPr>
      <w:r>
        <w:rPr>
          <w:rFonts w:eastAsia="Times New Roman" w:cs="Times New Roman" w:ascii="Times New Roman" w:hAnsi="Times New Roman"/>
          <w:color w:val="111111"/>
          <w:sz w:val="28"/>
          <w:szCs w:val="28"/>
          <w:lang w:val="en-US"/>
        </w:rPr>
        <w:t>Dalam Islam, ’irfan yang hakiki juga bersumber dari mata air bening semacam ini. Di satu pihak, kendati memosisikan akal lebih rendah dari hati, namun irfan tidak serta merta menganggapnya sama sekali tak berarti. Di lain pihak, 'irfan juga tidak menempatkan penyingkapan ruhani dan penyaksian batin (kasyf wa syuhud) manusia lebih tinggi dari wahyu Ilahi, kalau bukan malah senantiasa menimbang hakikat batin ruhani dengan neraca akal dan wahyu.</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para maksum, banyak arif Muslim yang menempuh perjalanan ruhani (sair-suluk) di atas jalan Alquran dan Sunah. Mereka hidup serba zuhud dan melakukan pelatihan spiritual </w:t>
      </w:r>
    </w:p>
    <w:p>
      <w:pPr>
        <w:pStyle w:val="BookText"/>
        <w:bidi w:val="0"/>
        <w:rPr/>
      </w:pPr>
      <w:r>
        <w:rPr>
          <w:rFonts w:eastAsia="Times New Roman" w:cs="Times New Roman" w:ascii="Times New Roman" w:hAnsi="Times New Roman"/>
          <w:color w:val="111111"/>
          <w:sz w:val="28"/>
          <w:szCs w:val="28"/>
          <w:lang w:val="en-US"/>
        </w:rPr>
        <w:t>(riyadhah) tanpa terlalu peduli dengan khirqoh 'jubah sufi’ dan khonqoh ’sanggar sufi’.</w:t>
      </w:r>
      <w:r>
        <w:rPr>
          <w:rStyle w:val="FootnoteAnchor"/>
        </w:rPr>
        <w:footnoteReference w:id="487"/>
      </w:r>
    </w:p>
    <w:p>
      <w:pPr>
        <w:pStyle w:val="BookText"/>
        <w:bidi w:val="0"/>
        <w:jc w:val="both"/>
        <w:rPr/>
      </w:pPr>
      <w:r>
        <w:rPr>
          <w:rFonts w:eastAsia="Times New Roman" w:cs="Times New Roman" w:ascii="Times New Roman" w:hAnsi="Times New Roman"/>
          <w:color w:val="111111"/>
          <w:sz w:val="28"/>
          <w:szCs w:val="28"/>
          <w:lang w:val="en-US"/>
        </w:rPr>
        <w:t>Rata-rata arif adalah ahli fikih yang komit pada hukum syariat. Secara cermat mereka sanggup mengorganisasi akal, penyingkapan ruhani dan penyaksian batin seirama dengan syariat dan wahyu. Mereka tidak akan melakukan suatu perbuatan tanpa memiliki dasar syariat yang jelas. Kini, dunia melihat representasi dari model 'irfan itu—yakni selaras dengan Alquran dan akal, tidak toleran terhadap sedikit pun penyimpangan syariat—pada sosok pendiri Republik Islam, Imam Khomaini. Mereka mengenalnya sebagai mujtahid ﬁqh- minded sekaligus pesalik rasionalis.</w:t>
      </w:r>
    </w:p>
    <w:p>
      <w:pPr>
        <w:pStyle w:val="BookText"/>
        <w:bidi w:val="0"/>
        <w:jc w:val="both"/>
        <w:rPr/>
      </w:pPr>
      <w:r>
        <w:rPr>
          <w:rFonts w:eastAsia="Times New Roman" w:cs="Times New Roman" w:ascii="Times New Roman" w:hAnsi="Times New Roman"/>
          <w:color w:val="111111"/>
          <w:sz w:val="28"/>
          <w:szCs w:val="28"/>
          <w:lang w:val="en-US"/>
        </w:rPr>
        <w:t>Berbeda dengan umumnya penghuni ’sanggar sufi’, arif besar ini meyakini tingkatan hakikat tidak mungkin dapat dicapai selain melalui ibadah dan pengamalan hukum syariat. Ia menekankan bahwa hanya lewat jalur syariat, tarikat dan hakikat dapat ditempuh. Keliru bila dianggap itu bisa dicapai tanpa pengamalan hukum syariat.</w:t>
      </w:r>
      <w:r>
        <w:rPr>
          <w:rStyle w:val="FootnoteAnchor"/>
        </w:rPr>
        <w:footnoteReference w:id="48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Meski begitu, yang justru paling populer dan menarik opini dari sekian kecenderungan ’irfan dalam agama Islam adalah kelompok yang, karena satu dan lain hal, lantas menamakan diri sebagai sufi. Dalam banyak diskursus, dua nama ini (arif dan sufi) juga sering diartikan identik.</w:t>
      </w:r>
      <w:r>
        <w:rPr>
          <w:rStyle w:val="FootnoteAnchor"/>
        </w:rPr>
        <w:footnoteReference w:id="489"/>
      </w:r>
    </w:p>
    <w:p>
      <w:pPr>
        <w:pStyle w:val="BookText"/>
        <w:bidi w:val="0"/>
        <w:rPr/>
      </w:pPr>
      <w:r>
        <w:rPr>
          <w:rFonts w:eastAsia="Times New Roman" w:cs="Times New Roman" w:ascii="Times New Roman" w:hAnsi="Times New Roman"/>
          <w:color w:val="111111"/>
          <w:sz w:val="28"/>
          <w:szCs w:val="28"/>
          <w:lang w:val="en-US"/>
        </w:rPr>
        <w:t>Yang disayangkan, aliran sufi atau tasawuf itu sejak awal sudah dirancukan oleh sikap miring dan doktrin negatif. Yang terutama di antaranya adalah ketidakpedulian mereka terhadap ajaran wahyu dan syariat.</w:t>
      </w:r>
      <w:r>
        <w:rPr>
          <w:rStyle w:val="FootnoteAnchor"/>
        </w:rPr>
        <w:footnoteReference w:id="490"/>
      </w:r>
      <w:r>
        <w:rPr>
          <w:rFonts w:eastAsia="Times New Roman" w:cs="Times New Roman" w:ascii="Times New Roman" w:hAnsi="Times New Roman"/>
          <w:color w:val="111111"/>
          <w:sz w:val="28"/>
          <w:szCs w:val="28"/>
          <w:lang w:val="en-US"/>
        </w:rPr>
        <w:t>Oleh para tokoh besar yang mengidentikkan tasawuf dengan ’irfan, aliran tasawuf demikian ini disebut sebagai pseudo-tasawuf.</w:t>
      </w:r>
    </w:p>
    <w:p>
      <w:pPr>
        <w:pStyle w:val="BookText"/>
        <w:bidi w:val="0"/>
        <w:jc w:val="both"/>
        <w:rPr/>
      </w:pPr>
      <w:r>
        <w:rPr>
          <w:rFonts w:eastAsia="Times New Roman" w:cs="Times New Roman" w:ascii="Times New Roman" w:hAnsi="Times New Roman"/>
          <w:color w:val="111111"/>
          <w:sz w:val="28"/>
          <w:szCs w:val="28"/>
          <w:lang w:val="en-US"/>
        </w:rPr>
        <w:t>Tingkat keseriusan penyimpangan itu tidak sama di tengah kaum sufi di setiap kurun, sehingga banyak di antara mereka sendiri yang kritis meninjau ulang dari dalam dan melakukan gugatan serius terhadap sesamanya. Hilangnya komitmen terhadap syariat di kalangan kaum sufi itu dapat dijumpai dalam berbagai pola. Dalam bab ini, sebagian pola itu akan dianalisis secara khusus. Untuk itu, perlu kiranya terlebih dahulu dikemukakan dua poin pengantar berikut ini:</w:t>
      </w:r>
    </w:p>
    <w:p>
      <w:pPr>
        <w:pStyle w:val="BookText"/>
        <w:bidi w:val="0"/>
        <w:jc w:val="both"/>
        <w:rPr/>
      </w:pPr>
      <w:r>
        <w:rPr>
          <w:rFonts w:eastAsia="Times New Roman" w:cs="Times New Roman" w:ascii="Times New Roman" w:hAnsi="Times New Roman"/>
          <w:color w:val="111111"/>
          <w:sz w:val="28"/>
          <w:szCs w:val="28"/>
          <w:lang w:val="en-US"/>
        </w:rPr>
        <w:t>Pertama, analisis ini tidak dalam rangka mengukur sejauh mana komitmen dan konsistensi praktis kaum sufi terhadap hukum syariat, juga tidak untuk membuka pengadilan terhadap perselisihan mereka dengan kalangan fukaha seputar beberapa kasus hukum syariat. Akan tetapi, sejauh relevansinya dengan maksud buku ini, analisis akan difokuskan pada aliran yang memilih penyingkapan ruhani (kasyaf) dan penyaksian batin (syuhud) daripada sekian sumber pengetahuan; aliran yang praktis memosisikan sumber ini lebih tinggi di atas akal dan wahyu.</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Bagi mereka, seperti diungkapkan Nicolson (1868-1945 M), kalam maktub Tuhan tak ubahnya dengan ayat mansukh ‘yang tak lagi </w:t>
      </w:r>
    </w:p>
    <w:p>
      <w:pPr>
        <w:pStyle w:val="BookText"/>
        <w:bidi w:val="0"/>
        <w:rPr/>
      </w:pPr>
      <w:r>
        <w:rPr>
          <w:rFonts w:eastAsia="Times New Roman" w:cs="Times New Roman" w:ascii="Times New Roman" w:hAnsi="Times New Roman"/>
          <w:color w:val="111111"/>
          <w:sz w:val="28"/>
          <w:szCs w:val="28"/>
          <w:lang w:val="en-US"/>
        </w:rPr>
        <w:t>berarti apa-apa’ di hadapan penyingkapan ruhani clan penyaksian batini</w:t>
      </w:r>
      <w:r>
        <w:rPr>
          <w:rStyle w:val="FootnoteAnchor"/>
        </w:rPr>
        <w:footnoteReference w:id="491"/>
      </w:r>
      <w:r>
        <w:rPr>
          <w:rFonts w:eastAsia="Times New Roman" w:cs="Times New Roman" w:ascii="Times New Roman" w:hAnsi="Times New Roman"/>
          <w:color w:val="111111"/>
          <w:sz w:val="28"/>
          <w:szCs w:val="28"/>
          <w:lang w:val="en-US"/>
        </w:rPr>
        <w:t>Sebagai contoh, ada yang melakukan tarian dan permainan kaki, sekalipun menganggapnya haram. Atau, ada juga yang secara teoretis menghalalkan tarian dan merumuskan argumentasi untuk membuktikan hukum halalnya. Pendirian semacam ini adalah kasus-kasus yang tidak akan dianalisis dalam tulisan ini. Fokus di sini ialah sejajaran tokoh yang, selain mengakui haramnya tarian, tetap berusaha mencari peluang untuk menghalalkannya. Di balik pembuatan istilah-istilah seperti: tarikat dan hakikat, mereka berharap dapat menemukan jalan bebas dari hukum-hukum syariat. Dalam pandangan mereka, seolah-oleh nilai penyingkapan dan ilham syeikh tarikat lebih tinggi dari wahyu yang turun kepada para pembawa syariat (nabi).</w:t>
      </w:r>
    </w:p>
    <w:p>
      <w:pPr>
        <w:pStyle w:val="BookText"/>
        <w:bidi w:val="0"/>
        <w:jc w:val="both"/>
        <w:rPr/>
      </w:pPr>
      <w:r>
        <w:rPr>
          <w:rFonts w:eastAsia="Times New Roman" w:cs="Times New Roman" w:ascii="Times New Roman" w:hAnsi="Times New Roman"/>
          <w:color w:val="111111"/>
          <w:sz w:val="28"/>
          <w:szCs w:val="28"/>
          <w:lang w:val="en-US"/>
        </w:rPr>
        <w:t>Yang justru menakjubkan, ada sebagian kalangan terkemuka —di samping kapasitas mereka sebagai pakar dalam studi—studi filosofis sekaligus pesalik terpandang yang komit pada perjalanan ruhani (sair-suluk) syar’i —masih juga terjebak perangkap seperti itu. Entah sengaja atau tidak, mereka mengeluarkan pemyataan yang berbau kurang ramah terhadap syariat.</w:t>
      </w:r>
    </w:p>
    <w:p>
      <w:pPr>
        <w:pStyle w:val="BookText"/>
        <w:bidi w:val="0"/>
        <w:jc w:val="both"/>
        <w:rPr/>
      </w:pPr>
      <w:r>
        <w:rPr>
          <w:rFonts w:eastAsia="Times New Roman" w:cs="Times New Roman" w:ascii="Times New Roman" w:hAnsi="Times New Roman"/>
          <w:color w:val="111111"/>
          <w:sz w:val="28"/>
          <w:szCs w:val="28"/>
          <w:lang w:val="en-US"/>
        </w:rPr>
        <w:t>Dalam mengulas cinta semu (’isyq majazi), Mulla Shadra (w. 1050 H) berusaha menyimpulkan bahwa memandang paras yang indah dan mencintainya, sejauh tidak disertai motif dan nafsu binatang, bukan semata-mata perbuatan terpuji, tetapi itu bahkan patut diamalkan dalam menempuh tahap awal dari perjalanan ruhani.</w:t>
      </w:r>
      <w:r>
        <w:rPr>
          <w:rStyle w:val="FootnoteAnchor"/>
        </w:rPr>
        <w:footnoteReference w:id="49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Kesimpulan ini, pada hemat Mulla Hadi Sabzawari, tidak menyisakan selain kontradiksi yang sangat jelas antara hukum tarikat tersebut dengan hukum syariat yang telah mengharamkan perbuatan itu. Karenanya, dia lantas mencarikan pembenaran. Menurut Mulla Sabzawari, penyelesaian kontradiksi dua hukum syariat [halal dan haram] ini adalah sebagaimana interpretasi kaum Ushuli seputar </w:t>
      </w:r>
    </w:p>
    <w:p>
      <w:pPr>
        <w:pStyle w:val="BookText"/>
        <w:bidi w:val="0"/>
        <w:rPr/>
      </w:pPr>
      <w:r>
        <w:rPr>
          <w:rFonts w:eastAsia="Times New Roman" w:cs="Times New Roman" w:ascii="Times New Roman" w:hAnsi="Times New Roman"/>
          <w:color w:val="111111"/>
          <w:sz w:val="28"/>
          <w:szCs w:val="28"/>
          <w:lang w:val="en-US"/>
        </w:rPr>
        <w:t>pertemuan perintah dan larangan pada satu objek hukum (Ijtima Al-Amr wa An-Nahiy).</w:t>
      </w:r>
      <w:r>
        <w:rPr>
          <w:rStyle w:val="FootnoteAnchor"/>
        </w:rPr>
        <w:footnoteReference w:id="493"/>
      </w:r>
      <w:r>
        <w:rPr>
          <w:rFonts w:eastAsia="Times New Roman" w:cs="Times New Roman" w:ascii="Times New Roman" w:hAnsi="Times New Roman"/>
          <w:color w:val="111111"/>
          <w:sz w:val="28"/>
          <w:szCs w:val="28"/>
          <w:lang w:val="en-US"/>
        </w:rPr>
        <w:t>Artinya, walaupun perbuatan itu dinyatakan terlarang dalam syariat yang telah dibawa Nabi, namun kaum arif dengan penyingkapan ruhani (kasyf) dan penyaksian batin (syuhud) telah menemukan unsur maslahat dan perintah [atau restu] syariat di dalamnya. Dan sebagaimana pendapat sebagian fukaha, suatu perbuatan bisa menjadi nilai baik dan objek perintah, sekalipun dari sisi lain, juga menjadi objek larangan dan nilai buruk.</w:t>
      </w:r>
      <w:r>
        <w:rPr>
          <w:rStyle w:val="FootnoteAnchor"/>
        </w:rPr>
        <w:footnoteReference w:id="494"/>
      </w:r>
    </w:p>
    <w:p>
      <w:pPr>
        <w:pStyle w:val="BookText"/>
        <w:bidi w:val="0"/>
        <w:jc w:val="both"/>
        <w:rPr/>
      </w:pPr>
      <w:r>
        <w:rPr>
          <w:rFonts w:eastAsia="Times New Roman" w:cs="Times New Roman" w:ascii="Times New Roman" w:hAnsi="Times New Roman"/>
          <w:color w:val="111111"/>
          <w:sz w:val="28"/>
          <w:szCs w:val="28"/>
          <w:lang w:val="en-US"/>
        </w:rPr>
        <w:t>Patut digarisbawahi, kekeliruan justifikasi di atas tidak bisa ditimpakan pada pendapat umum Mulla Sabzawari. Mulla Shadra sendiri tidak menolelir pemisahan antara hukum syariat dan tarikat. Ia justru menderita kekecewaan begitu besar akibat perilaku kaum sufi yang anti atau bebas-syariat. Dalam karyanya, Kasr Aslam AI-Jahiliyyahh, ia mengeluhkan mereka sambil mengecam pendapat sebagian sufi di zamannya:</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punya kepercayaan yang dangkal dan serba awam orang-orang ini terlantar jauh dari ilmu hakiki dan pengetahuan rabbani. Di antara kepercayaan mereka, "Karena Tuhan tidak perlu ibadah kita, untuk apa melakukan ibadah?” atau, ”Syariat hanya untuk orang yang tertutupi hijab saja, bukan untuk orang yang telah mencapai Tuhan”, atau, ”Syariat hanyalah sebagai kulit luar. Sebelum membuang kulit, kamu tidak bisa mencapai </w:t>
      </w:r>
      <w:bookmarkStart w:id="361" w:name="pg5378_50781"/>
    </w:p>
    <w:p>
      <w:pPr>
        <w:pStyle w:val="BookText"/>
        <w:bidi w:val="0"/>
        <w:rPr/>
      </w:pPr>
      <w:bookmarkEnd w:id="361"/>
      <w:r>
        <w:rPr>
          <w:rFonts w:eastAsia="Times New Roman" w:cs="Times New Roman" w:ascii="Times New Roman" w:hAnsi="Times New Roman"/>
          <w:color w:val="111111"/>
          <w:sz w:val="28"/>
          <w:szCs w:val="28"/>
          <w:lang w:val="en-US"/>
        </w:rPr>
        <w:t>isi rahasia yang tersimpan di dalamnya.” Masih banyak lagi omong kosong selain ini.</w:t>
      </w:r>
      <w:r>
        <w:rPr>
          <w:rStyle w:val="FootnoteAnchor"/>
        </w:rPr>
        <w:footnoteReference w:id="495"/>
      </w:r>
    </w:p>
    <w:p>
      <w:pPr>
        <w:pStyle w:val="BookText"/>
        <w:bidi w:val="0"/>
        <w:jc w:val="both"/>
        <w:rPr/>
      </w:pPr>
      <w:r>
        <w:rPr>
          <w:rFonts w:eastAsia="Times New Roman" w:cs="Times New Roman" w:ascii="Times New Roman" w:hAnsi="Times New Roman"/>
          <w:color w:val="111111"/>
          <w:sz w:val="28"/>
          <w:szCs w:val="28"/>
          <w:lang w:val="en-US"/>
        </w:rPr>
        <w:t>Kedua, nama siapapun tokoh yang disinggung tidak lain dari semata-mata untuk menganalisis pandangan yang dinisbatkan kepadanya. Jadi, tidak ada maksud di sini untuk mengkritisi ad hominem pribadi tokoh. Bab ini diupayakan sebatas menukil statemen dan mendiskripsikan sikap para SYEIKH sufi, yaitu dengan merujuk karya-karya yang dianggap standar oleh mereka sendiri, tanpa melibatkan karya-karya penentang mereka. Dengan cara ini, kemungkinan keliru dalam penisbatan tadi dapat diminimalisasi.</w:t>
      </w:r>
    </w:p>
    <w:p>
      <w:pPr>
        <w:pStyle w:val="BookText"/>
        <w:bidi w:val="0"/>
        <w:jc w:val="both"/>
        <w:rPr/>
      </w:pPr>
      <w:r>
        <w:rPr>
          <w:rFonts w:eastAsia="Times New Roman" w:cs="Times New Roman" w:ascii="Times New Roman" w:hAnsi="Times New Roman"/>
          <w:color w:val="111111"/>
          <w:sz w:val="28"/>
          <w:szCs w:val="28"/>
          <w:lang w:val="en-US"/>
        </w:rPr>
        <w:t>Alhasil, banyak kisah sejenis dalam karya-karya yang ditulis di sepanjang abad yang berbeda-beda. Menukil dan mengeksposnya adalah bukti bahwa banyak kaum sufi, ternyata, mempunyai kepercayaan istimewa pada syeikh mereka, belum lagi proses perjalanan ruhani (sair-suluk) mereka jalani di atas keteladanan figur tersebut.</w:t>
      </w:r>
    </w:p>
    <w:p>
      <w:pPr>
        <w:pStyle w:val="Heading3"/>
        <w:numPr>
          <w:ilvl w:val="2"/>
          <w:numId w:val="1"/>
        </w:numPr>
        <w:bidi w:val="0"/>
        <w:jc w:val="left"/>
        <w:rPr/>
      </w:pPr>
      <w:bookmarkStart w:id="362" w:name="__RefHeading___Toc1351304_581953129"/>
      <w:bookmarkStart w:id="363" w:name="_Toc131"/>
      <w:bookmarkEnd w:id="362"/>
      <w:r>
        <w:rPr/>
        <w:t>Hakikat tanpa Syariat</w:t>
      </w:r>
      <w:bookmarkEnd w:id="363"/>
    </w:p>
    <w:p>
      <w:pPr>
        <w:pStyle w:val="BookText"/>
        <w:bidi w:val="0"/>
        <w:jc w:val="both"/>
        <w:rPr/>
      </w:pPr>
      <w:r>
        <w:rPr>
          <w:rFonts w:eastAsia="Times New Roman" w:cs="Times New Roman" w:ascii="Times New Roman" w:hAnsi="Times New Roman"/>
          <w:color w:val="111111"/>
          <w:sz w:val="28"/>
          <w:szCs w:val="28"/>
          <w:lang w:val="en-US"/>
        </w:rPr>
        <w:t>Tidak sedikit tokoh tasawuf yang membedakan tiga istilah ini: SYARIAT, TARIKAT dan HAKIKAT. Masing-masing bahkan menafsirkannya secara beragam. Sebagian dari mereka beranggapan, tiga istilah tadi sebenamya satu, sehingga perbedaan yang ada terletak hanya pacla aspek konvensi (i’tibari).</w:t>
      </w:r>
      <w:r>
        <w:rPr>
          <w:rStyle w:val="FootnoteAnchor"/>
        </w:rPr>
        <w:footnoteReference w:id="49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Kelompok sufi lainnya, dengan dukungan jumlah besar pengikut, beranggapan bahwa syariat dan tarikat tidak lebih dari sekadar tangga: manakala telah mencapai atap ’hakikat’, tangga ‘syariat’ dan ’tarikat' tak lagi berarti: </w:t>
      </w:r>
    </w:p>
    <w:p>
      <w:pPr>
        <w:pStyle w:val="BookText"/>
        <w:bidi w:val="0"/>
        <w:rPr/>
      </w:pPr>
      <w:r>
        <w:rPr>
          <w:rFonts w:eastAsia="Times New Roman" w:cs="Times New Roman" w:ascii="Times New Roman" w:hAnsi="Times New Roman"/>
          <w:color w:val="111111"/>
          <w:sz w:val="28"/>
          <w:szCs w:val="28"/>
          <w:lang w:val="en-US"/>
        </w:rPr>
        <w:t>Karena ’telah sampai di atap langit</w:t>
      </w:r>
    </w:p>
    <w:p>
      <w:pPr>
        <w:pStyle w:val="BookText"/>
        <w:bidi w:val="0"/>
        <w:jc w:val="both"/>
        <w:rPr/>
      </w:pPr>
      <w:r>
        <w:rPr>
          <w:rFonts w:eastAsia="Times New Roman" w:cs="Times New Roman" w:ascii="Times New Roman" w:hAnsi="Times New Roman"/>
          <w:color w:val="111111"/>
          <w:sz w:val="28"/>
          <w:szCs w:val="28"/>
          <w:lang w:val="en-US"/>
        </w:rPr>
        <w:t>Tak lagi gairah mencari tangga!</w:t>
      </w:r>
      <w:r>
        <w:rPr>
          <w:rStyle w:val="FootnoteAnchor"/>
        </w:rPr>
        <w:footnoteReference w:id="497"/>
      </w:r>
    </w:p>
    <w:p>
      <w:pPr>
        <w:pStyle w:val="BookText"/>
        <w:bidi w:val="0"/>
        <w:jc w:val="both"/>
        <w:rPr/>
      </w:pPr>
      <w:r>
        <w:rPr>
          <w:rFonts w:eastAsia="Times New Roman" w:cs="Times New Roman" w:ascii="Times New Roman" w:hAnsi="Times New Roman"/>
          <w:color w:val="111111"/>
          <w:sz w:val="28"/>
          <w:szCs w:val="28"/>
          <w:lang w:val="en-US"/>
        </w:rPr>
        <w:t>Dalam prolog bagian (dnftar) kelima dari Matsnawi Ma’navi, Jalaluddin Rumi (604-672 H) mendekatkan letak perbedaan trilogi terma tadi melalui pelbagai analogi. Salah satunya, syariat ibarat menelaah ilmu kimia; sedangkan tarikat, praktikum dari teori kimia; adapun hakikat, titik keberhasilan kimia dalam membuat emas:</w:t>
      </w:r>
    </w:p>
    <w:p>
      <w:pPr>
        <w:pStyle w:val="BookText"/>
        <w:bidi w:val="0"/>
        <w:jc w:val="both"/>
        <w:rPr/>
      </w:pPr>
      <w:r>
        <w:rPr>
          <w:rFonts w:eastAsia="Times New Roman" w:cs="Times New Roman" w:ascii="Times New Roman" w:hAnsi="Times New Roman"/>
          <w:color w:val="111111"/>
          <w:sz w:val="28"/>
          <w:szCs w:val="28"/>
          <w:lang w:val="en-US"/>
        </w:rPr>
        <w:t>Para pakar kimia bangga dengan ilmu yang dikuasai. Mereka mengatakan, ”Kami telah menguasai ilmu tersebut." Praktisi kimia pun bangga dengan apa yang telah mereka kerjakan. Mereka mengatakan, ”Kami telah berhasil menuntaskan pekerjaan itu." Peraih hakikat juga merasa bangga dan bertutur, "Kami telah bebas dari belenggu ilmu dan praktik kimia. Kamilah kaum bebas."</w:t>
      </w:r>
      <w:r>
        <w:rPr>
          <w:rStyle w:val="FootnoteAnchor"/>
        </w:rPr>
        <w:footnoteReference w:id="498"/>
      </w:r>
    </w:p>
    <w:p>
      <w:pPr>
        <w:pStyle w:val="BookText"/>
        <w:bidi w:val="0"/>
        <w:jc w:val="both"/>
        <w:rPr/>
      </w:pPr>
      <w:r>
        <w:rPr>
          <w:rFonts w:eastAsia="Times New Roman" w:cs="Times New Roman" w:ascii="Times New Roman" w:hAnsi="Times New Roman"/>
          <w:color w:val="111111"/>
          <w:sz w:val="28"/>
          <w:szCs w:val="28"/>
          <w:lang w:val="en-US"/>
        </w:rPr>
        <w:t>Dalam analogi lain, syariat dimisalkan sebagai ilmu kedokteran; sedang tarikat, pemakaian obat sesuai dosis; adapun hakikat, pasien yang telah sembuh dari penyakit hingga tidak perlu lagi ilmu kedokteran dan pemakaian obat. Penggunaan berbagai bentuk analogi oleh Maulawi ini pun telah dikuatkan dengan ungkapan yang terkenal:</w:t>
      </w:r>
    </w:p>
    <w:p>
      <w:pPr>
        <w:pStyle w:val="BookText"/>
        <w:bidi w:val="0"/>
        <w:jc w:val="both"/>
        <w:rPr/>
      </w:pPr>
      <w:r>
        <w:rPr>
          <w:rFonts w:eastAsia="Times New Roman" w:cs="Times New Roman" w:ascii="Times New Roman" w:hAnsi="Times New Roman"/>
          <w:color w:val="111111"/>
          <w:sz w:val="28"/>
          <w:szCs w:val="28"/>
          <w:lang w:val="en-US"/>
        </w:rPr>
        <w:t>Bila telah nampak semua hakikat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kan terabaikan segala syariat.</w:t>
      </w:r>
      <w:r>
        <w:rPr>
          <w:rStyle w:val="FootnoteAnchor"/>
        </w:rPr>
        <w:footnoteReference w:id="49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 seberapa lama sebelum Rumi terlahir ke dunia, analogi senada juga dilontarkan Syeikh Aziz Nasafi (w. 616 H). Dia menukil sebuah hadis yang dinisbatkan kepada Nabi Saw, "Syariat adalah ucapanku; </w:t>
      </w:r>
    </w:p>
    <w:p>
      <w:pPr>
        <w:pStyle w:val="BookText"/>
        <w:bidi w:val="0"/>
        <w:rPr/>
      </w:pPr>
      <w:r>
        <w:rPr>
          <w:rFonts w:eastAsia="Times New Roman" w:cs="Times New Roman" w:ascii="Times New Roman" w:hAnsi="Times New Roman"/>
          <w:color w:val="111111"/>
          <w:sz w:val="28"/>
          <w:szCs w:val="28"/>
          <w:lang w:val="en-US"/>
        </w:rPr>
        <w:t>tarikat adalah perilakuku; dan hakikat adalah keadaanku.” Ini lantas menjadi inspirasinya untuk menyusun kalimat:</w:t>
      </w:r>
    </w:p>
    <w:p>
      <w:pPr>
        <w:pStyle w:val="BookText"/>
        <w:bidi w:val="0"/>
        <w:jc w:val="both"/>
        <w:rPr/>
      </w:pPr>
      <w:r>
        <w:rPr>
          <w:rFonts w:eastAsia="Times New Roman" w:cs="Times New Roman" w:ascii="Times New Roman" w:hAnsi="Times New Roman"/>
          <w:color w:val="111111"/>
          <w:sz w:val="28"/>
          <w:szCs w:val="28"/>
          <w:lang w:val="en-US"/>
        </w:rPr>
        <w:t>Hai darwish (sufi)! Siapa saja yang menerima apa yang disabdakan Nabi tergolong ahli syariat; siapa saja yang menerima apa yang dilakukan beliau tergolong ahli tarikat; dan siapa saja yang melihat apa yang beliau lihat tergolong ahli hakikat.</w:t>
      </w:r>
      <w:r>
        <w:rPr>
          <w:rStyle w:val="FootnoteAnchor"/>
        </w:rPr>
        <w:footnoteReference w:id="500"/>
      </w:r>
    </w:p>
    <w:p>
      <w:pPr>
        <w:pStyle w:val="BookText"/>
        <w:bidi w:val="0"/>
        <w:jc w:val="both"/>
        <w:rPr/>
      </w:pPr>
      <w:r>
        <w:rPr>
          <w:rFonts w:eastAsia="Times New Roman" w:cs="Times New Roman" w:ascii="Times New Roman" w:hAnsi="Times New Roman"/>
          <w:color w:val="111111"/>
          <w:sz w:val="28"/>
          <w:szCs w:val="28"/>
          <w:lang w:val="en-US"/>
        </w:rPr>
        <w:t>Kulit kacang temyata sempat juga menjadi materi analogi sebagian ahli tasawuf untuk trilogi istilah yang dimaksud. Keberadaan kulit untuk biji kacang adalah keniscayaan. Namun ketika biji kacang telah mencapai titik akhir dari perkembangannya, kulit itu tidak lagi diperlukan, kalau bukan malah harus dipecah untuk mendapatkan biji kacang. Dalam koleksium puitik Manzdumeh-e Gulsyan-e Roz- yang berkategori salah satu adikarya sastra ’irfan—Syeikh Mahmud Syabestari (687-720 H) merangkai puisi:</w:t>
      </w:r>
    </w:p>
    <w:p>
      <w:pPr>
        <w:pStyle w:val="BookText"/>
        <w:bidi w:val="0"/>
        <w:jc w:val="both"/>
        <w:rPr/>
      </w:pPr>
      <w:r>
        <w:rPr>
          <w:rFonts w:eastAsia="Times New Roman" w:cs="Times New Roman" w:ascii="Times New Roman" w:hAnsi="Times New Roman"/>
          <w:color w:val="111111"/>
          <w:sz w:val="28"/>
          <w:szCs w:val="28"/>
          <w:lang w:val="en-US"/>
        </w:rPr>
        <w:t>Biji kacang mana pasti rusak</w:t>
      </w:r>
    </w:p>
    <w:p>
      <w:pPr>
        <w:pStyle w:val="BookText"/>
        <w:bidi w:val="0"/>
        <w:jc w:val="both"/>
        <w:rPr/>
      </w:pPr>
      <w:r>
        <w:rPr>
          <w:rFonts w:eastAsia="Times New Roman" w:cs="Times New Roman" w:ascii="Times New Roman" w:hAnsi="Times New Roman"/>
          <w:color w:val="111111"/>
          <w:sz w:val="28"/>
          <w:szCs w:val="28"/>
          <w:lang w:val="en-US"/>
        </w:rPr>
        <w:t>semasih mentah km kupas kulit.</w:t>
      </w:r>
    </w:p>
    <w:p>
      <w:pPr>
        <w:pStyle w:val="BookText"/>
        <w:bidi w:val="0"/>
        <w:jc w:val="both"/>
        <w:rPr/>
      </w:pPr>
      <w:r>
        <w:rPr>
          <w:rFonts w:eastAsia="Times New Roman" w:cs="Times New Roman" w:ascii="Times New Roman" w:hAnsi="Times New Roman"/>
          <w:color w:val="111111"/>
          <w:sz w:val="28"/>
          <w:szCs w:val="28"/>
          <w:lang w:val="en-US"/>
        </w:rPr>
        <w:t>Kala mamng, in elok tanpa kulit</w:t>
      </w:r>
    </w:p>
    <w:p>
      <w:pPr>
        <w:pStyle w:val="BookText"/>
        <w:bidi w:val="0"/>
        <w:jc w:val="both"/>
        <w:rPr/>
      </w:pPr>
      <w:r>
        <w:rPr>
          <w:rFonts w:eastAsia="Times New Roman" w:cs="Times New Roman" w:ascii="Times New Roman" w:hAnsi="Times New Roman"/>
          <w:color w:val="111111"/>
          <w:sz w:val="28"/>
          <w:szCs w:val="28"/>
          <w:lang w:val="en-US"/>
        </w:rPr>
        <w:t>jikn biji kau inginkam, pecahkan kulit.</w:t>
      </w:r>
    </w:p>
    <w:p>
      <w:pPr>
        <w:pStyle w:val="BookText"/>
        <w:bidi w:val="0"/>
        <w:jc w:val="both"/>
        <w:rPr/>
      </w:pPr>
      <w:r>
        <w:rPr>
          <w:rFonts w:eastAsia="Times New Roman" w:cs="Times New Roman" w:ascii="Times New Roman" w:hAnsi="Times New Roman"/>
          <w:color w:val="111111"/>
          <w:sz w:val="28"/>
          <w:szCs w:val="28"/>
          <w:lang w:val="en-US"/>
        </w:rPr>
        <w:t>Syariat bagai kulit, kala biji andai hakikat</w:t>
      </w:r>
    </w:p>
    <w:p>
      <w:pPr>
        <w:pStyle w:val="BookText"/>
        <w:bidi w:val="0"/>
        <w:jc w:val="both"/>
        <w:rPr/>
      </w:pPr>
      <w:r>
        <w:rPr>
          <w:rFonts w:eastAsia="Times New Roman" w:cs="Times New Roman" w:ascii="Times New Roman" w:hAnsi="Times New Roman"/>
          <w:color w:val="111111"/>
          <w:sz w:val="28"/>
          <w:szCs w:val="28"/>
          <w:lang w:val="en-US"/>
        </w:rPr>
        <w:t>antara ini dan itu letak tarikat.</w:t>
      </w:r>
    </w:p>
    <w:p>
      <w:pPr>
        <w:pStyle w:val="BookText"/>
        <w:bidi w:val="0"/>
        <w:jc w:val="both"/>
        <w:rPr/>
      </w:pPr>
      <w:r>
        <w:rPr>
          <w:rFonts w:eastAsia="Times New Roman" w:cs="Times New Roman" w:ascii="Times New Roman" w:hAnsi="Times New Roman"/>
          <w:color w:val="111111"/>
          <w:sz w:val="28"/>
          <w:szCs w:val="28"/>
          <w:lang w:val="en-US"/>
        </w:rPr>
        <w:t>Sesampai arif pada hakikat</w:t>
      </w:r>
    </w:p>
    <w:p>
      <w:pPr>
        <w:pStyle w:val="BookText"/>
        <w:bidi w:val="0"/>
        <w:jc w:val="both"/>
        <w:rPr/>
      </w:pPr>
      <w:r>
        <w:rPr>
          <w:rFonts w:eastAsia="Times New Roman" w:cs="Times New Roman" w:ascii="Times New Roman" w:hAnsi="Times New Roman"/>
          <w:color w:val="111111"/>
          <w:sz w:val="28"/>
          <w:szCs w:val="28"/>
          <w:lang w:val="en-US"/>
        </w:rPr>
        <w:t>biji tlah matang, pecahlah kulit.’</w:t>
      </w:r>
      <w:r>
        <w:rPr>
          <w:rStyle w:val="FootnoteAnchor"/>
        </w:rPr>
        <w:footnoteReference w:id="50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Suﬁ abad IX H, Syeikh Muhammad Lahiji, membubuhkan syarah atas bait-bait di atas dengan panjang lebar. Dia menafsirkan: </w:t>
      </w:r>
    </w:p>
    <w:p>
      <w:pPr>
        <w:pStyle w:val="BookText"/>
        <w:bidi w:val="0"/>
        <w:rPr/>
      </w:pPr>
      <w:r>
        <w:rPr>
          <w:rFonts w:eastAsia="Times New Roman" w:cs="Times New Roman" w:ascii="Times New Roman" w:hAnsi="Times New Roman"/>
          <w:color w:val="111111"/>
          <w:sz w:val="28"/>
          <w:szCs w:val="28"/>
          <w:lang w:val="en-US"/>
        </w:rPr>
        <w:t>Karena tiba di lembah hakikat, pesalik washil (peraih hakikat)</w:t>
      </w:r>
    </w:p>
    <w:p>
      <w:pPr>
        <w:pStyle w:val="BookText"/>
        <w:bidi w:val="0"/>
        <w:jc w:val="both"/>
        <w:rPr/>
      </w:pPr>
      <w:r>
        <w:rPr>
          <w:rFonts w:eastAsia="Times New Roman" w:cs="Times New Roman" w:ascii="Times New Roman" w:hAnsi="Times New Roman"/>
          <w:color w:val="111111"/>
          <w:sz w:val="28"/>
          <w:szCs w:val="28"/>
          <w:lang w:val="en-US"/>
        </w:rPr>
        <w:t>mereguk air keindahan Dzat Pemilik-Keagungan dari cawan</w:t>
      </w:r>
    </w:p>
    <w:p>
      <w:pPr>
        <w:pStyle w:val="BookText"/>
        <w:bidi w:val="0"/>
        <w:jc w:val="both"/>
        <w:rPr/>
      </w:pPr>
      <w:r>
        <w:rPr>
          <w:rFonts w:eastAsia="Times New Roman" w:cs="Times New Roman" w:ascii="Times New Roman" w:hAnsi="Times New Roman"/>
          <w:color w:val="111111"/>
          <w:sz w:val="28"/>
          <w:szCs w:val="28"/>
          <w:lang w:val="en-US"/>
        </w:rPr>
        <w:t>penyaksian (musyahadah) hingga jatuh mabuk tak sadarkan diri.</w:t>
      </w:r>
    </w:p>
    <w:p>
      <w:pPr>
        <w:pStyle w:val="BookText"/>
        <w:bidi w:val="0"/>
        <w:jc w:val="both"/>
        <w:rPr/>
      </w:pPr>
      <w:r>
        <w:rPr>
          <w:rFonts w:eastAsia="Times New Roman" w:cs="Times New Roman" w:ascii="Times New Roman" w:hAnsi="Times New Roman"/>
          <w:color w:val="111111"/>
          <w:sz w:val="28"/>
          <w:szCs w:val="28"/>
          <w:lang w:val="en-US"/>
        </w:rPr>
        <w:t>Sesuai konsensus semua golongan, tinta tanggung jawab (taklff)</w:t>
      </w:r>
    </w:p>
    <w:p>
      <w:pPr>
        <w:pStyle w:val="BookText"/>
        <w:bidi w:val="0"/>
        <w:jc w:val="both"/>
        <w:rPr/>
      </w:pPr>
      <w:r>
        <w:rPr>
          <w:rFonts w:eastAsia="Times New Roman" w:cs="Times New Roman" w:ascii="Times New Roman" w:hAnsi="Times New Roman"/>
          <w:color w:val="111111"/>
          <w:sz w:val="28"/>
          <w:szCs w:val="28"/>
          <w:lang w:val="en-US"/>
        </w:rPr>
        <w:t>syariat tak berlaku lagi pada diri yang dalam kondisi tak-saclar</w:t>
      </w:r>
    </w:p>
    <w:p>
      <w:pPr>
        <w:pStyle w:val="BookText"/>
        <w:bidi w:val="0"/>
        <w:jc w:val="both"/>
        <w:rPr/>
      </w:pPr>
      <w:r>
        <w:rPr>
          <w:rFonts w:eastAsia="Times New Roman" w:cs="Times New Roman" w:ascii="Times New Roman" w:hAnsi="Times New Roman"/>
          <w:color w:val="111111"/>
          <w:sz w:val="28"/>
          <w:szCs w:val="28"/>
          <w:lang w:val="en-US"/>
        </w:rPr>
        <w:t>Karena itu, pengingkaran terhadap tinta syariat menjadi tidak</w:t>
      </w:r>
    </w:p>
    <w:p>
      <w:pPr>
        <w:pStyle w:val="BookText"/>
        <w:bidi w:val="0"/>
        <w:jc w:val="both"/>
        <w:rPr/>
      </w:pPr>
      <w:r>
        <w:rPr>
          <w:rFonts w:eastAsia="Times New Roman" w:cs="Times New Roman" w:ascii="Times New Roman" w:hAnsi="Times New Roman"/>
          <w:color w:val="111111"/>
          <w:sz w:val="28"/>
          <w:szCs w:val="28"/>
          <w:lang w:val="en-US"/>
        </w:rPr>
        <w:t>mungkin.</w:t>
      </w:r>
      <w:r>
        <w:rPr>
          <w:rStyle w:val="FootnoteAnchor"/>
        </w:rPr>
        <w:footnoteReference w:id="502"/>
      </w:r>
    </w:p>
    <w:p>
      <w:pPr>
        <w:pStyle w:val="BookText"/>
        <w:bidi w:val="0"/>
        <w:jc w:val="both"/>
        <w:rPr/>
      </w:pPr>
      <w:r>
        <w:rPr>
          <w:rFonts w:eastAsia="Times New Roman" w:cs="Times New Roman" w:ascii="Times New Roman" w:hAnsi="Times New Roman"/>
          <w:color w:val="111111"/>
          <w:sz w:val="28"/>
          <w:szCs w:val="28"/>
          <w:lang w:val="en-US"/>
        </w:rPr>
        <w:t>Entah kenapa, penyarah ternama ini seakan telah membuat dilema untuk dirinya sendiri: apakah mungkin sufi itu telah mencapai derajat makrifat sebegitu tinggi, melebihi derajat para nabi hingga dia tidak perlu lagi mengamalkan ibadah?! Adakah yang meragukan tanggung jawab (taklif) seorang nabi itu jauh lebih berat di atas tanggung jawab umatnya, dan komitmennya pada syariat jauh lebih kuat dari semua orang?! Lantas, bagaimana mungkin sufi itu mencapai jenjang hakikat sehingga tidak perlu lagi syariat?!</w:t>
      </w:r>
    </w:p>
    <w:p>
      <w:pPr>
        <w:pStyle w:val="BookText"/>
        <w:bidi w:val="0"/>
        <w:jc w:val="both"/>
        <w:rPr/>
      </w:pPr>
      <w:r>
        <w:rPr>
          <w:rFonts w:eastAsia="Times New Roman" w:cs="Times New Roman" w:ascii="Times New Roman" w:hAnsi="Times New Roman"/>
          <w:color w:val="111111"/>
          <w:sz w:val="28"/>
          <w:szCs w:val="28"/>
          <w:lang w:val="en-US"/>
        </w:rPr>
        <w:t>Persoalan dilematis ini sebenamya disadari Syeikh Lahiji. Dengan tangkas dia mengurainya dengan cara: membagi tingkatan para sufi pesalik yang mencapai derajat hakikat menjadi tiga kelompok:</w:t>
      </w:r>
    </w:p>
    <w:p>
      <w:pPr>
        <w:pStyle w:val="BookText"/>
        <w:bidi w:val="0"/>
        <w:jc w:val="both"/>
        <w:rPr/>
      </w:pPr>
      <w:r>
        <w:rPr>
          <w:rFonts w:eastAsia="Times New Roman" w:cs="Times New Roman" w:ascii="Times New Roman" w:hAnsi="Times New Roman"/>
          <w:color w:val="111111"/>
          <w:sz w:val="28"/>
          <w:szCs w:val="28"/>
          <w:lang w:val="en-US"/>
        </w:rPr>
        <w:t>Pertama, sufi yang secara penuh telah tersungkur mabuk dan tak sadar diri. Sedemikian hanyut hingga dia tidak mungkin lagi terdampar di pantai kesadaran. Dia telah kehilangan akal. Maka, tanggung jawab syariat dan ibadah pun tidak lagi berlaku pada dirinya.</w:t>
      </w:r>
    </w:p>
    <w:p>
      <w:pPr>
        <w:pStyle w:val="BookText"/>
        <w:bidi w:val="0"/>
        <w:jc w:val="both"/>
        <w:rPr/>
      </w:pPr>
      <w:r>
        <w:rPr>
          <w:rFonts w:eastAsia="Times New Roman" w:cs="Times New Roman" w:ascii="Times New Roman" w:hAnsi="Times New Roman"/>
          <w:color w:val="111111"/>
          <w:sz w:val="28"/>
          <w:szCs w:val="28"/>
          <w:lang w:val="en-US"/>
        </w:rPr>
        <w:t>Kedua, sufi yang ibn al-waqt: terkadang sadar, kadang juga tidak. Dalam keadaan sadar, dia harus tetap menjaga batas-batas syariat dari dua sisi; (a) dia harus berada stabil dalam samudera kesatuan (wah-dah) agar dapat lepas dari ambiguitas dua kondisi tadi; dan (b) agar ia dapat menjadi syeikh ’pembimbing’ untuk orang lain.</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sufi peraih hakikat yang, setelah terombang-ambing dalam samudera kesatuan, diperintah untuk meraih tangan-tangan yang masih tertinggal. Dari segi ini, dia tetap memikul beban </w:t>
      </w:r>
    </w:p>
    <w:p>
      <w:pPr>
        <w:pStyle w:val="BookText"/>
        <w:bidi w:val="0"/>
        <w:rPr/>
      </w:pPr>
      <w:r>
        <w:rPr>
          <w:rFonts w:eastAsia="Times New Roman" w:cs="Times New Roman" w:ascii="Times New Roman" w:hAnsi="Times New Roman"/>
          <w:color w:val="111111"/>
          <w:sz w:val="28"/>
          <w:szCs w:val="28"/>
          <w:lang w:val="en-US"/>
        </w:rPr>
        <w:t>taklif dan ibadah. Dengan segenap pencapaian kesempumaan, kedekatan dan keyakinan penuh, dia diperintahkan langsung (min ’ind) oleh Allah untuk melaksanakan ibadah lahiriah dan batiniah, sebagaimana ”Wahai Ali! Jika Allah menghendaki seseorang mendapat petunjuk melalui dirimu, itu akan lebih baik bagimu dari segala apa yang terjangkau sinar mata-hari.</w:t>
      </w:r>
      <w:r>
        <w:rPr>
          <w:rStyle w:val="FootnoteAnchor"/>
        </w:rPr>
        <w:footnoteReference w:id="503"/>
      </w:r>
      <w:r>
        <w:rPr>
          <w:rFonts w:eastAsia="Times New Roman" w:cs="Times New Roman" w:ascii="Times New Roman" w:hAnsi="Times New Roman"/>
          <w:color w:val="111111"/>
          <w:sz w:val="28"/>
          <w:szCs w:val="28"/>
          <w:lang w:val="en-US"/>
        </w:rPr>
        <w:t>Titah ini dimaksudkan untuk menyempurnakan orang yang kurang dan memberi petunjuk kepada yang lain. Dengan meraih cinta llahi dan menyingkap (hakikat) mutlak, dia tidak mungkin menyimpang dari jalan syariat dan tarikat sehelai rambut pun. Dan atas dasar hukum ”Tidakkah aku layak menjadi hamba yang banyak bersyukur?”</w:t>
      </w:r>
      <w:r>
        <w:rPr>
          <w:rStyle w:val="FootnoteAnchor"/>
        </w:rPr>
        <w:footnoteReference w:id="504"/>
      </w:r>
      <w:r>
        <w:rPr>
          <w:rFonts w:eastAsia="Times New Roman" w:cs="Times New Roman" w:ascii="Times New Roman" w:hAnsi="Times New Roman"/>
          <w:color w:val="111111"/>
          <w:sz w:val="28"/>
          <w:szCs w:val="28"/>
          <w:lang w:val="en-US"/>
        </w:rPr>
        <w:t>dia senantiasa dalam posisi patuh dan taat.</w:t>
      </w:r>
      <w:r>
        <w:rPr>
          <w:rStyle w:val="FootnoteAnchor"/>
        </w:rPr>
        <w:footnoteReference w:id="505"/>
      </w:r>
    </w:p>
    <w:p>
      <w:pPr>
        <w:pStyle w:val="BookText"/>
        <w:bidi w:val="0"/>
        <w:jc w:val="both"/>
        <w:rPr/>
      </w:pPr>
      <w:r>
        <w:rPr>
          <w:rFonts w:eastAsia="Times New Roman" w:cs="Times New Roman" w:ascii="Times New Roman" w:hAnsi="Times New Roman"/>
          <w:color w:val="111111"/>
          <w:sz w:val="28"/>
          <w:szCs w:val="28"/>
          <w:lang w:val="en-US"/>
        </w:rPr>
        <w:t>Tidak kurang menarik, justru banyak tokoh tasawuf mereaksi klaim ”Karena hakikat telah tersingkap, syariat tidak lagi berarti". Bukan hanya membantah keras, mereka bahkan memvonis kafir dan ateis penganutnya.</w:t>
      </w:r>
      <w:r>
        <w:rPr>
          <w:rStyle w:val="FootnoteAnchor"/>
        </w:rPr>
        <w:footnoteReference w:id="506"/>
      </w:r>
      <w:r>
        <w:rPr>
          <w:rFonts w:eastAsia="Times New Roman" w:cs="Times New Roman" w:ascii="Times New Roman" w:hAnsi="Times New Roman"/>
          <w:color w:val="111111"/>
          <w:sz w:val="28"/>
          <w:szCs w:val="28"/>
          <w:lang w:val="en-US"/>
        </w:rPr>
        <w:t>Namun secara praktis, kondisi mabuk yang berasal dari doktrin tasawuf, dalam banyak kasus, dijadikan dalih untuk melepaskan diri dari tanggung jawab syariat. Setidaknya begitulah yang tampak dari justifikasi beberapa tokohnya. Dalam pembelaannya atas khirqoh ‘jubah koyak', Hujwairi (w. pasca 465 H) menuliskan:</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Mengenakan jubah koyak (khirqoh) bukanlah ajaran murni tarikat. Demikian pula, sima’ dalam kondisi sadar pun tidak diperkenankan, karena itu tidak lain dari israf. Tetapi, jika pelaku sima‘ telah lalai hingga tak sadar saat dipanggil namanya, maka </w:t>
      </w:r>
    </w:p>
    <w:p>
      <w:pPr>
        <w:pStyle w:val="BookText"/>
        <w:bidi w:val="0"/>
        <w:rPr/>
      </w:pPr>
      <w:r>
        <w:rPr>
          <w:rFonts w:eastAsia="Times New Roman" w:cs="Times New Roman" w:ascii="Times New Roman" w:hAnsi="Times New Roman"/>
          <w:color w:val="111111"/>
          <w:sz w:val="28"/>
          <w:szCs w:val="28"/>
          <w:lang w:val="en-US"/>
        </w:rPr>
        <w:t>dalam kondisi itu mereka dimaklumi (uzur).</w:t>
      </w:r>
      <w:r>
        <w:rPr>
          <w:rStyle w:val="FootnoteAnchor"/>
        </w:rPr>
        <w:footnoteReference w:id="507"/>
      </w:r>
    </w:p>
    <w:p>
      <w:pPr>
        <w:pStyle w:val="BookText"/>
        <w:bidi w:val="0"/>
        <w:jc w:val="both"/>
        <w:rPr/>
      </w:pPr>
      <w:r>
        <w:rPr>
          <w:rFonts w:eastAsia="Times New Roman" w:cs="Times New Roman" w:ascii="Times New Roman" w:hAnsi="Times New Roman"/>
          <w:color w:val="111111"/>
          <w:sz w:val="28"/>
          <w:szCs w:val="28"/>
          <w:lang w:val="en-US"/>
        </w:rPr>
        <w:t>Hal senada juga dinukil Aththar Naisyaburi (w. 618 1-1) dari Abu Yazid Bastami, (w. 261 H), ”]ika melangkah di atas jalan tarikat, hendaknya dia tidak melanggar syariat”.</w:t>
      </w:r>
      <w:r>
        <w:rPr>
          <w:rStyle w:val="FootnoteAnchor"/>
        </w:rPr>
        <w:footnoteReference w:id="508"/>
      </w:r>
      <w:r>
        <w:rPr>
          <w:rFonts w:eastAsia="Times New Roman" w:cs="Times New Roman" w:ascii="Times New Roman" w:hAnsi="Times New Roman"/>
          <w:color w:val="111111"/>
          <w:sz w:val="28"/>
          <w:szCs w:val="28"/>
          <w:lang w:val="en-US"/>
        </w:rPr>
        <w:t>Namun demikian, Aththar membuat apologia atas statemen seorang syeikh Sufi. Dalam rangka menyembuhkan kondisi buruk muridnya, syeikh itu menyuruh murid agar meninggalkan shalat. Demikian pembelaan Aththar:</w:t>
      </w:r>
    </w:p>
    <w:p>
      <w:pPr>
        <w:pStyle w:val="BookText"/>
        <w:bidi w:val="0"/>
        <w:jc w:val="both"/>
        <w:rPr/>
      </w:pPr>
      <w:r>
        <w:rPr>
          <w:rFonts w:eastAsia="Times New Roman" w:cs="Times New Roman" w:ascii="Times New Roman" w:hAnsi="Times New Roman"/>
          <w:color w:val="111111"/>
          <w:sz w:val="28"/>
          <w:szCs w:val="28"/>
          <w:lang w:val="en-US"/>
        </w:rPr>
        <w:t>Jika orang mengatakan, ”Apakah dibenarkan syeikh itu memerintahkan muridnya untuk meninggalkan shalat dan beristirahat?!", kami menjawab, ”la adalah tabib. Seorang tabib adakalanya mengobati dengan racun. Karena tahu kesembuhan murid dengan cara itu, maka ia menganjurkan demikian, kendati ia juga tahu keadaannya terjamin dan tidak bisa tidak harus melakukan shalat. Memang ada hal-hal dalam tarikat yang tidak sejalan dengan hukum lahiriah syariat Dan siapapun yang belum mencapai maqam ini dan baru melangkahkan kaki adalah zindiq dan antisyariat, kecuali ia berperilaku sesuai perintah syariat.</w:t>
      </w:r>
      <w:r>
        <w:rPr>
          <w:rStyle w:val="FootnoteAnchor"/>
        </w:rPr>
        <w:footnoteReference w:id="50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Demikian juga Abdurrahman Jami (817-898 H). Dari satu pihak, dia bersikap keras terhadap kaum bebas-syariat yang menyatakan diri sebagai sufi, dan menyebut mereka dengan ungkapan seperti: "yang linglung di padang tandus liberalisme-syariat (Ibahah)</w:t>
      </w:r>
      <w:r>
        <w:rPr>
          <w:rStyle w:val="FootnoteAnchor"/>
        </w:rPr>
        <w:footnoteReference w:id="510"/>
      </w:r>
      <w:r>
        <w:rPr>
          <w:rFonts w:eastAsia="Times New Roman" w:cs="Times New Roman" w:ascii="Times New Roman" w:hAnsi="Times New Roman"/>
          <w:color w:val="111111"/>
          <w:sz w:val="28"/>
          <w:szCs w:val="28"/>
          <w:lang w:val="en-US"/>
        </w:rPr>
        <w:t>," "yang mengaku paling suci”, dan "yang berlebihan unjuk kefasikan dan kebejatan".</w:t>
      </w:r>
      <w:r>
        <w:rPr>
          <w:rStyle w:val="FootnoteAnchor"/>
        </w:rPr>
        <w:footnoteReference w:id="511"/>
      </w:r>
      <w:r>
        <w:rPr>
          <w:rFonts w:eastAsia="Times New Roman" w:cs="Times New Roman" w:ascii="Times New Roman" w:hAnsi="Times New Roman"/>
          <w:color w:val="111111"/>
          <w:sz w:val="28"/>
          <w:szCs w:val="28"/>
          <w:lang w:val="en-US"/>
        </w:rPr>
        <w:t xml:space="preserve">Namun dari lain pihak, dalam mengurai biografi Ma’syuq Thusi, dengan terang-terangan Jami menuliskan bahwa tokoh ini melakukan shalat. Lalu dia menambahkan: </w:t>
      </w:r>
      <w:bookmarkStart w:id="364" w:name="pg5378_50792"/>
    </w:p>
    <w:p>
      <w:pPr>
        <w:pStyle w:val="BookText"/>
        <w:bidi w:val="0"/>
        <w:rPr/>
      </w:pPr>
      <w:bookmarkEnd w:id="364"/>
      <w:r>
        <w:rPr>
          <w:rFonts w:eastAsia="Times New Roman" w:cs="Times New Roman" w:ascii="Times New Roman" w:hAnsi="Times New Roman"/>
          <w:color w:val="111111"/>
          <w:sz w:val="28"/>
          <w:szCs w:val="28"/>
          <w:lang w:val="en-US"/>
        </w:rPr>
        <w:t>Wahyu dan Penyaksian Sufistik Pada Hari Kiamat, kaum slriddfqfn membayangkan, ”Andai saja kami ini tanah, sehingga pada hari itu, sang kekasih Muhammad menginjakkan kakinya di atas tanah ini!"</w:t>
      </w:r>
      <w:r>
        <w:rPr>
          <w:rStyle w:val="FootnoteAnchor"/>
        </w:rPr>
        <w:footnoteReference w:id="512"/>
      </w:r>
    </w:p>
    <w:p>
      <w:pPr>
        <w:pStyle w:val="Heading3"/>
        <w:numPr>
          <w:ilvl w:val="2"/>
          <w:numId w:val="1"/>
        </w:numPr>
        <w:bidi w:val="0"/>
        <w:jc w:val="left"/>
        <w:rPr/>
      </w:pPr>
      <w:bookmarkStart w:id="365" w:name="__RefHeading___Toc1351306_581953129"/>
      <w:bookmarkStart w:id="366" w:name="_Toc132"/>
      <w:bookmarkEnd w:id="365"/>
      <w:r>
        <w:rPr/>
        <w:t>Khidhir dan Musa, Simbol Ahli Tarikat dan Syariat</w:t>
      </w:r>
      <w:bookmarkEnd w:id="366"/>
    </w:p>
    <w:p>
      <w:pPr>
        <w:pStyle w:val="BookText"/>
        <w:bidi w:val="0"/>
        <w:jc w:val="both"/>
        <w:rPr/>
      </w:pPr>
      <w:r>
        <w:rPr>
          <w:rFonts w:eastAsia="Times New Roman" w:cs="Times New Roman" w:ascii="Times New Roman" w:hAnsi="Times New Roman"/>
          <w:color w:val="111111"/>
          <w:sz w:val="28"/>
          <w:szCs w:val="28"/>
          <w:lang w:val="en-US"/>
        </w:rPr>
        <w:t>Para sufi aktif mencari pembenaran atas perilaku syeikh mereka yang bertentangan dengan syariat. Mereka adakalanya berdalih dengan ayat-ayat Alquran. Misalnya, ”Dan sembahlah Tulmnmu sampai datang kepadamu keyakinan". (QS AI-Hijr [15]: 99). Yakni, tujuan akhir penyembahan adalah mencapai yakin. Nah, lantaran tokoh-tokoh besar tarikat itu dipercayai sebagai representasi pencapaian yakin, mereka tidak lagi perlu amal ibadah.</w:t>
      </w:r>
      <w:r>
        <w:rPr>
          <w:rStyle w:val="FootnoteAnchor"/>
        </w:rPr>
        <w:footnoteReference w:id="513"/>
      </w:r>
    </w:p>
    <w:p>
      <w:pPr>
        <w:pStyle w:val="BookText"/>
        <w:bidi w:val="0"/>
        <w:jc w:val="both"/>
        <w:rPr/>
      </w:pPr>
      <w:r>
        <w:rPr>
          <w:rFonts w:eastAsia="Times New Roman" w:cs="Times New Roman" w:ascii="Times New Roman" w:hAnsi="Times New Roman"/>
          <w:color w:val="111111"/>
          <w:sz w:val="28"/>
          <w:szCs w:val="28"/>
          <w:lang w:val="en-US"/>
        </w:rPr>
        <w:t>Sesampai arif pada hakikat</w:t>
      </w:r>
    </w:p>
    <w:p>
      <w:pPr>
        <w:pStyle w:val="BookText"/>
        <w:bidi w:val="0"/>
        <w:jc w:val="both"/>
        <w:rPr/>
      </w:pPr>
      <w:r>
        <w:rPr>
          <w:rFonts w:eastAsia="Times New Roman" w:cs="Times New Roman" w:ascii="Times New Roman" w:hAnsi="Times New Roman"/>
          <w:color w:val="111111"/>
          <w:sz w:val="28"/>
          <w:szCs w:val="28"/>
          <w:lang w:val="en-US"/>
        </w:rPr>
        <w:t>biji telah matang, pecahlah kulit.</w:t>
      </w:r>
      <w:r>
        <w:rPr>
          <w:rStyle w:val="FootnoteAnchor"/>
        </w:rPr>
        <w:footnoteReference w:id="514"/>
      </w:r>
    </w:p>
    <w:p>
      <w:pPr>
        <w:pStyle w:val="BookText"/>
        <w:bidi w:val="0"/>
        <w:jc w:val="both"/>
        <w:rPr/>
      </w:pPr>
      <w:r>
        <w:rPr>
          <w:rFonts w:eastAsia="Times New Roman" w:cs="Times New Roman" w:ascii="Times New Roman" w:hAnsi="Times New Roman"/>
          <w:color w:val="111111"/>
          <w:sz w:val="28"/>
          <w:szCs w:val="28"/>
          <w:lang w:val="en-US"/>
        </w:rPr>
        <w:t>Kisah pertemuan dua nabi: Khidhir dengan Musa, kerap diandalkan sebagai argumen kuat untuk memisahkan syariat dari tarikat. Cuplikan kisah ini telah dinukil Alquran.</w:t>
      </w:r>
      <w:r>
        <w:rPr>
          <w:rStyle w:val="FootnoteAnchor"/>
        </w:rPr>
        <w:footnoteReference w:id="515"/>
      </w:r>
      <w:r>
        <w:rPr>
          <w:rFonts w:eastAsia="Times New Roman" w:cs="Times New Roman" w:ascii="Times New Roman" w:hAnsi="Times New Roman"/>
          <w:color w:val="111111"/>
          <w:sz w:val="28"/>
          <w:szCs w:val="28"/>
          <w:lang w:val="en-US"/>
        </w:rPr>
        <w:t>Sebagai nabi agung, Musa diperintahkan Allah untuk menemui salah seorang hamba- Nya, dan belajar ilmu-ilmu khusus kepadanya.</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riwayat, hamba Allah itu dikenal dengan nama Khidhir. Sejak awal, ia telah mengingatkan Musa tak akan sanggup menyertainya, karena ia (Musa) tidak tahu dimensi batin dari tindakannya. Namun Musa bersikeras menyertainya sambil berusaha meyakinkan Khidhir untuk tidak menyatakan protes atau reaksi apa pun. </w:t>
      </w:r>
    </w:p>
    <w:p>
      <w:pPr>
        <w:pStyle w:val="BookText"/>
        <w:bidi w:val="0"/>
        <w:rPr/>
      </w:pPr>
      <w:r>
        <w:rPr>
          <w:rFonts w:eastAsia="Times New Roman" w:cs="Times New Roman" w:ascii="Times New Roman" w:hAnsi="Times New Roman"/>
          <w:color w:val="111111"/>
          <w:sz w:val="28"/>
          <w:szCs w:val="28"/>
          <w:lang w:val="en-US"/>
        </w:rPr>
        <w:t>Perjalanan mereka dimulai dari naik sebuah kapal. Tanpa alasan yang jelas, tiba-tiba Khidhir melobangi kapal. Musa langsung berteriak seraya menegurnya. Namun setelah Khidhir mengingatkan janjinya untuk tidak memprotes, Musa pun diam dan meminta maaf.</w:t>
      </w:r>
    </w:p>
    <w:p>
      <w:pPr>
        <w:pStyle w:val="BookText"/>
        <w:bidi w:val="0"/>
        <w:jc w:val="both"/>
        <w:rPr/>
      </w:pPr>
      <w:r>
        <w:rPr>
          <w:rFonts w:eastAsia="Times New Roman" w:cs="Times New Roman" w:ascii="Times New Roman" w:hAnsi="Times New Roman"/>
          <w:color w:val="111111"/>
          <w:sz w:val="28"/>
          <w:szCs w:val="28"/>
          <w:lang w:val="en-US"/>
        </w:rPr>
        <w:t>Tindakan lain Khidhir adalah membunuh anak remaja yang, secara lahiriah, tak berdosa. Ini membuat Musa lupa akan janjinya hingga, lagi-lagi, bereaksi keras. Tatkala Khidhir membalas dengan mengingatkan janji itu, Musa meminta diberi kesempatan sekali lagi; jika kembali lupa janji dan menyatakan protes, itu akan menjadi awal perpisahan mereka.</w:t>
      </w:r>
    </w:p>
    <w:p>
      <w:pPr>
        <w:pStyle w:val="BookText"/>
        <w:bidi w:val="0"/>
        <w:jc w:val="both"/>
        <w:rPr/>
      </w:pPr>
      <w:r>
        <w:rPr>
          <w:rFonts w:eastAsia="Times New Roman" w:cs="Times New Roman" w:ascii="Times New Roman" w:hAnsi="Times New Roman"/>
          <w:color w:val="111111"/>
          <w:sz w:val="28"/>
          <w:szCs w:val="28"/>
          <w:lang w:val="en-US"/>
        </w:rPr>
        <w:t>Tidak lama kemudian, dua kekasih Allah ini mengalami rasa letih dan lapar. Setibanya di sebuah kampung, mereka memohon makanan kepada warga. Namun, tak satu potong roti pun yang mereka dapatkan. Maka, mereka bergerak hendak meninggalkan kampung. Dalam keadaan itulah mereka menjumpai sebuah dinding yang nyaris roboh.</w:t>
      </w:r>
    </w:p>
    <w:p>
      <w:pPr>
        <w:pStyle w:val="BookText"/>
        <w:bidi w:val="0"/>
        <w:jc w:val="both"/>
        <w:rPr/>
      </w:pPr>
      <w:r>
        <w:rPr>
          <w:rFonts w:eastAsia="Times New Roman" w:cs="Times New Roman" w:ascii="Times New Roman" w:hAnsi="Times New Roman"/>
          <w:color w:val="111111"/>
          <w:sz w:val="28"/>
          <w:szCs w:val="28"/>
          <w:lang w:val="en-US"/>
        </w:rPr>
        <w:t>Khidhir bergegas menghampiri dinding dan mengembalikannya berdiri sediakala. Melihat kejadian itu, Musa terheran—heran dan bertanya, "Paling tidak, engkau bisa mengambil dari mereka upah pekerjaanmu ini [sehingga rasa lapar dapat teratasi]". Protes inilah yang lalu menjadi momentum perpisahan dua nabi Allah. Sebelum berpisah, Khidhir as menerangkan kepada Musa as alasan dan rahasia di balik semua tindakannya.</w:t>
      </w:r>
      <w:r>
        <w:rPr>
          <w:rStyle w:val="FootnoteAnchor"/>
        </w:rPr>
        <w:footnoteReference w:id="51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Alhasil, sebagian ahli tasawuf menekankan bahwa Khidhir bukanlah seorang nabi, dan karena itulah ia tidak mempertahankan tindakannya dengan dasar wahyu. Meski demikian, sikapnya yang bebas-syariat itu justru dilegitimasi Alquran. Dengan argumentasi ini, manakala perilaku ahli tarikat terlihat bertentangan dengan syariat, tidak selayaknya langsung dihujat dan diserang pelbagai tuduhan yang tak patut mereka terima.</w:t>
      </w:r>
      <w:r>
        <w:rPr>
          <w:rStyle w:val="FootnoteAnchor"/>
        </w:rPr>
        <w:footnoteReference w:id="517"/>
      </w:r>
      <w:r>
        <w:rPr>
          <w:rFonts w:eastAsia="Times New Roman" w:cs="Times New Roman" w:ascii="Times New Roman" w:hAnsi="Times New Roman"/>
          <w:color w:val="111111"/>
          <w:sz w:val="28"/>
          <w:szCs w:val="28"/>
          <w:lang w:val="en-US"/>
        </w:rPr>
        <w:t xml:space="preserve">Aththar Naisyaburi pernah menyampaikan: </w:t>
      </w:r>
      <w:bookmarkStart w:id="367" w:name="pg5378_50796"/>
    </w:p>
    <w:p>
      <w:pPr>
        <w:pStyle w:val="BookText"/>
        <w:bidi w:val="0"/>
        <w:rPr/>
      </w:pPr>
      <w:bookmarkEnd w:id="367"/>
      <w:r>
        <w:rPr>
          <w:rFonts w:eastAsia="Times New Roman" w:cs="Times New Roman" w:ascii="Times New Roman" w:hAnsi="Times New Roman"/>
          <w:color w:val="111111"/>
          <w:sz w:val="28"/>
          <w:szCs w:val="28"/>
          <w:lang w:val="en-US"/>
        </w:rPr>
        <w:t>Ada hal-hal dalam tarikat yang tidak sesuai dengan hukum zahir syariat, sebagaimana perintah-Nya kepada Khalil [Ibrahim], namun ia tidak mau melakukannya. Atau juga pembunuhan seorang remaja oleh Khidhir: Dia menghendaki agar melakukan itu, sekalipun bukan perintah.</w:t>
      </w:r>
      <w:r>
        <w:rPr>
          <w:rStyle w:val="FootnoteAnchor"/>
        </w:rPr>
        <w:footnoteReference w:id="518"/>
      </w:r>
    </w:p>
    <w:p>
      <w:pPr>
        <w:pStyle w:val="Heading3"/>
        <w:numPr>
          <w:ilvl w:val="2"/>
          <w:numId w:val="1"/>
        </w:numPr>
        <w:bidi w:val="0"/>
        <w:jc w:val="left"/>
        <w:rPr/>
      </w:pPr>
      <w:bookmarkStart w:id="368" w:name="__RefHeading___Toc1351308_581953129"/>
      <w:bookmarkStart w:id="369" w:name="_Toc133"/>
      <w:bookmarkEnd w:id="368"/>
      <w:r>
        <w:rPr/>
        <w:t>Tasawuf dan Syariat Khusus</w:t>
      </w:r>
      <w:bookmarkEnd w:id="369"/>
    </w:p>
    <w:p>
      <w:pPr>
        <w:pStyle w:val="BookText"/>
        <w:bidi w:val="0"/>
        <w:jc w:val="both"/>
        <w:rPr/>
      </w:pPr>
      <w:r>
        <w:rPr>
          <w:rFonts w:eastAsia="Times New Roman" w:cs="Times New Roman" w:ascii="Times New Roman" w:hAnsi="Times New Roman"/>
          <w:color w:val="111111"/>
          <w:sz w:val="28"/>
          <w:szCs w:val="28"/>
          <w:lang w:val="en-US"/>
        </w:rPr>
        <w:t>Dikotomi antara substansi agama dan hukum halal—haram syariat telah menjadi faktor penyebab munculnya pelbagai kelompok antisyariat; sebuah karakateristik yang kemudian mendapat reaksi keras dari kalangan sufi garis moderat. Sebagian mereka mengajarkan doktrin-doktrin seperti: membaca doa Nadi Ali, duduk melingkar di tepi hidangan mahabbah, dan meniup seruling sebagai alternatif pengamalan ibadah. Mereka tegas menyatakan, ”Karena kenal diri, darah ayah menjadi halal; karena tak kenal diri, air susu ibu menjadi haram".</w:t>
      </w:r>
      <w:r>
        <w:rPr>
          <w:rStyle w:val="FootnoteAnchor"/>
        </w:rPr>
        <w:footnoteReference w:id="519"/>
      </w:r>
    </w:p>
    <w:p>
      <w:pPr>
        <w:pStyle w:val="BookText"/>
        <w:bidi w:val="0"/>
        <w:jc w:val="both"/>
        <w:rPr/>
      </w:pPr>
      <w:r>
        <w:rPr>
          <w:rFonts w:eastAsia="Times New Roman" w:cs="Times New Roman" w:ascii="Times New Roman" w:hAnsi="Times New Roman"/>
          <w:color w:val="111111"/>
          <w:sz w:val="28"/>
          <w:szCs w:val="28"/>
          <w:lang w:val="en-US"/>
        </w:rPr>
        <w:t>Namun, kebanyakan kelompok tasawuf tidak sepakat dengan radikalisme semacam itu. Mereka tidak percaya bila syariat bisa diabaikan secara total. Pada saat yang sama, kadangkala ucapan dan tindakan mereka mendahulukan sebagian ajaran tasawuf di atas ibadah syariat, sampai-sampai mengikuti syeikh tarikat diyakini lebih utama daripada komitmen pada hukum syariat,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referensi tertua tasawuf adalah Manaqib Al-’Ariﬁn; karya Syamsuddin Aﬂaki yang memfokuskan hampir separuh bagian—nya pada riwayat hidup Jalaluddin Rumi. Di dalamnya, dia menerangkan perihal orang yang secara teratur menegur Rumi agar sejenak berhenti mendengarkan irama musik gitar kecil dan mengingatkan waktu shalat (Ashar) kepadanya. Aﬂaki demikian mengungkap reaksi Rumi: </w:t>
      </w:r>
    </w:p>
    <w:p>
      <w:pPr>
        <w:pStyle w:val="BookText"/>
        <w:bidi w:val="0"/>
        <w:rPr/>
      </w:pPr>
      <w:r>
        <w:rPr>
          <w:rFonts w:eastAsia="Times New Roman" w:cs="Times New Roman" w:ascii="Times New Roman" w:hAnsi="Times New Roman"/>
          <w:color w:val="111111"/>
          <w:sz w:val="28"/>
          <w:szCs w:val="28"/>
          <w:lang w:val="en-US"/>
        </w:rPr>
        <w:t>Tidak, tidak itu shalat, ini juga shalat lain; sama-sama menyeru Al-Haq (Tuhan). Yang satu menyeru yang lahir; yang lain menyeru yang batin demi cinta dan makrifat Al-Haq.</w:t>
      </w:r>
      <w:r>
        <w:rPr>
          <w:rStyle w:val="FootnoteAnchor"/>
        </w:rPr>
        <w:footnoteReference w:id="520"/>
      </w:r>
    </w:p>
    <w:p>
      <w:pPr>
        <w:pStyle w:val="BookText"/>
        <w:bidi w:val="0"/>
        <w:jc w:val="both"/>
        <w:rPr/>
      </w:pPr>
      <w:r>
        <w:rPr>
          <w:rFonts w:eastAsia="Times New Roman" w:cs="Times New Roman" w:ascii="Times New Roman" w:hAnsi="Times New Roman"/>
          <w:color w:val="111111"/>
          <w:sz w:val="28"/>
          <w:szCs w:val="28"/>
          <w:lang w:val="en-US"/>
        </w:rPr>
        <w:t>Abu Said Abul Khair (375-440 H) juga punya pengalaman yang sama. Dia tidak menghentikan sima’ sufistiknya untuk menunaikan shalat. Sambil menari, dia berkata, ”Kita sedang shalat.”</w:t>
      </w:r>
      <w:r>
        <w:rPr>
          <w:rStyle w:val="FootnoteAnchor"/>
        </w:rPr>
        <w:footnoteReference w:id="521"/>
      </w:r>
    </w:p>
    <w:p>
      <w:pPr>
        <w:pStyle w:val="BookText"/>
        <w:bidi w:val="0"/>
        <w:jc w:val="both"/>
        <w:rPr/>
      </w:pPr>
      <w:r>
        <w:rPr>
          <w:rFonts w:eastAsia="Times New Roman" w:cs="Times New Roman" w:ascii="Times New Roman" w:hAnsi="Times New Roman"/>
          <w:color w:val="111111"/>
          <w:sz w:val="28"/>
          <w:szCs w:val="28"/>
          <w:lang w:val="en-US"/>
        </w:rPr>
        <w:t>Jika perjalanan ruhani (sair—suluk) ’irfani dipahami demikian, maka untuk mencapai tujuan sejati—yaitu kedekatan (qurb) dengan Allah dan sampai (wishal) pada-Nya—dapat diperoleh melalui sarana, selain ibadah, yang lebih mantap dan memberi ketenangan. Hal itu terungkap dalam tanggapan Abu Yazid terhadap Dzul Nun Mishri (w. 245 H). Yang belakangan berpesan agar dia menghindari tidur dan istirahat, serta mengingatkan sebegitu cepat laju kafilah umur melintas. Namun Abu Yazid membalas:</w:t>
      </w:r>
    </w:p>
    <w:p>
      <w:pPr>
        <w:pStyle w:val="BookText"/>
        <w:bidi w:val="0"/>
        <w:jc w:val="both"/>
        <w:rPr/>
      </w:pPr>
      <w:r>
        <w:rPr>
          <w:rFonts w:eastAsia="Times New Roman" w:cs="Times New Roman" w:ascii="Times New Roman" w:hAnsi="Times New Roman"/>
          <w:color w:val="111111"/>
          <w:sz w:val="28"/>
          <w:szCs w:val="28"/>
          <w:lang w:val="en-US"/>
        </w:rPr>
        <w:t>Lelaki adalah manusia yang tidur sepanjang malam, namun</w:t>
      </w:r>
    </w:p>
    <w:p>
      <w:pPr>
        <w:pStyle w:val="BookText"/>
        <w:bidi w:val="0"/>
        <w:jc w:val="both"/>
        <w:rPr/>
      </w:pPr>
      <w:r>
        <w:rPr>
          <w:rFonts w:eastAsia="Times New Roman" w:cs="Times New Roman" w:ascii="Times New Roman" w:hAnsi="Times New Roman"/>
          <w:color w:val="111111"/>
          <w:sz w:val="28"/>
          <w:szCs w:val="28"/>
          <w:lang w:val="en-US"/>
        </w:rPr>
        <w:t>sampai Tujuan sebelum yang lain.</w:t>
      </w:r>
      <w:r>
        <w:rPr>
          <w:rStyle w:val="FootnoteAnchor"/>
        </w:rPr>
        <w:footnoteReference w:id="522"/>
      </w:r>
    </w:p>
    <w:p>
      <w:pPr>
        <w:pStyle w:val="BookText"/>
        <w:bidi w:val="0"/>
        <w:jc w:val="both"/>
        <w:rPr/>
      </w:pPr>
      <w:r>
        <w:rPr>
          <w:rFonts w:eastAsia="Times New Roman" w:cs="Times New Roman" w:ascii="Times New Roman" w:hAnsi="Times New Roman"/>
          <w:color w:val="111111"/>
          <w:sz w:val="28"/>
          <w:szCs w:val="28"/>
          <w:lang w:val="en-US"/>
        </w:rPr>
        <w:t>Aththar juga punya catatan khusus tentang kehidupan Abu Yazid. Dia menuliskan:</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Kata mereka, ”Engkau perintahkan kami untuk zuhud dan ibadah, sementara engkau sendiri tidak menambah zuhud dan ibadah!" Syeikh menyergah sebelum membalas, "Zuhud dan ibadah telah bebas dariku!" Salah seorang berkata, "Kenapa engkau tidak melakukan Shalat Malam?" Dia menjawab, ”Aku tak punya waktu. Aku selalu mengitari alam malakut. Di manapun ada yang terjatuh, kuraih tangannya", yaitu aku melakukan pekerjaan dari dalam diriku.</w:t>
      </w:r>
      <w:r>
        <w:rPr>
          <w:rStyle w:val="FootnoteAnchor"/>
        </w:rPr>
        <w:footnoteReference w:id="523"/>
      </w:r>
    </w:p>
    <w:p>
      <w:pPr>
        <w:pStyle w:val="BookText"/>
        <w:bidi w:val="0"/>
        <w:rPr/>
      </w:pPr>
      <w:r>
        <w:rPr>
          <w:rFonts w:eastAsia="Times New Roman" w:cs="Times New Roman" w:ascii="Times New Roman" w:hAnsi="Times New Roman"/>
          <w:color w:val="111111"/>
          <w:sz w:val="28"/>
          <w:szCs w:val="28"/>
          <w:lang w:val="en-US"/>
        </w:rPr>
        <w:t>Sebaliknya, salah satu kekhasan 'irfan sejati dalam Islam adalah penekanannya yang kuat atas makna dan hakikat yang terdapat dalam lapisan batin ibadah lahiriah. Lapisan ini ditampilkan begitu mencolok. Di dalamnya, syariat tak terkorbankan dengan alasan: demi meraih hakikat, tidak pula terdesak untuk menciptakan sistem baru selain syariat wahyuni.</w:t>
      </w:r>
    </w:p>
    <w:p>
      <w:pPr>
        <w:pStyle w:val="BookText"/>
        <w:bidi w:val="0"/>
        <w:jc w:val="both"/>
        <w:rPr/>
      </w:pPr>
      <w:r>
        <w:rPr>
          <w:rFonts w:eastAsia="Times New Roman" w:cs="Times New Roman" w:ascii="Times New Roman" w:hAnsi="Times New Roman"/>
          <w:color w:val="111111"/>
          <w:sz w:val="28"/>
          <w:szCs w:val="28"/>
          <w:lang w:val="en-US"/>
        </w:rPr>
        <w:t>Selama dalam kerangka ini bergerak, aliran tasawuf justru telah memberi konstribusi yang patut dibanggakan. Ini yang dialami Junaid Baghdadi (w. 297 H) saat menjumpai seorang Muslim yang berniat meninggalkan rumah untuk menunaikan ibadah haji. Kepadanya dia mengatakan, ”Seharusnya engkau juga meninggalkan maksiat. Tatkala menanggalkan baju harian untuk mengenakan pakaian ihram, seharusnya engkau juga menanggalkan keterikatan duniawi. Sesampaimu di Mina, kurbankanlah kehendak nafsumu.”“</w:t>
      </w:r>
    </w:p>
    <w:p>
      <w:pPr>
        <w:pStyle w:val="BookText"/>
        <w:bidi w:val="0"/>
        <w:jc w:val="both"/>
        <w:rPr/>
      </w:pPr>
      <w:r>
        <w:rPr>
          <w:rFonts w:eastAsia="Times New Roman" w:cs="Times New Roman" w:ascii="Times New Roman" w:hAnsi="Times New Roman"/>
          <w:color w:val="111111"/>
          <w:sz w:val="28"/>
          <w:szCs w:val="28"/>
          <w:lang w:val="en-US"/>
        </w:rPr>
        <w:t>Jelas, pola implementasi ’irfan tadi akan menciptakan relasi begitu erat antara amal lahiriah dengan makna batiniah. justru penyimpangan akan bermunculan ketika hakikat irfan hendak dituntut di luar jalur syariat wahyuni. Berikutnya, akan terbentuk syariat lain yang menggeser posisi agama Ilahi. Wajar bila akhirnya mereka mempercayai berkunjung kepada syeikh tarikat sama dengan ziarah ke Ka’bah, atau bergerak di seputar kuburan tokoh tasawuf sudah mencukupi tawaf di baitullah Ka'bah.“ Kepercayaan seperti ini dilapisi dengan sekian kisah terkait, seperti kisah pertemuan dan dialog Abu Said Abul Khair dengan Syeikh Abul Hasan Kharqani (w. 425 H):</w:t>
      </w:r>
    </w:p>
    <w:p>
      <w:pPr>
        <w:pStyle w:val="BookText"/>
        <w:bidi w:val="0"/>
        <w:jc w:val="both"/>
        <w:rPr/>
      </w:pPr>
      <w:r>
        <w:rPr>
          <w:rFonts w:eastAsia="Times New Roman" w:cs="Times New Roman" w:ascii="Times New Roman" w:hAnsi="Times New Roman"/>
          <w:color w:val="111111"/>
          <w:sz w:val="28"/>
          <w:szCs w:val="28"/>
          <w:lang w:val="en-US"/>
        </w:rPr>
        <w:t>Syeikh Abul Hasan mengatakan, "Wahai Syeikh [Abu Said]! Kulihat setiap malam Ka’bah mengelilingimu. Jadi, engkau tidak perlu lagi pergi ke Ka'bah. Kembalilah, karena mereka akan</w:t>
      </w:r>
    </w:p>
    <w:p>
      <w:pPr>
        <w:pStyle w:val="BookText"/>
        <w:bidi w:val="0"/>
        <w:jc w:val="both"/>
        <w:rPr/>
      </w:pPr>
      <w:r>
        <w:rPr>
          <w:rFonts w:eastAsia="Times New Roman" w:cs="Times New Roman" w:ascii="Times New Roman" w:hAnsi="Times New Roman"/>
          <w:color w:val="111111"/>
          <w:sz w:val="28"/>
          <w:szCs w:val="28"/>
          <w:lang w:val="en-US"/>
        </w:rPr>
        <w:t>42 Hujwairi: Kasyf A-Mahjub, hlm. 425.</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43 Setiap ada murid (pemula tasawuf) yang hendak melakukan haji. seorang syeikh akan menyuruhnya pergi ke makam Syeikh Abul Fadhl seraya mengatakan. ‘Kamu harus berziarah dan berputar (thawaf) di kuburan ini sebanyak tujuh kali, barulah (terkabul tujuanmu (Muhammad bin Munawar: Asrar Al-Tawhid fi‘ Maqémat Al-Syeikh Abu‘ Sa‘id. hlm. 61. Juga ruj.. Abdur—rahman Jami: Nafahat Al-Uns. hlm. 284). </w:t>
      </w:r>
    </w:p>
    <w:p>
      <w:pPr>
        <w:pStyle w:val="BookText"/>
        <w:bidi w:val="0"/>
        <w:rPr/>
      </w:pPr>
      <w:r>
        <w:rPr>
          <w:rFonts w:eastAsia="Times New Roman" w:cs="Times New Roman" w:ascii="Times New Roman" w:hAnsi="Times New Roman"/>
          <w:color w:val="111111"/>
          <w:sz w:val="28"/>
          <w:szCs w:val="28"/>
          <w:lang w:val="en-US"/>
        </w:rPr>
        <w:t>membawamu untuk hal itu, sehingga engkau telah menemui kami. Sekarang engkau telah menunaikan haji. Engkau telah menjejakkan kaki di lembah duka Abul Hasan. Engkau telah mendengar dan memenuhi labbaik panggilannya. Engkau telah berada di biara Arafahnya. Engkau telah menyaksikan lemparan nafas-nafasnya. Engkau telah mengorbankan Abul Hasan atas keindahan dirimu. Engkau telah melaksanakan shalat atas Yusuf- nya. Dan engkau telah mendengar teriakan sedih yang menyayat hati</w:t>
      </w:r>
      <w:r>
        <w:rPr>
          <w:rStyle w:val="FootnoteAnchor"/>
        </w:rPr>
        <w:footnoteReference w:id="524"/>
      </w:r>
      <w:r>
        <w:rPr>
          <w:rFonts w:eastAsia="Times New Roman" w:cs="Times New Roman" w:ascii="Times New Roman" w:hAnsi="Times New Roman"/>
          <w:color w:val="111111"/>
          <w:sz w:val="28"/>
          <w:szCs w:val="28"/>
          <w:lang w:val="en-US"/>
        </w:rPr>
        <w:t>Kembalilah! Jika tidak, engkau tidak akan menjadi seperti Abul Hasan. Engkau adalah pribadi kekasih alam semesta." Syeikh berkata: ”Kami bergerak menuju Bastam. Di sana kami berziarah lalu kembali.” Abul Hasan menyambut, ”Engkau telah menunaikan haji. Engkau akan menjalankan umrah.”</w:t>
      </w:r>
      <w:r>
        <w:rPr>
          <w:rStyle w:val="FootnoteAnchor"/>
        </w:rPr>
        <w:footnoteReference w:id="525"/>
      </w:r>
    </w:p>
    <w:p>
      <w:pPr>
        <w:pStyle w:val="BookText"/>
        <w:bidi w:val="0"/>
        <w:jc w:val="both"/>
        <w:rPr/>
      </w:pPr>
      <w:r>
        <w:rPr>
          <w:rFonts w:eastAsia="Times New Roman" w:cs="Times New Roman" w:ascii="Times New Roman" w:hAnsi="Times New Roman"/>
          <w:color w:val="111111"/>
          <w:sz w:val="28"/>
          <w:szCs w:val="28"/>
          <w:lang w:val="en-US"/>
        </w:rPr>
        <w:t>Doktrin lain yang ditanamkan dalam syariat baru ini ialah asumsi "bid'ah para wali menduduki posisi sunah para nabi mulia”.</w:t>
      </w:r>
      <w:r>
        <w:rPr>
          <w:rStyle w:val="FootnoteAnchor"/>
        </w:rPr>
        <w:footnoteReference w:id="526"/>
      </w:r>
      <w:r>
        <w:rPr>
          <w:rFonts w:eastAsia="Times New Roman" w:cs="Times New Roman" w:ascii="Times New Roman" w:hAnsi="Times New Roman"/>
          <w:color w:val="111111"/>
          <w:sz w:val="28"/>
          <w:szCs w:val="28"/>
          <w:lang w:val="en-US"/>
        </w:rPr>
        <w:t>Atas dasar ini, ibadah puasa pun tidak terjaga dari tangan jahil manusia. Meski tahu Nabi Saw telah melarang puasa wishal,</w:t>
      </w:r>
      <w:r>
        <w:rPr>
          <w:rStyle w:val="FootnoteAnchor"/>
        </w:rPr>
        <w:footnoteReference w:id="527"/>
      </w:r>
      <w:r>
        <w:rPr>
          <w:rFonts w:eastAsia="Times New Roman" w:cs="Times New Roman" w:ascii="Times New Roman" w:hAnsi="Times New Roman"/>
          <w:color w:val="111111"/>
          <w:sz w:val="28"/>
          <w:szCs w:val="28"/>
          <w:lang w:val="en-US"/>
        </w:rPr>
        <w:t>mereka berusaha menjelaskan bahwa para syeikh menjalankan puasa itu karena mereka memiliki hukum-hukum khusus, bahkan memandangnya sebagai bagian dari karamah mereka.</w:t>
      </w:r>
      <w:r>
        <w:rPr>
          <w:rStyle w:val="FootnoteAnchor"/>
        </w:rPr>
        <w:footnoteReference w:id="52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Begitu juga, dengan menukil aneka jenis hikayat, mereka berusaha menjelaskan bahwa pelaksanaan puasa yang sesungguhnya diridhai Allah adalah yang sesuai dengan perintah syeikh. Dia akan menghentikan puasa wishal seorang murid (sufi pemula) dengan memberi janji pahala sebulan atau setahun kepadanya. Jika ditanya kenapa, dia tegas membalas, ”Puasa tidak dapat diselesaikan", lantas </w:t>
      </w:r>
      <w:bookmarkStart w:id="370" w:name="pg5378_50804"/>
    </w:p>
    <w:p>
      <w:pPr>
        <w:pStyle w:val="BookText"/>
        <w:bidi w:val="0"/>
        <w:rPr/>
      </w:pPr>
      <w:bookmarkEnd w:id="370"/>
      <w:r>
        <w:rPr>
          <w:rFonts w:eastAsia="Times New Roman" w:cs="Times New Roman" w:ascii="Times New Roman" w:hAnsi="Times New Roman"/>
          <w:color w:val="111111"/>
          <w:sz w:val="28"/>
          <w:szCs w:val="28"/>
          <w:lang w:val="en-US"/>
        </w:rPr>
        <w:t>mengabarkan berita buruk tentang nasib akhirnya dan statusnya sebagai orang terusir dari sisi Tuhan. Untuk lebih meyakinkan, sang syeikh menambahkan, ”]adi, setelah beberapa saat tidak kembali muncul, ia pun diculik mereka sehingga kedua tangannya harus rela dipotong".</w:t>
      </w:r>
      <w:r>
        <w:rPr>
          <w:rStyle w:val="FootnoteAnchor"/>
        </w:rPr>
        <w:footnoteReference w:id="529"/>
      </w:r>
    </w:p>
    <w:p>
      <w:pPr>
        <w:pStyle w:val="Heading3"/>
        <w:numPr>
          <w:ilvl w:val="2"/>
          <w:numId w:val="1"/>
        </w:numPr>
        <w:bidi w:val="0"/>
        <w:jc w:val="left"/>
        <w:rPr/>
      </w:pPr>
      <w:bookmarkStart w:id="371" w:name="__RefHeading___Toc1351310_581953129"/>
      <w:bookmarkStart w:id="372" w:name="_Toc134"/>
      <w:bookmarkEnd w:id="371"/>
      <w:r>
        <w:rPr/>
        <w:t>Tujuan, Pembenar Sarana</w:t>
      </w:r>
      <w:bookmarkEnd w:id="372"/>
    </w:p>
    <w:p>
      <w:pPr>
        <w:pStyle w:val="BookText"/>
        <w:bidi w:val="0"/>
        <w:jc w:val="both"/>
        <w:rPr/>
      </w:pPr>
      <w:r>
        <w:rPr>
          <w:rFonts w:eastAsia="Times New Roman" w:cs="Times New Roman" w:ascii="Times New Roman" w:hAnsi="Times New Roman"/>
          <w:color w:val="111111"/>
          <w:sz w:val="28"/>
          <w:szCs w:val="28"/>
          <w:lang w:val="en-US"/>
        </w:rPr>
        <w:t>Dari sekian doktrin tasawuf, akan kita temukan beberapa perkara yang, secara zahir bukan saja tidak sesuai praktik sair-suluk 'irfani, malah akan menambah jarak antara manusia dengan Tuhannya kian besar. Seperti menderap kaki, menyanyi, berkumpul dengan perempuan asing (bukan-muhrim), serta bermesraan dengan anak remaja berparas tampan, adalah perkara-perkara yang hukum haramnya — setidaknya pada batas tertentu — telah menjadi konsensus segenap kaum Muslimin. Dalam analisis optimistik mengenai asal muasal munculnya perkara tersebut dalam doktrin tarikat kaum sufi, akan dapat disimpulkan bahwa mereka telah memperlakukan tujuan sebagai alat pembenaran terhadap Cara. Seorang peneliti mengatakan:</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Jangan disangka para sufi mengalami jadzbah ’hanyut-terpikat' tidak hanya dengan cara konvensi mereka seperti meditasi, zikir, dan cara-cara konvensional lain dalam rangka penguasaan jiwa, tetapi juga mereka menciptakan kondisi itu melalui musik, tarian dan nyanyian. Sedangkan istilah sima’ [yang arti leksikalnya tak lebih dari sekadar mendengar] sebuah paket yang mencakup cara-cara ini.</w:t>
      </w:r>
      <w:r>
        <w:rPr>
          <w:rStyle w:val="FootnoteAnchor"/>
        </w:rPr>
        <w:footnoteReference w:id="530"/>
      </w:r>
    </w:p>
    <w:p>
      <w:pPr>
        <w:pStyle w:val="BookText"/>
        <w:bidi w:val="0"/>
        <w:rPr/>
      </w:pPr>
      <w:r>
        <w:rPr>
          <w:rFonts w:eastAsia="Times New Roman" w:cs="Times New Roman" w:ascii="Times New Roman" w:hAnsi="Times New Roman"/>
          <w:color w:val="111111"/>
          <w:sz w:val="28"/>
          <w:szCs w:val="28"/>
          <w:lang w:val="en-US"/>
        </w:rPr>
        <w:t>Tarian dan sima’ sufistik merupakan model konkret yang memperkuat adanya kecenderungan bebas-syariat dalam aliran tasawuf. Selalunya perkara ini menjadi aksis diskursus dan materi perbincangan yang sangat produktif menghasilkan perbedaan antar pemikir. Bertolak dari ayat-ayat Alquran</w:t>
      </w:r>
      <w:r>
        <w:rPr>
          <w:rStyle w:val="FootnoteAnchor"/>
        </w:rPr>
        <w:footnoteReference w:id="531"/>
      </w:r>
      <w:r>
        <w:rPr>
          <w:rFonts w:eastAsia="Times New Roman" w:cs="Times New Roman" w:ascii="Times New Roman" w:hAnsi="Times New Roman"/>
          <w:color w:val="111111"/>
          <w:sz w:val="28"/>
          <w:szCs w:val="28"/>
          <w:lang w:val="en-US"/>
        </w:rPr>
        <w:t>yang memuat pelbagai bentuk derivatif kata sam’, sebagian pemikir mencela kalangan yang ’tak peka’ mendengar kalimat Al-Haq, sembari mengupayakan argumentasi syariat untuk memproses kehalalan sima’ sufistik.</w:t>
      </w:r>
      <w:r>
        <w:rPr>
          <w:rStyle w:val="FootnoteAnchor"/>
        </w:rPr>
        <w:footnoteReference w:id="532"/>
      </w:r>
      <w:r>
        <w:rPr>
          <w:rFonts w:eastAsia="Times New Roman" w:cs="Times New Roman" w:ascii="Times New Roman" w:hAnsi="Times New Roman"/>
          <w:color w:val="111111"/>
          <w:sz w:val="28"/>
          <w:szCs w:val="28"/>
          <w:lang w:val="en-US"/>
        </w:rPr>
        <w:t>Upaya itu terus dikembangkan sampai-sampai mereka gegabah membuat hadis yang menerangkan tarian dan sima' Nabi Saw!</w:t>
      </w:r>
      <w:r>
        <w:rPr>
          <w:rStyle w:val="FootnoteAnchor"/>
        </w:rPr>
        <w:footnoteReference w:id="533"/>
      </w:r>
    </w:p>
    <w:p>
      <w:pPr>
        <w:pStyle w:val="BookText"/>
        <w:bidi w:val="0"/>
        <w:jc w:val="both"/>
        <w:rPr/>
      </w:pPr>
      <w:r>
        <w:rPr>
          <w:rFonts w:eastAsia="Times New Roman" w:cs="Times New Roman" w:ascii="Times New Roman" w:hAnsi="Times New Roman"/>
          <w:color w:val="111111"/>
          <w:sz w:val="28"/>
          <w:szCs w:val="28"/>
          <w:lang w:val="en-US"/>
        </w:rPr>
        <w:t>Namun, banyak juga dari jajaran tokoh aliran ini yang menolak ajaran di atas. Dengan tegas mereka tidak sekadar memberikan klarifikasi bahwa doktrin sima’ tidak pemah ada dalam syariat Nabi, bahkan menghukuminya sebagai perbuatan tercela dan cara haram. Uniknya, mereka mengibaratkan doktrin itu dengan daging bangkai yang hanya boleh dikonsumsi dalam kondisi terpaksa:</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syariat, ada satu persoalan rutin, dan Anda pemah menyimaknya, bahwa dalam kondisi terpaksa dan terdesak maut, seseorang dibolehkan memakan bangkai dan hal-hal haram lainnya Kini, para kekasih Allah mengalami kondisi dan keterpaksaan demikian, ibarat di ambang jurang maut. Penanganannya hanya dengan melakukan sima’, tarian, ekstasi, dan suara nyanyian. Jika itu tidak dilakukan, wujud suci para kekasih Allah akan terbakar dan menjadi sia-sia saking agungnya kewibawaan manifestasi dan cahaya kebesaran Al-Haq.</w:t>
      </w:r>
      <w:r>
        <w:rPr>
          <w:rStyle w:val="FootnoteAnchor"/>
        </w:rPr>
        <w:footnoteReference w:id="534"/>
      </w:r>
    </w:p>
    <w:p>
      <w:pPr>
        <w:pStyle w:val="BookText"/>
        <w:bidi w:val="0"/>
        <w:rPr/>
      </w:pPr>
      <w:r>
        <w:rPr>
          <w:rFonts w:eastAsia="Times New Roman" w:cs="Times New Roman" w:ascii="Times New Roman" w:hAnsi="Times New Roman"/>
          <w:color w:val="111111"/>
          <w:sz w:val="28"/>
          <w:szCs w:val="28"/>
          <w:lang w:val="en-US"/>
        </w:rPr>
        <w:t>Selain pada fenomena sima', pola eksploitasi terhadap masalah fikih ini juga dikembangkan dalam menangani perbuatan haram yang lain. Abdullah Yafi’i (696-768 H), misalnya, pemah membenarkan praktik mencuri yang dilakukan Ibrahim Khawash hanya lantaran motifnya ingin membunuh hasrat popularitas dalam jiwanya. Dalam catatannya, hal itu diperbolehkan dalam kondisi terpaksa (dharurah), seperti halnya hukum bolehnya memakan benda najis untuk pengobatan sejumlah penyakit. Ia mengatakan, ”Dengan perbuatan haram itu, Ibrahim Khawash telah mengobati penyakit hatinya.</w:t>
      </w:r>
      <w:r>
        <w:rPr>
          <w:rStyle w:val="FootnoteAnchor"/>
        </w:rPr>
        <w:footnoteReference w:id="535"/>
      </w:r>
    </w:p>
    <w:p>
      <w:pPr>
        <w:pStyle w:val="BookText"/>
        <w:bidi w:val="0"/>
        <w:jc w:val="both"/>
        <w:rPr/>
      </w:pPr>
      <w:r>
        <w:rPr>
          <w:rFonts w:eastAsia="Times New Roman" w:cs="Times New Roman" w:ascii="Times New Roman" w:hAnsi="Times New Roman"/>
          <w:color w:val="111111"/>
          <w:sz w:val="28"/>
          <w:szCs w:val="28"/>
          <w:lang w:val="en-US"/>
        </w:rPr>
        <w:t>Ada juga sebagian tokoh yang menerima ajaran, "Ketika berada di antara syariat dan tarikat, tidak ada prinsip apa pun selain menari."</w:t>
      </w:r>
      <w:r>
        <w:rPr>
          <w:rStyle w:val="FootnoteAnchor"/>
        </w:rPr>
        <w:footnoteReference w:id="536"/>
      </w:r>
      <w:r>
        <w:rPr>
          <w:rFonts w:eastAsia="Times New Roman" w:cs="Times New Roman" w:ascii="Times New Roman" w:hAnsi="Times New Roman"/>
          <w:color w:val="111111"/>
          <w:sz w:val="28"/>
          <w:szCs w:val="28"/>
          <w:lang w:val="en-US"/>
        </w:rPr>
        <w:t>Selanjutnya, mereka berusaha mengategorikan tarian sufi sebagai basis pesta derap—kaki yang benar-benar sakral. Dengan cara inilah kiranya mereka menemukan peluang hukum halal menjadi label ajaran, "Kapankah kondisi terpaksa itu akan datang? Tak ada tarian; tak ada main kaki; juga tak ada pembinaan watak. Lalu, kapankah jiwa akan luluh?"</w:t>
      </w:r>
      <w:r>
        <w:rPr>
          <w:rStyle w:val="FootnoteAnchor"/>
        </w:rPr>
        <w:footnoteReference w:id="537"/>
      </w:r>
    </w:p>
    <w:p>
      <w:pPr>
        <w:pStyle w:val="BookText"/>
        <w:bidi w:val="0"/>
        <w:jc w:val="both"/>
        <w:rPr/>
      </w:pPr>
      <w:r>
        <w:rPr>
          <w:rFonts w:eastAsia="Times New Roman" w:cs="Times New Roman" w:ascii="Times New Roman" w:hAnsi="Times New Roman"/>
          <w:color w:val="111111"/>
          <w:sz w:val="28"/>
          <w:szCs w:val="28"/>
          <w:lang w:val="en-US"/>
        </w:rPr>
        <w:t>Perlu diketahui, tidak sedikit pemuka besar tasawuf menetapkan syarat tertentu untuk menyelenggarakan ritual tarian. Di antaranya, tidak diperkenankan usia remaja terlibat di dalamnya. Namun begitu, sebagian dari mereka percaya bahwa setiap anggota tubuh remaja masih dipenuhi hawa nafsu, dan tumpukan hawa nafsu itu harus berkurang. Ini menjadi dasar mereka untuk menetapkan bahwa keterlibatan kaum remaja dalam dosa ini (sima’) akan memalingkan mereka dari dosa yang lebih besar:</w:t>
      </w:r>
    </w:p>
    <w:p>
      <w:pPr>
        <w:pStyle w:val="BookText"/>
        <w:bidi w:val="0"/>
        <w:jc w:val="both"/>
        <w:rPr/>
      </w:pPr>
      <w:r>
        <w:rPr>
          <w:rFonts w:eastAsia="Times New Roman" w:cs="Times New Roman" w:ascii="Times New Roman" w:hAnsi="Times New Roman"/>
          <w:color w:val="111111"/>
          <w:sz w:val="28"/>
          <w:szCs w:val="28"/>
          <w:lang w:val="en-US"/>
        </w:rPr>
        <w:t>Jika mereka bertepuk tangan, nafsu tangannya akan hilang. Jika</w:t>
      </w:r>
    </w:p>
    <w:p>
      <w:pPr>
        <w:pStyle w:val="BookText"/>
        <w:bidi w:val="0"/>
        <w:jc w:val="both"/>
        <w:rPr/>
      </w:pPr>
      <w:r>
        <w:rPr>
          <w:rFonts w:eastAsia="Times New Roman" w:cs="Times New Roman" w:ascii="Times New Roman" w:hAnsi="Times New Roman"/>
          <w:color w:val="111111"/>
          <w:sz w:val="28"/>
          <w:szCs w:val="28"/>
          <w:lang w:val="en-US"/>
        </w:rPr>
        <w:t>mereka mengangkat kaki, nafsu kakinya akan kurang. Dengan</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cara ini, hawa nafsu akan menyusut dari anggota tubuh mereka, </w:t>
      </w:r>
    </w:p>
    <w:p>
      <w:pPr>
        <w:pStyle w:val="BookText"/>
        <w:bidi w:val="0"/>
        <w:rPr/>
      </w:pPr>
      <w:r>
        <w:rPr>
          <w:rFonts w:eastAsia="Times New Roman" w:cs="Times New Roman" w:ascii="Times New Roman" w:hAnsi="Times New Roman"/>
          <w:color w:val="111111"/>
          <w:sz w:val="28"/>
          <w:szCs w:val="28"/>
          <w:lang w:val="en-US"/>
        </w:rPr>
        <w:t>dan akan mencegah mereka dari melakukan dosa yang lebih besar.</w:t>
      </w:r>
      <w:r>
        <w:rPr>
          <w:rStyle w:val="FootnoteAnchor"/>
        </w:rPr>
        <w:footnoteReference w:id="538"/>
      </w:r>
    </w:p>
    <w:p>
      <w:pPr>
        <w:pStyle w:val="BookText"/>
        <w:bidi w:val="0"/>
        <w:jc w:val="both"/>
        <w:rPr/>
      </w:pPr>
      <w:r>
        <w:rPr>
          <w:rFonts w:eastAsia="Times New Roman" w:cs="Times New Roman" w:ascii="Times New Roman" w:hAnsi="Times New Roman"/>
          <w:color w:val="111111"/>
          <w:sz w:val="28"/>
          <w:szCs w:val="28"/>
          <w:lang w:val="en-US"/>
        </w:rPr>
        <w:t>Bergaul dengan kelompok usia remaja yang berparas indah dan bermesraan dengan mereka merupakan contoh lain dari perbuatan yang dianggap penting oleh para sufi. Dalam konteks ini, mereka percaya bahwa tujuan suci dan kudus itu adalah alasan yang cukup untuk menggunakan Cara dan sarana sekalipun tercela.</w:t>
      </w:r>
    </w:p>
    <w:p>
      <w:pPr>
        <w:pStyle w:val="BookText"/>
        <w:bidi w:val="0"/>
        <w:jc w:val="both"/>
        <w:rPr/>
      </w:pPr>
      <w:r>
        <w:rPr>
          <w:rFonts w:eastAsia="Times New Roman" w:cs="Times New Roman" w:ascii="Times New Roman" w:hAnsi="Times New Roman"/>
          <w:color w:val="111111"/>
          <w:sz w:val="28"/>
          <w:szCs w:val="28"/>
          <w:lang w:val="en-US"/>
        </w:rPr>
        <w:t>Tatapam suci tak terhadang tirai mimpi</w:t>
      </w:r>
    </w:p>
    <w:p>
      <w:pPr>
        <w:pStyle w:val="BookText"/>
        <w:bidi w:val="0"/>
        <w:jc w:val="both"/>
        <w:rPr/>
      </w:pPr>
      <w:r>
        <w:rPr>
          <w:rFonts w:eastAsia="Times New Roman" w:cs="Times New Roman" w:ascii="Times New Roman" w:hAnsi="Times New Roman"/>
          <w:color w:val="111111"/>
          <w:sz w:val="28"/>
          <w:szCs w:val="28"/>
          <w:lang w:val="en-US"/>
        </w:rPr>
        <w:t>mana tempat sujud Tuhan; mana rumah berhala.</w:t>
      </w:r>
      <w:r>
        <w:rPr>
          <w:rStyle w:val="FootnoteAnchor"/>
        </w:rPr>
        <w:footnoteReference w:id="539"/>
      </w:r>
    </w:p>
    <w:p>
      <w:pPr>
        <w:pStyle w:val="BookText"/>
        <w:bidi w:val="0"/>
        <w:jc w:val="both"/>
        <w:rPr/>
      </w:pPr>
      <w:r>
        <w:rPr>
          <w:rFonts w:eastAsia="Times New Roman" w:cs="Times New Roman" w:ascii="Times New Roman" w:hAnsi="Times New Roman"/>
          <w:color w:val="111111"/>
          <w:sz w:val="28"/>
          <w:szCs w:val="28"/>
          <w:lang w:val="en-US"/>
        </w:rPr>
        <w:t>Gejala sufistik ini tidak luput dari pelbagai reaksi. Sebagian tokoh besar tasawuf menyikapinya dengan penuh hati-hati, bahkan terkadang menganggapnya sebagai bencana yang menimpa warga tasawuf</w:t>
      </w:r>
      <w:r>
        <w:rPr>
          <w:rStyle w:val="FootnoteAnchor"/>
        </w:rPr>
        <w:footnoteReference w:id="540"/>
      </w:r>
      <w:r>
        <w:rPr>
          <w:rFonts w:eastAsia="Times New Roman" w:cs="Times New Roman" w:ascii="Times New Roman" w:hAnsi="Times New Roman"/>
          <w:color w:val="111111"/>
          <w:sz w:val="28"/>
          <w:szCs w:val="28"/>
          <w:lang w:val="en-US"/>
        </w:rPr>
        <w:t>Namun ada juga yang berapoligia keras, paras indah adalah tempat penampakan keindahan Tuhan. Selanjutnya, usaha mereka dikerahkan bagaimana dapat memberikan kesan baik pada perbuatan yang diharamkan syariat ini.</w:t>
      </w:r>
    </w:p>
    <w:p>
      <w:pPr>
        <w:pStyle w:val="BookText"/>
        <w:bidi w:val="0"/>
        <w:jc w:val="both"/>
        <w:rPr/>
      </w:pPr>
      <w:r>
        <w:rPr>
          <w:rFonts w:eastAsia="Times New Roman" w:cs="Times New Roman" w:ascii="Times New Roman" w:hAnsi="Times New Roman"/>
          <w:color w:val="111111"/>
          <w:sz w:val="28"/>
          <w:szCs w:val="28"/>
          <w:lang w:val="en-US"/>
        </w:rPr>
        <w:t>Padamu kami lihat dengan pandangan murni</w:t>
      </w:r>
    </w:p>
    <w:p>
      <w:pPr>
        <w:pStyle w:val="BookText"/>
        <w:bidi w:val="0"/>
        <w:jc w:val="both"/>
        <w:rPr/>
      </w:pPr>
      <w:r>
        <w:rPr>
          <w:rFonts w:eastAsia="Times New Roman" w:cs="Times New Roman" w:ascii="Times New Roman" w:hAnsi="Times New Roman"/>
          <w:color w:val="111111"/>
          <w:sz w:val="28"/>
          <w:szCs w:val="28"/>
          <w:lang w:val="en-US"/>
        </w:rPr>
        <w:t>kami lihat bukan karena syahwat dan nafsu.</w:t>
      </w:r>
    </w:p>
    <w:p>
      <w:pPr>
        <w:pStyle w:val="BookText"/>
        <w:bidi w:val="0"/>
        <w:jc w:val="both"/>
        <w:rPr/>
      </w:pPr>
      <w:r>
        <w:rPr>
          <w:rFonts w:eastAsia="Times New Roman" w:cs="Times New Roman" w:ascii="Times New Roman" w:hAnsi="Times New Roman"/>
          <w:color w:val="111111"/>
          <w:sz w:val="28"/>
          <w:szCs w:val="28"/>
          <w:lang w:val="en-US"/>
        </w:rPr>
        <w:t>Paras indahmu cermin kelembutan Ilahi</w:t>
      </w:r>
    </w:p>
    <w:p>
      <w:pPr>
        <w:pStyle w:val="BookText"/>
        <w:bidi w:val="0"/>
        <w:jc w:val="both"/>
        <w:rPr/>
      </w:pPr>
      <w:r>
        <w:rPr>
          <w:rFonts w:eastAsia="Times New Roman" w:cs="Times New Roman" w:ascii="Times New Roman" w:hAnsi="Times New Roman"/>
          <w:color w:val="111111"/>
          <w:sz w:val="28"/>
          <w:szCs w:val="28"/>
          <w:lang w:val="en-US"/>
        </w:rPr>
        <w:t>kami lihat kelembutan Tuhan pada dirimu.</w:t>
      </w:r>
      <w:r>
        <w:rPr>
          <w:rStyle w:val="FootnoteAnchor"/>
        </w:rPr>
        <w:footnoteReference w:id="541"/>
      </w:r>
    </w:p>
    <w:p>
      <w:pPr>
        <w:pStyle w:val="BookText"/>
        <w:bidi w:val="0"/>
        <w:jc w:val="both"/>
        <w:rPr/>
      </w:pPr>
      <w:r>
        <w:rPr>
          <w:rFonts w:eastAsia="Times New Roman" w:cs="Times New Roman" w:ascii="Times New Roman" w:hAnsi="Times New Roman"/>
          <w:color w:val="111111"/>
          <w:sz w:val="28"/>
          <w:szCs w:val="28"/>
          <w:lang w:val="en-US"/>
        </w:rPr>
        <w:t>Dalam literatur sejarah, Awhaduddin Kirmani dikenal sebagai lelaki pemain bukti yang bersih."</w:t>
      </w:r>
      <w:r>
        <w:rPr>
          <w:rStyle w:val="FootnoteAnchor"/>
        </w:rPr>
        <w:footnoteReference w:id="542"/>
      </w:r>
      <w:r>
        <w:rPr>
          <w:rFonts w:eastAsia="Times New Roman" w:cs="Times New Roman" w:ascii="Times New Roman" w:hAnsi="Times New Roman"/>
          <w:color w:val="111111"/>
          <w:sz w:val="28"/>
          <w:szCs w:val="28"/>
          <w:lang w:val="en-US"/>
        </w:rPr>
        <w:t>Dalam pengakuannya, dia pemah</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melihat rembulan dalam bejana air.</w:t>
      </w:r>
      <w:r>
        <w:rPr>
          <w:rStyle w:val="FootnoteAnchor"/>
        </w:rPr>
        <w:footnoteReference w:id="543"/>
      </w:r>
      <w:r>
        <w:rPr>
          <w:rFonts w:eastAsia="Times New Roman" w:cs="Times New Roman" w:ascii="Times New Roman" w:hAnsi="Times New Roman"/>
          <w:color w:val="111111"/>
          <w:sz w:val="28"/>
          <w:szCs w:val="28"/>
          <w:lang w:val="en-US"/>
        </w:rPr>
        <w:t xml:space="preserve">Di antara pengalamannya, </w:t>
      </w:r>
    </w:p>
    <w:p>
      <w:pPr>
        <w:pStyle w:val="BookText"/>
        <w:bidi w:val="0"/>
        <w:rPr/>
      </w:pPr>
      <w:r>
        <w:rPr>
          <w:rFonts w:eastAsia="Times New Roman" w:cs="Times New Roman" w:ascii="Times New Roman" w:hAnsi="Times New Roman"/>
          <w:color w:val="111111"/>
          <w:sz w:val="28"/>
          <w:szCs w:val="28"/>
          <w:lang w:val="en-US"/>
        </w:rPr>
        <w:t>dia merobek pakaian beberapa anak remaja serta merekatkan dada mereka intim dengan dadanya. Ini berlangsung tepatnya ketika dia terbuai pesta sima’.</w:t>
      </w:r>
    </w:p>
    <w:p>
      <w:pPr>
        <w:pStyle w:val="BookText"/>
        <w:bidi w:val="0"/>
        <w:jc w:val="both"/>
        <w:rPr/>
      </w:pPr>
      <w:r>
        <w:rPr>
          <w:rFonts w:eastAsia="Times New Roman" w:cs="Times New Roman" w:ascii="Times New Roman" w:hAnsi="Times New Roman"/>
          <w:color w:val="111111"/>
          <w:sz w:val="28"/>
          <w:szCs w:val="28"/>
          <w:lang w:val="en-US"/>
        </w:rPr>
        <w:t>Tentang riwayat hidup Awhaduddin Kirmani, Jami</w:t>
      </w:r>
    </w:p>
    <w:p>
      <w:pPr>
        <w:pStyle w:val="BookText"/>
        <w:bidi w:val="0"/>
        <w:jc w:val="both"/>
        <w:rPr/>
      </w:pPr>
      <w:r>
        <w:rPr>
          <w:rFonts w:eastAsia="Times New Roman" w:cs="Times New Roman" w:ascii="Times New Roman" w:hAnsi="Times New Roman"/>
          <w:color w:val="111111"/>
          <w:sz w:val="28"/>
          <w:szCs w:val="28"/>
          <w:lang w:val="en-US"/>
        </w:rPr>
        <w:t>menerangkan:</w:t>
      </w:r>
    </w:p>
    <w:p>
      <w:pPr>
        <w:pStyle w:val="BookText"/>
        <w:bidi w:val="0"/>
        <w:jc w:val="both"/>
        <w:rPr/>
      </w:pPr>
      <w:r>
        <w:rPr>
          <w:rFonts w:eastAsia="Times New Roman" w:cs="Times New Roman" w:ascii="Times New Roman" w:hAnsi="Times New Roman"/>
          <w:color w:val="111111"/>
          <w:sz w:val="28"/>
          <w:szCs w:val="28"/>
          <w:lang w:val="en-US"/>
        </w:rPr>
        <w:t>Prasangka baik bahkan percaya baik pada sekelompok tokoh besar yaitu keyakinan bahwa mereka menyaksikan langsung keindahan absolut Tuhan Al-Haq pada wajah-wajah mereka (kaum remaja).</w:t>
      </w:r>
      <w:r>
        <w:rPr>
          <w:rStyle w:val="FootnoteAnchor"/>
        </w:rPr>
        <w:footnoteReference w:id="544"/>
      </w:r>
    </w:p>
    <w:p>
      <w:pPr>
        <w:pStyle w:val="BookText"/>
        <w:bidi w:val="0"/>
        <w:jc w:val="both"/>
        <w:rPr/>
      </w:pPr>
      <w:r>
        <w:rPr>
          <w:rFonts w:eastAsia="Times New Roman" w:cs="Times New Roman" w:ascii="Times New Roman" w:hAnsi="Times New Roman"/>
          <w:color w:val="111111"/>
          <w:sz w:val="28"/>
          <w:szCs w:val="28"/>
          <w:lang w:val="en-US"/>
        </w:rPr>
        <w:t>Cara pandang semacam ini terhadap agama tak pelak mencoreng buruk wajah syariat para utusan Allah. Dan kalaupun tidak ada jalan selain berdamai dengan syariat ini, perdamaian itu tidak akan bertahan di atas pijakan yang kokoh, karena pembenaran semacam itu bisa dipakai untuk perbuatan haram apa saja, atau direkayasa untuk mengemas realitas buruknya tampak indah memikat.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Tentu saja, sufi-sufi itu meyakini dirinya sebagai pengikut Islam. Mereka tidak percaya bila dampak doktrin dan ajaran mereka sampai menaﬁkan syariat. Barangkali alasannya, mayoritas masyarakat tidak punya pilihan selain berada di tingkatan syariat, karena mereka tidak bisa mencapai rangkaian tingkatan yang dimaksud. Namun, bagi pribadi yang telah menempuh sair-suluk, telah membersihkan jiwanya dari hawa nafsu, perbuatan apa pun bisa dilakukannya untuk mencapai tujuan suci, sekalipun haram secara zahir. Karena itu, boleh jadi suatu perbuatan dapat mengakibatkan orang lain terjerumus hawa nafsu, namun bagi pengikut tarikat itu, justru bisa mendekatkannya dengan Tuhan. </w:t>
      </w:r>
    </w:p>
    <w:p>
      <w:pPr>
        <w:pStyle w:val="BookText"/>
        <w:bidi w:val="0"/>
        <w:rPr/>
      </w:pPr>
      <w:r>
        <w:rPr>
          <w:rFonts w:eastAsia="Times New Roman" w:cs="Times New Roman" w:ascii="Times New Roman" w:hAnsi="Times New Roman"/>
          <w:color w:val="111111"/>
          <w:sz w:val="28"/>
          <w:szCs w:val="28"/>
          <w:lang w:val="en-US"/>
        </w:rPr>
        <w:t>Ketika Ahmad (Hadrawiyah Balkhi) bermaksud berkunjung ke Abu Yazid, istrinya yang bernama Fathimah pergi bersamanya. Sesarnpainya di hadapan Abu Yazid, Fathlmah membuka cadamya dan berbincang—bincang hangat dan sangat akrab dengannya. Melihat pemandangan itu, Ahmad terheran-heran. Rasa cemburu pun segera menguasai jiwanya. Dia menegur, ”Hai Fathlmah! Kurang ajar apa kamu berbicara begitu dengan Abu Yazid?" Fathlmah menjawab, "Ketahuilah, engkau adalah muhrimku dalam fisik, tapi Abu Yazid muhrimku dalam tarikat. Denganmu kucapai birahi; dengan Abu Yazid kucapai Tuhan." Begitulah Abu Yazid selalu bergaul akrab dengan Fathlmah. Sampai suatu hari, Abu Yazid melihat tangan Fathlmah memakai pacar. ”Wahai Fathlmah! Untuk apa engkau memakai pacar?” tanya-nya. Fathlmah menjawab, ”Wahai Abu Yazid, baru sekarang ini engkau melihat tangan dan pacarku. Selama ini aku senang denganmu. Tapi sekarang matamu menatap hal-hal ini, maka perbincanganku denganmu haram sudah.”</w:t>
      </w:r>
      <w:r>
        <w:rPr>
          <w:rStyle w:val="FootnoteAnchor"/>
        </w:rPr>
        <w:footnoteReference w:id="545"/>
      </w:r>
    </w:p>
    <w:p>
      <w:pPr>
        <w:pStyle w:val="BookText"/>
        <w:bidi w:val="0"/>
        <w:jc w:val="both"/>
        <w:rPr/>
      </w:pPr>
      <w:r>
        <w:rPr>
          <w:rFonts w:eastAsia="Times New Roman" w:cs="Times New Roman" w:ascii="Times New Roman" w:hAnsi="Times New Roman"/>
          <w:color w:val="111111"/>
          <w:sz w:val="28"/>
          <w:szCs w:val="28"/>
          <w:lang w:val="en-US"/>
        </w:rPr>
        <w:t>Lain dari semua di atas, kadangkala kaum pemula (murfd) yang masih belum matang termotivasi untuk sama-sama melakukan dosa yang umum "menjadi buah bibir perempuan dan laki-laki". Dengan demikian, mereka dapat melindungi bersih zuhud kesufiannya dan terbebas dari kepuasan pada diri sendiri (’ujb).</w:t>
      </w:r>
      <w:r>
        <w:rPr>
          <w:rStyle w:val="FootnoteAnchor"/>
        </w:rPr>
        <w:footnoteReference w:id="54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Manfaat lain dari maksiat, menurut mereka, ialah manusia dapat mengenali hijab-hijab gelap (zhulmaniyah). Oleh karenanya, jika pelaku maksiat telah bertaubat, bukan hanya tidak kehilangan sesuatu, bahkan berkat pengenalan tadi dia bisa naik tinggi selangkah, karena ”Orang yang bertaubat dari dosa seperti orang yang tak berdosa"</w:t>
      </w:r>
      <w:r>
        <w:rPr>
          <w:rStyle w:val="FootnoteAnchor"/>
        </w:rPr>
        <w:footnoteReference w:id="547"/>
      </w:r>
      <w:bookmarkStart w:id="373" w:name="pg5378_50815"/>
    </w:p>
    <w:p>
      <w:pPr>
        <w:pStyle w:val="Heading3"/>
        <w:numPr>
          <w:ilvl w:val="2"/>
          <w:numId w:val="1"/>
        </w:numPr>
        <w:bidi w:val="0"/>
        <w:jc w:val="left"/>
        <w:rPr/>
      </w:pPr>
      <w:bookmarkStart w:id="374" w:name="__RefHeading___Toc1351312_581953129"/>
      <w:bookmarkStart w:id="375" w:name="_Toc135"/>
      <w:bookmarkEnd w:id="373"/>
      <w:bookmarkEnd w:id="374"/>
      <w:r>
        <w:rPr/>
        <w:t>Antisyariat dalam Doktrin Malamatiyah</w:t>
      </w:r>
      <w:bookmarkEnd w:id="375"/>
    </w:p>
    <w:p>
      <w:pPr>
        <w:pStyle w:val="BookText"/>
        <w:bidi w:val="0"/>
        <w:jc w:val="both"/>
        <w:rPr/>
      </w:pPr>
      <w:r>
        <w:rPr>
          <w:rFonts w:eastAsia="Times New Roman" w:cs="Times New Roman" w:ascii="Times New Roman" w:hAnsi="Times New Roman"/>
          <w:color w:val="111111"/>
          <w:sz w:val="28"/>
          <w:szCs w:val="28"/>
          <w:lang w:val="en-US"/>
        </w:rPr>
        <w:t>Banyak sufi yang mempraktikkan doktrin ini dalam kehidupan dan pergaulan umum. Dengannya, mereka melakukan berbagai tindakan yang mengusik pandangan buruk bahkan celaan orang sekitar. Mereka ingin menampilkan wajah jelek dan kesan buruk di hadapan masyarakat luas. Tujuan intinya adalah menghancurkan keinginan nafsu dan membunuh hasrat popularitas. Tujuan inilah yang melapisi tindakan itu dengan nilai sakral yang khas. Najmuddin Razi (570-654 H) menganggap bahwa praktik Malamatiyah merupakan syarat umum bagi setiap murid tasawuf.</w:t>
      </w:r>
    </w:p>
    <w:p>
      <w:pPr>
        <w:pStyle w:val="BookText"/>
        <w:bidi w:val="0"/>
        <w:jc w:val="both"/>
        <w:rPr/>
      </w:pPr>
      <w:r>
        <w:rPr>
          <w:rFonts w:eastAsia="Times New Roman" w:cs="Times New Roman" w:ascii="Times New Roman" w:hAnsi="Times New Roman"/>
          <w:color w:val="111111"/>
          <w:sz w:val="28"/>
          <w:szCs w:val="28"/>
          <w:lang w:val="en-US"/>
        </w:rPr>
        <w:t>[murid] harus hidup dengan pola malamatiyah dan model seorang darwish. Ini bukan artinya dia bebas-syariat lantas merasa telah berpola malamatiyah. Sama sekali bukan begitu! Itu adalah jalan dan petunjuk setan. Dengan jalan inilah penganut bebas-syariat (ahl Ibahah) akan digiring ke neraka. Malamatiyah berarti menganggap nama, status, pujian, celaan, tolakan dan sambutan makhluk sama saja bagi dirinya.</w:t>
      </w:r>
      <w:r>
        <w:rPr>
          <w:rStyle w:val="FootnoteAnchor"/>
        </w:rPr>
        <w:footnoteReference w:id="548"/>
      </w:r>
    </w:p>
    <w:p>
      <w:pPr>
        <w:pStyle w:val="BookText"/>
        <w:bidi w:val="0"/>
        <w:jc w:val="both"/>
        <w:rPr/>
      </w:pPr>
      <w:r>
        <w:rPr>
          <w:rFonts w:eastAsia="Times New Roman" w:cs="Times New Roman" w:ascii="Times New Roman" w:hAnsi="Times New Roman"/>
          <w:color w:val="111111"/>
          <w:sz w:val="28"/>
          <w:szCs w:val="28"/>
          <w:lang w:val="en-US"/>
        </w:rPr>
        <w:t>Selain Najmuddin Razi, masih banyak tokoh tasawuf lain yang menilai Malamatiyah sebagai praktik tercela jika berkonotasi anti- syariat.</w:t>
      </w:r>
      <w:r>
        <w:rPr>
          <w:rStyle w:val="FootnoteAnchor"/>
        </w:rPr>
        <w:footnoteReference w:id="549"/>
      </w:r>
      <w:r>
        <w:rPr>
          <w:rFonts w:eastAsia="Times New Roman" w:cs="Times New Roman" w:ascii="Times New Roman" w:hAnsi="Times New Roman"/>
          <w:color w:val="111111"/>
          <w:sz w:val="28"/>
          <w:szCs w:val="28"/>
          <w:lang w:val="en-US"/>
        </w:rPr>
        <w:t>Di samping juga banyak sekali statemen para syeikh sufi yang mengecam doktrin ini, walaupun masih saja terlihat sanjungan di sana-sini terhadap pola hidup malamatiyah sebagian syeikh, misalnya, dengan menuturkan aneka cerita.</w:t>
      </w:r>
    </w:p>
    <w:p>
      <w:pPr>
        <w:pStyle w:val="BookText"/>
        <w:bidi w:val="0"/>
        <w:jc w:val="both"/>
        <w:rPr/>
      </w:pPr>
      <w:r>
        <w:rPr>
          <w:rFonts w:eastAsia="Times New Roman" w:cs="Times New Roman" w:ascii="Times New Roman" w:hAnsi="Times New Roman"/>
          <w:color w:val="111111"/>
          <w:sz w:val="28"/>
          <w:szCs w:val="28"/>
          <w:lang w:val="en-US"/>
        </w:rPr>
        <w:t>Tentu saja, banyak kisah semacam yang masih tersisa. Untuk tidak merusak kehormatan karya ini, kiranya tidak perlu dinukil lebih dari itu.</w:t>
      </w:r>
      <w:r>
        <w:rPr>
          <w:rStyle w:val="FootnoteAnchor"/>
        </w:rPr>
        <w:footnoteReference w:id="550"/>
      </w:r>
      <w:r>
        <w:rPr>
          <w:rFonts w:eastAsia="Times New Roman" w:cs="Times New Roman" w:ascii="Times New Roman" w:hAnsi="Times New Roman"/>
          <w:color w:val="111111"/>
          <w:sz w:val="28"/>
          <w:szCs w:val="28"/>
          <w:lang w:val="en-US"/>
        </w:rPr>
        <w:t>Akan tetapi untuk menjelaskan tujuan yang dimaksud, berikut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beberapa cerita yang muatan negatifnya relatif ringan. </w:t>
      </w:r>
    </w:p>
    <w:p>
      <w:pPr>
        <w:pStyle w:val="BookText"/>
        <w:bidi w:val="0"/>
        <w:rPr/>
      </w:pPr>
      <w:r>
        <w:rPr>
          <w:rFonts w:eastAsia="Times New Roman" w:cs="Times New Roman" w:ascii="Times New Roman" w:hAnsi="Times New Roman"/>
          <w:color w:val="111111"/>
          <w:sz w:val="28"/>
          <w:szCs w:val="28"/>
          <w:lang w:val="en-US"/>
        </w:rPr>
        <w:t>Mengenai pribadi Mirah Naisyaburi, Abdurrahman Jami mengidentifikasi tokoh ini sebagai penganut doktrin Malamatiyah. Dia melaporkan salah satu dari cara yang digunakan Mirah untuk menyiasati masyarakat agar tidak selalu mendatanginya:</w:t>
      </w:r>
    </w:p>
    <w:p>
      <w:pPr>
        <w:pStyle w:val="BookText"/>
        <w:bidi w:val="0"/>
        <w:jc w:val="both"/>
        <w:rPr/>
      </w:pPr>
      <w:r>
        <w:rPr>
          <w:rFonts w:eastAsia="Times New Roman" w:cs="Times New Roman" w:ascii="Times New Roman" w:hAnsi="Times New Roman"/>
          <w:color w:val="111111"/>
          <w:sz w:val="28"/>
          <w:szCs w:val="28"/>
          <w:lang w:val="en-US"/>
        </w:rPr>
        <w:t>Dia bertanya kepada pembantunya ”Mereka ini siapa?" ”Mereka clatang untuk menemuimu" jawabnya. Ia diam. Tak ada sepatah katapun yang terucap dari mulutnya. Akhimya, ia mengangkat kepala ke langit sementara angin bertiup kencang. Lantas ia melorotkan celananya lalu buang air kecil di tempat hingga mengotori pakaiannya sendiri dan orang lain di sekitar. Masyarakat kagum, ”Bagus! Betapa baik syeikh dan perlakuannya!" Kemudian mereka kembali ke tempat masing- masing dengan rasa kesal.</w:t>
      </w:r>
      <w:r>
        <w:rPr>
          <w:rStyle w:val="FootnoteAnchor"/>
        </w:rPr>
        <w:footnoteReference w:id="551"/>
      </w:r>
    </w:p>
    <w:p>
      <w:pPr>
        <w:pStyle w:val="BookText"/>
        <w:bidi w:val="0"/>
        <w:jc w:val="both"/>
        <w:rPr/>
      </w:pPr>
      <w:r>
        <w:rPr>
          <w:rFonts w:eastAsia="Times New Roman" w:cs="Times New Roman" w:ascii="Times New Roman" w:hAnsi="Times New Roman"/>
          <w:color w:val="111111"/>
          <w:sz w:val="28"/>
          <w:szCs w:val="28"/>
          <w:lang w:val="en-US"/>
        </w:rPr>
        <w:t>Siasat semacam ini banyak dipakai para penganut Malamatiyah, bahkan ada yang sampai sering tampil telanjang bugil di tengah khalayak. Ini terjadi pada saat Syekh Isyraq Syihabuddin Suhrawardi (w. 587 H)</w:t>
      </w:r>
      <w:r>
        <w:rPr>
          <w:rStyle w:val="FootnoteAnchor"/>
        </w:rPr>
        <w:footnoteReference w:id="552"/>
      </w:r>
      <w:r>
        <w:rPr>
          <w:rFonts w:eastAsia="Times New Roman" w:cs="Times New Roman" w:ascii="Times New Roman" w:hAnsi="Times New Roman"/>
          <w:color w:val="111111"/>
          <w:sz w:val="28"/>
          <w:szCs w:val="28"/>
          <w:lang w:val="en-US"/>
        </w:rPr>
        <w:t>bertanya kepada warga Damaskus tentang keadaan Syeikh Ali Kurdi. Mereka memperingatkan Syeikh Isyraq agar tidak menjumpainya. Alasan mereka, "Orang itu tidak melakukan shalat dan sering berjalan dalam keadaan bugil." Namun banyak juga perawi sufi yang menukil kisah ini dengan menebar berbagai pujian untuk Syeikh Ali Kurdi, bahkan mengatogerikarmya sebagai pemuka tarikat dan jenius yang pura-pura gila.</w:t>
      </w:r>
      <w:r>
        <w:rPr>
          <w:rStyle w:val="FootnoteAnchor"/>
        </w:rPr>
        <w:footnoteReference w:id="553"/>
      </w:r>
    </w:p>
    <w:p>
      <w:pPr>
        <w:pStyle w:val="BookText"/>
        <w:bidi w:val="0"/>
        <w:jc w:val="both"/>
        <w:rPr/>
      </w:pPr>
      <w:r>
        <w:rPr>
          <w:rFonts w:eastAsia="Times New Roman" w:cs="Times New Roman" w:ascii="Times New Roman" w:hAnsi="Times New Roman"/>
          <w:color w:val="111111"/>
          <w:sz w:val="28"/>
          <w:szCs w:val="28"/>
          <w:lang w:val="en-US"/>
        </w:rPr>
        <w:t>Alhasil, banyak dari kaum sufi yang menghalalkan berbagai cara seperti: tindakan mencuri yang telah dikemukakan sebelum ini, dalam rangka mengobati penyakit hati dan menggagalkan hasrat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nafsu amarah mereka. Lebih dari itu, mereka menggunakan berbagai </w:t>
      </w:r>
      <w:bookmarkStart w:id="376" w:name="pg5378_50819"/>
    </w:p>
    <w:p>
      <w:pPr>
        <w:pStyle w:val="BookText"/>
        <w:bidi w:val="0"/>
        <w:rPr/>
      </w:pPr>
      <w:bookmarkEnd w:id="376"/>
      <w:r>
        <w:rPr>
          <w:rFonts w:eastAsia="Times New Roman" w:cs="Times New Roman" w:ascii="Times New Roman" w:hAnsi="Times New Roman"/>
          <w:color w:val="111111"/>
          <w:sz w:val="28"/>
          <w:szCs w:val="28"/>
          <w:lang w:val="en-US"/>
        </w:rPr>
        <w:t>pola hidup yang bisa memancing kecaman masyarakat umum. Yakni, jika kemudian secara kebetulan ada kesempatan dicemooh masyarakat, mereka tidak akan membalas dan mempertahankan diri, kalau bukan justru menerima dengan sepenuh jiwa dan hati. Ini sebagaimana diungkapkan Ibrahlm Adham:</w:t>
      </w:r>
    </w:p>
    <w:p>
      <w:pPr>
        <w:pStyle w:val="BookText"/>
        <w:bidi w:val="0"/>
        <w:jc w:val="both"/>
        <w:rPr/>
      </w:pPr>
      <w:r>
        <w:rPr>
          <w:rFonts w:eastAsia="Times New Roman" w:cs="Times New Roman" w:ascii="Times New Roman" w:hAnsi="Times New Roman"/>
          <w:color w:val="111111"/>
          <w:sz w:val="28"/>
          <w:szCs w:val="28"/>
          <w:lang w:val="en-US"/>
        </w:rPr>
        <w:t>Suatu saat, aku duduk di sebuah kapal. Tak ada seorang pun yang mengenalku di tempat itu. Ketika itu, aku mengenakan baju lusuh; rambutku panjang lagi kumal. Semua penumpang saat itu mencemooh dan menghinaku, perahu pun seolah turut mencibirku. Kukatakan bahwa sampai kapanpun kalian menjumpaiku, menyambak dan melepas rambutku, menatap wajahku dengan gaya menghina, aku tetap akan menggapai tujuanku, serta dengan kehinaan jiwaku aku merasa bahagia. Sampai suatu saat nanti, kebahagianku itu akan menembus puncaknya di kala masih dicemooh dan dikencingi.</w:t>
      </w:r>
      <w:r>
        <w:rPr>
          <w:rStyle w:val="FootnoteAnchor"/>
        </w:rPr>
        <w:footnoteReference w:id="554"/>
      </w:r>
    </w:p>
    <w:p>
      <w:pPr>
        <w:pStyle w:val="Heading3"/>
        <w:numPr>
          <w:ilvl w:val="2"/>
          <w:numId w:val="1"/>
        </w:numPr>
        <w:bidi w:val="0"/>
        <w:jc w:val="left"/>
        <w:rPr/>
      </w:pPr>
      <w:bookmarkStart w:id="377" w:name="__RefHeading___Toc1351314_581953129"/>
      <w:bookmarkStart w:id="378" w:name="_Toc136"/>
      <w:bookmarkEnd w:id="377"/>
      <w:r>
        <w:rPr/>
        <w:t>Mabuk (Sakr), Pelarian Bebas Syariat</w:t>
      </w:r>
      <w:bookmarkEnd w:id="378"/>
    </w:p>
    <w:p>
      <w:pPr>
        <w:pStyle w:val="BookText"/>
        <w:bidi w:val="0"/>
        <w:jc w:val="both"/>
        <w:rPr/>
      </w:pPr>
      <w:r>
        <w:rPr>
          <w:rFonts w:eastAsia="Times New Roman" w:cs="Times New Roman" w:ascii="Times New Roman" w:hAnsi="Times New Roman"/>
          <w:color w:val="111111"/>
          <w:sz w:val="28"/>
          <w:szCs w:val="28"/>
          <w:lang w:val="en-US"/>
        </w:rPr>
        <w:t>Tidak diragukan lagi, akal merupakan salah satu syarat mengemban tanggung jawab syariat (taklff). Tanggung jawab ini tidak akan dibebankan pada orang yang mabuk dan tidak sadar. Poin ini justru menguntungkan kaum sufi; bukan hanya dapat membebaskan diri dari tanggung jawab syariat, tetapi juga menjadi basis perlindungan yang sangat strategis.</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anggapan Syeikh Muhammad Lahiji, para pencapai hakikat adalah manusia yang hilang akalnya (Maslub Al-Aql). Lalu ia menarik sebuah kesimpulan, ”Sesuai konsensus para wali dan ulama, segala jenis tanggung jawab syariat dan kewajiban ibadah telah gugur dari manusia semacam itu"</w:t>
      </w:r>
      <w:r>
        <w:rPr>
          <w:rStyle w:val="FootnoteAnchor"/>
        </w:rPr>
        <w:footnoteReference w:id="555"/>
      </w:r>
    </w:p>
    <w:p>
      <w:pPr>
        <w:pStyle w:val="BookText"/>
        <w:bidi w:val="0"/>
        <w:rPr/>
      </w:pPr>
      <w:r>
        <w:rPr>
          <w:rFonts w:eastAsia="Times New Roman" w:cs="Times New Roman" w:ascii="Times New Roman" w:hAnsi="Times New Roman"/>
          <w:color w:val="111111"/>
          <w:sz w:val="28"/>
          <w:szCs w:val="28"/>
          <w:lang w:val="en-US"/>
        </w:rPr>
        <w:t>Mengenai nama dan sifat Allah, Syeikh Mahmud Syustari mendistingsi dua keadaan: mabuk dan sadar. Setelah menjelaskan bahwa Allah bisa disebut dengan nama dan sifat apa saja, dia menuturkan:</w:t>
      </w:r>
    </w:p>
    <w:p>
      <w:pPr>
        <w:pStyle w:val="BookText"/>
        <w:bidi w:val="0"/>
        <w:jc w:val="both"/>
        <w:rPr/>
      </w:pPr>
      <w:r>
        <w:rPr>
          <w:rFonts w:eastAsia="Times New Roman" w:cs="Times New Roman" w:ascii="Times New Roman" w:hAnsi="Times New Roman"/>
          <w:color w:val="111111"/>
          <w:sz w:val="28"/>
          <w:szCs w:val="28"/>
          <w:lang w:val="en-US"/>
        </w:rPr>
        <w:t>Namun, waspadalah pada dirimu</w:t>
      </w:r>
    </w:p>
    <w:p>
      <w:pPr>
        <w:pStyle w:val="BookText"/>
        <w:bidi w:val="0"/>
        <w:jc w:val="both"/>
        <w:rPr/>
      </w:pPr>
      <w:r>
        <w:rPr>
          <w:rFonts w:eastAsia="Times New Roman" w:cs="Times New Roman" w:ascii="Times New Roman" w:hAnsi="Times New Roman"/>
          <w:color w:val="111111"/>
          <w:sz w:val="28"/>
          <w:szCs w:val="28"/>
          <w:lang w:val="en-US"/>
        </w:rPr>
        <w:t>teguhlah pnda kata kalimat syariat!</w:t>
      </w:r>
      <w:r>
        <w:rPr>
          <w:rStyle w:val="FootnoteAnchor"/>
        </w:rPr>
        <w:footnoteReference w:id="556"/>
      </w:r>
    </w:p>
    <w:p>
      <w:pPr>
        <w:pStyle w:val="BookText"/>
        <w:bidi w:val="0"/>
        <w:jc w:val="both"/>
        <w:rPr/>
      </w:pPr>
      <w:r>
        <w:rPr>
          <w:rFonts w:eastAsia="Times New Roman" w:cs="Times New Roman" w:ascii="Times New Roman" w:hAnsi="Times New Roman"/>
          <w:color w:val="111111"/>
          <w:sz w:val="28"/>
          <w:szCs w:val="28"/>
          <w:lang w:val="en-US"/>
        </w:rPr>
        <w:t>Hafizd Abu Nuaim Isfahani (w. 430 H) dalam catatarmya tentang riwayat hidup Syibli (w. 334 H) menukil sebuah kisah terkait. Pada suatu hari, Syibli berkunjung ke rumah Junaid. Istrinya yang kala itu tidak berkerudung meminta waktu untuk menutup bagian kepalanya. Namun, Junaid rnelarangnya, karena dia melihat Syibli masih dalam keadaan tak-sadar.</w:t>
      </w:r>
      <w:r>
        <w:rPr>
          <w:rStyle w:val="FootnoteAnchor"/>
        </w:rPr>
        <w:footnoteReference w:id="557"/>
      </w:r>
      <w:r>
        <w:rPr>
          <w:rFonts w:eastAsia="Times New Roman" w:cs="Times New Roman" w:ascii="Times New Roman" w:hAnsi="Times New Roman"/>
          <w:color w:val="111111"/>
          <w:sz w:val="28"/>
          <w:szCs w:val="28"/>
          <w:lang w:val="en-US"/>
        </w:rPr>
        <w:t>Keadaan Syibli itu sampai kadangkala menyebabkan dirinya melupakan shalat. Dalam syairnya, dia menuturkan:</w:t>
      </w:r>
    </w:p>
    <w:p>
      <w:pPr>
        <w:pStyle w:val="BookText"/>
        <w:bidi w:val="0"/>
        <w:jc w:val="both"/>
        <w:rPr/>
      </w:pPr>
      <w:r>
        <w:rPr>
          <w:rFonts w:eastAsia="Times New Roman" w:cs="Times New Roman" w:ascii="Times New Roman" w:hAnsi="Times New Roman"/>
          <w:color w:val="111111"/>
          <w:sz w:val="28"/>
          <w:szCs w:val="28"/>
          <w:lang w:val="en-US"/>
        </w:rPr>
        <w:t>Karena cinta, hari ini kulupa shalatku</w:t>
      </w:r>
    </w:p>
    <w:p>
      <w:pPr>
        <w:pStyle w:val="BookText"/>
        <w:bidi w:val="0"/>
        <w:jc w:val="both"/>
        <w:rPr/>
      </w:pPr>
      <w:r>
        <w:rPr>
          <w:rFonts w:eastAsia="Times New Roman" w:cs="Times New Roman" w:ascii="Times New Roman" w:hAnsi="Times New Roman"/>
          <w:color w:val="111111"/>
          <w:sz w:val="28"/>
          <w:szCs w:val="28"/>
          <w:lang w:val="en-US"/>
        </w:rPr>
        <w:t>bahkan entah siang atau malam ’ku tak tahu.</w:t>
      </w:r>
    </w:p>
    <w:p>
      <w:pPr>
        <w:pStyle w:val="BookText"/>
        <w:bidi w:val="0"/>
        <w:jc w:val="both"/>
        <w:rPr/>
      </w:pPr>
      <w:r>
        <w:rPr>
          <w:rFonts w:eastAsia="Times New Roman" w:cs="Times New Roman" w:ascii="Times New Roman" w:hAnsi="Times New Roman"/>
          <w:color w:val="111111"/>
          <w:sz w:val="28"/>
          <w:szCs w:val="28"/>
          <w:lang w:val="en-US"/>
        </w:rPr>
        <w:t>Zikirku pada-Mu Tuanku makam dan minumku.</w:t>
      </w:r>
    </w:p>
    <w:p>
      <w:pPr>
        <w:pStyle w:val="BookText"/>
        <w:bidi w:val="0"/>
        <w:jc w:val="both"/>
        <w:rPr/>
      </w:pPr>
      <w:r>
        <w:rPr>
          <w:rFonts w:eastAsia="Times New Roman" w:cs="Times New Roman" w:ascii="Times New Roman" w:hAnsi="Times New Roman"/>
          <w:color w:val="111111"/>
          <w:sz w:val="28"/>
          <w:szCs w:val="28"/>
          <w:lang w:val="en-US"/>
        </w:rPr>
        <w:t>kala kulihat, Wajah-Mu pengobat sakitku"</w:t>
      </w:r>
      <w:r>
        <w:rPr>
          <w:rStyle w:val="FootnoteAnchor"/>
        </w:rPr>
        <w:footnoteReference w:id="55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Syibli hanyalah satu dari sekian sufi yang lebih dikuasai mabuk (sakr). Oleh karenanya, jika dia membuang harta sebanyak empat ribu dinar begitu saja ke sungai</w:t>
      </w:r>
      <w:r>
        <w:rPr>
          <w:rStyle w:val="FootnoteAnchor"/>
        </w:rPr>
        <w:footnoteReference w:id="559"/>
      </w:r>
      <w:r>
        <w:rPr>
          <w:rFonts w:eastAsia="Times New Roman" w:cs="Times New Roman" w:ascii="Times New Roman" w:hAnsi="Times New Roman"/>
          <w:color w:val="111111"/>
          <w:sz w:val="28"/>
          <w:szCs w:val="28"/>
          <w:lang w:val="en-US"/>
        </w:rPr>
        <w:t>atau menanggalkan pakaian mewah serba mahal lalu membakamya,</w:t>
      </w:r>
      <w:r>
        <w:rPr>
          <w:rStyle w:val="FootnoteAnchor"/>
        </w:rPr>
        <w:footnoteReference w:id="560"/>
      </w:r>
      <w:r>
        <w:rPr>
          <w:rFonts w:eastAsia="Times New Roman" w:cs="Times New Roman" w:ascii="Times New Roman" w:hAnsi="Times New Roman"/>
          <w:color w:val="111111"/>
          <w:sz w:val="28"/>
          <w:szCs w:val="28"/>
          <w:lang w:val="en-US"/>
        </w:rPr>
        <w:t xml:space="preserve">dia tidak layak dikritisi apalagi dicemooh dengan tolok ukur syariat, yaitu telah bertindak israf. </w:t>
      </w:r>
      <w:bookmarkStart w:id="379" w:name="pg5378_50823"/>
    </w:p>
    <w:p>
      <w:pPr>
        <w:pStyle w:val="BookText"/>
        <w:bidi w:val="0"/>
        <w:rPr/>
      </w:pPr>
      <w:bookmarkEnd w:id="379"/>
      <w:r>
        <w:rPr>
          <w:rFonts w:eastAsia="Times New Roman" w:cs="Times New Roman" w:ascii="Times New Roman" w:hAnsi="Times New Roman"/>
          <w:color w:val="111111"/>
          <w:sz w:val="28"/>
          <w:szCs w:val="28"/>
          <w:lang w:val="en-US"/>
        </w:rPr>
        <w:t>Perlu juga dicatat, para ahli tasawuf di sini pun—seperti halnya di tempat lain—tidak merefleksikan sikap yang tegas. Berkali-kali mereka memperalat kondisi ’tak-sadar’ dan ’bersatu-lebur' (fana’) sebagai alasan untuk meninggalkan kewajiban syariat. Bahkan, adakalanya mereka menekankan bahwa keadaan tak-sadar para pelaku tarikat justru menjadi kendala untuk komitmen pada hukum syariat. Mereka baru sadar ketika tiba waktu ibadah.</w:t>
      </w:r>
    </w:p>
    <w:p>
      <w:pPr>
        <w:pStyle w:val="BookText"/>
        <w:bidi w:val="0"/>
        <w:jc w:val="both"/>
        <w:rPr/>
      </w:pPr>
      <w:r>
        <w:rPr>
          <w:rFonts w:eastAsia="Times New Roman" w:cs="Times New Roman" w:ascii="Times New Roman" w:hAnsi="Times New Roman"/>
          <w:color w:val="111111"/>
          <w:sz w:val="28"/>
          <w:szCs w:val="28"/>
          <w:lang w:val="en-US"/>
        </w:rPr>
        <w:t>Pada suatu saat, sekelompok orang datang menemui Junaid seraya mengatakan, "Beberapa hari, sepanjang siang dan malam, Nuri mengelilingi sebongkah tanah liat seraya terucap, ‘Allah! Allah! Ia tidak makan, tidak rninum dan tidak pula tidur, namun dia tidak mati. Shalat ia lakukan pada waktunya. Tata cara shalat pun dilaksanakan-nya.” Para sahabat Junaid mengatakan, ”Dia sadar; dan tidak sedang fana'." Junaid menyela, ”Tidaklah seperti yang kalian katakan. Mereka yang sedang tak sadar dan tergila cinta akan tetap terjaga. Maka, Allah akan menjaga mereka dari kehilangan waktu berkhidmat saat harus berkhidmat</w:t>
      </w:r>
      <w:r>
        <w:rPr>
          <w:rStyle w:val="FootnoteAnchor"/>
        </w:rPr>
        <w:footnoteReference w:id="561"/>
      </w:r>
    </w:p>
    <w:p>
      <w:pPr>
        <w:pStyle w:val="Heading3"/>
        <w:numPr>
          <w:ilvl w:val="2"/>
          <w:numId w:val="1"/>
        </w:numPr>
        <w:bidi w:val="0"/>
        <w:jc w:val="left"/>
        <w:rPr/>
      </w:pPr>
      <w:bookmarkStart w:id="380" w:name="__RefHeading___Toc1351316_581953129"/>
      <w:bookmarkStart w:id="381" w:name="_Toc137"/>
      <w:bookmarkEnd w:id="380"/>
      <w:r>
        <w:rPr/>
        <w:t>Analisis dan Kritik</w:t>
      </w:r>
      <w:bookmarkEnd w:id="381"/>
    </w:p>
    <w:p>
      <w:pPr>
        <w:pStyle w:val="Heading4"/>
        <w:numPr>
          <w:ilvl w:val="3"/>
          <w:numId w:val="1"/>
        </w:numPr>
        <w:bidi w:val="0"/>
        <w:jc w:val="left"/>
        <w:rPr/>
      </w:pPr>
      <w:bookmarkStart w:id="382" w:name="__RefHeading___Toc1351318_581953129"/>
      <w:bookmarkStart w:id="383" w:name="_Toc138"/>
      <w:bookmarkEnd w:id="382"/>
      <w:r>
        <w:rPr/>
        <w:t>Point</w:t>
      </w:r>
      <w:bookmarkEnd w:id="38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sepanjang deskripsi paham tasawuf, sesekali dikemukakan celah dan cacat aliran ini, sekaligus sikap kontradiktif sejumlah pengaku-ngaku sufi. Sejarah analisis kritis terhadap tasawuf sendiri sebenarnya sudah cukup lama, tidak jarang malah keterlaluan sebegitu ekstrim, entah diremeh-remehkan (tafrith) atau malah dibesar-besarkan (Ifrath). Sebagian orang terus berusaha sekuat tenaga mengesankan positif dan menyucikan kaum sufi dari apa saja yang dinisbahkan kepada mereka. Bagi mereka, cerita-cerita sejenis yang dinukil di sini tidak ada artinya. </w:t>
      </w:r>
      <w:bookmarkStart w:id="384" w:name="pg5378_50825"/>
    </w:p>
    <w:p>
      <w:pPr>
        <w:pStyle w:val="BookText"/>
        <w:bidi w:val="0"/>
        <w:rPr/>
      </w:pPr>
      <w:bookmarkEnd w:id="384"/>
      <w:r>
        <w:rPr>
          <w:rFonts w:eastAsia="Times New Roman" w:cs="Times New Roman" w:ascii="Times New Roman" w:hAnsi="Times New Roman"/>
          <w:color w:val="111111"/>
          <w:sz w:val="28"/>
          <w:szCs w:val="28"/>
          <w:lang w:val="en-US"/>
        </w:rPr>
        <w:t>Dalam konteks ini pula sebagian ulama Syiah menggunakan bukti-bukti pendukung yang lemah. Dalam konklusi mereka, dari sekian kelompok tasawuf, tidak ada seorang sufi pun yang berasal dari mazhab Ahli Sunah kecuali kelompok Naqsyabandiyah.</w:t>
      </w:r>
      <w:r>
        <w:rPr>
          <w:rStyle w:val="FootnoteAnchor"/>
        </w:rPr>
        <w:footnoteReference w:id="562"/>
      </w:r>
      <w:r>
        <w:rPr>
          <w:rFonts w:eastAsia="Times New Roman" w:cs="Times New Roman" w:ascii="Times New Roman" w:hAnsi="Times New Roman"/>
          <w:color w:val="111111"/>
          <w:sz w:val="28"/>
          <w:szCs w:val="28"/>
          <w:lang w:val="en-US"/>
        </w:rPr>
        <w:t>Padahal, Khajeh Abdullah Anshari pernah menyatakan, dari dua ribu syeikh tawasuf, hanya dua orang yang bermazhab Syiah.</w:t>
      </w:r>
      <w:r>
        <w:rPr>
          <w:rStyle w:val="FootnoteAnchor"/>
        </w:rPr>
        <w:footnoteReference w:id="563"/>
      </w:r>
    </w:p>
    <w:p>
      <w:pPr>
        <w:pStyle w:val="BookText"/>
        <w:bidi w:val="0"/>
        <w:jc w:val="both"/>
        <w:rPr/>
      </w:pPr>
      <w:r>
        <w:rPr>
          <w:rFonts w:eastAsia="Times New Roman" w:cs="Times New Roman" w:ascii="Times New Roman" w:hAnsi="Times New Roman"/>
          <w:color w:val="111111"/>
          <w:sz w:val="28"/>
          <w:szCs w:val="28"/>
          <w:lang w:val="en-US"/>
        </w:rPr>
        <w:t>Alhasil, segala usaha menetapkan kesyiahan kaum sufi yang anti-syariat ibarat ongkos mahal untuk barang remeh. Sebab, sekadar memasang label Syiah pada mereka tidak memecahkan persoalan apa pun, kalau bukan malah memperkeruh.</w:t>
      </w:r>
    </w:p>
    <w:p>
      <w:pPr>
        <w:pStyle w:val="BookText"/>
        <w:bidi w:val="0"/>
        <w:jc w:val="both"/>
        <w:rPr/>
      </w:pPr>
      <w:r>
        <w:rPr>
          <w:rFonts w:eastAsia="Times New Roman" w:cs="Times New Roman" w:ascii="Times New Roman" w:hAnsi="Times New Roman"/>
          <w:color w:val="111111"/>
          <w:sz w:val="28"/>
          <w:szCs w:val="28"/>
          <w:lang w:val="en-US"/>
        </w:rPr>
        <w:t>Di pihak yang berseberangan, sebagian orang justru berlebihan dalam membesar-besarkan skandal aliran tasawuf. Mereka berusaha keras mempertajam daya kritik terhadap paham kaum sufi hingga mempertanyakan nilai apa pun praktik sair-suluk. Sebagai gantinya, di hadapan halayak mereka menampilkan wajah agama dan syariat ini begitu kering dan redup.</w:t>
      </w:r>
    </w:p>
    <w:p>
      <w:pPr>
        <w:pStyle w:val="BookText"/>
        <w:bidi w:val="0"/>
        <w:jc w:val="both"/>
        <w:rPr/>
      </w:pPr>
      <w:r>
        <w:rPr>
          <w:rFonts w:eastAsia="Times New Roman" w:cs="Times New Roman" w:ascii="Times New Roman" w:hAnsi="Times New Roman"/>
          <w:color w:val="111111"/>
          <w:sz w:val="28"/>
          <w:szCs w:val="28"/>
          <w:lang w:val="en-US"/>
        </w:rPr>
        <w:t>Sekarang, dengan menilik dari semua poin tersebut, serta dengan melihat apa yang telah disinggung dalam permulaan pasal ini, maka kita akan memperhatikan beberapa poin yang dapat dijadikan sebagai kritisi anti syariat para kaum sufi:</w:t>
      </w:r>
    </w:p>
    <w:p>
      <w:pPr>
        <w:pStyle w:val="Heading4"/>
        <w:numPr>
          <w:ilvl w:val="3"/>
          <w:numId w:val="1"/>
        </w:numPr>
        <w:bidi w:val="0"/>
        <w:jc w:val="left"/>
        <w:rPr/>
      </w:pPr>
      <w:bookmarkStart w:id="385" w:name="__RefHeading___Toc1351320_581953129"/>
      <w:bookmarkStart w:id="386" w:name="_Toc139"/>
      <w:bookmarkEnd w:id="385"/>
      <w:r>
        <w:rPr/>
        <w:t>Keseutuhan Hakikat dan Syariat</w:t>
      </w:r>
      <w:bookmarkEnd w:id="386"/>
    </w:p>
    <w:p>
      <w:pPr>
        <w:pStyle w:val="BookText"/>
        <w:bidi w:val="0"/>
        <w:jc w:val="both"/>
        <w:rPr/>
      </w:pPr>
      <w:r>
        <w:rPr>
          <w:rFonts w:eastAsia="Times New Roman" w:cs="Times New Roman" w:ascii="Times New Roman" w:hAnsi="Times New Roman"/>
          <w:color w:val="111111"/>
          <w:sz w:val="28"/>
          <w:szCs w:val="28"/>
          <w:lang w:val="en-US"/>
        </w:rPr>
        <w:t>Telah disinggung di awal bab, ada trilogi istilah krusial dalam tasawuf dan ’irfan, yakni syariat, tarikat dan hakikat, yang ditafsirkan secara plural. Kebanyakan tafsir kerap diaksensi nada sinis terhadap syariat, bahkan cenderung antisyariat.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Sebagian dari mereka mengartikan hakikat sebagai derajat minus tarikat, sementara keduanya (hakikat dan tarikat) derajat minus syariat. Padahal, para arif sejati tidak pernah melepas komitmen kepada segala hukum dan amalan lahiriah syariat. Mereka percaya, </w:t>
      </w:r>
    </w:p>
    <w:p>
      <w:pPr>
        <w:pStyle w:val="BookText"/>
        <w:bidi w:val="0"/>
        <w:rPr/>
      </w:pPr>
      <w:r>
        <w:rPr>
          <w:rFonts w:eastAsia="Times New Roman" w:cs="Times New Roman" w:ascii="Times New Roman" w:hAnsi="Times New Roman"/>
          <w:color w:val="111111"/>
          <w:sz w:val="28"/>
          <w:szCs w:val="28"/>
          <w:lang w:val="en-US"/>
        </w:rPr>
        <w:t>keadaan ruhani dan karakter kuat batin tidak akan tercapai kecuali dengan tetap konsisten pada hukum, ibadah lahiriah, dan pelatihan spiritual (riyadhah) secara benar-benar legal dalam agama (syar'i).</w:t>
      </w:r>
    </w:p>
    <w:p>
      <w:pPr>
        <w:pStyle w:val="BookText"/>
        <w:bidi w:val="0"/>
        <w:jc w:val="both"/>
        <w:rPr/>
      </w:pPr>
      <w:r>
        <w:rPr>
          <w:rFonts w:eastAsia="Times New Roman" w:cs="Times New Roman" w:ascii="Times New Roman" w:hAnsi="Times New Roman"/>
          <w:color w:val="111111"/>
          <w:sz w:val="28"/>
          <w:szCs w:val="28"/>
          <w:lang w:val="en-US"/>
        </w:rPr>
        <w:t>Di sini, tentu kita tidak perlu menganalisis gugus sejarah kemunculan trilogi istilah di atas. Karena itu, kita pun tidak terdesak untuk membela tiga level itu, ataupun menggabungkan salah satunya ke yang lain hingga menyederhanakannya dalam dua derajat saja.</w:t>
      </w:r>
    </w:p>
    <w:p>
      <w:pPr>
        <w:pStyle w:val="BookText"/>
        <w:bidi w:val="0"/>
        <w:jc w:val="both"/>
        <w:rPr/>
      </w:pPr>
      <w:r>
        <w:rPr>
          <w:rFonts w:eastAsia="Times New Roman" w:cs="Times New Roman" w:ascii="Times New Roman" w:hAnsi="Times New Roman"/>
          <w:color w:val="111111"/>
          <w:sz w:val="28"/>
          <w:szCs w:val="28"/>
          <w:lang w:val="en-US"/>
        </w:rPr>
        <w:t>Yang jelas, melakukan gerakan-gerakan lahiriah—tanpa pembinaan dimensi batin yang menambah kedekatan Ilahi—bukanlah falsafah dan tujuan hakiki dari [penurunan] syariat itu sendiri. Pada titik ini, tidak ada perbedaan pendapat antara kalangan fuqaha dengan kaum arif, walaupun sebagian menyebut tiga level tadi sebagai syariat, sebagian lain membedakannya menjadi dua atau tiga level, serta meletakkan istilah khusus pada masing-masing.</w:t>
      </w:r>
    </w:p>
    <w:p>
      <w:pPr>
        <w:pStyle w:val="BookText"/>
        <w:bidi w:val="0"/>
        <w:jc w:val="both"/>
        <w:rPr/>
      </w:pPr>
      <w:r>
        <w:rPr>
          <w:rFonts w:eastAsia="Times New Roman" w:cs="Times New Roman" w:ascii="Times New Roman" w:hAnsi="Times New Roman"/>
          <w:color w:val="111111"/>
          <w:sz w:val="28"/>
          <w:szCs w:val="28"/>
          <w:lang w:val="en-US"/>
        </w:rPr>
        <w:t>Pertanyaan yang mengemuka di sini: jika kondisi batin meng- ungguli hukum dan ibadah lahiriah, kenapa lantas dalam sumber- sumber agama ada penekanan begitu kuat terhadap nilai penting hukum dan ibadah tersebut? Jawaban atas pertanyaan ini dapat ditelusuri sepanjang ungkapan Mulla Shadra:</w:t>
      </w:r>
    </w:p>
    <w:p>
      <w:pPr>
        <w:pStyle w:val="BookText"/>
        <w:bidi w:val="0"/>
        <w:jc w:val="both"/>
        <w:rPr/>
      </w:pPr>
      <w:r>
        <w:rPr>
          <w:rFonts w:eastAsia="Times New Roman" w:cs="Times New Roman" w:ascii="Times New Roman" w:hAnsi="Times New Roman"/>
          <w:color w:val="111111"/>
          <w:sz w:val="28"/>
          <w:szCs w:val="28"/>
          <w:lang w:val="en-US"/>
        </w:rPr>
        <w:t>Karakter jiwa (Malakat Nafsainiyah) dan keadaan hati (batin) merupakan realitas alamiah dan teremanasi dari Sumber Tertinggi (Tuhan). Dalam konteks ini, daya pilih hamba tidak terlibat secara langsung. Atas dasar ini, untuk memperolehnya atau menafikan lawannya, motivasi dan persuasi dari pihak lain tidak diperlukan. Perilaku baiklah yang aktif sebagai sebab pencapaian karakter (Khulq) yang baik; juga perilaku buruklah yang akan membentuk karakter tercela. Demikianlah berlangsung, entah ada motifasi atau kendala dari luar atau tidak.</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Masalah dapat didekatkan dengan fungsi seorang dokter. Alasannya membicarakan ciri-ciri khasiat obat atau menerangkan manfaat kesehatan dan kebugaran (kepada pasien), ialah karena </w:t>
      </w:r>
    </w:p>
    <w:p>
      <w:pPr>
        <w:pStyle w:val="BookText"/>
        <w:bidi w:val="0"/>
        <w:rPr/>
      </w:pPr>
      <w:r>
        <w:rPr>
          <w:rFonts w:eastAsia="Times New Roman" w:cs="Times New Roman" w:ascii="Times New Roman" w:hAnsi="Times New Roman"/>
          <w:color w:val="111111"/>
          <w:sz w:val="28"/>
          <w:szCs w:val="28"/>
          <w:lang w:val="en-US"/>
        </w:rPr>
        <w:t>konsumsi obat itu sendiri membawa kesembuhan Amal ibadah dan segala perintah syariat adalah penyembuh segala penyakit hati Kelompok itu telah terkecoh oleh maksud ini sehingga terjebak dalam garis bebas—syariat.‘</w:t>
      </w:r>
      <w:r>
        <w:rPr>
          <w:rStyle w:val="FootnoteAnchor"/>
        </w:rPr>
        <w:footnoteReference w:id="564"/>
      </w:r>
    </w:p>
    <w:p>
      <w:pPr>
        <w:pStyle w:val="BookText"/>
        <w:bidi w:val="0"/>
        <w:jc w:val="both"/>
        <w:rPr/>
      </w:pPr>
      <w:r>
        <w:rPr>
          <w:rFonts w:eastAsia="Times New Roman" w:cs="Times New Roman" w:ascii="Times New Roman" w:hAnsi="Times New Roman"/>
          <w:color w:val="111111"/>
          <w:sz w:val="28"/>
          <w:szCs w:val="28"/>
          <w:lang w:val="en-US"/>
        </w:rPr>
        <w:t>Alhasil, ada orang-orang menilai kaum pesalik pencapai hakikat tak perlu lagi amal ibadah. Lewat analogi keliru, mereka menyamakan perjalanan ruhani (sair-suluk) dengan perjalanan fisikal. Kesimpulannya, pencapaian tujuan hakikat dapat terlaksana sekalipun tanpa melintas di jalur syariat dan tarikat. Mereka lengah bila dalam perjalanan ruhani, seorang pesalik hanya bisa menjejakkan kaki di level hakikat selama tidak meninggalkan level syariat:</w:t>
      </w:r>
      <w:r>
        <w:rPr>
          <w:rStyle w:val="FootnoteAnchor"/>
        </w:rPr>
        <w:footnoteReference w:id="565"/>
      </w:r>
    </w:p>
    <w:p>
      <w:pPr>
        <w:pStyle w:val="BookText"/>
        <w:bidi w:val="0"/>
        <w:jc w:val="both"/>
        <w:rPr/>
      </w:pPr>
      <w:r>
        <w:rPr>
          <w:rFonts w:eastAsia="Times New Roman" w:cs="Times New Roman" w:ascii="Times New Roman" w:hAnsi="Times New Roman"/>
          <w:color w:val="111111"/>
          <w:sz w:val="28"/>
          <w:szCs w:val="28"/>
          <w:lang w:val="en-US"/>
        </w:rPr>
        <w:t>Setiap langkah yang sesuai dengan hukum syariat Ilahi, dan sekecil apa pun debu yang kita bersihkan dari cermin hati, sekadar itu pula akan berpengaruh dalam meraih Hakikat Mutlak Menyamakan akhir perjalanan ruhani dengan akhir pergerakan di alam materi adalah bukti ketidaktahuan sama sekali. Sebab, pengandaian akhir, awal dan tengah pada realitas mutlak yang tak terbatas sedemikian tak berdasar hingga jatuh dalam kontradiksi. Oleh karena itu, klaim Jalaluddin, ”Andai saja hakikat itu tampak, syariat pasti gugur</w:t>
      </w:r>
      <w:r>
        <w:rPr>
          <w:rStyle w:val="FootnoteAnchor"/>
        </w:rPr>
        <w:footnoteReference w:id="566"/>
      </w:r>
      <w:r>
        <w:rPr>
          <w:rFonts w:eastAsia="Times New Roman" w:cs="Times New Roman" w:ascii="Times New Roman" w:hAnsi="Times New Roman"/>
          <w:color w:val="111111"/>
          <w:sz w:val="28"/>
          <w:szCs w:val="28"/>
          <w:lang w:val="en-US"/>
        </w:rPr>
        <w:t>lebih merupakan asumsi dan permainan mental saja ketimbang pencapaian realitas kita.</w:t>
      </w:r>
      <w:r>
        <w:rPr>
          <w:rStyle w:val="FootnoteAnchor"/>
        </w:rPr>
        <w:footnoteReference w:id="56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Sekalipun mampu memecahkan persoalan rasional, pemakaian analogi-analogi empirik justru kontraproduktif sehingga menjadi kendala pemikiran. Manakala akal dan teks [Wahyu] menekankan </w:t>
      </w:r>
    </w:p>
    <w:p>
      <w:pPr>
        <w:pStyle w:val="BookText"/>
        <w:bidi w:val="0"/>
        <w:rPr/>
      </w:pPr>
      <w:r>
        <w:rPr>
          <w:rFonts w:eastAsia="Times New Roman" w:cs="Times New Roman" w:ascii="Times New Roman" w:hAnsi="Times New Roman"/>
          <w:color w:val="111111"/>
          <w:sz w:val="28"/>
          <w:szCs w:val="28"/>
          <w:lang w:val="en-US"/>
        </w:rPr>
        <w:t>kebutuhan permanen manusia terhadap ibadah, maka syariat semestinya dipandang layaknya kulit yang tidak boleh tidak dalam menjaga isi agar tetap utuh. Dengan memecah kulit, bukan hanya kulit yang dirusak, tetapi juga isi.</w:t>
      </w:r>
    </w:p>
    <w:p>
      <w:pPr>
        <w:pStyle w:val="BookText"/>
        <w:bidi w:val="0"/>
        <w:jc w:val="both"/>
        <w:rPr/>
      </w:pPr>
      <w:r>
        <w:rPr>
          <w:rFonts w:eastAsia="Times New Roman" w:cs="Times New Roman" w:ascii="Times New Roman" w:hAnsi="Times New Roman"/>
          <w:color w:val="111111"/>
          <w:sz w:val="28"/>
          <w:szCs w:val="28"/>
          <w:lang w:val="en-US"/>
        </w:rPr>
        <w:t>Demikian pula, mengingat adanya perbedaan antara perjalanan ruhani dengan perjalanan fisikal, alih-alih mengacu analogi atap dan tangga, akan tepat kiranya mendekatkan pesalik dengan ”orang yang naik dari titian tangga sebuah dinding gedung, sehingga jika anak tangga paling bawah dihancurkan, bagian atas dinding gedung justru akan jatuh hancur secara lebih mengerikan</w:t>
      </w:r>
      <w:r>
        <w:rPr>
          <w:rStyle w:val="FootnoteAnchor"/>
        </w:rPr>
        <w:footnoteReference w:id="56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Sementara itu, klasifikasi tiga kelompok kaum sufi dalam Shar-he Gulsyan-e Roz, diajukan Syeikh Muhammad Lahiji untuk, dari satu sisi, memfasilitasi pembenaran terhadap sikap antisyariat para syeikh tasawuf, dan di sisi lain, menangani ketidaksesuaiannya dengan komitmen pola hidup para nabi pada syariat. Klasifikasi ini dirumuskan secara tak berdasar, kalau bukan justru semata- mata imajinasi liar. Bukankah para nabi telah bersusah payah melakukan ibadah hingga lebih layak mendapat derajat tinggi di sisi Allah? Bukankah "Kami belum menyembahMu selayaknya Engkau disembah" adalah syiar hidup mereka?</w:t>
      </w:r>
      <w:r>
        <w:rPr>
          <w:rStyle w:val="FootnoteAnchor"/>
        </w:rPr>
        <w:footnoteReference w:id="569"/>
      </w:r>
      <w:r>
        <w:rPr>
          <w:rFonts w:eastAsia="Times New Roman" w:cs="Times New Roman" w:ascii="Times New Roman" w:hAnsi="Times New Roman"/>
          <w:color w:val="111111"/>
          <w:sz w:val="28"/>
          <w:szCs w:val="28"/>
          <w:lang w:val="en-US"/>
        </w:rPr>
        <w:t>Lalu, apakah ibadah mereka itu bisa dianggap sebagai ”tujuan semu (bi al-’aradh), yakni dalam rangka mengarahkan dan menyempurnakan orang lain"</w:t>
      </w:r>
      <w:r>
        <w:rPr>
          <w:rStyle w:val="FootnoteAnchor"/>
        </w:rPr>
        <w:footnoteReference w:id="570"/>
      </w:r>
      <w:r>
        <w:rPr>
          <w:rFonts w:eastAsia="Times New Roman" w:cs="Times New Roman" w:ascii="Times New Roman" w:hAnsi="Times New Roman"/>
          <w:color w:val="111111"/>
          <w:sz w:val="28"/>
          <w:szCs w:val="28"/>
          <w:lang w:val="en-US"/>
        </w:rPr>
        <w:t>Apakah benar tangisan, rintihan dan munajat di tengah malam itu berlangsung dengan motif pengajaran kepada orang lain? Nabi Saw sebegitu melakukan shalat hingga kaki beliau bengkak, muka beliau pun memucat, tangisan beliau tercurah hingga seringkali jatuh pingsan. Manakala ditanya tentang alasan semua itu, beliau menerangkan, ”Tidakkah aku layak menjadi hamba yang banyak bersyukur?'</w:t>
      </w:r>
      <w:r>
        <w:rPr>
          <w:rStyle w:val="FootnoteAnchor"/>
        </w:rPr>
        <w:footnoteReference w:id="571"/>
      </w:r>
    </w:p>
    <w:p>
      <w:pPr>
        <w:pStyle w:val="BookText"/>
        <w:bidi w:val="0"/>
        <w:rPr/>
      </w:pPr>
      <w:r>
        <w:rPr>
          <w:rFonts w:eastAsia="Times New Roman" w:cs="Times New Roman" w:ascii="Times New Roman" w:hAnsi="Times New Roman"/>
          <w:color w:val="111111"/>
          <w:sz w:val="28"/>
          <w:szCs w:val="28"/>
          <w:lang w:val="en-US"/>
        </w:rPr>
        <w:t>Uniknya, penyarah Golshan-e Raz itu juga menggunakan hadis Nabi ini justru untuk menguatkan klaim dan klasiﬁkasinya!</w:t>
      </w:r>
    </w:p>
    <w:p>
      <w:pPr>
        <w:pStyle w:val="BookText"/>
        <w:bidi w:val="0"/>
        <w:jc w:val="both"/>
        <w:rPr/>
      </w:pPr>
      <w:r>
        <w:rPr>
          <w:rFonts w:eastAsia="Times New Roman" w:cs="Times New Roman" w:ascii="Times New Roman" w:hAnsi="Times New Roman"/>
          <w:color w:val="111111"/>
          <w:sz w:val="28"/>
          <w:szCs w:val="28"/>
          <w:lang w:val="en-US"/>
        </w:rPr>
        <w:t>Ayat "Dan sembahlah Tuhanmu hingga datang kepadamu yakin" (QS Al-Hijr [I5]: 99) juga bukan hanya tidak relevan dengan perilaku sufi antisyariat, melainkan juga bukti bahwa ibadah harus tetap dilakukan sampai ajal menjelang. Kebanyakan mufasir, entah dari Ahli Sunah atau Syiah, sepakat mengartikan kata ’yakin’ di akhir ayat sebagai ’kematian’.</w:t>
      </w:r>
      <w:r>
        <w:rPr>
          <w:rStyle w:val="FootnoteAnchor"/>
        </w:rPr>
        <w:footnoteReference w:id="572"/>
      </w:r>
      <w:r>
        <w:rPr>
          <w:rFonts w:eastAsia="Times New Roman" w:cs="Times New Roman" w:ascii="Times New Roman" w:hAnsi="Times New Roman"/>
          <w:color w:val="111111"/>
          <w:sz w:val="28"/>
          <w:szCs w:val="28"/>
          <w:lang w:val="en-US"/>
        </w:rPr>
        <w:t>Yakni, dengan datangnya kematian, akan tersingkap tabir ketidaktahuan, dan semua individu akan mendapat keyakinan sempuma.</w:t>
      </w:r>
    </w:p>
    <w:p>
      <w:pPr>
        <w:pStyle w:val="BookText"/>
        <w:bidi w:val="0"/>
        <w:jc w:val="both"/>
        <w:rPr/>
      </w:pPr>
      <w:r>
        <w:rPr>
          <w:rFonts w:eastAsia="Times New Roman" w:cs="Times New Roman" w:ascii="Times New Roman" w:hAnsi="Times New Roman"/>
          <w:color w:val="111111"/>
          <w:sz w:val="28"/>
          <w:szCs w:val="28"/>
          <w:lang w:val="en-US"/>
        </w:rPr>
        <w:t>Selain dikuatkan oleh riwayat, tafsiran ini dipertegas oleh sekian banyak ayat di lain tempat.</w:t>
      </w:r>
      <w:r>
        <w:rPr>
          <w:rStyle w:val="FootnoteAnchor"/>
        </w:rPr>
        <w:footnoteReference w:id="573"/>
      </w:r>
      <w:r>
        <w:rPr>
          <w:rFonts w:eastAsia="Times New Roman" w:cs="Times New Roman" w:ascii="Times New Roman" w:hAnsi="Times New Roman"/>
          <w:color w:val="111111"/>
          <w:sz w:val="28"/>
          <w:szCs w:val="28"/>
          <w:lang w:val="en-US"/>
        </w:rPr>
        <w:t>Misalnya, ayat dalam surah Al-Muddatsir begitu dekat dengan makna ayat di atas hingga memberi hanya tafsiran itu, yakni ’datangnya kematian’, karena konteks ayat ini berkisar tentang penghuni neraka:</w:t>
      </w:r>
    </w:p>
    <w:p>
      <w:pPr>
        <w:pStyle w:val="BookText"/>
        <w:bidi w:val="0"/>
        <w:jc w:val="both"/>
        <w:rPr/>
      </w:pPr>
      <w:r>
        <w:rPr>
          <w:rFonts w:eastAsia="Times New Roman" w:cs="Times New Roman" w:ascii="Times New Roman" w:hAnsi="Times New Roman"/>
          <w:color w:val="111111"/>
          <w:sz w:val="28"/>
          <w:szCs w:val="28"/>
          <w:lang w:val="en-US"/>
        </w:rPr>
        <w:t>Mereka menjawab, ”Dahulu kami tidak termasuk orang-orang yang mengerjakan shalatt, dan kami tidak memberi makan orang—orang miskin dan kami mendustakan Hari Pembalasan hingga datang kepada kami kematian” (QS Al-Muddatstsir [74]: 43-47).</w:t>
      </w:r>
    </w:p>
    <w:p>
      <w:pPr>
        <w:pStyle w:val="BookText"/>
        <w:bidi w:val="0"/>
        <w:jc w:val="both"/>
        <w:rPr/>
      </w:pPr>
      <w:r>
        <w:rPr>
          <w:rFonts w:eastAsia="Times New Roman" w:cs="Times New Roman" w:ascii="Times New Roman" w:hAnsi="Times New Roman"/>
          <w:color w:val="111111"/>
          <w:sz w:val="28"/>
          <w:szCs w:val="28"/>
          <w:lang w:val="en-US"/>
        </w:rPr>
        <w:t>Karena itu, pertama, 'datangnya keyakinan' adalah kiasan dari ’kematian'. Pemahaman ini tidak menyimpang dari bahasa Alquran. Kedua, audiensi utama seruan (mukhatab) dari ayat ini ialah pribadi suci Nabi sendiri. Bahwa beliau telah meraih keyakinan dan tak sedikit pun melalaikan ibadah adalah dua fakta yang tak terbantahkan.</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Perlu digaris bawahi bahwa kalaupun kata ’yakin' dalam ayat ini diartikan dengan makna literalnya, tetap saja klaim jajaran sufi itu tidak terdukung. Sebab, sejauh kesaksian para pakar sastra </w:t>
      </w:r>
      <w:bookmarkStart w:id="387" w:name="pg5378_50834"/>
    </w:p>
    <w:p>
      <w:pPr>
        <w:pStyle w:val="BookText"/>
        <w:bidi w:val="0"/>
        <w:rPr/>
      </w:pPr>
      <w:bookmarkEnd w:id="387"/>
      <w:r>
        <w:rPr>
          <w:rFonts w:eastAsia="Times New Roman" w:cs="Times New Roman" w:ascii="Times New Roman" w:hAnsi="Times New Roman"/>
          <w:color w:val="111111"/>
          <w:sz w:val="28"/>
          <w:szCs w:val="28"/>
          <w:lang w:val="en-US"/>
        </w:rPr>
        <w:t>Arab, ketika kata hatta (hingga) digunakan serelasi dengan kata kerja mudhari” (dalam ayat: ya’ti, yaitu datang), maka salah satu artinya adalah menerangkan sebab pekerjaan, bukan waktu akhir kejadiannya. Sebagai contoh, manakala dikatakan, Atqin amalak Hatta Tasythair (laksanakan pekerjaanmu dengan sempurna hingga kamu terkenal), kalimat ini tidak berarti bahwa setelah terkenal, subjek lalu tidak punya hubungan lagi dengan kesempurnaan kerja, tetapi ia sekadar menerangkan relasi kausalitas di antara kesempurnaan kerja dan keterkenalan pekerja.</w:t>
      </w:r>
      <w:r>
        <w:rPr>
          <w:rStyle w:val="FootnoteAnchor"/>
        </w:rPr>
        <w:footnoteReference w:id="574"/>
      </w:r>
    </w:p>
    <w:p>
      <w:pPr>
        <w:pStyle w:val="BookText"/>
        <w:bidi w:val="0"/>
        <w:jc w:val="both"/>
        <w:rPr/>
      </w:pPr>
      <w:r>
        <w:rPr>
          <w:rFonts w:eastAsia="Times New Roman" w:cs="Times New Roman" w:ascii="Times New Roman" w:hAnsi="Times New Roman"/>
          <w:color w:val="111111"/>
          <w:sz w:val="28"/>
          <w:szCs w:val="28"/>
          <w:lang w:val="en-US"/>
        </w:rPr>
        <w:t>Demikianlah ayat di atas juga bisa dijadikan sebagai bukti bahwa keyakinan—sebagai salah satu tingkatan tertinggi dari kesempurnaan manusia —hanya dapat diraih dengan ibadah, bukan setelah mendapat keyakinan lantas ibadah tidak diperlukan lagi.</w:t>
      </w:r>
    </w:p>
    <w:p>
      <w:pPr>
        <w:pStyle w:val="Heading4"/>
        <w:numPr>
          <w:ilvl w:val="3"/>
          <w:numId w:val="1"/>
        </w:numPr>
        <w:bidi w:val="0"/>
        <w:jc w:val="left"/>
        <w:rPr/>
      </w:pPr>
      <w:bookmarkStart w:id="388" w:name="__RefHeading___Toc1351322_581953129"/>
      <w:bookmarkStart w:id="389" w:name="_Toc140"/>
      <w:bookmarkEnd w:id="388"/>
      <w:r>
        <w:rPr/>
        <w:t>Konsistensi Khidhir pada Syariat</w:t>
      </w:r>
      <w:bookmarkEnd w:id="38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 sufi sering menyebut nama Khidhir. Mereka mengangkat kedudukan sebagian syeikh sebegitu tinggi hingga terkadang Khidhir sendiri meminta agar bisa bersanding di sisi mereka, namun permintaannya ditolak. Dalam perspektif mereka, Khidhir adalah pribadi yang telah melampaui tahap syariat dan masuk tahap tarikat. Karena itu, segala perilakunya tidak dimengerti seorang nabi yang masih sibuk dalam tahap syariat, sehingga wajar bila ia direaksi kritik dan protesnya. </w:t>
      </w:r>
      <w:r>
        <w:rPr>
          <w:rStyle w:val="FootnoteAnchor"/>
        </w:rPr>
        <w:footnoteReference w:id="575"/>
      </w:r>
      <w:r>
        <w:rPr>
          <w:rFonts w:eastAsia="Times New Roman" w:cs="Times New Roman" w:ascii="Times New Roman" w:hAnsi="Times New Roman"/>
          <w:color w:val="111111"/>
          <w:sz w:val="28"/>
          <w:szCs w:val="28"/>
          <w:lang w:val="en-US"/>
        </w:rPr>
        <w:t xml:space="preserve">Dalam konteks ini, kisah Khidhir dan Musa as telah memberikan pelajaran akan larangan berprasangka buruk terhadap para syeikh sufi, serta tidak diperkenankan memperlakukan syariat sebagai tolok ukur benar-salahnya perilaku mereka. Karena, sekalipun bukan rasul, Khidhir diperkenankan melakukan perbuatan yang secara lahiriah bertentangan dengan syariat. Layaknya Khidhir, para sufi ahli tarikat juga telah mengakses langsung sumber ilmu hakiki yang, ternyata, </w:t>
      </w:r>
    </w:p>
    <w:p>
      <w:pPr>
        <w:pStyle w:val="BookText"/>
        <w:bidi w:val="0"/>
        <w:rPr/>
      </w:pPr>
      <w:r>
        <w:rPr>
          <w:rFonts w:eastAsia="Times New Roman" w:cs="Times New Roman" w:ascii="Times New Roman" w:hAnsi="Times New Roman"/>
          <w:color w:val="111111"/>
          <w:sz w:val="28"/>
          <w:szCs w:val="28"/>
          <w:lang w:val="en-US"/>
        </w:rPr>
        <w:t>hasil-hasilnya kadang bertentangan dengan syariat masyarakat umum.</w:t>
      </w:r>
      <w:r>
        <w:rPr>
          <w:rStyle w:val="FootnoteAnchor"/>
        </w:rPr>
        <w:footnoteReference w:id="576"/>
      </w:r>
    </w:p>
    <w:p>
      <w:pPr>
        <w:pStyle w:val="BookText"/>
        <w:bidi w:val="0"/>
        <w:jc w:val="both"/>
        <w:rPr/>
      </w:pPr>
      <w:r>
        <w:rPr>
          <w:rFonts w:eastAsia="Times New Roman" w:cs="Times New Roman" w:ascii="Times New Roman" w:hAnsi="Times New Roman"/>
          <w:color w:val="111111"/>
          <w:sz w:val="28"/>
          <w:szCs w:val="28"/>
          <w:lang w:val="en-US"/>
        </w:rPr>
        <w:t>Berikut ini sejumlah kritik yang dapat dijadikan perbandingan:</w:t>
      </w:r>
    </w:p>
    <w:p>
      <w:pPr>
        <w:pStyle w:val="BookText"/>
        <w:bidi w:val="0"/>
        <w:jc w:val="both"/>
        <w:rPr/>
      </w:pPr>
      <w:r>
        <w:rPr>
          <w:rFonts w:eastAsia="Times New Roman" w:cs="Times New Roman" w:ascii="Times New Roman" w:hAnsi="Times New Roman"/>
          <w:color w:val="111111"/>
          <w:sz w:val="28"/>
          <w:szCs w:val="28"/>
          <w:lang w:val="en-US"/>
        </w:rPr>
        <w:t>Pertama, kendati Alquran tidak secara tegas menyatakan kenabian Khidhir, akan tetapi banyak riwayat telah menerangkan kenabian dan risalah yang diembannya. Makna zahir ayat pun lebih relevan dengan keterangan tersebut.</w:t>
      </w:r>
      <w:r>
        <w:rPr>
          <w:rStyle w:val="FootnoteAnchor"/>
        </w:rPr>
        <w:footnoteReference w:id="577"/>
      </w:r>
      <w:r>
        <w:rPr>
          <w:rFonts w:eastAsia="Times New Roman" w:cs="Times New Roman" w:ascii="Times New Roman" w:hAnsi="Times New Roman"/>
          <w:color w:val="111111"/>
          <w:sz w:val="28"/>
          <w:szCs w:val="28"/>
          <w:lang w:val="en-US"/>
        </w:rPr>
        <w:t>Jelas sekali, semua perilaku nabi tidak bertumpu kecuali hanya pada wahyu, dan tidak boleh keluar dari batas syariat, sekalipun dalam pelaksanaan hukum-hukum khusus.</w:t>
      </w:r>
    </w:p>
    <w:p>
      <w:pPr>
        <w:pStyle w:val="BookText"/>
        <w:bidi w:val="0"/>
        <w:jc w:val="both"/>
        <w:rPr/>
      </w:pPr>
      <w:r>
        <w:rPr>
          <w:rFonts w:eastAsia="Times New Roman" w:cs="Times New Roman" w:ascii="Times New Roman" w:hAnsi="Times New Roman"/>
          <w:color w:val="111111"/>
          <w:sz w:val="28"/>
          <w:szCs w:val="28"/>
          <w:lang w:val="en-US"/>
        </w:rPr>
        <w:t>Kedua, kalaupun dapat dipastikan Khidhir bukanlah seorang nabi, ini tidak cukup diacu untuk menyediakan pelayanan apologia kepada kaum sufi sepanjang perilaku bebas-syariat mereka.” Sebab, hubungan dengan alam gaib bukanlah peristiwa biasa, dan ini dapat diakui valid hanya dengan argumentasi yang pasti dan meyakinkan. Lalu, jika tindakan Khidhir itu tidak direstui Alquran, kita pun sebagaimana Musa as akan melancarkan protes terhadapnya, ”Sungguh engkau telah melakuktm perbuatrm munkar" (QS Al-Kahfi [18]: 74).</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Lebih dari itu, yang membuat prasangka orang berlipat buruk terhadap kaum sufi adalah bahwa tindakan Khidhir tidak sesuai dengan kecenderungan jiwa dan naluri manusia hingga tidak menyisakan selain beban berat dan kesan pahit. Melobangi kapal milik orang lain, membunuh remaja yang, secara zahir, tak berdosa, serta menegakkan dinding yang nyaris ambruk; bukanlah tindakan yang menentramkan jiwa, kalau tidak malah berresiko besar. Namun, ini tidak sama dengan perilaku kaum sufi; pelecehan syariat berlangsung saat mereka memandangi wajah-wajah tampan dengan harapan melihat Keindahan llahi, dan menempuh perjalanan ruhani dalam pesta tari, simﬁ’, dendang musik dan lagu! </w:t>
      </w:r>
      <w:bookmarkStart w:id="390" w:name="pg5378_50838"/>
    </w:p>
    <w:p>
      <w:pPr>
        <w:pStyle w:val="Heading4"/>
        <w:numPr>
          <w:ilvl w:val="3"/>
          <w:numId w:val="1"/>
        </w:numPr>
        <w:bidi w:val="0"/>
        <w:jc w:val="left"/>
        <w:rPr/>
      </w:pPr>
      <w:bookmarkStart w:id="391" w:name="__RefHeading___Toc1351324_581953129"/>
      <w:bookmarkStart w:id="392" w:name="_Toc141"/>
      <w:bookmarkEnd w:id="390"/>
      <w:bookmarkEnd w:id="391"/>
      <w:r>
        <w:rPr/>
        <w:t>Koherensi Sarana dan Tujuan</w:t>
      </w:r>
      <w:bookmarkEnd w:id="392"/>
    </w:p>
    <w:p>
      <w:pPr>
        <w:pStyle w:val="BookText"/>
        <w:bidi w:val="0"/>
        <w:jc w:val="both"/>
        <w:rPr/>
      </w:pPr>
      <w:r>
        <w:rPr>
          <w:rFonts w:eastAsia="Times New Roman" w:cs="Times New Roman" w:ascii="Times New Roman" w:hAnsi="Times New Roman"/>
          <w:color w:val="111111"/>
          <w:sz w:val="28"/>
          <w:szCs w:val="28"/>
          <w:lang w:val="en-US"/>
        </w:rPr>
        <w:t>Untuk memikul beban meraih kedekatan ilahi, diperlukan jalan khusus; tidak semua sarana mampu mengantarkan seseorang sampai Tujuan. Sepanjang sejarah, tidak jarang dijumpai pribadi yang mengabaikan ajaran agama dan etika, dan menggunakan pelbagai alat dan sarana untuk meraih tujuan kotornya.</w:t>
      </w:r>
    </w:p>
    <w:p>
      <w:pPr>
        <w:pStyle w:val="BookText"/>
        <w:bidi w:val="0"/>
        <w:jc w:val="both"/>
        <w:rPr/>
      </w:pPr>
      <w:r>
        <w:rPr>
          <w:rFonts w:eastAsia="Times New Roman" w:cs="Times New Roman" w:ascii="Times New Roman" w:hAnsi="Times New Roman"/>
          <w:color w:val="111111"/>
          <w:sz w:val="28"/>
          <w:szCs w:val="28"/>
          <w:lang w:val="en-US"/>
        </w:rPr>
        <w:t>Akan hanya keridhaan Allah sebagai tujuan, tentu tidak mungkin diraih melalui perbuatan haram. Sekecil apa pun perhatian pada selain Mahbub Hakiki, dan peduli terhadap kesenangan halal, oleh auliya Allah dikategorikan sebagai kendala perjalanan ruhani menuju kesempurnaan. ’Dosa' ini harus ditebus dengan tobat dan istighfar yang banyak. Apalagi dosa produk hawa nafsu dan syahwat atau perbuatan tercela lain; tidak akan menambah selain terhempas jauh dari Tuhan.</w:t>
      </w:r>
    </w:p>
    <w:p>
      <w:pPr>
        <w:pStyle w:val="BookText"/>
        <w:bidi w:val="0"/>
        <w:jc w:val="both"/>
        <w:rPr/>
      </w:pPr>
      <w:r>
        <w:rPr>
          <w:rFonts w:eastAsia="Times New Roman" w:cs="Times New Roman" w:ascii="Times New Roman" w:hAnsi="Times New Roman"/>
          <w:color w:val="111111"/>
          <w:sz w:val="28"/>
          <w:szCs w:val="28"/>
          <w:lang w:val="en-US"/>
        </w:rPr>
        <w:t>Sekelompok orang yang tertipu dunia senang melihat paras indah dan mengklaim ”Kami sedang menatap Keindahan Tuhan dalam manifestasi ini.” Klaim itu semata-mata kebohongan dan kesalahan mutlak. Kalau benar melihat yang halal akan menghasilkan kedunguan jiwa dan pelanggaran terhadap tugas-tugas Cinta Ilahi, lihatlah virus apa yang muncul akibat penglihatan yang haram! Kesalahan kelompok ini lantaran mereka telah membiarkan jiwanya melihat demikian dengan gejolak syahwat. Mereka menduga itu pengaruh dari hasrat kerinduan, bukan syahwat. Sungguh dugaan yang salah Masalahnya tidak lebih dari karena syahwat itu mengalir lembut dalam jiwa; mereka tidak menjumpai Hakikat-Nya di balik kelembutannya.</w:t>
      </w:r>
      <w:r>
        <w:rPr>
          <w:rStyle w:val="FootnoteAnchor"/>
        </w:rPr>
        <w:footnoteReference w:id="57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sarana-sarana yang sama sekali tidak patut sebagai tujuan suci, ada sebagian Sarana yang hanya benar digunakan jika dituntut </w:t>
      </w:r>
      <w:bookmarkStart w:id="393" w:name="pg5378_50840"/>
    </w:p>
    <w:p>
      <w:pPr>
        <w:pStyle w:val="BookText"/>
        <w:bidi w:val="0"/>
        <w:rPr/>
      </w:pPr>
      <w:bookmarkEnd w:id="393"/>
      <w:r>
        <w:rPr>
          <w:rFonts w:eastAsia="Times New Roman" w:cs="Times New Roman" w:ascii="Times New Roman" w:hAnsi="Times New Roman"/>
          <w:color w:val="111111"/>
          <w:sz w:val="28"/>
          <w:szCs w:val="28"/>
          <w:lang w:val="en-US"/>
        </w:rPr>
        <w:t>kondisi lingkungan dan motif masyarakat, agar nantinya tidak menjadi senjata makan tuan dan menghambat perjalanan Tujuan Hakiki. Dari sini, syair-syair cinta yang mengungkapkan getirnya perpisahan dan nikmatnya perjumpaan, dalam situasi tertentu, bukan malah menyembuhkan penyakit hati, tetapi justru membuatnya jadi parah. Ini dideskripsikan Mulla Shadra berkaitan dengan para pengaku sufi di zamannya:</w:t>
      </w:r>
    </w:p>
    <w:p>
      <w:pPr>
        <w:pStyle w:val="BookText"/>
        <w:bidi w:val="0"/>
        <w:jc w:val="both"/>
        <w:rPr/>
      </w:pPr>
      <w:r>
        <w:rPr>
          <w:rFonts w:eastAsia="Times New Roman" w:cs="Times New Roman" w:ascii="Times New Roman" w:hAnsi="Times New Roman"/>
          <w:color w:val="111111"/>
          <w:sz w:val="28"/>
          <w:szCs w:val="28"/>
          <w:lang w:val="en-US"/>
        </w:rPr>
        <w:t>Dari majelis—majelis kelompok tadi dinukil untaian syair yang membayangkan keindahan para kekasih tercinta, pencuri hati, nikmatnya perjumpaan dan pedihnya perpisahan. Padahal, mayoritas hadirin majelis hanyalah orang-orang lemah dari kaum awam, pemilik hati yang penuh nafsu, jiwa-jiwa yang cenderung hedonis, dan silau dengan kecantikan rupa. Karena itulah melantunkan syair dengan irama tertentu hanya akan membangkitkan syahwat terpendam dan memperparah penyakit akut yang telah mengakar kuat di dalam batin mereka.</w:t>
      </w:r>
      <w:r>
        <w:rPr>
          <w:rStyle w:val="FootnoteAnchor"/>
        </w:rPr>
        <w:footnoteReference w:id="579"/>
      </w:r>
    </w:p>
    <w:p>
      <w:pPr>
        <w:pStyle w:val="Heading4"/>
        <w:numPr>
          <w:ilvl w:val="3"/>
          <w:numId w:val="1"/>
        </w:numPr>
        <w:bidi w:val="0"/>
        <w:jc w:val="left"/>
        <w:rPr/>
      </w:pPr>
      <w:bookmarkStart w:id="394" w:name="__RefHeading___Toc1351326_581953129"/>
      <w:bookmarkStart w:id="395" w:name="_Toc142"/>
      <w:bookmarkEnd w:id="394"/>
      <w:r>
        <w:rPr/>
        <w:t>Karamah dan tolok ukur kebenaran</w:t>
      </w:r>
      <w:bookmarkEnd w:id="395"/>
    </w:p>
    <w:p>
      <w:pPr>
        <w:pStyle w:val="BookText"/>
        <w:bidi w:val="0"/>
        <w:jc w:val="both"/>
        <w:rPr/>
      </w:pPr>
      <w:r>
        <w:rPr>
          <w:rFonts w:eastAsia="Times New Roman" w:cs="Times New Roman" w:ascii="Times New Roman" w:hAnsi="Times New Roman"/>
          <w:color w:val="111111"/>
          <w:sz w:val="28"/>
          <w:szCs w:val="28"/>
          <w:lang w:val="en-US"/>
        </w:rPr>
        <w:t>Karamah</w:t>
      </w:r>
      <w:r>
        <w:rPr>
          <w:rStyle w:val="FootnoteAnchor"/>
        </w:rPr>
        <w:footnoteReference w:id="580"/>
      </w:r>
      <w:r>
        <w:rPr>
          <w:rFonts w:eastAsia="Times New Roman" w:cs="Times New Roman" w:ascii="Times New Roman" w:hAnsi="Times New Roman"/>
          <w:color w:val="111111"/>
          <w:sz w:val="28"/>
          <w:szCs w:val="28"/>
          <w:lang w:val="en-US"/>
        </w:rPr>
        <w:t>dan Tolok Ukur Kebenaran</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Kekuatan hebat ruh manusia sanggup menciptakan efek yang sangat menakjubkan dan mendesak orang terpukau karenanya. ltu tepatnya di saat ruh telah terlepas dari kekangan badan materil. Kekuatan semacam ini tidak terbatas hanya melalui praktik ibadah dan pengamalan syariat, namun bisa diperoleh dari keberhasilan menekan hasrat hewani, atau dari hubungan dengan kekuatan misterius setan.</w:t>
      </w:r>
      <w:r>
        <w:rPr>
          <w:rStyle w:val="FootnoteAnchor"/>
        </w:rPr>
        <w:footnoteReference w:id="581"/>
      </w:r>
    </w:p>
    <w:p>
      <w:pPr>
        <w:pStyle w:val="BookText"/>
        <w:bidi w:val="0"/>
        <w:rPr/>
      </w:pPr>
      <w:r>
        <w:rPr>
          <w:rFonts w:eastAsia="Times New Roman" w:cs="Times New Roman" w:ascii="Times New Roman" w:hAnsi="Times New Roman"/>
          <w:color w:val="111111"/>
          <w:sz w:val="28"/>
          <w:szCs w:val="28"/>
          <w:lang w:val="en-US"/>
        </w:rPr>
        <w:t>Oleh karena itu, Alquran menjelaskan pengaruh riil sihir dalam memisahkan antara suami-istri,</w:t>
      </w:r>
      <w:r>
        <w:rPr>
          <w:rStyle w:val="FootnoteAnchor"/>
        </w:rPr>
        <w:footnoteReference w:id="582"/>
      </w:r>
      <w:r>
        <w:rPr>
          <w:rFonts w:eastAsia="Times New Roman" w:cs="Times New Roman" w:ascii="Times New Roman" w:hAnsi="Times New Roman"/>
          <w:color w:val="111111"/>
          <w:sz w:val="28"/>
          <w:szCs w:val="28"/>
          <w:lang w:val="en-US"/>
        </w:rPr>
        <w:t>walaupun ajaran agama melarang keras mempelajari dan mempraktikkannya dalam kondisi normal.</w:t>
      </w:r>
      <w:r>
        <w:rPr>
          <w:rStyle w:val="FootnoteAnchor"/>
        </w:rPr>
        <w:footnoteReference w:id="583"/>
      </w:r>
      <w:r>
        <w:rPr>
          <w:rFonts w:eastAsia="Times New Roman" w:cs="Times New Roman" w:ascii="Times New Roman" w:hAnsi="Times New Roman"/>
          <w:color w:val="111111"/>
          <w:sz w:val="28"/>
          <w:szCs w:val="28"/>
          <w:lang w:val="en-US"/>
        </w:rPr>
        <w:t>Dengan motif apa pun, usaha memerangi keinginan nafsu akan menghasilkan kekuatan ruh yang dahsyat. Namun, hasil akhirat hanya akan diperoleh dengan komitmen kepada syariat.</w:t>
      </w:r>
    </w:p>
    <w:p>
      <w:pPr>
        <w:pStyle w:val="BookText"/>
        <w:bidi w:val="0"/>
        <w:jc w:val="both"/>
        <w:rPr/>
      </w:pPr>
      <w:r>
        <w:rPr>
          <w:rFonts w:eastAsia="Times New Roman" w:cs="Times New Roman" w:ascii="Times New Roman" w:hAnsi="Times New Roman"/>
          <w:color w:val="111111"/>
          <w:sz w:val="28"/>
          <w:szCs w:val="28"/>
          <w:lang w:val="en-US"/>
        </w:rPr>
        <w:t>Barangsiapa menghendaki keuntungan di akhirat akan Kami tambah keuntungan itu baginya. Dan barangsiapa menghendaki keuntungan di dunin akan Kami berikan kepadanya sebagian dari keuntungan dunia, dan tidak ada baginya suatu bahagian pun di akhirat (QS Al-Syura [42]: 20).</w:t>
      </w:r>
    </w:p>
    <w:p>
      <w:pPr>
        <w:pStyle w:val="BookText"/>
        <w:bidi w:val="0"/>
        <w:jc w:val="both"/>
        <w:rPr/>
      </w:pPr>
      <w:r>
        <w:rPr>
          <w:rFonts w:eastAsia="Times New Roman" w:cs="Times New Roman" w:ascii="Times New Roman" w:hAnsi="Times New Roman"/>
          <w:color w:val="111111"/>
          <w:sz w:val="28"/>
          <w:szCs w:val="28"/>
          <w:lang w:val="en-US"/>
        </w:rPr>
        <w:t>Para sufi memiliki koleksi karamah yang dinisbatkan kepada syeikh mereka dengan jumlah yang tak terbatas. Mungkin juga sebagiannya hasil rekayasa dan produk pembuat dongeng. Namun, toh ’akan cerita panjang itu sia-sia’, jadi tidak semua lantas dianggap omong kosong.</w:t>
      </w:r>
    </w:p>
    <w:p>
      <w:pPr>
        <w:pStyle w:val="BookText"/>
        <w:bidi w:val="0"/>
        <w:jc w:val="both"/>
        <w:rPr/>
      </w:pPr>
      <w:r>
        <w:rPr>
          <w:rFonts w:eastAsia="Times New Roman" w:cs="Times New Roman" w:ascii="Times New Roman" w:hAnsi="Times New Roman"/>
          <w:color w:val="111111"/>
          <w:sz w:val="28"/>
          <w:szCs w:val="28"/>
          <w:lang w:val="en-US"/>
        </w:rPr>
        <w:t xml:space="preserve">Patut diakui bahwa karamah menjadi salah satu daya tarik utama bagi banyak pihak terhadap tasawuf. Kekuatan luar biasa (khariqah li Al-Adah) sebagian kaum sufi kerap dijadikan bukti kebenaran aliran dan doktrin mereka. </w:t>
      </w:r>
      <w:r>
        <w:rPr>
          <w:rStyle w:val="FootnoteAnchor"/>
        </w:rPr>
        <w:footnoteReference w:id="584"/>
      </w:r>
      <w:r>
        <w:rPr>
          <w:rFonts w:eastAsia="Times New Roman" w:cs="Times New Roman" w:ascii="Times New Roman" w:hAnsi="Times New Roman"/>
          <w:color w:val="111111"/>
          <w:sz w:val="28"/>
          <w:szCs w:val="28"/>
          <w:lang w:val="en-US"/>
        </w:rPr>
        <w:t>Hanya telah dikemukakan sebelumnya, banyak ayat dan riwayat yang menilai pembuktian ini keliru.</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Untungnya, penilaian ini juga dinyatakan tegas oleh para tokoh besar tasawuf. Darinya, sekian banyak hikayat karamah dan pola hidup bebas-syariat telah memperlihatkan pertemuan yang kasar bergesekan. Misalnya, Jami menukil sikap Syihabuddin Umar Suhrawardi memvonis para sufi bebas-syariat yang memiliki </w:t>
      </w:r>
    </w:p>
    <w:p>
      <w:pPr>
        <w:pStyle w:val="BookText"/>
        <w:bidi w:val="0"/>
        <w:rPr/>
      </w:pPr>
      <w:r>
        <w:rPr>
          <w:rFonts w:eastAsia="Times New Roman" w:cs="Times New Roman" w:ascii="Times New Roman" w:hAnsi="Times New Roman"/>
          <w:color w:val="111111"/>
          <w:sz w:val="28"/>
          <w:szCs w:val="28"/>
          <w:lang w:val="en-US"/>
        </w:rPr>
        <w:t>karamah sebagai manusia kafir dan zindiq.</w:t>
      </w:r>
      <w:r>
        <w:rPr>
          <w:rStyle w:val="FootnoteAnchor"/>
        </w:rPr>
        <w:footnoteReference w:id="585"/>
      </w:r>
      <w:r>
        <w:rPr>
          <w:rFonts w:eastAsia="Times New Roman" w:cs="Times New Roman" w:ascii="Times New Roman" w:hAnsi="Times New Roman"/>
          <w:color w:val="111111"/>
          <w:sz w:val="28"/>
          <w:szCs w:val="28"/>
          <w:lang w:val="en-US"/>
        </w:rPr>
        <w:t>Hal serupa juga dinukil Qusyairi (376465 H) dari Abu Yazid:</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Jika engkau bertemu dengan orang yang memiliki karamah hingga dapat terbang ke angkasa, hendaknya engkau tidak tergila-gila kepadanya, dan perhatikanlah hidupnya dalam menjaga perintah dan larangan Allah serta komitmennya kepada hukum syariat.</w:t>
      </w:r>
      <w:r>
        <w:rPr>
          <w:rStyle w:val="FootnoteAnchor"/>
        </w:rPr>
        <w:footnoteReference w:id="586"/>
      </w:r>
      <w:bookmarkStart w:id="396" w:name="pg5378_50846"/>
    </w:p>
    <w:p>
      <w:pPr>
        <w:pStyle w:val="Heading2"/>
        <w:numPr>
          <w:ilvl w:val="1"/>
          <w:numId w:val="1"/>
        </w:numPr>
        <w:bidi w:val="0"/>
        <w:jc w:val="left"/>
        <w:rPr/>
      </w:pPr>
      <w:bookmarkStart w:id="397" w:name="__RefHeading___Toc1351328_581953129"/>
      <w:bookmarkStart w:id="398" w:name="_Toc143"/>
      <w:bookmarkEnd w:id="396"/>
      <w:bookmarkEnd w:id="397"/>
      <w:r>
        <w:rPr/>
        <w:t>BAB 8 AKAL: PERSPEKTIF ISLAM</w:t>
      </w:r>
      <w:bookmarkEnd w:id="39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99" w:name="__RefHeading___Toc1351330_581953129"/>
      <w:bookmarkStart w:id="400" w:name="_Toc144"/>
      <w:bookmarkEnd w:id="399"/>
      <w:r>
        <w:rPr/>
        <w:t>Point</w:t>
      </w:r>
      <w:bookmarkStart w:id="401" w:name="pg5378_50848"/>
      <w:bookmarkEnd w:id="400"/>
    </w:p>
    <w:p>
      <w:pPr>
        <w:pStyle w:val="BookText"/>
        <w:bidi w:val="0"/>
        <w:rPr/>
      </w:pPr>
      <w:bookmarkEnd w:id="401"/>
      <w:r>
        <w:rPr>
          <w:rFonts w:eastAsia="Times New Roman" w:cs="Times New Roman" w:ascii="Times New Roman" w:hAnsi="Times New Roman"/>
          <w:color w:val="111111"/>
          <w:sz w:val="28"/>
          <w:szCs w:val="28"/>
          <w:lang w:val="en-US"/>
        </w:rPr>
        <w:t>Sumber-sumber primer keislaman, terlepas dari segala bentuk Seksesi (ifrath) dan defisiensi (tafrith), memosisikan akal dan wahyu secara adil dan proposional. Di satu sisi, Alquran dan Sunah sangat mengapresiasi akal hingga menyebutnya sebagai hujjah dan nabi Tuhan. Di sisi lain, adanya sejumlah fakta penyimpangan pemikiran mengindikasikan ketidaksempurnaan instrumen pemahaman ini.</w:t>
      </w:r>
    </w:p>
    <w:p>
      <w:pPr>
        <w:pStyle w:val="BookText"/>
        <w:bidi w:val="0"/>
        <w:jc w:val="both"/>
        <w:rPr/>
      </w:pPr>
      <w:r>
        <w:rPr>
          <w:rFonts w:eastAsia="Times New Roman" w:cs="Times New Roman" w:ascii="Times New Roman" w:hAnsi="Times New Roman"/>
          <w:color w:val="111111"/>
          <w:sz w:val="28"/>
          <w:szCs w:val="28"/>
          <w:lang w:val="en-US"/>
        </w:rPr>
        <w:t>Kalangan pemikir Muslim, terutama pengikut Ahlul Bait, juga menekankan kompatibilitas akal dan wahyu. Ini tampak menonjol dari kepercayaan mereka pada prinsip baik-buruk rasional (husn wa qubh 'aqli) dan prinsip konsekuensi antara hukum akal dan hukum syariat (al-mulazamah bayn al-hukm al-'aqli wa al-hukm al-syar'i). Dengannya mereka menampilkan karakter rasionalistik peradaban otentik Islam.</w:t>
      </w:r>
    </w:p>
    <w:p>
      <w:pPr>
        <w:pStyle w:val="BookText"/>
        <w:bidi w:val="0"/>
        <w:jc w:val="both"/>
        <w:rPr/>
      </w:pPr>
      <w:r>
        <w:rPr>
          <w:rFonts w:eastAsia="Times New Roman" w:cs="Times New Roman" w:ascii="Times New Roman" w:hAnsi="Times New Roman"/>
          <w:color w:val="111111"/>
          <w:sz w:val="28"/>
          <w:szCs w:val="28"/>
          <w:lang w:val="en-US"/>
        </w:rPr>
        <w:t>Paradigma di atas inilah yang mungkin disebut sebagai rasionalisme moderat. Di dalamnya, penghargaan terhadap aka] tidak semestinya berdampak pada degradasi martabat agama. Atau sebaliknya, dalam rangka melindungi sakralitas agama, nilai dan kredibilitas akal dianggap tak berarti apa-apa. Aka] dan wahyu merupakan Hujjah Allah Swt. Itulah sebabnya antara ajaran ”nabi internal" (akal) dengan ajaran ”nabi eksternal"; bukan sekadar tidak ada pertentangan, melainkan keduanya saling berpadu utuh dan bekerjasama kompak. Atau dalam ungkapan indah Ibnu Rusyd:</w:t>
      </w:r>
    </w:p>
    <w:p>
      <w:pPr>
        <w:pStyle w:val="BookText"/>
        <w:bidi w:val="0"/>
        <w:jc w:val="both"/>
        <w:rPr/>
      </w:pPr>
      <w:r>
        <w:rPr>
          <w:rFonts w:eastAsia="Times New Roman" w:cs="Times New Roman" w:ascii="Times New Roman" w:hAnsi="Times New Roman"/>
          <w:color w:val="111111"/>
          <w:sz w:val="28"/>
          <w:szCs w:val="28"/>
          <w:lang w:val="en-US"/>
        </w:rPr>
        <w:t>Kebenaran tidak bertentangan dengan kebenaran, melainkan bersepakat dan saling memberi kesaksian atas kebenaran masing-masing.</w:t>
      </w:r>
      <w:r>
        <w:rPr>
          <w:rStyle w:val="FootnoteAnchor"/>
        </w:rPr>
        <w:footnoteReference w:id="587"/>
      </w:r>
    </w:p>
    <w:p>
      <w:pPr>
        <w:pStyle w:val="Heading3"/>
        <w:numPr>
          <w:ilvl w:val="2"/>
          <w:numId w:val="1"/>
        </w:numPr>
        <w:bidi w:val="0"/>
        <w:jc w:val="left"/>
        <w:rPr/>
      </w:pPr>
      <w:bookmarkStart w:id="402" w:name="__RefHeading___Toc1351332_581953129"/>
      <w:bookmarkStart w:id="403" w:name="_Toc145"/>
      <w:bookmarkEnd w:id="402"/>
      <w:r>
        <w:rPr/>
        <w:t>Tinjauan Teks (Ayat dan Riwayat)</w:t>
      </w:r>
      <w:bookmarkEnd w:id="40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mengimbau manusia untuk berpikir dan merenung, Alquran juga mencemooh dan mengecam orang—orang yang mengabaikan karunia Allah ini. Ia mencap orang yang tidak mengoperasikan </w:t>
      </w:r>
    </w:p>
    <w:p>
      <w:pPr>
        <w:pStyle w:val="BookText"/>
        <w:bidi w:val="0"/>
        <w:rPr/>
      </w:pPr>
      <w:r>
        <w:rPr>
          <w:rFonts w:eastAsia="Times New Roman" w:cs="Times New Roman" w:ascii="Times New Roman" w:hAnsi="Times New Roman"/>
          <w:color w:val="111111"/>
          <w:sz w:val="28"/>
          <w:szCs w:val="28"/>
          <w:lang w:val="en-US"/>
        </w:rPr>
        <w:t>rasionya sebagai makhuk terhina. Di dalamnya, bertaklid buta kepada para terdahulu juga sangat dikecam.</w:t>
      </w:r>
    </w:p>
    <w:p>
      <w:pPr>
        <w:pStyle w:val="BookText"/>
        <w:bidi w:val="0"/>
        <w:jc w:val="both"/>
        <w:rPr/>
      </w:pPr>
      <w:r>
        <w:rPr>
          <w:rFonts w:eastAsia="Times New Roman" w:cs="Times New Roman" w:ascii="Times New Roman" w:hAnsi="Times New Roman"/>
          <w:color w:val="111111"/>
          <w:sz w:val="28"/>
          <w:szCs w:val="28"/>
          <w:lang w:val="en-US"/>
        </w:rPr>
        <w:t>Rangkaian ungkapan begitu bijak yang maktub dalam Alquran merupakan sumber pelajaran yang kaya manfaat. Kitab suci ini mengarahkan manusia yang semata-mata beribadah dan meyakini agama begitu saja dengan menyuguhkan serangkaian argumentasi rasional. Alquran juga mengimbau manusia untuk mempraktikkan metode ini dalam berinteraksi. Akhirnya, dosa utama yang menjerumuskan manusia ke neraka adalah keengganan mengikuti tuntunan akal. Alquran menerangkan penyebab penghuni neraka menyesal:</w:t>
      </w:r>
    </w:p>
    <w:p>
      <w:pPr>
        <w:pStyle w:val="BookText"/>
        <w:bidi w:val="0"/>
        <w:jc w:val="both"/>
        <w:rPr/>
      </w:pPr>
      <w:r>
        <w:rPr>
          <w:rFonts w:eastAsia="Times New Roman" w:cs="Times New Roman" w:ascii="Times New Roman" w:hAnsi="Times New Roman"/>
          <w:color w:val="111111"/>
          <w:sz w:val="28"/>
          <w:szCs w:val="28"/>
          <w:lang w:val="en-US"/>
        </w:rPr>
        <w:t>Dan mereka berkata, "Kalau kiranya kami mendengarkan dan menggunakan akal kami, tidaklah kami akan menjadi penghumi api yang menyala" (QS Al-Mulk [67]: 10).</w:t>
      </w:r>
    </w:p>
    <w:p>
      <w:pPr>
        <w:pStyle w:val="BookText"/>
        <w:bidi w:val="0"/>
        <w:jc w:val="both"/>
        <w:rPr/>
      </w:pPr>
      <w:r>
        <w:rPr>
          <w:rFonts w:eastAsia="Times New Roman" w:cs="Times New Roman" w:ascii="Times New Roman" w:hAnsi="Times New Roman"/>
          <w:color w:val="111111"/>
          <w:sz w:val="28"/>
          <w:szCs w:val="28"/>
          <w:lang w:val="en-US"/>
        </w:rPr>
        <w:t>Ahlul Bait Nabi juga memberi apresiasi yang sangat tinggi terhadap akal; seolah-olah mengungguli segenap sanjungan para pengagum akal. Hisyam bin Hakam meriwayatkan dari Imam Kazhim yang menjelaskan secara khusus perihal kecemerlangan akal. Selain menyebutkan sejumlah kekhasan akal dan orang berakal, Imam Kazhlm berkata:</w:t>
      </w:r>
    </w:p>
    <w:p>
      <w:pPr>
        <w:pStyle w:val="BookText"/>
        <w:bidi w:val="0"/>
        <w:jc w:val="both"/>
        <w:rPr/>
      </w:pPr>
      <w:r>
        <w:rPr>
          <w:rFonts w:eastAsia="Times New Roman" w:cs="Times New Roman" w:ascii="Times New Roman" w:hAnsi="Times New Roman"/>
          <w:color w:val="111111"/>
          <w:sz w:val="28"/>
          <w:szCs w:val="28"/>
          <w:lang w:val="en-US"/>
        </w:rPr>
        <w:t>Allah menganugerahi manusia dua bukti (Hujjah): eksternal dan serta internal. Bukti ekstemal adalah para nabi dan imam, sedangkan bukti internal, akal manusia</w:t>
      </w:r>
      <w:r>
        <w:rPr>
          <w:rStyle w:val="FootnoteAnchor"/>
        </w:rPr>
        <w:footnoteReference w:id="588"/>
      </w:r>
    </w:p>
    <w:p>
      <w:pPr>
        <w:pStyle w:val="BookText"/>
        <w:bidi w:val="0"/>
        <w:jc w:val="both"/>
        <w:rPr/>
      </w:pPr>
      <w:r>
        <w:rPr>
          <w:rFonts w:eastAsia="Times New Roman" w:cs="Times New Roman" w:ascii="Times New Roman" w:hAnsi="Times New Roman"/>
          <w:color w:val="111111"/>
          <w:sz w:val="28"/>
          <w:szCs w:val="28"/>
          <w:lang w:val="en-US"/>
        </w:rPr>
        <w:t>Berkata akulah akal, utusan Dzul Jalal</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Akulah bukti Allah, utuh dari segala sesat</w:t>
      </w:r>
      <w:r>
        <w:rPr>
          <w:rStyle w:val="FootnoteAnchor"/>
        </w:rPr>
        <w:footnoteReference w:id="589"/>
      </w:r>
    </w:p>
    <w:p>
      <w:pPr>
        <w:pStyle w:val="BookText"/>
        <w:bidi w:val="0"/>
        <w:rPr/>
      </w:pPr>
      <w:r>
        <w:rPr>
          <w:rFonts w:eastAsia="Times New Roman" w:cs="Times New Roman" w:ascii="Times New Roman" w:hAnsi="Times New Roman"/>
          <w:color w:val="111111"/>
          <w:sz w:val="28"/>
          <w:szCs w:val="28"/>
          <w:lang w:val="en-US"/>
        </w:rPr>
        <w:t>Berikut ini sekelumit tentang esensi dan kedudukan istimewa</w:t>
      </w:r>
    </w:p>
    <w:p>
      <w:pPr>
        <w:pStyle w:val="BookText"/>
        <w:bidi w:val="0"/>
        <w:jc w:val="both"/>
        <w:rPr/>
      </w:pPr>
      <w:r>
        <w:rPr>
          <w:rFonts w:eastAsia="Times New Roman" w:cs="Times New Roman" w:ascii="Times New Roman" w:hAnsi="Times New Roman"/>
          <w:color w:val="111111"/>
          <w:sz w:val="28"/>
          <w:szCs w:val="28"/>
          <w:lang w:val="en-US"/>
        </w:rPr>
        <w:t>akal dalam perspektif riwayat, yang sekiranya sangat bermanfaat</w:t>
      </w:r>
    </w:p>
    <w:p>
      <w:pPr>
        <w:pStyle w:val="BookText"/>
        <w:bidi w:val="0"/>
        <w:jc w:val="both"/>
        <w:rPr/>
      </w:pPr>
      <w:r>
        <w:rPr>
          <w:rFonts w:eastAsia="Times New Roman" w:cs="Times New Roman" w:ascii="Times New Roman" w:hAnsi="Times New Roman"/>
          <w:color w:val="111111"/>
          <w:sz w:val="28"/>
          <w:szCs w:val="28"/>
          <w:lang w:val="en-US"/>
        </w:rPr>
        <w:t>untuk di-renungkan lebih jauh.</w:t>
      </w:r>
    </w:p>
    <w:p>
      <w:pPr>
        <w:pStyle w:val="BookText"/>
        <w:bidi w:val="0"/>
        <w:jc w:val="both"/>
        <w:rPr/>
      </w:pPr>
      <w:r>
        <w:rPr>
          <w:rFonts w:eastAsia="Times New Roman" w:cs="Times New Roman" w:ascii="Times New Roman" w:hAnsi="Times New Roman"/>
          <w:color w:val="111111"/>
          <w:sz w:val="28"/>
          <w:szCs w:val="28"/>
          <w:lang w:val="en-US"/>
        </w:rPr>
        <w:t>Pilar penyangga bangunan agama adalah akal. Hanya dengan sarana ini manusia dapat mengenal Allah. Dari segenap orang yang menuntut perjumpaan dengan Allah, orang yang memanfaatkan akal lebih dekat dengan-Nya.</w:t>
      </w:r>
      <w:r>
        <w:rPr>
          <w:rStyle w:val="FootnoteAnchor"/>
        </w:rPr>
        <w:footnoteReference w:id="590"/>
      </w:r>
    </w:p>
    <w:p>
      <w:pPr>
        <w:pStyle w:val="BookText"/>
        <w:bidi w:val="0"/>
        <w:jc w:val="both"/>
        <w:rPr/>
      </w:pPr>
      <w:r>
        <w:rPr>
          <w:rFonts w:eastAsia="Times New Roman" w:cs="Times New Roman" w:ascii="Times New Roman" w:hAnsi="Times New Roman"/>
          <w:color w:val="111111"/>
          <w:sz w:val="28"/>
          <w:szCs w:val="28"/>
          <w:lang w:val="en-US"/>
        </w:rPr>
        <w:t>Berkat akal, manusia hidup kokoh; dan tanpanya, agama tak tercapai dengan benar.</w:t>
      </w:r>
      <w:r>
        <w:rPr>
          <w:rStyle w:val="FootnoteAnchor"/>
        </w:rPr>
        <w:footnoteReference w:id="591"/>
      </w:r>
    </w:p>
    <w:p>
      <w:pPr>
        <w:pStyle w:val="BookText"/>
        <w:bidi w:val="0"/>
        <w:jc w:val="both"/>
        <w:rPr/>
      </w:pPr>
      <w:r>
        <w:rPr>
          <w:rFonts w:eastAsia="Times New Roman" w:cs="Times New Roman" w:ascii="Times New Roman" w:hAnsi="Times New Roman"/>
          <w:color w:val="111111"/>
          <w:sz w:val="28"/>
          <w:szCs w:val="28"/>
          <w:lang w:val="en-US"/>
        </w:rPr>
        <w:t>Mengikuti tuntunan akal adalah jalan keberuntungan, dan melanggar-nya adalah sebab penyesalan</w:t>
      </w:r>
      <w:r>
        <w:rPr>
          <w:rStyle w:val="FootnoteAnchor"/>
        </w:rPr>
        <w:footnoteReference w:id="592"/>
      </w:r>
    </w:p>
    <w:p>
      <w:pPr>
        <w:pStyle w:val="BookText"/>
        <w:bidi w:val="0"/>
        <w:jc w:val="both"/>
        <w:rPr/>
      </w:pPr>
      <w:r>
        <w:rPr>
          <w:rFonts w:eastAsia="Times New Roman" w:cs="Times New Roman" w:ascii="Times New Roman" w:hAnsi="Times New Roman"/>
          <w:color w:val="111111"/>
          <w:sz w:val="28"/>
          <w:szCs w:val="28"/>
          <w:lang w:val="en-US"/>
        </w:rPr>
        <w:t>Derajat penghuni surga akan ditimbang dengan neraca akal; semakin menggunakan akalnya, semakin dekat di sisi Allah.</w:t>
      </w:r>
      <w:r>
        <w:rPr>
          <w:rStyle w:val="FootnoteAnchor"/>
        </w:rPr>
        <w:footnoteReference w:id="593"/>
      </w:r>
    </w:p>
    <w:p>
      <w:pPr>
        <w:pStyle w:val="BookText"/>
        <w:bidi w:val="0"/>
        <w:jc w:val="both"/>
        <w:rPr/>
      </w:pPr>
      <w:r>
        <w:rPr>
          <w:rFonts w:eastAsia="Times New Roman" w:cs="Times New Roman" w:ascii="Times New Roman" w:hAnsi="Times New Roman"/>
          <w:color w:val="111111"/>
          <w:sz w:val="28"/>
          <w:szCs w:val="28"/>
          <w:lang w:val="en-US"/>
        </w:rPr>
        <w:t>Tidur orang berakal lebih baik dari tidur orang yang kurang [memanfaatkan] akalnya; dan makannya membuahkan kedekatan dan keutamaan diri lebih daripada buka buasa mereka.</w:t>
      </w:r>
      <w:r>
        <w:rPr>
          <w:rStyle w:val="FootnoteAnchor"/>
        </w:rPr>
        <w:footnoteReference w:id="594"/>
      </w:r>
    </w:p>
    <w:p>
      <w:pPr>
        <w:pStyle w:val="BookText"/>
        <w:bidi w:val="0"/>
        <w:jc w:val="both"/>
        <w:rPr/>
      </w:pPr>
      <w:r>
        <w:rPr>
          <w:rFonts w:eastAsia="Times New Roman" w:cs="Times New Roman" w:ascii="Times New Roman" w:hAnsi="Times New Roman"/>
          <w:color w:val="111111"/>
          <w:sz w:val="28"/>
          <w:szCs w:val="28"/>
          <w:lang w:val="en-US"/>
        </w:rPr>
        <w:t>Lenyapnya akal ibarat terpisahnya ruh dari tubuh manusia, padahal tak ada tubuh tanpa ruh</w:t>
      </w:r>
      <w:r>
        <w:rPr>
          <w:rStyle w:val="FootnoteAnchor"/>
        </w:rPr>
        <w:footnoteReference w:id="595"/>
      </w:r>
    </w:p>
    <w:p>
      <w:pPr>
        <w:pStyle w:val="BookText"/>
        <w:bidi w:val="0"/>
        <w:jc w:val="both"/>
        <w:rPr/>
      </w:pPr>
      <w:r>
        <w:rPr>
          <w:rFonts w:eastAsia="Times New Roman" w:cs="Times New Roman" w:ascii="Times New Roman" w:hAnsi="Times New Roman"/>
          <w:color w:val="111111"/>
          <w:sz w:val="28"/>
          <w:szCs w:val="28"/>
          <w:lang w:val="en-US"/>
        </w:rPr>
        <w:t>Akal adalah rasul dan nabi Allah.</w:t>
      </w:r>
      <w:r>
        <w:rPr>
          <w:rStyle w:val="FootnoteAnchor"/>
        </w:rPr>
        <w:footnoteReference w:id="596"/>
      </w:r>
    </w:p>
    <w:p>
      <w:pPr>
        <w:pStyle w:val="BookText"/>
        <w:bidi w:val="0"/>
        <w:jc w:val="both"/>
        <w:rPr/>
      </w:pPr>
      <w:r>
        <w:rPr>
          <w:rFonts w:eastAsia="Times New Roman" w:cs="Times New Roman" w:ascii="Times New Roman" w:hAnsi="Times New Roman"/>
          <w:color w:val="111111"/>
          <w:sz w:val="28"/>
          <w:szCs w:val="28"/>
          <w:lang w:val="en-US"/>
        </w:rPr>
        <w:t>Tiada kemiskinan yang melebihi lenyapnya akal.</w:t>
      </w:r>
      <w:r>
        <w:rPr>
          <w:rStyle w:val="FootnoteAnchor"/>
        </w:rPr>
        <w:footnoteReference w:id="597"/>
      </w:r>
    </w:p>
    <w:p>
      <w:pPr>
        <w:pStyle w:val="BookText"/>
        <w:bidi w:val="0"/>
        <w:jc w:val="both"/>
        <w:rPr/>
      </w:pPr>
      <w:r>
        <w:rPr>
          <w:rFonts w:eastAsia="Times New Roman" w:cs="Times New Roman" w:ascii="Times New Roman" w:hAnsi="Times New Roman"/>
          <w:color w:val="111111"/>
          <w:sz w:val="28"/>
          <w:szCs w:val="28"/>
          <w:lang w:val="en-US"/>
        </w:rPr>
        <w:t>Keyakinan agama dan rasa malu tak akan terpisah dari berfikir.</w:t>
      </w:r>
      <w:r>
        <w:rPr>
          <w:rStyle w:val="FootnoteAnchor"/>
        </w:rPr>
        <w:footnoteReference w:id="59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Akal adalah teman rahasia manusia yang terus bersemayam di dada-nya; sementara kebodohan musuh abadi.</w:t>
      </w:r>
      <w:r>
        <w:rPr>
          <w:rStyle w:val="FootnoteAnchor"/>
        </w:rPr>
        <w:footnoteReference w:id="599"/>
      </w:r>
      <w:bookmarkStart w:id="404" w:name="pg5378_50853"/>
    </w:p>
    <w:p>
      <w:pPr>
        <w:pStyle w:val="Heading3"/>
        <w:numPr>
          <w:ilvl w:val="2"/>
          <w:numId w:val="1"/>
        </w:numPr>
        <w:bidi w:val="0"/>
        <w:jc w:val="left"/>
        <w:rPr/>
      </w:pPr>
      <w:bookmarkStart w:id="405" w:name="__RefHeading___Toc1351334_581953129"/>
      <w:bookmarkStart w:id="406" w:name="_Toc146"/>
      <w:bookmarkEnd w:id="404"/>
      <w:bookmarkEnd w:id="405"/>
      <w:r>
        <w:rPr/>
        <w:t>Perspektif Alquran</w:t>
      </w:r>
      <w:bookmarkEnd w:id="406"/>
    </w:p>
    <w:p>
      <w:pPr>
        <w:pStyle w:val="Heading4"/>
        <w:numPr>
          <w:ilvl w:val="3"/>
          <w:numId w:val="1"/>
        </w:numPr>
        <w:bidi w:val="0"/>
        <w:jc w:val="left"/>
        <w:rPr/>
      </w:pPr>
      <w:bookmarkStart w:id="407" w:name="__RefHeading___Toc1351336_581953129"/>
      <w:bookmarkStart w:id="408" w:name="_Toc147"/>
      <w:bookmarkEnd w:id="407"/>
      <w:r>
        <w:rPr/>
        <w:t>Point</w:t>
      </w:r>
      <w:bookmarkEnd w:id="408"/>
    </w:p>
    <w:p>
      <w:pPr>
        <w:pStyle w:val="BookText"/>
        <w:bidi w:val="0"/>
        <w:jc w:val="both"/>
        <w:rPr/>
      </w:pPr>
      <w:r>
        <w:rPr>
          <w:rFonts w:eastAsia="Times New Roman" w:cs="Times New Roman" w:ascii="Times New Roman" w:hAnsi="Times New Roman"/>
          <w:color w:val="111111"/>
          <w:sz w:val="28"/>
          <w:szCs w:val="28"/>
          <w:lang w:val="en-US"/>
        </w:rPr>
        <w:t>Sebagai risalah terakhir nabi eksternal, Alquran bukan saja tidak menentang risalah internal (akal), melainkan justru mendukungnya dalam berbagai bentuk. Berikut akan diketengahkan sejumlah contoh seputar harmoni dan kompatibilitas akal-wahyu.</w:t>
      </w:r>
      <w:r>
        <w:rPr>
          <w:rStyle w:val="FootnoteAnchor"/>
        </w:rPr>
        <w:footnoteReference w:id="600"/>
      </w:r>
    </w:p>
    <w:p>
      <w:pPr>
        <w:pStyle w:val="Heading4"/>
        <w:numPr>
          <w:ilvl w:val="3"/>
          <w:numId w:val="1"/>
        </w:numPr>
        <w:bidi w:val="0"/>
        <w:jc w:val="left"/>
        <w:rPr/>
      </w:pPr>
      <w:bookmarkStart w:id="409" w:name="__RefHeading___Toc1351338_581953129"/>
      <w:bookmarkStart w:id="410" w:name="_Toc148"/>
      <w:bookmarkEnd w:id="409"/>
      <w:r>
        <w:rPr/>
        <w:t>Mengajak Berpikir</w:t>
      </w:r>
      <w:bookmarkEnd w:id="410"/>
    </w:p>
    <w:p>
      <w:pPr>
        <w:pStyle w:val="BookText"/>
        <w:bidi w:val="0"/>
        <w:jc w:val="both"/>
        <w:rPr/>
      </w:pPr>
      <w:r>
        <w:rPr>
          <w:rFonts w:eastAsia="Times New Roman" w:cs="Times New Roman" w:ascii="Times New Roman" w:hAnsi="Times New Roman"/>
          <w:color w:val="111111"/>
          <w:sz w:val="28"/>
          <w:szCs w:val="28"/>
          <w:lang w:val="en-US"/>
        </w:rPr>
        <w:t>Seruan Alquran untuk berpikir diungkapkan dalam bentuk yang bervariasi seperti: memandang secara seksama (nazdar), berfikir (tafakkur), merenungkan (tadabbur), mengambil pelajaran (i’tibar), menyadari (tadzakkur), clan mendalami pemahaman (tafaqquh). Variasi ini semakin mengukuhkan bahwa menolak akal sama dengan menentang logika Alquran.</w:t>
      </w:r>
    </w:p>
    <w:p>
      <w:pPr>
        <w:pStyle w:val="BookText"/>
        <w:bidi w:val="0"/>
        <w:jc w:val="both"/>
        <w:rPr/>
      </w:pPr>
      <w:r>
        <w:rPr>
          <w:rFonts w:eastAsia="Times New Roman" w:cs="Times New Roman" w:ascii="Times New Roman" w:hAnsi="Times New Roman"/>
          <w:color w:val="111111"/>
          <w:sz w:val="28"/>
          <w:szCs w:val="28"/>
          <w:lang w:val="en-US"/>
        </w:rPr>
        <w:t>Searah dengan itu, ayat—ayat tata-tinta (kalam/ tasryri'i) dan tata— cipta (alam/takwini) merupakan bukti-bukti atas eksistensi Tuhan dan, dalam pelbagai kondisi, menjadi karunia besar bagi orang berakal dan pemikir. Tidak berlebihan bila kita berharap, dengan merujuk sebagian di antaranya, mata hati menjadi lebih terang dan bersinar:</w:t>
      </w:r>
    </w:p>
    <w:p>
      <w:pPr>
        <w:pStyle w:val="BookText"/>
        <w:bidi w:val="0"/>
        <w:jc w:val="both"/>
        <w:rPr/>
      </w:pPr>
      <w:r>
        <w:rPr>
          <w:rFonts w:eastAsia="Times New Roman" w:cs="Times New Roman" w:ascii="Times New Roman" w:hAnsi="Times New Roman"/>
          <w:color w:val="111111"/>
          <w:sz w:val="28"/>
          <w:szCs w:val="28"/>
          <w:lang w:val="en-US"/>
        </w:rPr>
        <w:t>Mengapa mereka tiada memperhatikan unta, bagaimana diciptakan Dan langit, bagaimana ditinggikan? Dan gunung-gunung, bagaimana ditegakkan? Dan bumi, bagaimana dihamparkan? (QS Al-Ghasyiyah [88]: 17-20).</w:t>
      </w:r>
    </w:p>
    <w:p>
      <w:pPr>
        <w:pStyle w:val="BookText"/>
        <w:bidi w:val="0"/>
        <w:jc w:val="both"/>
        <w:rPr/>
      </w:pPr>
      <w:r>
        <w:rPr>
          <w:rFonts w:eastAsia="Times New Roman" w:cs="Times New Roman" w:ascii="Times New Roman" w:hAnsi="Times New Roman"/>
          <w:color w:val="111111"/>
          <w:sz w:val="28"/>
          <w:szCs w:val="28"/>
          <w:lang w:val="en-US"/>
        </w:rPr>
        <w:t>(lnilah) kitab yang Kami turunkan kepadamu, penuh keberkahan supaya mereka memperhatikan ayat-ayatnya dan supaya orang-omng berakal dapat mengerti (QS Shad [38]: 28).</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Sesunggulmya tentang kejadian langit dan bumi dan pertengahan malam dan siang, terdapat keterangan bagi orang-orang yang mengerti. Orang-orang yang mengingat Allah ketika berdiri dan duduk, ketika </w:t>
      </w:r>
      <w:bookmarkStart w:id="411" w:name="pg5378_50855"/>
    </w:p>
    <w:p>
      <w:pPr>
        <w:pStyle w:val="BookText"/>
        <w:bidi w:val="0"/>
        <w:rPr/>
      </w:pPr>
      <w:bookmarkEnd w:id="411"/>
      <w:r>
        <w:rPr>
          <w:rFonts w:eastAsia="Times New Roman" w:cs="Times New Roman" w:ascii="Times New Roman" w:hAnsi="Times New Roman"/>
          <w:color w:val="111111"/>
          <w:sz w:val="28"/>
          <w:szCs w:val="28"/>
          <w:lang w:val="en-US"/>
        </w:rPr>
        <w:t>berbaring dan mereka memikirkan tentang kejadian langit dan bumi mengatakan, tidaklah Engkau menjadikan ini dengan sia—sia, Maha suci Engkau, jagalah kami dari siksa api neraka (QS Al Imran [3]: 190-191).</w:t>
      </w:r>
    </w:p>
    <w:p>
      <w:pPr>
        <w:pStyle w:val="BookText"/>
        <w:bidi w:val="0"/>
        <w:jc w:val="both"/>
        <w:rPr/>
      </w:pPr>
      <w:r>
        <w:rPr>
          <w:rFonts w:eastAsia="Times New Roman" w:cs="Times New Roman" w:ascii="Times New Roman" w:hAnsi="Times New Roman"/>
          <w:color w:val="111111"/>
          <w:sz w:val="28"/>
          <w:szCs w:val="28"/>
          <w:lang w:val="en-US"/>
        </w:rPr>
        <w:t>Dan sesungguhnya tentang kehidupan binatang ternak itu menjadi pelajaran bagi kamu. Kami beri minum dengan apa yang ada dari dalam perutnya; di antara kotoran dan darah terdapat susu yang bersih mudah untuk ditelan oleh orang-orang yang meminum (QS Al-Nahl [16]: 66).</w:t>
      </w:r>
    </w:p>
    <w:p>
      <w:pPr>
        <w:pStyle w:val="BookText"/>
        <w:bidi w:val="0"/>
        <w:jc w:val="both"/>
        <w:rPr/>
      </w:pPr>
      <w:r>
        <w:rPr>
          <w:rFonts w:eastAsia="Times New Roman" w:cs="Times New Roman" w:ascii="Times New Roman" w:hAnsi="Times New Roman"/>
          <w:color w:val="111111"/>
          <w:sz w:val="28"/>
          <w:szCs w:val="28"/>
          <w:lang w:val="en-US"/>
        </w:rPr>
        <w:t>Dan sesungguhnya Kami jadikan isi neraka jahannam kebanyakan dari jin dan manusia yang mempunyai hati (tetapi) tidak memahamkan dengan hatinya, mempunyai mata tetapi tidak melihat dengan mata-nya dan mempunyai telinga tetapi tidak mendengar dengan telinganya. Orang- orang itu seperti binatang ternak bahkan lebih sesat, itulah orang-orang yang lalai (QS Al-A‘raf [7]: 179).</w:t>
      </w:r>
    </w:p>
    <w:p>
      <w:pPr>
        <w:pStyle w:val="Heading4"/>
        <w:numPr>
          <w:ilvl w:val="3"/>
          <w:numId w:val="1"/>
        </w:numPr>
        <w:bidi w:val="0"/>
        <w:jc w:val="left"/>
        <w:rPr/>
      </w:pPr>
      <w:bookmarkStart w:id="412" w:name="__RefHeading___Toc1351340_581953129"/>
      <w:bookmarkStart w:id="413" w:name="_Toc149"/>
      <w:bookmarkEnd w:id="412"/>
      <w:r>
        <w:rPr/>
        <w:t>Merumuskan Argumentasi Rasional</w:t>
      </w:r>
      <w:bookmarkEnd w:id="413"/>
    </w:p>
    <w:p>
      <w:pPr>
        <w:pStyle w:val="BookText"/>
        <w:bidi w:val="0"/>
        <w:jc w:val="both"/>
        <w:rPr/>
      </w:pPr>
      <w:r>
        <w:rPr>
          <w:rFonts w:eastAsia="Times New Roman" w:cs="Times New Roman" w:ascii="Times New Roman" w:hAnsi="Times New Roman"/>
          <w:color w:val="111111"/>
          <w:sz w:val="28"/>
          <w:szCs w:val="28"/>
          <w:lang w:val="en-US"/>
        </w:rPr>
        <w:t xml:space="preserve">Alquran mempercayakan upaya mencapai argumentasi rasional tidak hanya kepada para audiensinya. Di sejumlah tempat, khususnya yang berkenaan dengan tema-tema ketuhanan, kenabian, dan Hari Pembalasan, Alquran menyuguhkan pembuktian rasional. Tentang tauhid, misalnya, Allah berfirman </w:t>
      </w:r>
      <w:r>
        <w:rPr>
          <w:rStyle w:val="FootnoteAnchor"/>
        </w:rPr>
        <w:footnoteReference w:id="601"/>
      </w:r>
    </w:p>
    <w:p>
      <w:pPr>
        <w:pStyle w:val="BookText"/>
        <w:bidi w:val="0"/>
        <w:jc w:val="both"/>
        <w:rPr/>
      </w:pPr>
      <w:r>
        <w:rPr>
          <w:rFonts w:eastAsia="Times New Roman" w:cs="Times New Roman" w:ascii="Times New Roman" w:hAnsi="Times New Roman"/>
          <w:color w:val="111111"/>
          <w:sz w:val="28"/>
          <w:szCs w:val="28"/>
          <w:lang w:val="en-US"/>
        </w:rPr>
        <w:t>Dan kiranya di langit dan di bumi ada tuhan-tuhan selain Allah, Sudah tentu keduanya akan hancur binasa (QS Al-Anbiya’ [21]: 22).</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juga menantang para penentangnya agar berargumentasi secara rasional: </w:t>
      </w:r>
      <w:bookmarkStart w:id="414" w:name="pg5378_50857"/>
    </w:p>
    <w:p>
      <w:pPr>
        <w:pStyle w:val="BookText"/>
        <w:bidi w:val="0"/>
        <w:rPr/>
      </w:pPr>
      <w:bookmarkEnd w:id="414"/>
      <w:r>
        <w:rPr>
          <w:rFonts w:eastAsia="Times New Roman" w:cs="Times New Roman" w:ascii="Times New Roman" w:hAnsi="Times New Roman"/>
          <w:color w:val="111111"/>
          <w:sz w:val="28"/>
          <w:szCs w:val="28"/>
          <w:lang w:val="en-US"/>
        </w:rPr>
        <w:t>Dan merekn mengatakan, ”Tidak akan masuk ke dalam surga selain orang-orang Yahudi dan Nasrani." ltu hanya angan-angan kosong belaka. Katakanlah, ”Kemukakanlah buktimu, jika kamu memang benar’ (QS Al-Baqarah [2]: 111).</w:t>
      </w:r>
    </w:p>
    <w:p>
      <w:pPr>
        <w:pStyle w:val="BookText"/>
        <w:bidi w:val="0"/>
        <w:jc w:val="both"/>
        <w:rPr/>
      </w:pPr>
      <w:r>
        <w:rPr>
          <w:rFonts w:eastAsia="Times New Roman" w:cs="Times New Roman" w:ascii="Times New Roman" w:hAnsi="Times New Roman"/>
          <w:color w:val="111111"/>
          <w:sz w:val="28"/>
          <w:szCs w:val="28"/>
          <w:lang w:val="en-US"/>
        </w:rPr>
        <w:t>Sangat disayangkan, kalangan pemikir konservatif kerap menajamkan perbedaan antara logika Alquran dan logika Yunani; dan memperkenalkan argumentasi rasional versi Alquran sui generis, sangat istimewa dan benar-benar berbeda. Sikap ini lebih dipicu oleh kekuatiran mereka akan status terhormat Alquran dan kedudukannya yang, dengan pola-pola argumentasi rasional, akan terdegradasi hingga sebatas pengetahuan lazim manusia.</w:t>
      </w:r>
    </w:p>
    <w:p>
      <w:pPr>
        <w:pStyle w:val="BookText"/>
        <w:bidi w:val="0"/>
        <w:jc w:val="both"/>
        <w:rPr/>
      </w:pPr>
      <w:r>
        <w:rPr>
          <w:rFonts w:eastAsia="Times New Roman" w:cs="Times New Roman" w:ascii="Times New Roman" w:hAnsi="Times New Roman"/>
          <w:color w:val="111111"/>
          <w:sz w:val="28"/>
          <w:szCs w:val="28"/>
          <w:lang w:val="en-US"/>
        </w:rPr>
        <w:t>Kalangan ini yakin bahwa argumentasi Alquran, dalam berbagai aspeknya, sangat berbeda dengan logika Yunani. Umpama, logika Yunani terdiri dari dua premis, minor dan mayor, sementara Alquran hanya dengan satu premis sudah menghasilkan konklusi.</w:t>
      </w:r>
      <w:r>
        <w:rPr>
          <w:rStyle w:val="FootnoteAnchor"/>
        </w:rPr>
        <w:footnoteReference w:id="602"/>
      </w:r>
    </w:p>
    <w:p>
      <w:pPr>
        <w:pStyle w:val="BookText"/>
        <w:bidi w:val="0"/>
        <w:jc w:val="both"/>
        <w:rPr/>
      </w:pPr>
      <w:r>
        <w:rPr>
          <w:rFonts w:eastAsia="Times New Roman" w:cs="Times New Roman" w:ascii="Times New Roman" w:hAnsi="Times New Roman"/>
          <w:color w:val="111111"/>
          <w:sz w:val="28"/>
          <w:szCs w:val="28"/>
          <w:lang w:val="en-US"/>
        </w:rPr>
        <w:t>Entah mengapa, seakan mereka lengah akan satu hal; bahwa akal merupakan karunia Tuhan yang diakses baik Muslim maupun non-Muslim secara adil dan sama-rata. Hal lainnya, argumentasi rasional versi Alquran senyatanya diajukan kepada manusia sesuai dengan substansi akal lazimnya. Namun, perumusan argumentasi rasional yang diprakarsai bangsa Yunani bukanlah alasan kita hingga harus mencari basis acuan selain akal lazim manusia untuk argumentasi rasional versi Alquran, lalu dengan cara ini kita berusaha memosisikan aktifitas aklani sebagai titah agama yang harus dipatuhi.</w:t>
      </w:r>
    </w:p>
    <w:p>
      <w:pPr>
        <w:pStyle w:val="Heading4"/>
        <w:numPr>
          <w:ilvl w:val="3"/>
          <w:numId w:val="1"/>
        </w:numPr>
        <w:bidi w:val="0"/>
        <w:jc w:val="left"/>
        <w:rPr/>
      </w:pPr>
      <w:bookmarkStart w:id="415" w:name="__RefHeading___Toc1351342_581953129"/>
      <w:bookmarkStart w:id="416" w:name="_Toc150"/>
      <w:bookmarkEnd w:id="415"/>
      <w:r>
        <w:rPr/>
        <w:t>Mengacu Prinsip Kausalitas</w:t>
      </w:r>
      <w:bookmarkEnd w:id="41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Prinsip kausalitas merupakan basis pemikiran rasional. Tanpa mengakuinya, seseorang mustahil membangun argumentasi rasional. </w:t>
      </w:r>
    </w:p>
    <w:p>
      <w:pPr>
        <w:pStyle w:val="BookText"/>
        <w:bidi w:val="0"/>
        <w:rPr/>
      </w:pPr>
      <w:r>
        <w:rPr>
          <w:rFonts w:eastAsia="Times New Roman" w:cs="Times New Roman" w:ascii="Times New Roman" w:hAnsi="Times New Roman"/>
          <w:color w:val="111111"/>
          <w:sz w:val="28"/>
          <w:szCs w:val="28"/>
          <w:lang w:val="en-US"/>
        </w:rPr>
        <w:t>Alquran senantiasa menghormati prinsip ini. Lebih dari sekadar menerima positif sebab-sebab yang lazim kita kenal, Alquran menegaskan peran sebab-sebab metafisis seperti: malaikat dan setan, juga menerangkan Iingkup dan jangkauan prinsip tersebut.</w:t>
      </w:r>
    </w:p>
    <w:p>
      <w:pPr>
        <w:pStyle w:val="BookText"/>
        <w:bidi w:val="0"/>
        <w:jc w:val="both"/>
        <w:rPr/>
      </w:pPr>
      <w:r>
        <w:rPr>
          <w:rFonts w:eastAsia="Times New Roman" w:cs="Times New Roman" w:ascii="Times New Roman" w:hAnsi="Times New Roman"/>
          <w:color w:val="111111"/>
          <w:sz w:val="28"/>
          <w:szCs w:val="28"/>
          <w:lang w:val="en-US"/>
        </w:rPr>
        <w:t>Dalam perspektif Alquran, terdapat relasi yang niscaya antara perbuatan buruk dengan kerusakan yang terjadi di dataran dan lautan:</w:t>
      </w:r>
    </w:p>
    <w:p>
      <w:pPr>
        <w:pStyle w:val="BookText"/>
        <w:bidi w:val="0"/>
        <w:jc w:val="both"/>
        <w:rPr/>
      </w:pPr>
      <w:r>
        <w:rPr>
          <w:rFonts w:eastAsia="Times New Roman" w:cs="Times New Roman" w:ascii="Times New Roman" w:hAnsi="Times New Roman"/>
          <w:color w:val="111111"/>
          <w:sz w:val="28"/>
          <w:szCs w:val="28"/>
          <w:lang w:val="en-US"/>
        </w:rPr>
        <w:t>Telnh tmnpak kerusakan di darat dan di laut disebabkan perbuattm manusia (QS Al-Rum [30]: 41).</w:t>
      </w:r>
    </w:p>
    <w:p>
      <w:pPr>
        <w:pStyle w:val="BookText"/>
        <w:bidi w:val="0"/>
        <w:jc w:val="both"/>
        <w:rPr/>
      </w:pPr>
      <w:r>
        <w:rPr>
          <w:rFonts w:eastAsia="Times New Roman" w:cs="Times New Roman" w:ascii="Times New Roman" w:hAnsi="Times New Roman"/>
          <w:color w:val="111111"/>
          <w:sz w:val="28"/>
          <w:szCs w:val="28"/>
          <w:lang w:val="en-US"/>
        </w:rPr>
        <w:t>Sebaliknya, keimanan dan ketakwaan menyebabkan pintu keberkahan di langit terbuka bagi umat manusia:</w:t>
      </w:r>
    </w:p>
    <w:p>
      <w:pPr>
        <w:pStyle w:val="BookText"/>
        <w:bidi w:val="0"/>
        <w:jc w:val="both"/>
        <w:rPr/>
      </w:pPr>
      <w:r>
        <w:rPr>
          <w:rFonts w:eastAsia="Times New Roman" w:cs="Times New Roman" w:ascii="Times New Roman" w:hAnsi="Times New Roman"/>
          <w:color w:val="111111"/>
          <w:sz w:val="28"/>
          <w:szCs w:val="28"/>
          <w:lang w:val="en-US"/>
        </w:rPr>
        <w:t>Dan semdainya pemiuduk negeri itu berimrm dan menjaga dirinya dari kejalmtrm rziscaya Kami akan bukaktm kepadn mereka keberkahan dari lzmgit dan bumi (QS Al-A'raf [7]: 96).</w:t>
      </w:r>
    </w:p>
    <w:p>
      <w:pPr>
        <w:pStyle w:val="BookText"/>
        <w:bidi w:val="0"/>
        <w:jc w:val="both"/>
        <w:rPr/>
      </w:pPr>
      <w:r>
        <w:rPr>
          <w:rFonts w:eastAsia="Times New Roman" w:cs="Times New Roman" w:ascii="Times New Roman" w:hAnsi="Times New Roman"/>
          <w:color w:val="111111"/>
          <w:sz w:val="28"/>
          <w:szCs w:val="28"/>
          <w:lang w:val="en-US"/>
        </w:rPr>
        <w:t>Lebih dari itu adalah motivasi Alquran kepada kaum Muslimin untuk merenungkan dan mengambil pelajaran dari pelbagai peristiwa yang pernah dialami umat terdahulu. Dan ini jelas, termasuk satu dari sekian bentuk berlakunya prinsip kausalitas dalam Alquran. Karena, kalau apa yang terjadi itu hanya sebuah kebetulan, maka rangkaian peristiwa di masa lalu niscaya tidak mengandungi hikmah dan pelajaran yang dapat dipetik.</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Berkenaan dengannya, ada beberapa sekte Islam yang, dalam rangka mengutuhkan Tauhid dalam tindakan Tuhan (tawhid Af'ali),</w:t>
      </w:r>
      <w:r>
        <w:rPr>
          <w:rStyle w:val="FootnoteAnchor"/>
        </w:rPr>
        <w:footnoteReference w:id="603"/>
      </w:r>
      <w:r>
        <w:rPr>
          <w:rFonts w:eastAsia="Times New Roman" w:cs="Times New Roman" w:ascii="Times New Roman" w:hAnsi="Times New Roman"/>
          <w:color w:val="111111"/>
          <w:sz w:val="28"/>
          <w:szCs w:val="28"/>
          <w:lang w:val="en-US"/>
        </w:rPr>
        <w:t xml:space="preserve">menolak prinsip kausalitas. Pandangan ini bahkan, menurut mereka, dikuatkan Alquran. Namun, dengan merenungkan ayatnya, kelemahan pemikiran semacam ini sangat jelas terlihat. Dari ayatnya pula orang yang berakal akan menyadari bahwa kapasitas makhluk </w:t>
      </w:r>
      <w:bookmarkStart w:id="417" w:name="pg5378_50861"/>
    </w:p>
    <w:p>
      <w:pPr>
        <w:pStyle w:val="BookText"/>
        <w:bidi w:val="0"/>
        <w:rPr/>
      </w:pPr>
      <w:bookmarkEnd w:id="417"/>
      <w:r>
        <w:rPr>
          <w:rFonts w:eastAsia="Times New Roman" w:cs="Times New Roman" w:ascii="Times New Roman" w:hAnsi="Times New Roman"/>
          <w:color w:val="111111"/>
          <w:sz w:val="28"/>
          <w:szCs w:val="28"/>
          <w:lang w:val="en-US"/>
        </w:rPr>
        <w:t>Sebagai sebab berada dalam rangkaian kausalitas yang dipuncaki Allah. Jadi, prinsip ini sama sekali tidak bertentangan dengan Tauhid tersebut.</w:t>
      </w:r>
      <w:r>
        <w:rPr>
          <w:rStyle w:val="FootnoteAnchor"/>
        </w:rPr>
        <w:footnoteReference w:id="604"/>
      </w:r>
    </w:p>
    <w:p>
      <w:pPr>
        <w:pStyle w:val="Heading4"/>
        <w:numPr>
          <w:ilvl w:val="3"/>
          <w:numId w:val="1"/>
        </w:numPr>
        <w:bidi w:val="0"/>
        <w:jc w:val="left"/>
        <w:rPr/>
      </w:pPr>
      <w:bookmarkStart w:id="418" w:name="__RefHeading___Toc1351344_581953129"/>
      <w:bookmarkStart w:id="419" w:name="_Toc151"/>
      <w:bookmarkEnd w:id="418"/>
      <w:r>
        <w:rPr/>
        <w:t>Menjelaskan Filsafat Hukum</w:t>
      </w:r>
      <w:bookmarkEnd w:id="419"/>
    </w:p>
    <w:p>
      <w:pPr>
        <w:pStyle w:val="BookText"/>
        <w:bidi w:val="0"/>
        <w:jc w:val="both"/>
        <w:rPr/>
      </w:pPr>
      <w:r>
        <w:rPr>
          <w:rFonts w:eastAsia="Times New Roman" w:cs="Times New Roman" w:ascii="Times New Roman" w:hAnsi="Times New Roman"/>
          <w:color w:val="111111"/>
          <w:sz w:val="28"/>
          <w:szCs w:val="28"/>
          <w:lang w:val="en-US"/>
        </w:rPr>
        <w:t>Falsafah di balik sekian banyaknya hukum (fikih) bukan rahasia lagi bagi manusia. Kendati cukup banyak juga aturan fikih yang seolah—olah melampaui jangkauan pemahaman aklani, namun metode Alquran yang berkaitan dengan hukum Allah menunjukkan justru semua itu dapat dijangkau akal manusia. Alquran sendiri mengemukakan sejumlah falsafah sebagian hukum sebagai metodenya mengajak manusia memikirkannya. Ini tampak, misalnya, dalam hukum qisas yang menjadi landasan kehidupan sosial.</w:t>
      </w:r>
      <w:r>
        <w:rPr>
          <w:rStyle w:val="FootnoteAnchor"/>
        </w:rPr>
        <w:footnoteReference w:id="605"/>
      </w:r>
      <w:r>
        <w:rPr>
          <w:rFonts w:eastAsia="Times New Roman" w:cs="Times New Roman" w:ascii="Times New Roman" w:hAnsi="Times New Roman"/>
          <w:color w:val="111111"/>
          <w:sz w:val="28"/>
          <w:szCs w:val="28"/>
          <w:lang w:val="en-US"/>
        </w:rPr>
        <w:t>Atau, tentang falsafah shalat, Alquran mengungkapkan:</w:t>
      </w:r>
    </w:p>
    <w:p>
      <w:pPr>
        <w:pStyle w:val="BookText"/>
        <w:bidi w:val="0"/>
        <w:jc w:val="both"/>
        <w:rPr/>
      </w:pPr>
      <w:r>
        <w:rPr>
          <w:rFonts w:eastAsia="Times New Roman" w:cs="Times New Roman" w:ascii="Times New Roman" w:hAnsi="Times New Roman"/>
          <w:color w:val="111111"/>
          <w:sz w:val="28"/>
          <w:szCs w:val="28"/>
          <w:lang w:val="en-US"/>
        </w:rPr>
        <w:t>Dan dirikanlah shalat; sesungguhnya shalat mencegah perbuatan keji dan munkar (QS Al-Ankabut [29]: 45).</w:t>
      </w:r>
    </w:p>
    <w:p>
      <w:pPr>
        <w:pStyle w:val="Heading4"/>
        <w:numPr>
          <w:ilvl w:val="3"/>
          <w:numId w:val="1"/>
        </w:numPr>
        <w:bidi w:val="0"/>
        <w:jc w:val="left"/>
        <w:rPr/>
      </w:pPr>
      <w:bookmarkStart w:id="420" w:name="__RefHeading___Toc1351346_581953129"/>
      <w:bookmarkStart w:id="421" w:name="_Toc152"/>
      <w:bookmarkEnd w:id="420"/>
      <w:r>
        <w:rPr/>
        <w:t>Kekeliruan Berpikir</w:t>
      </w:r>
      <w:bookmarkEnd w:id="42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Akibat premis yang keliru, atau kurang cermat memilih materi yang meyakinkan untuk perumusan argumentasi, seseorang akan mengalami kekeliruan berpikir dan menarik suatu kesimpulan yang juga keliru. Lantaran sangat menaruh perhatian dan mendukung pemikiran aklani, Alquran senantiasa mewanti-wanti agar tidak sampai keliru membangun argumentasi rasional. Berikut adalah sejumlah faktor penyebab kekeliruan berpikir yang dikemukakan Alquran. </w:t>
      </w:r>
      <w:bookmarkStart w:id="422" w:name="pg5378_50863"/>
    </w:p>
    <w:p>
      <w:pPr>
        <w:pStyle w:val="Heading4"/>
        <w:numPr>
          <w:ilvl w:val="3"/>
          <w:numId w:val="1"/>
        </w:numPr>
        <w:bidi w:val="0"/>
        <w:jc w:val="left"/>
        <w:rPr/>
      </w:pPr>
      <w:bookmarkStart w:id="423" w:name="__RefHeading___Toc1351348_581953129"/>
      <w:bookmarkStart w:id="424" w:name="_Toc153"/>
      <w:bookmarkEnd w:id="422"/>
      <w:bookmarkEnd w:id="423"/>
      <w:r>
        <w:rPr/>
        <w:t>Menuruti Prasangka dan Praduga</w:t>
      </w:r>
      <w:bookmarkEnd w:id="424"/>
    </w:p>
    <w:p>
      <w:pPr>
        <w:pStyle w:val="BookText"/>
        <w:bidi w:val="0"/>
        <w:jc w:val="both"/>
        <w:rPr/>
      </w:pPr>
      <w:r>
        <w:rPr>
          <w:rFonts w:eastAsia="Times New Roman" w:cs="Times New Roman" w:ascii="Times New Roman" w:hAnsi="Times New Roman"/>
          <w:color w:val="111111"/>
          <w:sz w:val="28"/>
          <w:szCs w:val="28"/>
          <w:lang w:val="en-US"/>
        </w:rPr>
        <w:t>Menuruti Prasangka dan Praduga</w:t>
      </w:r>
      <w:r>
        <w:rPr>
          <w:rStyle w:val="FootnoteAnchor"/>
        </w:rPr>
        <w:footnoteReference w:id="606"/>
      </w:r>
    </w:p>
    <w:p>
      <w:pPr>
        <w:pStyle w:val="BookText"/>
        <w:bidi w:val="0"/>
        <w:jc w:val="both"/>
        <w:rPr/>
      </w:pPr>
      <w:r>
        <w:rPr>
          <w:rFonts w:eastAsia="Times New Roman" w:cs="Times New Roman" w:ascii="Times New Roman" w:hAnsi="Times New Roman"/>
          <w:color w:val="111111"/>
          <w:sz w:val="28"/>
          <w:szCs w:val="28"/>
          <w:lang w:val="en-US"/>
        </w:rPr>
        <w:t>Memperoleh keyakinan dalam seluruh persoalan hidup tak jarang terasa begitu sukar, kalau bukan mustahil. Karena itu, manusia pada umumnya, untuk tetap bisa bertahan hidupnya, melandaskan kesehariannya hanya di atas prasangka dan praduga. Watak ini akan menjadi salah satu penyebab kekeliruan berpikir tatkala merembas hingga ke dataran pemikiran rasional dan ilmiah, Akibatnya, alih-alih mengikuti keyakinan, justru hanya puas dengan praduga dan prasangka. Apalagi bila itu berkenaan dengan masalah-masalah fundamental yang sangat krusial, seperti kepercayaan agama; niscaya akan berakibat fatal!</w:t>
      </w:r>
    </w:p>
    <w:p>
      <w:pPr>
        <w:pStyle w:val="BookText"/>
        <w:bidi w:val="0"/>
        <w:jc w:val="both"/>
        <w:rPr/>
      </w:pPr>
      <w:r>
        <w:rPr>
          <w:rFonts w:eastAsia="Times New Roman" w:cs="Times New Roman" w:ascii="Times New Roman" w:hAnsi="Times New Roman"/>
          <w:color w:val="111111"/>
          <w:sz w:val="28"/>
          <w:szCs w:val="28"/>
          <w:lang w:val="en-US"/>
        </w:rPr>
        <w:t>Alquran sangat keras menentang kebiasaan umum itu serta memperingatkan orang untuk tidak begitu saja mengikuti prasangka dan praduga.</w:t>
      </w:r>
      <w:r>
        <w:rPr>
          <w:rStyle w:val="FootnoteAnchor"/>
        </w:rPr>
        <w:footnoteReference w:id="607"/>
      </w:r>
      <w:r>
        <w:rPr>
          <w:rFonts w:eastAsia="Times New Roman" w:cs="Times New Roman" w:ascii="Times New Roman" w:hAnsi="Times New Roman"/>
          <w:color w:val="111111"/>
          <w:sz w:val="28"/>
          <w:szCs w:val="28"/>
          <w:lang w:val="en-US"/>
        </w:rPr>
        <w:t>Ini sebagaimana teguran Alquran kepada kaum musyrik yang mendasarkan pandangannya pada anggapan yang bukan-bukan; bahwa berbuat syirik dan politeisme merupakan</w:t>
      </w:r>
    </w:p>
    <w:p>
      <w:pPr>
        <w:pStyle w:val="BookText"/>
        <w:bidi w:val="0"/>
        <w:jc w:val="both"/>
        <w:rPr/>
      </w:pPr>
      <w:r>
        <w:rPr>
          <w:rFonts w:eastAsia="Times New Roman" w:cs="Times New Roman" w:ascii="Times New Roman" w:hAnsi="Times New Roman"/>
          <w:color w:val="111111"/>
          <w:sz w:val="28"/>
          <w:szCs w:val="28"/>
          <w:lang w:val="en-US"/>
        </w:rPr>
        <w:t>keinginan dan kehendak Allah. Alquran mengatakan:</w:t>
      </w:r>
    </w:p>
    <w:p>
      <w:pPr>
        <w:pStyle w:val="BookText"/>
        <w:bidi w:val="0"/>
        <w:jc w:val="both"/>
        <w:rPr/>
      </w:pPr>
      <w:r>
        <w:rPr>
          <w:rFonts w:eastAsia="Times New Roman" w:cs="Times New Roman" w:ascii="Times New Roman" w:hAnsi="Times New Roman"/>
          <w:color w:val="111111"/>
          <w:sz w:val="28"/>
          <w:szCs w:val="28"/>
          <w:lang w:val="en-US"/>
        </w:rPr>
        <w:t>Katakan, ”Adakah kamu mempunyai suatu pengetahuan yang dapat kamu kemukakan kepada Kami ?” Kamu tidak mengikuti kecuali persangkaan belaka, dan kamu tidak lain hanya berdusta (QS Al-An‘am: 148).</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perspektif Alquran, semua tindakan dan kepercayaan harus dilandasi dengan pengetahuan dan keimanan.Jika tidak mampu memperoleh pengetahuan, seseorang harus mengikuti orang yang layak menjadi pemimpin yang laik sehingga dapat memegang tali keimanan. Dengan begitu, dia terhindar dari pengaruh buruk praduga dan, pada gilirannya, mengaktfikan perangkat pengetahuannya </w:t>
      </w:r>
      <w:bookmarkStart w:id="425" w:name="pg5378_50865"/>
    </w:p>
    <w:p>
      <w:pPr>
        <w:pStyle w:val="BookText"/>
        <w:bidi w:val="0"/>
        <w:rPr/>
      </w:pPr>
      <w:bookmarkEnd w:id="425"/>
      <w:r>
        <w:rPr>
          <w:rFonts w:eastAsia="Times New Roman" w:cs="Times New Roman" w:ascii="Times New Roman" w:hAnsi="Times New Roman"/>
          <w:color w:val="111111"/>
          <w:sz w:val="28"/>
          <w:szCs w:val="28"/>
          <w:lang w:val="en-US"/>
        </w:rPr>
        <w:t>dengan baik.”</w:t>
      </w:r>
    </w:p>
    <w:p>
      <w:pPr>
        <w:pStyle w:val="BookText"/>
        <w:bidi w:val="0"/>
        <w:jc w:val="both"/>
        <w:rPr/>
      </w:pPr>
      <w:r>
        <w:rPr>
          <w:rFonts w:eastAsia="Times New Roman" w:cs="Times New Roman" w:ascii="Times New Roman" w:hAnsi="Times New Roman"/>
          <w:color w:val="111111"/>
          <w:sz w:val="28"/>
          <w:szCs w:val="28"/>
          <w:lang w:val="en-US"/>
        </w:rPr>
        <w:t>Dan janganlah kamu mengikuti apa yang kamu tidak ketahui. Sesunggulmya pendengaran, pengelihatan, dan hati semua ada pertanggung-jawabannya (QS Al-Isra‘[17]: 36).</w:t>
      </w:r>
    </w:p>
    <w:p>
      <w:pPr>
        <w:pStyle w:val="Heading4"/>
        <w:numPr>
          <w:ilvl w:val="3"/>
          <w:numId w:val="1"/>
        </w:numPr>
        <w:bidi w:val="0"/>
        <w:jc w:val="left"/>
        <w:rPr/>
      </w:pPr>
      <w:bookmarkStart w:id="426" w:name="__RefHeading___Toc1351350_581953129"/>
      <w:bookmarkStart w:id="427" w:name="_Toc154"/>
      <w:bookmarkEnd w:id="426"/>
      <w:r>
        <w:rPr/>
        <w:t>Taklid Buta</w:t>
      </w:r>
      <w:bookmarkEnd w:id="427"/>
    </w:p>
    <w:p>
      <w:pPr>
        <w:pStyle w:val="BookText"/>
        <w:bidi w:val="0"/>
        <w:jc w:val="both"/>
        <w:rPr/>
      </w:pPr>
      <w:r>
        <w:rPr>
          <w:rFonts w:eastAsia="Times New Roman" w:cs="Times New Roman" w:ascii="Times New Roman" w:hAnsi="Times New Roman"/>
          <w:color w:val="111111"/>
          <w:sz w:val="28"/>
          <w:szCs w:val="28"/>
          <w:lang w:val="en-US"/>
        </w:rPr>
        <w:t>Salah satu faktor penghalang berpikir benar adalah menyerahkan kecakapan berpikir kepada orang Iain atau mempercayai begitu saja—tanpa disertai penalaran-anggapan-anggapan umum dan sosial.</w:t>
      </w:r>
    </w:p>
    <w:p>
      <w:pPr>
        <w:pStyle w:val="BookText"/>
        <w:bidi w:val="0"/>
        <w:jc w:val="both"/>
        <w:rPr/>
      </w:pPr>
      <w:r>
        <w:rPr>
          <w:rFonts w:eastAsia="Times New Roman" w:cs="Times New Roman" w:ascii="Times New Roman" w:hAnsi="Times New Roman"/>
          <w:color w:val="111111"/>
          <w:sz w:val="28"/>
          <w:szCs w:val="28"/>
          <w:lang w:val="en-US"/>
        </w:rPr>
        <w:t>Dengan praduga, taklid dan bukti mereka tegak semua itu nyatanya bulu dan sayap mereka.</w:t>
      </w:r>
      <w:r>
        <w:rPr>
          <w:rStyle w:val="FootnoteAnchor"/>
        </w:rPr>
        <w:footnoteReference w:id="608"/>
      </w:r>
    </w:p>
    <w:p>
      <w:pPr>
        <w:pStyle w:val="BookText"/>
        <w:bidi w:val="0"/>
        <w:jc w:val="both"/>
        <w:rPr/>
      </w:pPr>
      <w:r>
        <w:rPr>
          <w:rFonts w:eastAsia="Times New Roman" w:cs="Times New Roman" w:ascii="Times New Roman" w:hAnsi="Times New Roman"/>
          <w:color w:val="111111"/>
          <w:sz w:val="28"/>
          <w:szCs w:val="28"/>
          <w:lang w:val="en-US"/>
        </w:rPr>
        <w:t>Alquran mengecam tindakan orang-orang yang mengikuti begitu saja [kepercayaan] nenek moyangnya:</w:t>
      </w:r>
    </w:p>
    <w:p>
      <w:pPr>
        <w:pStyle w:val="BookText"/>
        <w:bidi w:val="0"/>
        <w:jc w:val="both"/>
        <w:rPr/>
      </w:pPr>
      <w:r>
        <w:rPr>
          <w:rFonts w:eastAsia="Times New Roman" w:cs="Times New Roman" w:ascii="Times New Roman" w:hAnsi="Times New Roman"/>
          <w:color w:val="111111"/>
          <w:sz w:val="28"/>
          <w:szCs w:val="28"/>
          <w:lang w:val="en-US"/>
        </w:rPr>
        <w:t>Dan apabila dikatakan kepada mereka, "Ikutilah apa yang diturunkan Allah", mereka menjawab, "Tidak! Kami hanya menurut apa yang kami dapati dari bapak-bapak kami biarpun bapak-bapak mereka sedikit pun tidak mengerti dan tidak pula menuruti pemimpin yang benar" (QS Al-Baqarah [2]: 170).</w:t>
      </w:r>
    </w:p>
    <w:p>
      <w:pPr>
        <w:pStyle w:val="BookText"/>
        <w:bidi w:val="0"/>
        <w:jc w:val="both"/>
        <w:rPr/>
      </w:pPr>
      <w:r>
        <w:rPr>
          <w:rFonts w:eastAsia="Times New Roman" w:cs="Times New Roman" w:ascii="Times New Roman" w:hAnsi="Times New Roman"/>
          <w:color w:val="111111"/>
          <w:sz w:val="28"/>
          <w:szCs w:val="28"/>
          <w:lang w:val="en-US"/>
        </w:rPr>
        <w:t>Karena tidak mengaktifkan akal, mereka tidak memperoleh hidayah dan jalan yang benar: apakah kalian ingin meniru tindakan orang-orang yang tidak berakal?</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Taklid bukan hanya bermakna ikut secara buta para pendahulu, melainkan juga segala bentuk ikut-ikutan yang tak berdasar. Misalnya, bertaklid kepada tokoh masyarakat yang populer. Islam percaya, </w:t>
      </w:r>
      <w:bookmarkStart w:id="428" w:name="pg5378_50866"/>
    </w:p>
    <w:p>
      <w:pPr>
        <w:pStyle w:val="BookText"/>
        <w:bidi w:val="0"/>
        <w:rPr/>
      </w:pPr>
      <w:bookmarkEnd w:id="428"/>
      <w:r>
        <w:rPr>
          <w:rFonts w:eastAsia="Times New Roman" w:cs="Times New Roman" w:ascii="Times New Roman" w:hAnsi="Times New Roman"/>
          <w:color w:val="111111"/>
          <w:sz w:val="28"/>
          <w:szCs w:val="28"/>
          <w:lang w:val="en-US"/>
        </w:rPr>
        <w:t>setiap individu punya tanggung jawab dan kepribadian yang mandiri. Karena itu, bertaklid kepada tokoh masyarakat dapat dikategorikan sebagai faktor pemicu kesesatan:</w:t>
      </w:r>
    </w:p>
    <w:p>
      <w:pPr>
        <w:pStyle w:val="BookText"/>
        <w:bidi w:val="0"/>
        <w:jc w:val="both"/>
        <w:rPr/>
      </w:pPr>
      <w:r>
        <w:rPr>
          <w:rFonts w:eastAsia="Times New Roman" w:cs="Times New Roman" w:ascii="Times New Roman" w:hAnsi="Times New Roman"/>
          <w:color w:val="111111"/>
          <w:sz w:val="28"/>
          <w:szCs w:val="28"/>
          <w:lang w:val="en-US"/>
        </w:rPr>
        <w:t>Wahai Tuhan kami! Kami telah mematuhi pemimpin-pemimpin kami</w:t>
      </w:r>
    </w:p>
    <w:p>
      <w:pPr>
        <w:pStyle w:val="BookText"/>
        <w:bidi w:val="0"/>
        <w:jc w:val="both"/>
        <w:rPr/>
      </w:pPr>
      <w:r>
        <w:rPr>
          <w:rFonts w:eastAsia="Times New Roman" w:cs="Times New Roman" w:ascii="Times New Roman" w:hAnsi="Times New Roman"/>
          <w:color w:val="111111"/>
          <w:sz w:val="28"/>
          <w:szCs w:val="28"/>
          <w:lang w:val="en-US"/>
        </w:rPr>
        <w:t>dam orang-orang beserta kami tetapi mereka menyesatkan kami dari jalan [yang benar] (QS Al-Ahzab [33]: 67).</w:t>
      </w:r>
    </w:p>
    <w:p>
      <w:pPr>
        <w:pStyle w:val="BookText"/>
        <w:bidi w:val="0"/>
        <w:jc w:val="both"/>
        <w:rPr/>
      </w:pPr>
      <w:r>
        <w:rPr>
          <w:rFonts w:eastAsia="Times New Roman" w:cs="Times New Roman" w:ascii="Times New Roman" w:hAnsi="Times New Roman"/>
          <w:color w:val="111111"/>
          <w:sz w:val="28"/>
          <w:szCs w:val="28"/>
          <w:lang w:val="en-US"/>
        </w:rPr>
        <w:t>Taklid pada mereka aku binasa atas</w:t>
      </w:r>
    </w:p>
    <w:p>
      <w:pPr>
        <w:pStyle w:val="BookText"/>
        <w:bidi w:val="0"/>
        <w:jc w:val="both"/>
        <w:rPr/>
      </w:pPr>
      <w:r>
        <w:rPr>
          <w:rFonts w:eastAsia="Times New Roman" w:cs="Times New Roman" w:ascii="Times New Roman" w:hAnsi="Times New Roman"/>
          <w:color w:val="111111"/>
          <w:sz w:val="28"/>
          <w:szCs w:val="28"/>
          <w:lang w:val="en-US"/>
        </w:rPr>
        <w:t>taklid ini laknat-seribu laknat.</w:t>
      </w:r>
      <w:r>
        <w:rPr>
          <w:rStyle w:val="FootnoteAnchor"/>
        </w:rPr>
        <w:footnoteReference w:id="609"/>
      </w:r>
    </w:p>
    <w:p>
      <w:pPr>
        <w:pStyle w:val="Heading4"/>
        <w:numPr>
          <w:ilvl w:val="3"/>
          <w:numId w:val="1"/>
        </w:numPr>
        <w:bidi w:val="0"/>
        <w:jc w:val="left"/>
        <w:rPr/>
      </w:pPr>
      <w:bookmarkStart w:id="429" w:name="__RefHeading___Toc1351352_581953129"/>
      <w:bookmarkStart w:id="430" w:name="_Toc155"/>
      <w:bookmarkEnd w:id="429"/>
      <w:r>
        <w:rPr/>
        <w:t>Ketergesaan</w:t>
      </w:r>
      <w:bookmarkEnd w:id="430"/>
    </w:p>
    <w:p>
      <w:pPr>
        <w:pStyle w:val="BookText"/>
        <w:bidi w:val="0"/>
        <w:jc w:val="both"/>
        <w:rPr/>
      </w:pPr>
      <w:r>
        <w:rPr>
          <w:rFonts w:eastAsia="Times New Roman" w:cs="Times New Roman" w:ascii="Times New Roman" w:hAnsi="Times New Roman"/>
          <w:color w:val="111111"/>
          <w:sz w:val="28"/>
          <w:szCs w:val="28"/>
          <w:lang w:val="en-US"/>
        </w:rPr>
        <w:t>Adakalanya manusia terburu-buru dalam mengambil keputusan dan kesimpulan rasional. Umpamanya, informasi yang tersedia sekaitan dengan suatu persoalan masih sangat minim, lantas begitu saja dia langsung menarik kesimpulan. Dalam kondisi itu, dia merasa seakan telah menguasai segenap aspek persoalan. Jelas, memberi penilaian atau menarik kesimpulan secara terburu-buru merupakan salah satu penyebab kekeliruan berpikir.</w:t>
      </w:r>
    </w:p>
    <w:p>
      <w:pPr>
        <w:pStyle w:val="BookText"/>
        <w:bidi w:val="0"/>
        <w:jc w:val="both"/>
        <w:rPr/>
      </w:pPr>
      <w:r>
        <w:rPr>
          <w:rFonts w:eastAsia="Times New Roman" w:cs="Times New Roman" w:ascii="Times New Roman" w:hAnsi="Times New Roman"/>
          <w:color w:val="111111"/>
          <w:sz w:val="28"/>
          <w:szCs w:val="28"/>
          <w:lang w:val="en-US"/>
        </w:rPr>
        <w:t>Menurut Alquran, modal pengetahuan yang dimiliki manusia sangatlah minim dan terbatas, dan karena itulah tidak memadai untuk menarik kesimpulan:</w:t>
      </w:r>
    </w:p>
    <w:p>
      <w:pPr>
        <w:pStyle w:val="BookText"/>
        <w:bidi w:val="0"/>
        <w:jc w:val="both"/>
        <w:rPr/>
      </w:pPr>
      <w:r>
        <w:rPr>
          <w:rFonts w:eastAsia="Times New Roman" w:cs="Times New Roman" w:ascii="Times New Roman" w:hAnsi="Times New Roman"/>
          <w:color w:val="111111"/>
          <w:sz w:val="28"/>
          <w:szCs w:val="28"/>
          <w:lang w:val="en-US"/>
        </w:rPr>
        <w:t>Dan kalian tidak diberi pengetahuan melainkan sedikit (QS Al-Isra‘ [17]: 85).</w:t>
      </w:r>
    </w:p>
    <w:p>
      <w:pPr>
        <w:pStyle w:val="Heading4"/>
        <w:numPr>
          <w:ilvl w:val="3"/>
          <w:numId w:val="1"/>
        </w:numPr>
        <w:bidi w:val="0"/>
        <w:jc w:val="left"/>
        <w:rPr/>
      </w:pPr>
      <w:bookmarkStart w:id="431" w:name="__RefHeading___Toc1351354_581953129"/>
      <w:bookmarkStart w:id="432" w:name="_Toc156"/>
      <w:bookmarkEnd w:id="431"/>
      <w:r>
        <w:rPr/>
        <w:t>Hasrat dan Desakan Jiwa</w:t>
      </w:r>
      <w:bookmarkEnd w:id="43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Tujuan membangun argumentasi rasional adalah mencapai realitas. Namun, tentu hal itu hanya mungkin dilakukan bilamana cerrnin akal tidak dihinggapi hawa nafsu. </w:t>
      </w:r>
    </w:p>
    <w:p>
      <w:pPr>
        <w:pStyle w:val="BookText"/>
        <w:bidi w:val="0"/>
        <w:rPr/>
      </w:pPr>
      <w:r>
        <w:rPr>
          <w:rFonts w:eastAsia="Times New Roman" w:cs="Times New Roman" w:ascii="Times New Roman" w:hAnsi="Times New Roman"/>
          <w:color w:val="111111"/>
          <w:sz w:val="28"/>
          <w:szCs w:val="28"/>
          <w:lang w:val="en-US"/>
        </w:rPr>
        <w:t>Hakikat bagai sebuah rumah yang terias</w:t>
      </w:r>
    </w:p>
    <w:p>
      <w:pPr>
        <w:pStyle w:val="BookText"/>
        <w:bidi w:val="0"/>
        <w:jc w:val="both"/>
        <w:rPr/>
      </w:pPr>
      <w:r>
        <w:rPr>
          <w:rFonts w:eastAsia="Times New Roman" w:cs="Times New Roman" w:ascii="Times New Roman" w:hAnsi="Times New Roman"/>
          <w:color w:val="111111"/>
          <w:sz w:val="28"/>
          <w:szCs w:val="28"/>
          <w:lang w:val="en-US"/>
        </w:rPr>
        <w:t>Hawa nafsu ibarat debu beterbangan</w:t>
      </w:r>
    </w:p>
    <w:p>
      <w:pPr>
        <w:pStyle w:val="BookText"/>
        <w:bidi w:val="0"/>
        <w:jc w:val="both"/>
        <w:rPr/>
      </w:pPr>
      <w:r>
        <w:rPr>
          <w:rFonts w:eastAsia="Times New Roman" w:cs="Times New Roman" w:ascii="Times New Roman" w:hAnsi="Times New Roman"/>
          <w:color w:val="111111"/>
          <w:sz w:val="28"/>
          <w:szCs w:val="28"/>
          <w:lang w:val="en-US"/>
        </w:rPr>
        <w:t>Tidakkah kau lihat setiap tempat bertabur debu</w:t>
      </w:r>
    </w:p>
    <w:p>
      <w:pPr>
        <w:pStyle w:val="BookText"/>
        <w:bidi w:val="0"/>
        <w:jc w:val="both"/>
        <w:rPr/>
      </w:pPr>
      <w:r>
        <w:rPr>
          <w:rFonts w:eastAsia="Times New Roman" w:cs="Times New Roman" w:ascii="Times New Roman" w:hAnsi="Times New Roman"/>
          <w:color w:val="111111"/>
          <w:sz w:val="28"/>
          <w:szCs w:val="28"/>
          <w:lang w:val="en-US"/>
        </w:rPr>
        <w:t xml:space="preserve">kau pasti tak ’kan melihat setajam apapun matamu </w:t>
      </w:r>
      <w:r>
        <w:rPr>
          <w:rStyle w:val="FootnoteAnchor"/>
        </w:rPr>
        <w:footnoteReference w:id="610"/>
      </w:r>
    </w:p>
    <w:p>
      <w:pPr>
        <w:pStyle w:val="BookText"/>
        <w:bidi w:val="0"/>
        <w:jc w:val="both"/>
        <w:rPr/>
      </w:pPr>
      <w:r>
        <w:rPr>
          <w:rFonts w:eastAsia="Times New Roman" w:cs="Times New Roman" w:ascii="Times New Roman" w:hAnsi="Times New Roman"/>
          <w:color w:val="111111"/>
          <w:sz w:val="28"/>
          <w:szCs w:val="28"/>
          <w:lang w:val="en-US"/>
        </w:rPr>
        <w:t>Cinta, benci, dan fanatisme berpotensi besar menjadi kendala proses berpikir dan aktivitas aklani.</w:t>
      </w:r>
    </w:p>
    <w:p>
      <w:pPr>
        <w:pStyle w:val="BookText"/>
        <w:bidi w:val="0"/>
        <w:jc w:val="both"/>
        <w:rPr/>
      </w:pPr>
      <w:r>
        <w:rPr>
          <w:rFonts w:eastAsia="Times New Roman" w:cs="Times New Roman" w:ascii="Times New Roman" w:hAnsi="Times New Roman"/>
          <w:color w:val="111111"/>
          <w:sz w:val="28"/>
          <w:szCs w:val="28"/>
          <w:lang w:val="en-US"/>
        </w:rPr>
        <w:t>Kala tercapai Tujuan, seni tak lagi tampak seribu hijab terurai dari hati menatap-Nya.</w:t>
      </w:r>
    </w:p>
    <w:p>
      <w:pPr>
        <w:pStyle w:val="BookText"/>
        <w:bidi w:val="0"/>
        <w:jc w:val="both"/>
        <w:rPr/>
      </w:pPr>
      <w:r>
        <w:rPr>
          <w:rFonts w:eastAsia="Times New Roman" w:cs="Times New Roman" w:ascii="Times New Roman" w:hAnsi="Times New Roman"/>
          <w:color w:val="111111"/>
          <w:sz w:val="28"/>
          <w:szCs w:val="28"/>
          <w:lang w:val="en-US"/>
        </w:rPr>
        <w:t>Sungguh memikat ucapan Imam Ali bin Abi Thalib:</w:t>
      </w:r>
    </w:p>
    <w:p>
      <w:pPr>
        <w:pStyle w:val="BookText"/>
        <w:bidi w:val="0"/>
        <w:jc w:val="both"/>
        <w:rPr/>
      </w:pPr>
      <w:r>
        <w:rPr>
          <w:rFonts w:eastAsia="Times New Roman" w:cs="Times New Roman" w:ascii="Times New Roman" w:hAnsi="Times New Roman"/>
          <w:color w:val="111111"/>
          <w:sz w:val="28"/>
          <w:szCs w:val="28"/>
          <w:lang w:val="en-US"/>
        </w:rPr>
        <w:t>Betapa banyak akal tersungkur di bawah kilatan pedang tamak</w:t>
      </w:r>
      <w:r>
        <w:rPr>
          <w:rStyle w:val="FootnoteAnchor"/>
        </w:rPr>
        <w:footnoteReference w:id="611"/>
      </w:r>
    </w:p>
    <w:p>
      <w:pPr>
        <w:pStyle w:val="BookText"/>
        <w:bidi w:val="0"/>
        <w:jc w:val="both"/>
        <w:rPr/>
      </w:pPr>
      <w:r>
        <w:rPr>
          <w:rFonts w:eastAsia="Times New Roman" w:cs="Times New Roman" w:ascii="Times New Roman" w:hAnsi="Times New Roman"/>
          <w:color w:val="111111"/>
          <w:sz w:val="28"/>
          <w:szCs w:val="28"/>
          <w:lang w:val="en-US"/>
        </w:rPr>
        <w:t>Jika kau ingin mata, akal dan pendengaran bersih</w:t>
      </w:r>
    </w:p>
    <w:p>
      <w:pPr>
        <w:pStyle w:val="BookText"/>
        <w:bidi w:val="0"/>
        <w:jc w:val="both"/>
        <w:rPr/>
      </w:pPr>
      <w:r>
        <w:rPr>
          <w:rFonts w:eastAsia="Times New Roman" w:cs="Times New Roman" w:ascii="Times New Roman" w:hAnsi="Times New Roman"/>
          <w:color w:val="111111"/>
          <w:sz w:val="28"/>
          <w:szCs w:val="28"/>
          <w:lang w:val="en-US"/>
        </w:rPr>
        <w:t>kelupaslah serat—serat tamakmu</w:t>
      </w:r>
    </w:p>
    <w:p>
      <w:pPr>
        <w:pStyle w:val="BookText"/>
        <w:bidi w:val="0"/>
        <w:jc w:val="both"/>
        <w:rPr/>
      </w:pPr>
      <w:r>
        <w:rPr>
          <w:rFonts w:eastAsia="Times New Roman" w:cs="Times New Roman" w:ascii="Times New Roman" w:hAnsi="Times New Roman"/>
          <w:color w:val="111111"/>
          <w:sz w:val="28"/>
          <w:szCs w:val="28"/>
          <w:lang w:val="en-US"/>
        </w:rPr>
        <w:t>Siapapun gagap karena tamak</w:t>
      </w:r>
    </w:p>
    <w:p>
      <w:pPr>
        <w:pStyle w:val="BookText"/>
        <w:bidi w:val="0"/>
        <w:jc w:val="both"/>
        <w:rPr/>
      </w:pPr>
      <w:r>
        <w:rPr>
          <w:rFonts w:eastAsia="Times New Roman" w:cs="Times New Roman" w:ascii="Times New Roman" w:hAnsi="Times New Roman"/>
          <w:color w:val="111111"/>
          <w:sz w:val="28"/>
          <w:szCs w:val="28"/>
          <w:lang w:val="en-US"/>
        </w:rPr>
        <w:t>kapan mata dan hati ’kan bersinar dengan tamak.</w:t>
      </w:r>
      <w:r>
        <w:rPr>
          <w:rStyle w:val="FootnoteAnchor"/>
        </w:rPr>
        <w:footnoteReference w:id="612"/>
      </w:r>
    </w:p>
    <w:p>
      <w:pPr>
        <w:pStyle w:val="BookText"/>
        <w:bidi w:val="0"/>
        <w:jc w:val="both"/>
        <w:rPr/>
      </w:pPr>
      <w:r>
        <w:rPr>
          <w:rFonts w:eastAsia="Times New Roman" w:cs="Times New Roman" w:ascii="Times New Roman" w:hAnsi="Times New Roman"/>
          <w:color w:val="111111"/>
          <w:sz w:val="28"/>
          <w:szCs w:val="28"/>
          <w:lang w:val="en-US"/>
        </w:rPr>
        <w:t>Sebaliknya, Islam mengenalkan takwa sebagai penyebab mekamya pemikiran dan kecerdasan, sekaligus wahana untuk memahami mana perbuatan terpuji, mana yang bukan:</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kalian bertakwa kepada Allah, maka Dia akan memberikan kepada kalian furqan (kemampuan memilah baik dan buruk) (QS Al- Anfal [8]: 29). </w:t>
      </w:r>
      <w:bookmarkStart w:id="433" w:name="pg5378_50870"/>
    </w:p>
    <w:p>
      <w:pPr>
        <w:pStyle w:val="BookText"/>
        <w:bidi w:val="0"/>
        <w:rPr/>
      </w:pPr>
      <w:bookmarkEnd w:id="433"/>
      <w:r>
        <w:rPr>
          <w:rFonts w:eastAsia="Times New Roman" w:cs="Times New Roman" w:ascii="Times New Roman" w:hAnsi="Times New Roman"/>
          <w:color w:val="111111"/>
          <w:sz w:val="28"/>
          <w:szCs w:val="28"/>
          <w:lang w:val="en-US"/>
        </w:rPr>
        <w:t>Akal dan Wahyu Ketakwaan kepada Allah menyelamatkan seseorang dari tirani nafsu dan memupus debu yang melekat di benak manusia. Di samping perangkap pemikiran yang lain, Alquran juga menyinggung keterpurukan pikiran dikarenakan mengikuti hawa nafsu. Demikian ia mengecam kaum penyembah berhala:</w:t>
      </w:r>
    </w:p>
    <w:p>
      <w:pPr>
        <w:pStyle w:val="BookText"/>
        <w:bidi w:val="0"/>
        <w:jc w:val="both"/>
        <w:rPr/>
      </w:pPr>
      <w:r>
        <w:rPr>
          <w:rFonts w:eastAsia="Times New Roman" w:cs="Times New Roman" w:ascii="Times New Roman" w:hAnsi="Times New Roman"/>
          <w:color w:val="111111"/>
          <w:sz w:val="28"/>
          <w:szCs w:val="28"/>
          <w:lang w:val="en-US"/>
        </w:rPr>
        <w:t>Mereka tidak mengikuti kecuali prasangka dan apa yang diinginkan Hawa nafsu (QS Al-Najm [53]: 23).</w:t>
      </w:r>
    </w:p>
    <w:p>
      <w:pPr>
        <w:pStyle w:val="Heading3"/>
        <w:numPr>
          <w:ilvl w:val="2"/>
          <w:numId w:val="1"/>
        </w:numPr>
        <w:bidi w:val="0"/>
        <w:jc w:val="left"/>
        <w:rPr/>
      </w:pPr>
      <w:bookmarkStart w:id="434" w:name="__RefHeading___Toc1351356_581953129"/>
      <w:bookmarkStart w:id="435" w:name="_Toc157"/>
      <w:bookmarkEnd w:id="434"/>
      <w:r>
        <w:rPr/>
        <w:t>Peran Wahyu</w:t>
      </w:r>
      <w:bookmarkEnd w:id="435"/>
    </w:p>
    <w:p>
      <w:pPr>
        <w:pStyle w:val="Heading4"/>
        <w:numPr>
          <w:ilvl w:val="3"/>
          <w:numId w:val="1"/>
        </w:numPr>
        <w:bidi w:val="0"/>
        <w:jc w:val="left"/>
        <w:rPr/>
      </w:pPr>
      <w:bookmarkStart w:id="436" w:name="__RefHeading___Toc1351358_581953129"/>
      <w:bookmarkStart w:id="437" w:name="_Toc158"/>
      <w:bookmarkEnd w:id="436"/>
      <w:r>
        <w:rPr/>
        <w:t>Point</w:t>
      </w:r>
      <w:bookmarkEnd w:id="437"/>
    </w:p>
    <w:p>
      <w:pPr>
        <w:pStyle w:val="BookText"/>
        <w:bidi w:val="0"/>
        <w:jc w:val="both"/>
        <w:rPr/>
      </w:pPr>
      <w:r>
        <w:rPr>
          <w:rFonts w:eastAsia="Times New Roman" w:cs="Times New Roman" w:ascii="Times New Roman" w:hAnsi="Times New Roman"/>
          <w:color w:val="111111"/>
          <w:sz w:val="28"/>
          <w:szCs w:val="28"/>
          <w:lang w:val="en-US"/>
        </w:rPr>
        <w:t>Kalangan rasionalis radikal meyakini bahwa keberadaan akal tak lagi menyisakan pada manusia kebutuhan apa pun kepada wahyu. Anggapan semacam ini jelas tidak berdasar dan sangat primitif. Telah dicatat cukup tebal, betapa mentah dan dangkal kalau saja dipercayai pemetaan jalan kebahagiaan itu bisa hanya dengan akal; tanpa merujuk ajaran para nabi. Sepanjang sejarah, orang-orang yang telah sekian lama merenungkan sangkan paran dirinya dan keberadaan alam semesta, nyatanya tak mampu memahami apapun selain merujuk ke wahyu Ilahi. Pada kesempatan ini, akan dikemukakan sejumlah peran dan kontribusi agama terhadap akal sebagai berikut.</w:t>
      </w:r>
    </w:p>
    <w:p>
      <w:pPr>
        <w:pStyle w:val="Heading4"/>
        <w:numPr>
          <w:ilvl w:val="3"/>
          <w:numId w:val="1"/>
        </w:numPr>
        <w:bidi w:val="0"/>
        <w:jc w:val="left"/>
        <w:rPr/>
      </w:pPr>
      <w:bookmarkStart w:id="438" w:name="__RefHeading___Toc1351360_581953129"/>
      <w:bookmarkStart w:id="439" w:name="_Toc159"/>
      <w:bookmarkEnd w:id="438"/>
      <w:r>
        <w:rPr/>
        <w:t>Menjelaskan Keterbatasan Akal</w:t>
      </w:r>
      <w:bookmarkEnd w:id="43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Satu dari peran terpenting agama atau wahyu adalah menjelaskan kekurangan dan keterbatasan akal. Agama meliputi seluruh dimensi dan potensi berpikir manusia. Karenanya, agama juga kerap mengingatkan soal keterbatasan akal agar manusia tidak sampai gegabah clan menerawangi ranah yang pada hakikatnya mustahil dijamah akal. Para kekasih Allah, misalnya, melarang manusia berpikir tentang Dzat Allah yang, dalam ilustrasi mereka, bagai samudera dalam yang tak terselami. Sebagai gantinya, mereka </w:t>
      </w:r>
      <w:bookmarkStart w:id="440" w:name="pg5378_50872"/>
    </w:p>
    <w:p>
      <w:pPr>
        <w:pStyle w:val="BookText"/>
        <w:bidi w:val="0"/>
        <w:rPr/>
      </w:pPr>
      <w:bookmarkEnd w:id="440"/>
      <w:r>
        <w:rPr>
          <w:rFonts w:eastAsia="Times New Roman" w:cs="Times New Roman" w:ascii="Times New Roman" w:hAnsi="Times New Roman"/>
          <w:color w:val="111111"/>
          <w:sz w:val="28"/>
          <w:szCs w:val="28"/>
          <w:lang w:val="en-US"/>
        </w:rPr>
        <w:t>mengimbau manusia untuk menjajagi permukaan dan merenungkan ciptaan-Nya.</w:t>
      </w:r>
      <w:r>
        <w:rPr>
          <w:rStyle w:val="FootnoteAnchor"/>
        </w:rPr>
        <w:footnoteReference w:id="613"/>
      </w:r>
    </w:p>
    <w:p>
      <w:pPr>
        <w:pStyle w:val="BookText"/>
        <w:bidi w:val="0"/>
        <w:jc w:val="both"/>
        <w:rPr/>
      </w:pPr>
      <w:r>
        <w:rPr>
          <w:rFonts w:eastAsia="Times New Roman" w:cs="Times New Roman" w:ascii="Times New Roman" w:hAnsi="Times New Roman"/>
          <w:color w:val="111111"/>
          <w:sz w:val="28"/>
          <w:szCs w:val="28"/>
          <w:lang w:val="en-US"/>
        </w:rPr>
        <w:t>Tentang Rahasia Al-Haq dan Hakikat-Nya dalam wujud</w:t>
      </w:r>
    </w:p>
    <w:p>
      <w:pPr>
        <w:pStyle w:val="BookText"/>
        <w:bidi w:val="0"/>
        <w:jc w:val="both"/>
        <w:rPr/>
      </w:pPr>
      <w:r>
        <w:rPr>
          <w:rFonts w:eastAsia="Times New Roman" w:cs="Times New Roman" w:ascii="Times New Roman" w:hAnsi="Times New Roman"/>
          <w:color w:val="111111"/>
          <w:sz w:val="28"/>
          <w:szCs w:val="28"/>
          <w:lang w:val="en-US"/>
        </w:rPr>
        <w:t>Manakah yang lebih jauh dari paham dan saksi.</w:t>
      </w:r>
      <w:r>
        <w:rPr>
          <w:rStyle w:val="FootnoteAnchor"/>
        </w:rPr>
        <w:footnoteReference w:id="614"/>
      </w:r>
    </w:p>
    <w:p>
      <w:pPr>
        <w:pStyle w:val="Heading4"/>
        <w:numPr>
          <w:ilvl w:val="3"/>
          <w:numId w:val="1"/>
        </w:numPr>
        <w:bidi w:val="0"/>
        <w:jc w:val="left"/>
        <w:rPr/>
      </w:pPr>
      <w:bookmarkStart w:id="441" w:name="__RefHeading___Toc1351362_581953129"/>
      <w:bookmarkStart w:id="442" w:name="_Toc160"/>
      <w:bookmarkEnd w:id="441"/>
      <w:r>
        <w:rPr/>
        <w:t>Mengarahkan pada Objek</w:t>
      </w:r>
      <w:bookmarkEnd w:id="442"/>
    </w:p>
    <w:p>
      <w:pPr>
        <w:pStyle w:val="BookText"/>
        <w:bidi w:val="0"/>
        <w:jc w:val="both"/>
        <w:rPr/>
      </w:pPr>
      <w:r>
        <w:rPr>
          <w:rFonts w:eastAsia="Times New Roman" w:cs="Times New Roman" w:ascii="Times New Roman" w:hAnsi="Times New Roman"/>
          <w:color w:val="111111"/>
          <w:sz w:val="28"/>
          <w:szCs w:val="28"/>
          <w:lang w:val="en-US"/>
        </w:rPr>
        <w:t>Sekadar punya karunia ’akal’ untuk menghimpun pemikiran yang berguna dan produktif tidaklah memadai. Betapa banyak aktivis akal yang menyalahgunakannya alih-alih meniti jenjang lintas malaikat, malah terhempas lebih hina di bawah binatang.</w:t>
      </w:r>
    </w:p>
    <w:p>
      <w:pPr>
        <w:pStyle w:val="BookText"/>
        <w:bidi w:val="0"/>
        <w:jc w:val="both"/>
        <w:rPr/>
      </w:pPr>
      <w:r>
        <w:rPr>
          <w:rFonts w:eastAsia="Times New Roman" w:cs="Times New Roman" w:ascii="Times New Roman" w:hAnsi="Times New Roman"/>
          <w:color w:val="111111"/>
          <w:sz w:val="28"/>
          <w:szCs w:val="28"/>
          <w:lang w:val="en-US"/>
        </w:rPr>
        <w:t>Salah satu bentuk kontribusi wahyu untuk akal ialah memfasilitasi akal dengan materi dan objek aktivitas aklani yang terarah dan bermanfaat. Para nabi datang guna menghidupkan dan memberdayakan akal manusia.</w:t>
      </w:r>
      <w:r>
        <w:rPr>
          <w:rStyle w:val="FootnoteAnchor"/>
        </w:rPr>
        <w:footnoteReference w:id="615"/>
      </w:r>
    </w:p>
    <w:p>
      <w:pPr>
        <w:pStyle w:val="BookText"/>
        <w:bidi w:val="0"/>
        <w:jc w:val="both"/>
        <w:rPr/>
      </w:pPr>
      <w:r>
        <w:rPr>
          <w:rFonts w:eastAsia="Times New Roman" w:cs="Times New Roman" w:ascii="Times New Roman" w:hAnsi="Times New Roman"/>
          <w:color w:val="111111"/>
          <w:sz w:val="28"/>
          <w:szCs w:val="28"/>
          <w:lang w:val="en-US"/>
        </w:rPr>
        <w:t>[Para nabi diutus] untuk menggali janji fitrah-Nya, mengingatkan mereka perihal seluruh nikmat-Nya dan membongkar hazanah-hazanah terpendam akal untuk mereka.</w:t>
      </w:r>
    </w:p>
    <w:p>
      <w:pPr>
        <w:pStyle w:val="BookText"/>
        <w:bidi w:val="0"/>
        <w:jc w:val="both"/>
        <w:rPr/>
      </w:pPr>
      <w:r>
        <w:rPr>
          <w:rFonts w:eastAsia="Times New Roman" w:cs="Times New Roman" w:ascii="Times New Roman" w:hAnsi="Times New Roman"/>
          <w:color w:val="111111"/>
          <w:sz w:val="28"/>
          <w:szCs w:val="28"/>
          <w:lang w:val="en-US"/>
        </w:rPr>
        <w:t>Kalau saja tak ada gugus pergerakan dan risalah para nabi, niscaya sistem-sistem filsafat insani sekalipun tak akan mampu mengatasi persoalan hidup dan nasib umat manusia.</w:t>
      </w:r>
    </w:p>
    <w:p>
      <w:pPr>
        <w:pStyle w:val="BookText"/>
        <w:bidi w:val="0"/>
        <w:jc w:val="both"/>
        <w:rPr/>
      </w:pPr>
      <w:r>
        <w:rPr>
          <w:rFonts w:eastAsia="Times New Roman" w:cs="Times New Roman" w:ascii="Times New Roman" w:hAnsi="Times New Roman"/>
          <w:color w:val="111111"/>
          <w:sz w:val="28"/>
          <w:szCs w:val="28"/>
          <w:lang w:val="en-US"/>
        </w:rPr>
        <w:t>Akal tak lain dari sekedar akal penalar</w:t>
      </w:r>
    </w:p>
    <w:p>
      <w:pPr>
        <w:pStyle w:val="BookText"/>
        <w:bidi w:val="0"/>
        <w:jc w:val="both"/>
        <w:rPr/>
      </w:pPr>
      <w:r>
        <w:rPr>
          <w:rFonts w:eastAsia="Times New Roman" w:cs="Times New Roman" w:ascii="Times New Roman" w:hAnsi="Times New Roman"/>
          <w:color w:val="111111"/>
          <w:sz w:val="28"/>
          <w:szCs w:val="28"/>
          <w:lang w:val="en-US"/>
        </w:rPr>
        <w:t>hanyalah penadah disiplin ilmu dan pengemis.</w:t>
      </w:r>
      <w:r>
        <w:rPr>
          <w:rStyle w:val="FootnoteAnchor"/>
        </w:rPr>
        <w:footnoteReference w:id="616"/>
      </w:r>
    </w:p>
    <w:p>
      <w:pPr>
        <w:pStyle w:val="BookText"/>
        <w:bidi w:val="0"/>
        <w:jc w:val="both"/>
        <w:rPr/>
      </w:pPr>
      <w:r>
        <w:rPr>
          <w:rFonts w:eastAsia="Times New Roman" w:cs="Times New Roman" w:ascii="Times New Roman" w:hAnsi="Times New Roman"/>
          <w:color w:val="111111"/>
          <w:sz w:val="28"/>
          <w:szCs w:val="28"/>
          <w:lang w:val="en-US"/>
        </w:rPr>
        <w:t>Akal ini bisa diajarkan dan dipahamkan</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dialah yang justru diajari pemilik wahyu. </w:t>
      </w:r>
      <w:bookmarkStart w:id="443" w:name="pg5378_50874"/>
    </w:p>
    <w:p>
      <w:pPr>
        <w:pStyle w:val="BookText"/>
        <w:bidi w:val="0"/>
        <w:rPr/>
      </w:pPr>
      <w:bookmarkEnd w:id="443"/>
      <w:r>
        <w:rPr>
          <w:rFonts w:eastAsia="Times New Roman" w:cs="Times New Roman" w:ascii="Times New Roman" w:hAnsi="Times New Roman"/>
          <w:color w:val="111111"/>
          <w:sz w:val="28"/>
          <w:szCs w:val="28"/>
          <w:lang w:val="en-US"/>
        </w:rPr>
        <w:t>Dengan mengemukakan tema-tema seperti eksistensi Allah, tauhid, kenabian, keabadian ruh, ikhtiar, dan lainnya, agama wahyuni mengarahkan pikiran manusia. Darinya dapat dipahami bila salah memilih agama atau terjadi tahrif dan penyimpangan di dalamnya, maka korban pertama yang jatuh karenanya adalah akal manusia. Contoh, kalau saja seorang pendeta Nasrani tidak meyakini doktrin trinitas, reinkarnasi, atau lainnya, sebagai ajaran wahyu, dia tidak akan tahan—dalam upaya rnenuntaskan solusi sekian doktrin itu- menanggung beban penderitaan intelektual dua ribu tahunan, tidak pula akan siap barang sesaat menghabiskan umumya untuk itu.</w:t>
      </w:r>
      <w:r>
        <w:rPr>
          <w:rStyle w:val="FootnoteAnchor"/>
        </w:rPr>
        <w:footnoteReference w:id="617"/>
      </w:r>
    </w:p>
    <w:p>
      <w:pPr>
        <w:pStyle w:val="Heading4"/>
        <w:numPr>
          <w:ilvl w:val="3"/>
          <w:numId w:val="1"/>
        </w:numPr>
        <w:bidi w:val="0"/>
        <w:jc w:val="left"/>
        <w:rPr/>
      </w:pPr>
      <w:bookmarkStart w:id="444" w:name="__RefHeading___Toc1351364_581953129"/>
      <w:bookmarkStart w:id="445" w:name="_Toc161"/>
      <w:bookmarkEnd w:id="444"/>
      <w:r>
        <w:rPr/>
        <w:t>Menunjukkan Rincian Jalan</w:t>
      </w:r>
      <w:bookmarkEnd w:id="445"/>
    </w:p>
    <w:p>
      <w:pPr>
        <w:pStyle w:val="BookText"/>
        <w:bidi w:val="0"/>
        <w:jc w:val="both"/>
        <w:rPr/>
      </w:pPr>
      <w:r>
        <w:rPr>
          <w:rFonts w:eastAsia="Times New Roman" w:cs="Times New Roman" w:ascii="Times New Roman" w:hAnsi="Times New Roman"/>
          <w:color w:val="111111"/>
          <w:sz w:val="28"/>
          <w:szCs w:val="28"/>
          <w:lang w:val="en-US"/>
        </w:rPr>
        <w:t>Akal meyakinkan manusia sebuah nuktah, bahwa penciptaan dan keberadaannya tidak sia-sia; dia didatangkan ke dunia dalam rangka menempuh jenjang kesempumaan mutlak dan meraih keselamatan abadi. Akal juga mampu memahamkan bahwa untuk tujuan itu, manusia harus mengerjakan apa pun yang diridhai Tuhan dan menghindari yang dibenci-Nya. Namun, akal akan berhenti lemah sampai batas menyingkap rincian dan seluk-beluk parsial jalan keselamatan itu; batas yang tak sanggup dilampauinya. I-Ianya dengan arahan wahyu, manusia bisa mengetahui rincian seluk beluk perjalanannya dan Cara menempuhnya. Tanpa petunjuk wahyu, akal bukan lagi mitra manusia yang sepatutnya menerangkan aneka hubungan tutur dan perilakunya di dunia ini dengan pengaruh dan dampaknya di akhirat sana.</w:t>
      </w:r>
    </w:p>
    <w:p>
      <w:pPr>
        <w:pStyle w:val="BookText"/>
        <w:bidi w:val="0"/>
        <w:jc w:val="both"/>
        <w:rPr/>
      </w:pPr>
      <w:r>
        <w:rPr>
          <w:rFonts w:eastAsia="Times New Roman" w:cs="Times New Roman" w:ascii="Times New Roman" w:hAnsi="Times New Roman"/>
          <w:color w:val="111111"/>
          <w:sz w:val="28"/>
          <w:szCs w:val="28"/>
          <w:lang w:val="en-US"/>
        </w:rPr>
        <w:t>Kalau saja orang usil tahu keutamaaannya</w:t>
      </w:r>
    </w:p>
    <w:p>
      <w:pPr>
        <w:pStyle w:val="BookText"/>
        <w:bidi w:val="0"/>
        <w:jc w:val="both"/>
        <w:rPr/>
      </w:pPr>
      <w:r>
        <w:rPr>
          <w:rFonts w:eastAsia="Times New Roman" w:cs="Times New Roman" w:ascii="Times New Roman" w:hAnsi="Times New Roman"/>
          <w:color w:val="111111"/>
          <w:sz w:val="28"/>
          <w:szCs w:val="28"/>
          <w:lang w:val="en-US"/>
        </w:rPr>
        <w:t>entah kapan Tuhan ‘kan utus sekian rasul.</w:t>
      </w:r>
    </w:p>
    <w:p>
      <w:pPr>
        <w:pStyle w:val="BookText"/>
        <w:bidi w:val="0"/>
        <w:jc w:val="both"/>
        <w:rPr/>
      </w:pPr>
      <w:r>
        <w:rPr>
          <w:rFonts w:eastAsia="Times New Roman" w:cs="Times New Roman" w:ascii="Times New Roman" w:hAnsi="Times New Roman"/>
          <w:color w:val="111111"/>
          <w:sz w:val="28"/>
          <w:szCs w:val="28"/>
          <w:lang w:val="en-US"/>
        </w:rPr>
        <w:t>Akal hadapkan pemiliknya pada tabib</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tanpa tabib, akalnya racun ketimbang obat.</w:t>
      </w:r>
      <w:r>
        <w:rPr>
          <w:rStyle w:val="FootnoteAnchor"/>
        </w:rPr>
        <w:footnoteReference w:id="618"/>
      </w:r>
      <w:bookmarkStart w:id="446" w:name="pg5378_50876"/>
    </w:p>
    <w:p>
      <w:pPr>
        <w:pStyle w:val="Heading4"/>
        <w:numPr>
          <w:ilvl w:val="3"/>
          <w:numId w:val="1"/>
        </w:numPr>
        <w:bidi w:val="0"/>
        <w:jc w:val="left"/>
        <w:rPr/>
      </w:pPr>
      <w:bookmarkStart w:id="447" w:name="__RefHeading___Toc1351366_581953129"/>
      <w:bookmarkStart w:id="448" w:name="_Toc162"/>
      <w:bookmarkEnd w:id="446"/>
      <w:bookmarkEnd w:id="447"/>
      <w:r>
        <w:rPr/>
        <w:t>Menunjukkan Kekeliruan Berpikir</w:t>
      </w:r>
      <w:bookmarkEnd w:id="448"/>
    </w:p>
    <w:p>
      <w:pPr>
        <w:pStyle w:val="BookText"/>
        <w:bidi w:val="0"/>
        <w:jc w:val="both"/>
        <w:rPr/>
      </w:pPr>
      <w:r>
        <w:rPr>
          <w:rFonts w:eastAsia="Times New Roman" w:cs="Times New Roman" w:ascii="Times New Roman" w:hAnsi="Times New Roman"/>
          <w:color w:val="111111"/>
          <w:sz w:val="28"/>
          <w:szCs w:val="28"/>
          <w:lang w:val="en-US"/>
        </w:rPr>
        <w:t>Kontribusi berharga lain dari wahyu untuk akal ialah menunjukkan kekeliruan berpikir, seperti halnya telah diulas sebelum ini.</w:t>
      </w:r>
    </w:p>
    <w:p>
      <w:pPr>
        <w:pStyle w:val="BookText"/>
        <w:bidi w:val="0"/>
        <w:jc w:val="both"/>
        <w:rPr/>
      </w:pPr>
      <w:r>
        <w:rPr>
          <w:rFonts w:eastAsia="Times New Roman" w:cs="Times New Roman" w:ascii="Times New Roman" w:hAnsi="Times New Roman"/>
          <w:color w:val="111111"/>
          <w:sz w:val="28"/>
          <w:szCs w:val="28"/>
          <w:lang w:val="en-US"/>
        </w:rPr>
        <w:t>Yang patut dicatat, kategorisasi peran dan konstribusi agama di atas tidak berarti bahwa agama memaksakan satu pola berpikir ke atas penganutnya, sehingga dengan demikian, ia berusaha memperlakukan aktivitas aklani dalam kerangka penghambaan dan bagian dari produk sistem hukumnya yang wajib ditaati (ta’abbudi). jika asumsi ini dipertahankan, bukan hanya kehilangan substansinya, ’berpikir' dan aktivitas aklani apa pun tidak lebih dari sekadar nama saja.</w:t>
      </w:r>
    </w:p>
    <w:p>
      <w:pPr>
        <w:pStyle w:val="BookText"/>
        <w:bidi w:val="0"/>
        <w:jc w:val="both"/>
        <w:rPr/>
      </w:pPr>
      <w:r>
        <w:rPr>
          <w:rFonts w:eastAsia="Times New Roman" w:cs="Times New Roman" w:ascii="Times New Roman" w:hAnsi="Times New Roman"/>
          <w:color w:val="111111"/>
          <w:sz w:val="28"/>
          <w:szCs w:val="28"/>
          <w:lang w:val="en-US"/>
        </w:rPr>
        <w:t>Pada dasarnya, di balik kategorisasi itu, agama hendak memberikan fasilitas pengarahan dan bimbingan kepada akal, dan menyingkap realitas yang terselubung di hadapan mata akal.</w:t>
      </w:r>
    </w:p>
    <w:p>
      <w:pPr>
        <w:pStyle w:val="Heading3"/>
        <w:numPr>
          <w:ilvl w:val="2"/>
          <w:numId w:val="1"/>
        </w:numPr>
        <w:bidi w:val="0"/>
        <w:jc w:val="left"/>
        <w:rPr/>
      </w:pPr>
      <w:bookmarkStart w:id="449" w:name="__RefHeading___Toc1351368_581953129"/>
      <w:bookmarkStart w:id="450" w:name="_Toc163"/>
      <w:bookmarkEnd w:id="449"/>
      <w:r>
        <w:rPr/>
        <w:t>Peran Akal</w:t>
      </w:r>
      <w:bookmarkEnd w:id="450"/>
    </w:p>
    <w:p>
      <w:pPr>
        <w:pStyle w:val="Heading4"/>
        <w:numPr>
          <w:ilvl w:val="3"/>
          <w:numId w:val="1"/>
        </w:numPr>
        <w:bidi w:val="0"/>
        <w:jc w:val="left"/>
        <w:rPr/>
      </w:pPr>
      <w:bookmarkStart w:id="451" w:name="__RefHeading___Toc1351370_581953129"/>
      <w:bookmarkStart w:id="452" w:name="_Toc164"/>
      <w:bookmarkEnd w:id="451"/>
      <w:r>
        <w:rPr/>
        <w:t>Point</w:t>
      </w:r>
      <w:bookmarkEnd w:id="452"/>
    </w:p>
    <w:p>
      <w:pPr>
        <w:pStyle w:val="BookText"/>
        <w:bidi w:val="0"/>
        <w:jc w:val="both"/>
        <w:rPr/>
      </w:pPr>
      <w:r>
        <w:rPr>
          <w:rFonts w:eastAsia="Times New Roman" w:cs="Times New Roman" w:ascii="Times New Roman" w:hAnsi="Times New Roman"/>
          <w:color w:val="111111"/>
          <w:sz w:val="28"/>
          <w:szCs w:val="28"/>
          <w:lang w:val="en-US"/>
        </w:rPr>
        <w:t>Tak diragukan lagi, akal merupakan pelita pemahaman dan penyimpulan. Tanpa bantuan cahayanya, memahami Alquran dan Sunah menjadi sukar, kalau bukan malah mustahil.</w:t>
      </w:r>
    </w:p>
    <w:p>
      <w:pPr>
        <w:pStyle w:val="BookText"/>
        <w:bidi w:val="0"/>
        <w:jc w:val="both"/>
        <w:rPr/>
      </w:pPr>
      <w:r>
        <w:rPr>
          <w:rFonts w:eastAsia="Times New Roman" w:cs="Times New Roman" w:ascii="Times New Roman" w:hAnsi="Times New Roman"/>
          <w:color w:val="111111"/>
          <w:sz w:val="28"/>
          <w:szCs w:val="28"/>
          <w:lang w:val="en-US"/>
        </w:rPr>
        <w:t>Penjelasannya, baik kalangan rasionalis maupun para penentangnya, sama-sama mengafirmasi status akal sebagai PELITA. Hanya saja, kaum rasionalis radikal kerap menekankan akal sebagai 'tolok UKUR. Radikalisme mereka tampak kuat dalam memutuskan segenap proposisi agama, bahkan hukum-hukum praktis syariat, agar diverifikasi dengan akal. Lebih dari itu, mereka keberatan menerima ada hukum ajaran agama yang nonrasional, apalagi yang antirasional.</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Berbeda sebagai oposisi, kelompok lain malah terlalu berlebihan mengangkat status akal sebagai KUNCI, sampai-sampai mengilustrasikannya seolah membukakan pintu rumah syariat di hadapan umat agama, lalu ia sendiri layaknya reptil di sebuah gudang </w:t>
      </w:r>
      <w:bookmarkStart w:id="453" w:name="pg5378_50878"/>
    </w:p>
    <w:p>
      <w:pPr>
        <w:pStyle w:val="BookText"/>
        <w:bidi w:val="0"/>
        <w:rPr/>
      </w:pPr>
      <w:bookmarkEnd w:id="453"/>
      <w:r>
        <w:rPr>
          <w:rFonts w:eastAsia="Times New Roman" w:cs="Times New Roman" w:ascii="Times New Roman" w:hAnsi="Times New Roman"/>
          <w:color w:val="111111"/>
          <w:sz w:val="28"/>
          <w:szCs w:val="28"/>
          <w:lang w:val="en-US"/>
        </w:rPr>
        <w:t>harta: enggan mengiringi mereka masuk. Sebagian mendekatkan status akal itu melalui sosok penguasa yang mendudukkan nabi di singgasananya, lalu dia sencliri memilih singkir dari lingkaran kekuasaannya</w:t>
      </w:r>
      <w:r>
        <w:rPr>
          <w:rStyle w:val="FootnoteAnchor"/>
        </w:rPr>
        <w:footnoteReference w:id="619"/>
      </w:r>
    </w:p>
    <w:p>
      <w:pPr>
        <w:pStyle w:val="BookText"/>
        <w:bidi w:val="0"/>
        <w:jc w:val="both"/>
        <w:rPr/>
      </w:pPr>
      <w:r>
        <w:rPr>
          <w:rFonts w:eastAsia="Times New Roman" w:cs="Times New Roman" w:ascii="Times New Roman" w:hAnsi="Times New Roman"/>
          <w:color w:val="111111"/>
          <w:sz w:val="28"/>
          <w:szCs w:val="28"/>
          <w:lang w:val="en-US"/>
        </w:rPr>
        <w:t>Berdasarkan penafsiran terhadap tiga terma di atas, dengan jelas akal bisa diidentifikasi sebagai ‘tolok ukur’ verifikasi sebagian pengetahuan agama; sebagai ’Kunci’ pembuka sebagian lainnya; dan pada saat yang sama sebagai ’cahaya’ dan instrumen pengetahuan dalam semua keadaan, bahkan adakalanya aktif sebagai sumber pengetahuan.</w:t>
      </w:r>
      <w:r>
        <w:rPr>
          <w:rStyle w:val="FootnoteAnchor"/>
        </w:rPr>
        <w:footnoteReference w:id="620"/>
      </w:r>
    </w:p>
    <w:p>
      <w:pPr>
        <w:pStyle w:val="Heading4"/>
        <w:numPr>
          <w:ilvl w:val="3"/>
          <w:numId w:val="1"/>
        </w:numPr>
        <w:bidi w:val="0"/>
        <w:jc w:val="left"/>
        <w:rPr/>
      </w:pPr>
      <w:bookmarkStart w:id="454" w:name="__RefHeading___Toc1351372_581953129"/>
      <w:bookmarkStart w:id="455" w:name="_Toc165"/>
      <w:bookmarkEnd w:id="454"/>
      <w:r>
        <w:rPr/>
        <w:t>Akal sebagai Tolok Ukur</w:t>
      </w:r>
      <w:bookmarkEnd w:id="455"/>
    </w:p>
    <w:p>
      <w:pPr>
        <w:pStyle w:val="BookText"/>
        <w:bidi w:val="0"/>
        <w:jc w:val="both"/>
        <w:rPr/>
      </w:pPr>
      <w:r>
        <w:rPr>
          <w:rFonts w:eastAsia="Times New Roman" w:cs="Times New Roman" w:ascii="Times New Roman" w:hAnsi="Times New Roman"/>
          <w:color w:val="111111"/>
          <w:sz w:val="28"/>
          <w:szCs w:val="28"/>
          <w:lang w:val="en-US"/>
        </w:rPr>
        <w:t>Sebagai tolok ukur, akal berfungsi mengidentiﬁkasi mana yang benar dan mana yang keliru. Akal bahkan menjadi satu-satunya tolok ukur penilaian bagi sebagian proposisi agama. Pada status ini, proposisi rasional sajalah yang dapat diakui valid, adapun proposisi nonrasional, apalagi antirasional, tidak punya nilai validitas apa- apa.</w:t>
      </w:r>
    </w:p>
    <w:p>
      <w:pPr>
        <w:pStyle w:val="BookText"/>
        <w:bidi w:val="0"/>
        <w:jc w:val="both"/>
        <w:rPr/>
      </w:pPr>
      <w:r>
        <w:rPr>
          <w:rFonts w:eastAsia="Times New Roman" w:cs="Times New Roman" w:ascii="Times New Roman" w:hAnsi="Times New Roman"/>
          <w:color w:val="111111"/>
          <w:sz w:val="28"/>
          <w:szCs w:val="28"/>
          <w:lang w:val="en-US"/>
        </w:rPr>
        <w:t>Tentu saja, sejauh pengakuan itu sendiri, akal berstatus demikian hanya dalam proposisi tertentu, dan ia akan menampakkan aktivitasnya dalam agenda—agenda berikut:</w:t>
      </w:r>
    </w:p>
    <w:p>
      <w:pPr>
        <w:pStyle w:val="Heading4"/>
        <w:numPr>
          <w:ilvl w:val="3"/>
          <w:numId w:val="1"/>
        </w:numPr>
        <w:bidi w:val="0"/>
        <w:jc w:val="left"/>
        <w:rPr/>
      </w:pPr>
      <w:bookmarkStart w:id="456" w:name="__RefHeading___Toc1351374_581953129"/>
      <w:bookmarkStart w:id="457" w:name="_Toc166"/>
      <w:bookmarkEnd w:id="456"/>
      <w:r>
        <w:rPr/>
        <w:t>Mengafirmasi Kebenaran Agama</w:t>
      </w:r>
      <w:bookmarkEnd w:id="45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tugas akal adalah membuktikan kebenaran agama berikut prinsip-prinsipnya. Akal mengakui keniscayaan diutusnya para nabi oleh Tuhan, dan mampu membedakan mana nabi yang sebenarnya dan mana nabi palsu. Jadi, pembuktian keniscayaan, kebenaran dan kesucian agama merupakan tugas dan agenda akal. Dalam skala ini, agama sama sekali tidak bisa dan tidak akan bertentangan dengan </w:t>
      </w:r>
      <w:bookmarkStart w:id="458" w:name="pg5378_50881"/>
    </w:p>
    <w:p>
      <w:pPr>
        <w:pStyle w:val="BookText"/>
        <w:bidi w:val="0"/>
        <w:rPr/>
      </w:pPr>
      <w:bookmarkEnd w:id="458"/>
      <w:r>
        <w:rPr>
          <w:rFonts w:eastAsia="Times New Roman" w:cs="Times New Roman" w:ascii="Times New Roman" w:hAnsi="Times New Roman"/>
          <w:color w:val="111111"/>
          <w:sz w:val="28"/>
          <w:szCs w:val="28"/>
          <w:lang w:val="en-US"/>
        </w:rPr>
        <w:t>akal, karena prinsip menerima agama berada di bawah supremasi hukum dasar akal, Itulah sebabnya agama tidak bisa menentang akal sebagai basis kebergantungannya.</w:t>
      </w:r>
    </w:p>
    <w:p>
      <w:pPr>
        <w:pStyle w:val="Heading4"/>
        <w:numPr>
          <w:ilvl w:val="3"/>
          <w:numId w:val="1"/>
        </w:numPr>
        <w:bidi w:val="0"/>
        <w:jc w:val="left"/>
        <w:rPr/>
      </w:pPr>
      <w:bookmarkStart w:id="459" w:name="__RefHeading___Toc1351376_581953129"/>
      <w:bookmarkStart w:id="460" w:name="_Toc167"/>
      <w:bookmarkEnd w:id="459"/>
      <w:r>
        <w:rPr/>
        <w:t>Membuktikan Prinsip-prinsip Keimanan</w:t>
      </w:r>
      <w:bookmarkEnd w:id="460"/>
    </w:p>
    <w:p>
      <w:pPr>
        <w:pStyle w:val="BookText"/>
        <w:bidi w:val="0"/>
        <w:jc w:val="both"/>
        <w:rPr/>
      </w:pPr>
      <w:r>
        <w:rPr>
          <w:rFonts w:eastAsia="Times New Roman" w:cs="Times New Roman" w:ascii="Times New Roman" w:hAnsi="Times New Roman"/>
          <w:color w:val="111111"/>
          <w:sz w:val="28"/>
          <w:szCs w:val="28"/>
          <w:lang w:val="en-US"/>
        </w:rPr>
        <w:t>Agenda ini juga bagian dari tanggung jawab akal. Kalangan pemikir agama yang tercerahkan menolak sikap taklid dalam membangun ’pilar-pilar' keimanan, dan mengimbau semua pihak untuk memikirkannya secara rasional. Mengajarkan keimanan yang tak terdukung aktivitas aklani, atau enggan membangun argumentasi rasional seputar prinsip-prinsip agama, adalah gejala yang tak bisa ditolerir akal insani.</w:t>
      </w:r>
    </w:p>
    <w:p>
      <w:pPr>
        <w:pStyle w:val="BookText"/>
        <w:bidi w:val="0"/>
        <w:jc w:val="both"/>
        <w:rPr/>
      </w:pPr>
      <w:r>
        <w:rPr>
          <w:rFonts w:eastAsia="Times New Roman" w:cs="Times New Roman" w:ascii="Times New Roman" w:hAnsi="Times New Roman"/>
          <w:color w:val="111111"/>
          <w:sz w:val="28"/>
          <w:szCs w:val="28"/>
          <w:lang w:val="en-US"/>
        </w:rPr>
        <w:t>Dengan demikian, dalam prinsip-prinsip keimanan, agama tidak akan bertentangan dengan akal. Berdasarkan alasan ini pula tema-tema keimanan seperti: trinitas, reinkamasi, dan wafatnya Isa Al-Masih sebagai bentuk penebusan dosa, menjadi rangkaian distorsi produk manusia yang melapisi agama Isa Al-Masih yang mulia. Sementara sebagai rencana Tuhan, agama langit benar-benar bebas dari ajaran-ajaran antirasional.</w:t>
      </w:r>
    </w:p>
    <w:p>
      <w:pPr>
        <w:pStyle w:val="Heading4"/>
        <w:numPr>
          <w:ilvl w:val="3"/>
          <w:numId w:val="1"/>
        </w:numPr>
        <w:bidi w:val="0"/>
        <w:jc w:val="left"/>
        <w:rPr/>
      </w:pPr>
      <w:bookmarkStart w:id="461" w:name="__RefHeading___Toc1351378_581953129"/>
      <w:bookmarkStart w:id="462" w:name="_Toc168"/>
      <w:bookmarkEnd w:id="461"/>
      <w:r>
        <w:rPr/>
        <w:t>Melindungi Agama dari Penyimpangan</w:t>
      </w:r>
      <w:bookmarkEnd w:id="462"/>
    </w:p>
    <w:p>
      <w:pPr>
        <w:pStyle w:val="BookText"/>
        <w:bidi w:val="0"/>
        <w:jc w:val="both"/>
        <w:rPr/>
      </w:pPr>
      <w:r>
        <w:rPr>
          <w:rFonts w:eastAsia="Times New Roman" w:cs="Times New Roman" w:ascii="Times New Roman" w:hAnsi="Times New Roman"/>
          <w:color w:val="111111"/>
          <w:sz w:val="28"/>
          <w:szCs w:val="28"/>
          <w:lang w:val="en-US"/>
        </w:rPr>
        <w:t>Melindungi Agama dari Penyimpangan</w:t>
      </w:r>
      <w:r>
        <w:rPr>
          <w:rStyle w:val="FootnoteAnchor"/>
        </w:rPr>
        <w:footnoteReference w:id="621"/>
      </w:r>
    </w:p>
    <w:p>
      <w:pPr>
        <w:pStyle w:val="BookText"/>
        <w:bidi w:val="0"/>
        <w:jc w:val="both"/>
        <w:rPr/>
      </w:pPr>
      <w:r>
        <w:rPr>
          <w:rFonts w:eastAsia="Times New Roman" w:cs="Times New Roman" w:ascii="Times New Roman" w:hAnsi="Times New Roman"/>
          <w:color w:val="111111"/>
          <w:sz w:val="28"/>
          <w:szCs w:val="28"/>
          <w:lang w:val="en-US"/>
        </w:rPr>
        <w:t>Setiap agama langit pada awalnya suci dan mumi. Namun, dalam proses sejarahnya, ia sangat mungkin mengalami penyimpangan dan penyalahgunaan akibat ulah manusia. Di sinilah status akal tempak begitu jelas sebagai kriteria yang memisahkan wahyu Allah Swt dari produk tahrif dan penyimpangan manusia. Sebagai contoh, sejauh pengakuan kawan dan lawan, agama Islam terjaga dari intervensi tahrif; lebih utuh dari agama yang lain, kendati sejak awal sudah terancam pemalsuan riwayat.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Menilik metode penulisan riwayat di kalangan Ahli Sunah, </w:t>
      </w:r>
      <w:bookmarkStart w:id="463" w:name="pg5378_50882"/>
    </w:p>
    <w:p>
      <w:pPr>
        <w:pStyle w:val="BookText"/>
        <w:bidi w:val="0"/>
        <w:rPr/>
      </w:pPr>
      <w:bookmarkEnd w:id="463"/>
      <w:r>
        <w:rPr>
          <w:rFonts w:eastAsia="Times New Roman" w:cs="Times New Roman" w:ascii="Times New Roman" w:hAnsi="Times New Roman"/>
          <w:color w:val="111111"/>
          <w:sz w:val="28"/>
          <w:szCs w:val="28"/>
          <w:lang w:val="en-US"/>
        </w:rPr>
        <w:t>fakta semacam ini akan terlihat secara gamblang. Dalam Shahih Al-Bukhari, misalnya, terdapat sekitar 2700 hadis yang bukan ulangan dari 600.000 riwayat yang berhasil dikoleksi Bukhari. Begitu juga dengan Ahmad bin Hanbal dalam Musnnad—nya; mencatat sekitar 30 ribu hadis pilihan yang diklaim sahih dari kira-kira 750 ribu hadis yang berhasil dikupulkannya.</w:t>
      </w:r>
      <w:r>
        <w:rPr>
          <w:rStyle w:val="FootnoteAnchor"/>
        </w:rPr>
        <w:footnoteReference w:id="622"/>
      </w:r>
    </w:p>
    <w:p>
      <w:pPr>
        <w:pStyle w:val="BookText"/>
        <w:bidi w:val="0"/>
        <w:jc w:val="both"/>
        <w:rPr/>
      </w:pPr>
      <w:r>
        <w:rPr>
          <w:rFonts w:eastAsia="Times New Roman" w:cs="Times New Roman" w:ascii="Times New Roman" w:hAnsi="Times New Roman"/>
          <w:color w:val="111111"/>
          <w:sz w:val="28"/>
          <w:szCs w:val="28"/>
          <w:lang w:val="en-US"/>
        </w:rPr>
        <w:t>Meski demikian, Islam menyiapkan alat-alat yang efektif untuk mengikis noda penyimpangan. Dalam rangka ini pula para pemimpin agama menjelaskan metode dan mekanisme dalam upaya memisahkan mana riwayat yang dapat dipercaya dan mana yang tidak, di antaranya: menimbang riwayat dengan Alquran dan hadis mutawatir dan pasti sahih.</w:t>
      </w:r>
    </w:p>
    <w:p>
      <w:pPr>
        <w:pStyle w:val="BookText"/>
        <w:bidi w:val="0"/>
        <w:jc w:val="both"/>
        <w:rPr/>
      </w:pPr>
      <w:r>
        <w:rPr>
          <w:rFonts w:eastAsia="Times New Roman" w:cs="Times New Roman" w:ascii="Times New Roman" w:hAnsi="Times New Roman"/>
          <w:color w:val="111111"/>
          <w:sz w:val="28"/>
          <w:szCs w:val="28"/>
          <w:lang w:val="en-US"/>
        </w:rPr>
        <w:t>Sudah barang tentu dalam konteks ini, peran akal sangatlah signifikan. Dalam bidang ushuluddin dan prinsip-prinsip keimanan, akal tampil sebagai penguasa medan. Ia tidak toleran terhadap reaksi nonrasionalistik, apalagi antirasionalistik. Begitu juga dalam lingkup furu’uddin, kendati kebanyakan hukum fikih di dalamnya berada di luar jangkauan akal, namun ia menolak hukum apa pun yang sifatnya antirasional.</w:t>
      </w:r>
    </w:p>
    <w:p>
      <w:pPr>
        <w:pStyle w:val="Heading4"/>
        <w:numPr>
          <w:ilvl w:val="3"/>
          <w:numId w:val="1"/>
        </w:numPr>
        <w:bidi w:val="0"/>
        <w:jc w:val="left"/>
        <w:rPr/>
      </w:pPr>
      <w:bookmarkStart w:id="464" w:name="__RefHeading___Toc1351380_581953129"/>
      <w:bookmarkStart w:id="465" w:name="_Toc169"/>
      <w:bookmarkEnd w:id="464"/>
      <w:r>
        <w:rPr/>
        <w:t>Akal sebagai Kunci</w:t>
      </w:r>
      <w:bookmarkEnd w:id="46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Akal merupakan kunci dalam memahami proposisi agama, terutama dalam lingkup hukum fikih dan syariat yang bersifat partikular. Artinya, akal hanya dapat menuntun manusia sampai ke gerbang syariat, namun tidak mampu dengan sendirinya memanfaatkan hazanah di dalam (syariat) tersebut. Contohnya, hikmah jumlah rakaat atau waktu-waktu khusus ibadah menjadi tema-tema yang tak mampu dicerna akal lazimnya manusia. Hanya satu hal yang mampu dipastikan akal dalam konteks ini, bahwa hukum semacam itu tidak bertentangan dengan prinsip rasional. </w:t>
      </w:r>
      <w:bookmarkStart w:id="466" w:name="pg5378_50884"/>
    </w:p>
    <w:p>
      <w:pPr>
        <w:pStyle w:val="BookText"/>
        <w:bidi w:val="0"/>
        <w:rPr/>
      </w:pPr>
      <w:bookmarkEnd w:id="466"/>
      <w:r>
        <w:rPr>
          <w:rFonts w:eastAsia="Times New Roman" w:cs="Times New Roman" w:ascii="Times New Roman" w:hAnsi="Times New Roman"/>
          <w:color w:val="111111"/>
          <w:sz w:val="28"/>
          <w:szCs w:val="28"/>
          <w:lang w:val="en-US"/>
        </w:rPr>
        <w:t>Dengan kata lain, akal tidak mengategorikan hukum syariat sebagai perkara antirasional, meskipun ia tidak sanggup membuktikannya sebagai perkara yang rasional. Sebab, sitir Mulla Rumi, ”akal bukanlah jalan menempuh arah itu</w:t>
      </w:r>
      <w:r>
        <w:rPr>
          <w:rStyle w:val="FootnoteAnchor"/>
        </w:rPr>
        <w:footnoteReference w:id="623"/>
      </w:r>
      <w:r>
        <w:rPr>
          <w:rFonts w:eastAsia="Times New Roman" w:cs="Times New Roman" w:ascii="Times New Roman" w:hAnsi="Times New Roman"/>
          <w:color w:val="111111"/>
          <w:sz w:val="28"/>
          <w:szCs w:val="28"/>
          <w:lang w:val="en-US"/>
        </w:rPr>
        <w:t>Namun begitu, setelah dibuktikan prinsip-prinsip agama secara rasional, maka menerima hukum yang nonrasional (bukan rasional juga bukan antirasional) adalah senilai dengan rasional itu sendiri, sehingga penyimpangan apa pun terhadap hukum syariat adalah tindakan irasional.</w:t>
      </w:r>
    </w:p>
    <w:p>
      <w:pPr>
        <w:pStyle w:val="Heading4"/>
        <w:numPr>
          <w:ilvl w:val="3"/>
          <w:numId w:val="1"/>
        </w:numPr>
        <w:bidi w:val="0"/>
        <w:jc w:val="left"/>
        <w:rPr/>
      </w:pPr>
      <w:bookmarkStart w:id="467" w:name="__RefHeading___Toc1351382_581953129"/>
      <w:bookmarkStart w:id="468" w:name="_Toc170"/>
      <w:bookmarkEnd w:id="467"/>
      <w:r>
        <w:rPr/>
        <w:t>Akal sebagai Pelita</w:t>
      </w:r>
      <w:bookmarkEnd w:id="468"/>
    </w:p>
    <w:p>
      <w:pPr>
        <w:pStyle w:val="BookText"/>
        <w:bidi w:val="0"/>
        <w:jc w:val="both"/>
        <w:rPr/>
      </w:pPr>
      <w:r>
        <w:rPr>
          <w:rFonts w:eastAsia="Times New Roman" w:cs="Times New Roman" w:ascii="Times New Roman" w:hAnsi="Times New Roman"/>
          <w:color w:val="111111"/>
          <w:sz w:val="28"/>
          <w:szCs w:val="28"/>
          <w:lang w:val="en-US"/>
        </w:rPr>
        <w:t>Alat memperoleh pengetahuan hanyalah akal (dalam pengertian yang luas: termasuk indrawi dan eksperimen). Tanpa menggunakan akal, siapapun tidak akan memahami hukum-hukum fisika dan syariat. Karena itu, sekalipun ada kalangan yang memperhitungkan akal sebagai sumber pengetahuan agama, mereka ini juga menyadari sepenuhnya bahwa akal merupakan syarat mutlak dalam upaya menyerap hikmah dan ajaran dari Alquran dan Sunah.</w:t>
      </w:r>
    </w:p>
    <w:p>
      <w:pPr>
        <w:pStyle w:val="BookText"/>
        <w:bidi w:val="0"/>
        <w:jc w:val="both"/>
        <w:rPr/>
      </w:pPr>
      <w:r>
        <w:rPr>
          <w:rFonts w:eastAsia="Times New Roman" w:cs="Times New Roman" w:ascii="Times New Roman" w:hAnsi="Times New Roman"/>
          <w:color w:val="111111"/>
          <w:sz w:val="28"/>
          <w:szCs w:val="28"/>
          <w:lang w:val="en-US"/>
        </w:rPr>
        <w:t>Status akal ini selanjutnya menjadi acuan perbedaan krusial di antara mazhab besar Islam. Misalnya Syi’ah, terutama penganut sistem hukum Ahlul Bait, mempercayai akal sebagai satu dari empat sumber penyimpulan hukum, dan nilai-buktinya (Hujjiyat) sejajar di samping mereka (Alquran, Sunah dan Ijma’). Atas dasar ini, akal aktif bekerja sama dengan sumber lain agama secara komplementer. la fakultas yang sesungguhnya kognitif dan sebuah fasilitas Iain untuk menemukan hukum syariat.</w:t>
      </w:r>
    </w:p>
    <w:p>
      <w:pPr>
        <w:pStyle w:val="Heading4"/>
        <w:numPr>
          <w:ilvl w:val="3"/>
          <w:numId w:val="1"/>
        </w:numPr>
        <w:bidi w:val="0"/>
        <w:jc w:val="left"/>
        <w:rPr/>
      </w:pPr>
      <w:bookmarkStart w:id="469" w:name="__RefHeading___Toc1351384_581953129"/>
      <w:bookmarkStart w:id="470" w:name="_Toc171"/>
      <w:bookmarkEnd w:id="469"/>
      <w:r>
        <w:rPr/>
        <w:t>Baik-Buruk Rasional (Husn wa Qubh ‘Aqli)</w:t>
      </w:r>
      <w:bookmarkEnd w:id="47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Prinsip ini telah menjadi satu dari sekian indikasi yang jelas terhadap besamya fokus dan motivasi para pemikir Muslim dalam </w:t>
      </w:r>
    </w:p>
    <w:p>
      <w:pPr>
        <w:pStyle w:val="BookText"/>
        <w:bidi w:val="0"/>
        <w:rPr/>
      </w:pPr>
      <w:r>
        <w:rPr>
          <w:rFonts w:eastAsia="Times New Roman" w:cs="Times New Roman" w:ascii="Times New Roman" w:hAnsi="Times New Roman"/>
          <w:color w:val="111111"/>
          <w:sz w:val="28"/>
          <w:szCs w:val="28"/>
          <w:lang w:val="en-US"/>
        </w:rPr>
        <w:t>menggunakan akal dalam domain pengetahuan agama. Kaidah ini pula yang, sejak awal, berperan sebagai faktor pembelahan kaum teolog Muslim: mereka menjadi dua kubu yang saling bertolak belakang.</w:t>
      </w:r>
    </w:p>
    <w:p>
      <w:pPr>
        <w:pStyle w:val="BookText"/>
        <w:bidi w:val="0"/>
        <w:jc w:val="both"/>
        <w:rPr/>
      </w:pPr>
      <w:r>
        <w:rPr>
          <w:rFonts w:eastAsia="Times New Roman" w:cs="Times New Roman" w:ascii="Times New Roman" w:hAnsi="Times New Roman"/>
          <w:color w:val="111111"/>
          <w:sz w:val="28"/>
          <w:szCs w:val="28"/>
          <w:lang w:val="en-US"/>
        </w:rPr>
        <w:t>Kubu pertama</w:t>
      </w:r>
      <w:r>
        <w:rPr>
          <w:rStyle w:val="FootnoteAnchor"/>
        </w:rPr>
        <w:footnoteReference w:id="624"/>
      </w:r>
      <w:r>
        <w:rPr>
          <w:rFonts w:eastAsia="Times New Roman" w:cs="Times New Roman" w:ascii="Times New Roman" w:hAnsi="Times New Roman"/>
          <w:color w:val="111111"/>
          <w:sz w:val="28"/>
          <w:szCs w:val="28"/>
          <w:lang w:val="en-US"/>
        </w:rPr>
        <w:t>berpandangan bahwa terlepas dari perintah dan larangan syariat, akal dengan sendiri mampu menilai baik dan buruknya sebagian perbuatan. Mereka menyatakan bahwa setiap perbuatan, pada substansinya, memiliki kualitas tertentu yang menampilkan nilai baik atau buruknya. Perbuatan baik itu menjadi baik bukan karena diperintahkan Allah, tetapi memang pada substansinya dan dengan sendirinya ia adalah baik, dan karena itulah Allah memerintahkan agar ditunaikan:</w:t>
      </w:r>
    </w:p>
    <w:p>
      <w:pPr>
        <w:pStyle w:val="BookText"/>
        <w:bidi w:val="0"/>
        <w:jc w:val="both"/>
        <w:rPr/>
      </w:pPr>
      <w:r>
        <w:rPr>
          <w:rFonts w:eastAsia="Times New Roman" w:cs="Times New Roman" w:ascii="Times New Roman" w:hAnsi="Times New Roman"/>
          <w:color w:val="111111"/>
          <w:sz w:val="28"/>
          <w:szCs w:val="28"/>
          <w:lang w:val="en-US"/>
        </w:rPr>
        <w:t>Sesungguhnyn Allah memerintahkan keadilan dan kebajikan dan melarang perbuatan keji dan mungkar (QS Al-Nahl [16]: 90).</w:t>
      </w:r>
      <w:r>
        <w:rPr>
          <w:rStyle w:val="FootnoteAnchor"/>
        </w:rPr>
        <w:footnoteReference w:id="625"/>
      </w:r>
    </w:p>
    <w:p>
      <w:pPr>
        <w:pStyle w:val="BookText"/>
        <w:bidi w:val="0"/>
        <w:jc w:val="both"/>
        <w:rPr/>
      </w:pPr>
      <w:r>
        <w:rPr>
          <w:rFonts w:eastAsia="Times New Roman" w:cs="Times New Roman" w:ascii="Times New Roman" w:hAnsi="Times New Roman"/>
          <w:color w:val="111111"/>
          <w:sz w:val="28"/>
          <w:szCs w:val="28"/>
          <w:lang w:val="en-US"/>
        </w:rPr>
        <w:t>Demikian juga perbuatan buruk itu adalah buruk dengan sendirinya, dan karena itu pula Allah melarangnya; bukan perintah Allah yang menyebabkan perbuatan itu jadi buruk.</w:t>
      </w:r>
    </w:p>
    <w:p>
      <w:pPr>
        <w:pStyle w:val="BookText"/>
        <w:bidi w:val="0"/>
        <w:jc w:val="both"/>
        <w:rPr/>
      </w:pPr>
      <w:r>
        <w:rPr>
          <w:rFonts w:eastAsia="Times New Roman" w:cs="Times New Roman" w:ascii="Times New Roman" w:hAnsi="Times New Roman"/>
          <w:color w:val="111111"/>
          <w:sz w:val="28"/>
          <w:szCs w:val="28"/>
          <w:lang w:val="en-US"/>
        </w:rPr>
        <w:t>Kubu kedua,</w:t>
      </w:r>
      <w:r>
        <w:rPr>
          <w:rStyle w:val="FootnoteAnchor"/>
        </w:rPr>
        <w:footnoteReference w:id="626"/>
      </w:r>
      <w:r>
        <w:rPr>
          <w:rFonts w:eastAsia="Times New Roman" w:cs="Times New Roman" w:ascii="Times New Roman" w:hAnsi="Times New Roman"/>
          <w:color w:val="111111"/>
          <w:sz w:val="28"/>
          <w:szCs w:val="28"/>
          <w:lang w:val="en-US"/>
        </w:rPr>
        <w:t>sekaligus menolak pandangan kubu pertama, menegaskan bahwa hanya perintah dan larangan Allah (divine common) yang membuat nilai suatu perbuatan menjadi baik atau buruk. Perbuatan apa saja yang diperintahkan Allah pasti bemilai baik, dan yang dilarang-Nya bemilai buruk. Sebagai contoh, jika Allah memerintahkan hamba-Nya berbohong, maka perbuatan itu</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bernilai baik. Atau, Allah melarang berkata jujur, maka itu menjadi buruk. </w:t>
      </w:r>
    </w:p>
    <w:p>
      <w:pPr>
        <w:pStyle w:val="BookText"/>
        <w:bidi w:val="0"/>
        <w:rPr/>
      </w:pPr>
      <w:r>
        <w:rPr>
          <w:rFonts w:eastAsia="Times New Roman" w:cs="Times New Roman" w:ascii="Times New Roman" w:hAnsi="Times New Roman"/>
          <w:color w:val="111111"/>
          <w:sz w:val="28"/>
          <w:szCs w:val="28"/>
          <w:lang w:val="en-US"/>
        </w:rPr>
        <w:t>Maksud utama kaum teolog mengetengahkan persoalan ini adalah mengenali ciri tindakan Allah Swt. Representasi kubu pertama yang dikenal sebagai kaum Adliyah (penganut Keadilan llahi) adalah Muktazilah dan Syiah. Berdasarkan prinsip kebaikan dan keburukan substansial (dzati), mereka memandang tindakan Allah suci dari kejelekan dan keburukan. Ini tidak lantas membatasi kekuasaan Allah. Namun, sesuai dengan kebijaksanaan-Nya, tak ada perbuatan yang melampaui atau berada di luar kekuasaan Diri-Nya. Karena Maha-bijak, Allah tidak akan melakukan tindakan buruk.</w:t>
      </w:r>
    </w:p>
    <w:p>
      <w:pPr>
        <w:pStyle w:val="BookText"/>
        <w:bidi w:val="0"/>
        <w:jc w:val="both"/>
        <w:rPr/>
      </w:pPr>
      <w:r>
        <w:rPr>
          <w:rFonts w:eastAsia="Times New Roman" w:cs="Times New Roman" w:ascii="Times New Roman" w:hAnsi="Times New Roman"/>
          <w:color w:val="111111"/>
          <w:sz w:val="28"/>
          <w:szCs w:val="28"/>
          <w:lang w:val="en-US"/>
        </w:rPr>
        <w:t>Dengan meletakkan kaidah baik-buruk rasional/substansial sebagai premis, mereka memandang duduk persoalan keadilan Tuhan tampak jelas. Karena kezaliman itu buruk, dan Allah Dzat yang Maha Bijaksana tidak akan melakukan keburukan, maka Dia tidak akan melakukan suatu tindakan yang tidak sesuai dengan prinsip keadilan.</w:t>
      </w:r>
    </w:p>
    <w:p>
      <w:pPr>
        <w:pStyle w:val="BookText"/>
        <w:bidi w:val="0"/>
        <w:jc w:val="both"/>
        <w:rPr/>
      </w:pPr>
      <w:r>
        <w:rPr>
          <w:rFonts w:eastAsia="Times New Roman" w:cs="Times New Roman" w:ascii="Times New Roman" w:hAnsi="Times New Roman"/>
          <w:color w:val="111111"/>
          <w:sz w:val="28"/>
          <w:szCs w:val="28"/>
          <w:lang w:val="en-US"/>
        </w:rPr>
        <w:t>Adapun kubu kedua, lantaran menolak prinsip baik-buruk substansial perbuatan, memandang Allah bebas melakukan apa pun yang dikehendaki-Nya. Namun demikian, mereka tidak dapat menolak prinsip Keadilan Ilahi secara total dengan alasan membela kesucian-Nya dari tindakan zalim. Itulah sebabnya mereka terpaksa menempuh penafsiran lain seputar Keadilan Ilahi. Hasilnya, apa saja yang Allah lakukan pasti adil. Ini dimaksudkan untuk menjaga kemutlakan kuasa Tuhan, sekalipun harus dengan mengabaikan kebijaksanaan-Nya:</w:t>
      </w:r>
    </w:p>
    <w:p>
      <w:pPr>
        <w:pStyle w:val="BookText"/>
        <w:bidi w:val="0"/>
        <w:jc w:val="both"/>
        <w:rPr/>
      </w:pPr>
      <w:r>
        <w:rPr>
          <w:rFonts w:eastAsia="Times New Roman" w:cs="Times New Roman" w:ascii="Times New Roman" w:hAnsi="Times New Roman"/>
          <w:color w:val="111111"/>
          <w:sz w:val="28"/>
          <w:szCs w:val="28"/>
          <w:lang w:val="en-US"/>
        </w:rPr>
        <w:t>Cukuplah seni seorang pelukis</w:t>
      </w:r>
    </w:p>
    <w:p>
      <w:pPr>
        <w:pStyle w:val="BookText"/>
        <w:bidi w:val="0"/>
        <w:jc w:val="both"/>
        <w:rPr/>
      </w:pPr>
      <w:r>
        <w:rPr>
          <w:rFonts w:eastAsia="Times New Roman" w:cs="Times New Roman" w:ascii="Times New Roman" w:hAnsi="Times New Roman"/>
          <w:color w:val="111111"/>
          <w:sz w:val="28"/>
          <w:szCs w:val="28"/>
          <w:lang w:val="en-US"/>
        </w:rPr>
        <w:t>kala sanggup menjelekkan dan mengindahkan.</w:t>
      </w:r>
      <w:r>
        <w:rPr>
          <w:rStyle w:val="FootnoteAnchor"/>
        </w:rPr>
        <w:footnoteReference w:id="62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antara kelompok yang dengan gencar meyakinkan pandangan ini adalah kaum Asy’ariyah. Mereka percaya bahwa manusia tidak dapat memproyeksikan konsep keadilan kepada Allah serta </w:t>
      </w:r>
      <w:bookmarkStart w:id="471" w:name="pg5378_50890"/>
    </w:p>
    <w:p>
      <w:pPr>
        <w:pStyle w:val="BookText"/>
        <w:bidi w:val="0"/>
        <w:rPr/>
      </w:pPr>
      <w:bookmarkEnd w:id="471"/>
      <w:r>
        <w:rPr>
          <w:rFonts w:eastAsia="Times New Roman" w:cs="Times New Roman" w:ascii="Times New Roman" w:hAnsi="Times New Roman"/>
          <w:color w:val="111111"/>
          <w:sz w:val="28"/>
          <w:szCs w:val="28"/>
          <w:lang w:val="en-US"/>
        </w:rPr>
        <w:t>menuntut komitmen-Nya [untuk hanya berbuat hingga sesuai konsep tersebut]. Bukankah seluruh alam berikut isinya ini milik mutlak Allah? Karena itu, lanjut mereka, apa pun yang berlaku di alam cipta ini berlangsung sesuai kehendak-Nya. Tak seorang pun yang berhak menilai adil tidaknya tindakan Allah.</w:t>
      </w:r>
    </w:p>
    <w:p>
      <w:pPr>
        <w:pStyle w:val="BookText"/>
        <w:bidi w:val="0"/>
        <w:jc w:val="both"/>
        <w:rPr/>
      </w:pPr>
      <w:r>
        <w:rPr>
          <w:rFonts w:eastAsia="Times New Roman" w:cs="Times New Roman" w:ascii="Times New Roman" w:hAnsi="Times New Roman"/>
          <w:color w:val="111111"/>
          <w:sz w:val="28"/>
          <w:szCs w:val="28"/>
          <w:lang w:val="en-US"/>
        </w:rPr>
        <w:t>Bakarlah rumahmu kapan kau suka</w:t>
      </w:r>
    </w:p>
    <w:p>
      <w:pPr>
        <w:pStyle w:val="BookText"/>
        <w:bidi w:val="0"/>
        <w:jc w:val="both"/>
        <w:rPr/>
      </w:pPr>
      <w:r>
        <w:rPr>
          <w:rFonts w:eastAsia="Times New Roman" w:cs="Times New Roman" w:ascii="Times New Roman" w:hAnsi="Times New Roman"/>
          <w:color w:val="111111"/>
          <w:sz w:val="28"/>
          <w:szCs w:val="28"/>
          <w:lang w:val="en-US"/>
        </w:rPr>
        <w:t>Hak siapa berkata, ”ltu tak boleh".</w:t>
      </w:r>
      <w:r>
        <w:rPr>
          <w:rStyle w:val="FootnoteAnchor"/>
        </w:rPr>
        <w:footnoteReference w:id="628"/>
      </w:r>
    </w:p>
    <w:p>
      <w:pPr>
        <w:pStyle w:val="BookText"/>
        <w:bidi w:val="0"/>
        <w:jc w:val="both"/>
        <w:rPr/>
      </w:pPr>
      <w:r>
        <w:rPr>
          <w:rFonts w:eastAsia="Times New Roman" w:cs="Times New Roman" w:ascii="Times New Roman" w:hAnsi="Times New Roman"/>
          <w:color w:val="111111"/>
          <w:sz w:val="28"/>
          <w:szCs w:val="28"/>
          <w:lang w:val="en-US"/>
        </w:rPr>
        <w:t>Alhasil, kaum Adliyah menerapkan prinsip baik-buruk rasional ini dalam konteks teologi untuk menemukan solusi. Sekian persoalan seperti: keharusan mengenal Tuhan, tanggung jawab (takliff) manusia terhadap Tuhan, pengutusan nabi, keadilan Tuhan, dan sejenisnya hanya mungkin dibuktikan dan dibela kebenarannya secara logis dengan mengandaikan prinsip baik-buruk rasional.</w:t>
      </w:r>
      <w:r>
        <w:rPr>
          <w:rStyle w:val="FootnoteAnchor"/>
        </w:rPr>
        <w:footnoteReference w:id="629"/>
      </w:r>
    </w:p>
    <w:p>
      <w:pPr>
        <w:pStyle w:val="BookText"/>
        <w:bidi w:val="0"/>
        <w:jc w:val="both"/>
        <w:rPr/>
      </w:pPr>
      <w:r>
        <w:rPr>
          <w:rFonts w:eastAsia="Times New Roman" w:cs="Times New Roman" w:ascii="Times New Roman" w:hAnsi="Times New Roman"/>
          <w:color w:val="111111"/>
          <w:sz w:val="28"/>
          <w:szCs w:val="28"/>
          <w:lang w:val="en-US"/>
        </w:rPr>
        <w:t>Dewasa ini, prinsip ini memiliki bahkan posisi yang istimewa dalam filsafat etika; sampai-sampai resistensi nilai-nilai moral dan akhlak hanya mungkin dipertahankan dengan mengandaikan prinsip baik-buruk substansial.</w:t>
      </w:r>
      <w:r>
        <w:rPr>
          <w:rStyle w:val="FootnoteAnchor"/>
        </w:rPr>
        <w:footnoteReference w:id="630"/>
      </w:r>
      <w:r>
        <w:rPr>
          <w:rFonts w:eastAsia="Times New Roman" w:cs="Times New Roman" w:ascii="Times New Roman" w:hAnsi="Times New Roman"/>
          <w:color w:val="111111"/>
          <w:sz w:val="28"/>
          <w:szCs w:val="28"/>
          <w:lang w:val="en-US"/>
        </w:rPr>
        <w:t>Radius pengaruh prinsip ini terus menebar sampai ke bidang ushul fikih, yang salah satu dampak intelektualnya tampak dalam masalah hubungan korelatif antara hukum akal dan syariat,</w:t>
      </w:r>
    </w:p>
    <w:p>
      <w:pPr>
        <w:pStyle w:val="Heading4"/>
        <w:numPr>
          <w:ilvl w:val="3"/>
          <w:numId w:val="1"/>
        </w:numPr>
        <w:bidi w:val="0"/>
        <w:jc w:val="left"/>
        <w:rPr/>
      </w:pPr>
      <w:bookmarkStart w:id="472" w:name="__RefHeading___Toc1351386_581953129"/>
      <w:bookmarkStart w:id="473" w:name="_Toc172"/>
      <w:bookmarkEnd w:id="472"/>
      <w:r>
        <w:rPr/>
        <w:t>Kaidah Korelasi (Mulazamah)</w:t>
      </w:r>
      <w:bookmarkEnd w:id="473"/>
    </w:p>
    <w:p>
      <w:pPr>
        <w:pStyle w:val="BookText"/>
        <w:bidi w:val="0"/>
        <w:jc w:val="both"/>
        <w:rPr/>
      </w:pPr>
      <w:r>
        <w:rPr>
          <w:rFonts w:eastAsia="Times New Roman" w:cs="Times New Roman" w:ascii="Times New Roman" w:hAnsi="Times New Roman"/>
          <w:color w:val="111111"/>
          <w:sz w:val="28"/>
          <w:szCs w:val="28"/>
          <w:lang w:val="en-US"/>
        </w:rPr>
        <w:t xml:space="preserve">lni merupakan salah satu kaidah penting bagi Syiah dan Mu‘tazilah, </w:t>
      </w:r>
      <w:r>
        <w:rPr>
          <w:rStyle w:val="FootnoteAnchor"/>
        </w:rPr>
        <w:footnoteReference w:id="631"/>
      </w:r>
      <w:r>
        <w:rPr>
          <w:rFonts w:eastAsia="Times New Roman" w:cs="Times New Roman" w:ascii="Times New Roman" w:hAnsi="Times New Roman"/>
          <w:color w:val="111111"/>
          <w:sz w:val="28"/>
          <w:szCs w:val="28"/>
          <w:lang w:val="en-US"/>
        </w:rPr>
        <w:t>bahkan pada kurun terakhir menjadi fokus khusus kalangan pemikir. Berdasarkan kaidah ini, setiap hukum yang diterbitkan syariat, niscaya juga dihukumi akal, vice versa.</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Kullama hama bihi al-aql hakama bihi al-syar wa kullama hakama bihi al-syar hakama bihi al-aql. </w:t>
      </w:r>
    </w:p>
    <w:p>
      <w:pPr>
        <w:pStyle w:val="BookText"/>
        <w:bidi w:val="0"/>
        <w:rPr/>
      </w:pPr>
      <w:r>
        <w:rPr>
          <w:rFonts w:eastAsia="Times New Roman" w:cs="Times New Roman" w:ascii="Times New Roman" w:hAnsi="Times New Roman"/>
          <w:color w:val="111111"/>
          <w:sz w:val="28"/>
          <w:szCs w:val="28"/>
          <w:lang w:val="en-US"/>
        </w:rPr>
        <w:t>Kaidah ini adalah satu dari sejumlah konsekuensi logis prinsip baik-buruk substansial. Bahkan menurut satu postulat, terdapat identisitas di antara keduanya. Postulat itu menyatakan bahwa nilai baik sebuah perbuatan didefinisikan sebagai kelayakannya diapresiasi di dunia dan diganjar pahala di akhirat. Jika ini benar, maka adanya hubungan korelatif antara hukum akal dan hukum syariat secara otomatis terbuktikan.</w:t>
      </w:r>
      <w:r>
        <w:rPr>
          <w:rStyle w:val="FootnoteAnchor"/>
        </w:rPr>
        <w:footnoteReference w:id="632"/>
      </w:r>
      <w:r>
        <w:rPr>
          <w:rFonts w:eastAsia="Times New Roman" w:cs="Times New Roman" w:ascii="Times New Roman" w:hAnsi="Times New Roman"/>
          <w:color w:val="111111"/>
          <w:sz w:val="28"/>
          <w:szCs w:val="28"/>
          <w:lang w:val="en-US"/>
        </w:rPr>
        <w:t>Yakni, setelah membuktikan prinsip baik—buruk substansial, telaah terhadap kaidah ini menjadi tak lagi berarti.</w:t>
      </w:r>
      <w:r>
        <w:rPr>
          <w:rStyle w:val="FootnoteAnchor"/>
        </w:rPr>
        <w:footnoteReference w:id="633"/>
      </w:r>
      <w:r>
        <w:rPr>
          <w:rFonts w:eastAsia="Times New Roman" w:cs="Times New Roman" w:ascii="Times New Roman" w:hAnsi="Times New Roman"/>
          <w:color w:val="111111"/>
          <w:sz w:val="28"/>
          <w:szCs w:val="28"/>
          <w:lang w:val="en-US"/>
        </w:rPr>
        <w:t>Karena, maksud dari baiknya keadilan ialah kelayakan para pelaku keadilan untuk menerima pahala Allah, sedangkan kaidah korelasi itu, pada intinya, tidak lain dari maksud tersebut.</w:t>
      </w:r>
    </w:p>
    <w:p>
      <w:pPr>
        <w:pStyle w:val="BookText"/>
        <w:bidi w:val="0"/>
        <w:jc w:val="both"/>
        <w:rPr/>
      </w:pPr>
      <w:r>
        <w:rPr>
          <w:rFonts w:eastAsia="Times New Roman" w:cs="Times New Roman" w:ascii="Times New Roman" w:hAnsi="Times New Roman"/>
          <w:color w:val="111111"/>
          <w:sz w:val="28"/>
          <w:szCs w:val="28"/>
          <w:lang w:val="en-US"/>
        </w:rPr>
        <w:t>Dengan kata lain, manakala akal seseorang telah memahami kebaikan substansial suatu perbuatan, maka pemahaman/hukum akal ini dengan sendirinya adalah hukum syariat, dan dia tidak butuh lagi pada hukum dan hakim lain. Oleh karena itu, berkenaan dengan proposisi ’segala yang dihukumi akal juga dihukumi syariat’, Syeikh Anshari mengemukakan tiga kemungkinan. Salah satunya, akal adalah pembawa pesan syariat, dan produk hukumnya merupakan hukum syariat. Sebegitu kokoh hubungan ini sehingga agen hukum dan produk hukum dalam konteks ini sebenarnya hanya ada satu; bukan setelah hukum aklani diterbitkan, akal masih perlu pada agen hukum lain (misalnya, Tuhan) untuk menetapkan hukum syariat yang sesuai dengan hukum aklani tersebut.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Telah banyak cara ditempuh untuk membuktikan validitas kaidah ini.</w:t>
      </w:r>
      <w:r>
        <w:rPr>
          <w:rStyle w:val="FootnoteAnchor"/>
        </w:rPr>
        <w:footnoteReference w:id="634"/>
      </w:r>
      <w:r>
        <w:rPr>
          <w:rFonts w:eastAsia="Times New Roman" w:cs="Times New Roman" w:ascii="Times New Roman" w:hAnsi="Times New Roman"/>
          <w:color w:val="111111"/>
          <w:sz w:val="28"/>
          <w:szCs w:val="28"/>
          <w:lang w:val="en-US"/>
        </w:rPr>
        <w:t xml:space="preserve">Salah satunya, kaum Adliyah memandang bahwa pada dasarnya, seluruh hukum syariat mengandungi maslahat dan mafsadat yang riil (Waqi'i). jika Allah memerintahkan atau melarang suatu perbuatan, itu karena ada maslahat atau mafsadat riil yang </w:t>
      </w:r>
    </w:p>
    <w:p>
      <w:pPr>
        <w:pStyle w:val="BookText"/>
        <w:bidi w:val="0"/>
        <w:rPr/>
      </w:pPr>
      <w:r>
        <w:rPr>
          <w:rFonts w:eastAsia="Times New Roman" w:cs="Times New Roman" w:ascii="Times New Roman" w:hAnsi="Times New Roman"/>
          <w:color w:val="111111"/>
          <w:sz w:val="28"/>
          <w:szCs w:val="28"/>
          <w:lang w:val="en-US"/>
        </w:rPr>
        <w:t>terkandung di dalamnya. Atas dasar ini, jika seseorang dengan metode rasional telah menemukan maslahat riil pada sesuatu, berarti dia juga telah menemukan sebuah kriteria hukum syariat; dia pun bisa menisbatkan hukum rasional kepada syariat, kendati hal itu tidak dijumpai dalam teks ayat maupun riwayat.</w:t>
      </w:r>
      <w:r>
        <w:rPr>
          <w:rStyle w:val="FootnoteAnchor"/>
        </w:rPr>
        <w:footnoteReference w:id="635"/>
      </w:r>
      <w:r>
        <w:rPr>
          <w:rFonts w:eastAsia="Times New Roman" w:cs="Times New Roman" w:ascii="Times New Roman" w:hAnsi="Times New Roman"/>
          <w:color w:val="111111"/>
          <w:sz w:val="28"/>
          <w:szCs w:val="28"/>
          <w:lang w:val="en-US"/>
        </w:rPr>
        <w:t>Dengan demikian, dapat dirumuskan, ”Segala yang dihukumi syariat niscaya dihukumi akal."</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Kebalikan dari uraian di atas juga demikian benar: dalam kasus apa saja agama menetapkan suatu hukum, dapat dipastikan adanya maslahat atau mafsadat riil yang melandasi penetapan hukum tersebut, sekalipun akal tidak mampu mengidentifikasi realitas (maslahat atau mafsadat) itu. Begitulah inti dari penggalan lain kaidah, ”Segala yang dihukumi akal juga dihukumi syariat." </w:t>
      </w:r>
      <w:bookmarkStart w:id="474" w:name="pg5378_50896"/>
    </w:p>
    <w:p>
      <w:pPr>
        <w:pStyle w:val="Heading2"/>
        <w:numPr>
          <w:ilvl w:val="1"/>
          <w:numId w:val="1"/>
        </w:numPr>
        <w:bidi w:val="0"/>
        <w:jc w:val="left"/>
        <w:rPr/>
      </w:pPr>
      <w:bookmarkStart w:id="475" w:name="__RefHeading___Toc1351388_581953129"/>
      <w:bookmarkStart w:id="476" w:name="_Toc173"/>
      <w:bookmarkEnd w:id="474"/>
      <w:bookmarkEnd w:id="475"/>
      <w:r>
        <w:rPr/>
        <w:t>DAFTAR PUSTAKA</w:t>
      </w:r>
      <w:bookmarkEnd w:id="476"/>
    </w:p>
    <w:p>
      <w:pPr>
        <w:pStyle w:val="BookText"/>
        <w:bidi w:val="0"/>
        <w:jc w:val="both"/>
        <w:rPr/>
      </w:pPr>
      <w:r>
        <w:rPr>
          <w:rFonts w:eastAsia="Times New Roman" w:cs="Times New Roman" w:ascii="Times New Roman" w:hAnsi="Times New Roman"/>
          <w:color w:val="111111"/>
          <w:sz w:val="28"/>
          <w:szCs w:val="28"/>
          <w:lang w:val="en-US"/>
        </w:rPr>
        <w:t>Literatur Persia</w:t>
      </w:r>
    </w:p>
    <w:p>
      <w:pPr>
        <w:pStyle w:val="BookText"/>
        <w:bidi w:val="0"/>
        <w:jc w:val="both"/>
        <w:rPr/>
      </w:pPr>
      <w:r>
        <w:rPr>
          <w:rFonts w:eastAsia="Times New Roman" w:cs="Times New Roman" w:ascii="Times New Roman" w:hAnsi="Times New Roman"/>
          <w:color w:val="111111"/>
          <w:sz w:val="28"/>
          <w:szCs w:val="28"/>
          <w:lang w:val="en-US"/>
        </w:rPr>
        <w:t>Abdul Salam, Abu Ahmad Muhammad: ”Tafakkur ’Elmi dar Miyoneh- e Lohﬁt va Nosﬁt”, dalam majalah Kn}/lion Fnrlmnggi, terj. Mur- tadha As’adi, tahun 5, no. 9, Odzar 1369 HS.</w:t>
      </w:r>
    </w:p>
    <w:p>
      <w:pPr>
        <w:pStyle w:val="BookText"/>
        <w:bidi w:val="0"/>
        <w:jc w:val="both"/>
        <w:rPr/>
      </w:pPr>
      <w:r>
        <w:rPr>
          <w:rFonts w:eastAsia="Times New Roman" w:cs="Times New Roman" w:ascii="Times New Roman" w:hAnsi="Times New Roman"/>
          <w:color w:val="111111"/>
          <w:sz w:val="28"/>
          <w:szCs w:val="28"/>
          <w:lang w:val="en-US"/>
        </w:rPr>
        <w:t>Abu Ruh Luthfullah bin Abi Sa'id bin Abi Sa'd: ﬂolat vn Sokhmzon—e Abu Sa’id Abu! Khoir, revisi Muhammad ridha Syafi’i Kudkani, Tehran, Oghoh, cet. 2, 1367 HS.</w:t>
      </w:r>
    </w:p>
    <w:p>
      <w:pPr>
        <w:pStyle w:val="BookText"/>
        <w:bidi w:val="0"/>
        <w:jc w:val="both"/>
        <w:rPr/>
      </w:pPr>
      <w:r>
        <w:rPr>
          <w:rFonts w:eastAsia="Times New Roman" w:cs="Times New Roman" w:ascii="Times New Roman" w:hAnsi="Times New Roman"/>
          <w:color w:val="111111"/>
          <w:sz w:val="28"/>
          <w:szCs w:val="28"/>
          <w:lang w:val="en-US"/>
        </w:rPr>
        <w:t>Ahmadi, Muhammad Amin: ”Dar Iusteju-ye Risheho" dalam jurnal Naqd va Nazdnr, tahun 2, vol. 2, Musim Semi, 1375 HS.</w:t>
      </w:r>
    </w:p>
    <w:p>
      <w:pPr>
        <w:pStyle w:val="BookText"/>
        <w:bidi w:val="0"/>
        <w:jc w:val="both"/>
        <w:rPr/>
      </w:pPr>
      <w:r>
        <w:rPr>
          <w:rFonts w:eastAsia="Times New Roman" w:cs="Times New Roman" w:ascii="Times New Roman" w:hAnsi="Times New Roman"/>
          <w:color w:val="111111"/>
          <w:sz w:val="28"/>
          <w:szCs w:val="28"/>
          <w:lang w:val="en-US"/>
        </w:rPr>
        <w:t>Aflaki, Syamsuddin:Mm1ﬁqib AI-‘A riﬁn, diteliti Hasan Yazichi, Tehran, Dunia Kitab, cet. 2, 1362 HS.</w:t>
      </w:r>
    </w:p>
    <w:p>
      <w:pPr>
        <w:pStyle w:val="BookText"/>
        <w:bidi w:val="0"/>
        <w:jc w:val="both"/>
        <w:rPr/>
      </w:pPr>
      <w:r>
        <w:rPr>
          <w:rFonts w:eastAsia="Times New Roman" w:cs="Times New Roman" w:ascii="Times New Roman" w:hAnsi="Times New Roman"/>
          <w:color w:val="111111"/>
          <w:sz w:val="28"/>
          <w:szCs w:val="28"/>
          <w:lang w:val="en-US"/>
        </w:rPr>
        <w:t>Amid Zanjani, Abbas Ali: Pazhulzesyi dar Pedoyesy um Tal_mvvuIot-e Tasavvufvn ‘Erfon, Tehran, Amir Kabir, 1366 HS.</w:t>
      </w:r>
    </w:p>
    <w:p>
      <w:pPr>
        <w:pStyle w:val="BookText"/>
        <w:bidi w:val="0"/>
        <w:jc w:val="both"/>
        <w:rPr/>
      </w:pPr>
      <w:r>
        <w:rPr>
          <w:rFonts w:eastAsia="Times New Roman" w:cs="Times New Roman" w:ascii="Times New Roman" w:hAnsi="Times New Roman"/>
          <w:color w:val="111111"/>
          <w:sz w:val="28"/>
          <w:szCs w:val="28"/>
          <w:lang w:val="en-US"/>
        </w:rPr>
        <w:t>Amin, Ahmad: Pisygomon-c Mosnlmon-e Tnjnddudgnro’i dar ’Ashr-e jndid, terj, I-Iasan Yusufi Eshkevari, Tehran, Syerkat-e Entisyorot-e Ilmi va Farhanggi, 1376 HS.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Aql Va Val_1y az Didgoh-e Masihiyat-e Ortodoks: dar Guftegu bo Metalinus” dalam jumal Nnqd ma Nnzdnr, tahun 1, vol. 2, Musim Semi 1374 HS.</w:t>
      </w:r>
    </w:p>
    <w:p>
      <w:pPr>
        <w:pStyle w:val="BookText"/>
        <w:bidi w:val="0"/>
        <w:jc w:val="both"/>
        <w:rPr/>
      </w:pPr>
      <w:r>
        <w:rPr>
          <w:rFonts w:eastAsia="Times New Roman" w:cs="Times New Roman" w:ascii="Times New Roman" w:hAnsi="Times New Roman"/>
          <w:color w:val="111111"/>
          <w:sz w:val="28"/>
          <w:szCs w:val="28"/>
          <w:lang w:val="en-US"/>
        </w:rPr>
        <w:t>Aqili, Ali Ridha: "Manzilat va Korburd-e ’Aql dar Chor Tafsir-e Sadeh Akhir", dalam jurnal Pazlmhesyho-ye Qur'oni, no. 7 &amp; 8, Musim Gugur dan Dingin, 1375 HS.</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Arberry, ].A.: ’Aql vn Val_1y nz Nnzdnr-e Mu tnfnkkeron-e Eslomi, terj. I-Iasan Iawadi, Tehran, Amir Kabir, cet. 2, 1372 HS.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Ardabili, Ilahiz S}/url_1-e Gulsynn-e Roz, Tehran, Markaz-e Nasyr-e Donesygohi, 1376 HS.</w:t>
      </w:r>
    </w:p>
    <w:p>
      <w:pPr>
        <w:pStyle w:val="BookText"/>
        <w:bidi w:val="0"/>
        <w:jc w:val="both"/>
        <w:rPr/>
      </w:pPr>
      <w:r>
        <w:rPr>
          <w:rFonts w:eastAsia="Times New Roman" w:cs="Times New Roman" w:ascii="Times New Roman" w:hAnsi="Times New Roman"/>
          <w:color w:val="111111"/>
          <w:sz w:val="28"/>
          <w:szCs w:val="28"/>
          <w:lang w:val="en-US"/>
        </w:rPr>
        <w:t>Attar Naisyaburi, Fariduddin Muhammad: Tadzkirot Al-Awliyzi’, Tehran, Zuvvor, cet. 5, 1366 HS.</w:t>
      </w:r>
    </w:p>
    <w:p>
      <w:pPr>
        <w:pStyle w:val="BookText"/>
        <w:bidi w:val="0"/>
        <w:jc w:val="both"/>
        <w:rPr/>
      </w:pPr>
      <w:r>
        <w:rPr>
          <w:rFonts w:eastAsia="Times New Roman" w:cs="Times New Roman" w:ascii="Times New Roman" w:hAnsi="Times New Roman"/>
          <w:color w:val="111111"/>
          <w:sz w:val="28"/>
          <w:szCs w:val="28"/>
          <w:lang w:val="en-US"/>
        </w:rPr>
        <w:t>j : Mtmtiq AI-Io}/r, revisi Shadiq Gauharin, Tehran, Syerkat-e Entesyorot-e Elmi va Farhanggi, cet. 10, 1373 HS.</w:t>
      </w:r>
    </w:p>
    <w:p>
      <w:pPr>
        <w:pStyle w:val="BookText"/>
        <w:bidi w:val="0"/>
        <w:jc w:val="both"/>
        <w:rPr/>
      </w:pPr>
      <w:r>
        <w:rPr>
          <w:rFonts w:eastAsia="Times New Roman" w:cs="Times New Roman" w:ascii="Times New Roman" w:hAnsi="Times New Roman"/>
          <w:color w:val="111111"/>
          <w:sz w:val="28"/>
          <w:szCs w:val="28"/>
          <w:lang w:val="en-US"/>
        </w:rPr>
        <w:t>Awani, Ghulam Ridha: ”Aql va Vahy dar Eslom va Masil_1iyat” dalam Majmu’elz Maqolot-e Dovvomin Simposium-e Eslom vn Masiﬂig/nt- e Ortodoks, Tehran, Markaz-e Mutole’ot va Tahqiqot-e Farhangi bainal Melali, 1374 HS.</w:t>
      </w:r>
    </w:p>
    <w:p>
      <w:pPr>
        <w:pStyle w:val="BookText"/>
        <w:bidi w:val="0"/>
        <w:jc w:val="both"/>
        <w:rPr/>
      </w:pPr>
      <w:r>
        <w:rPr>
          <w:rFonts w:eastAsia="Times New Roman" w:cs="Times New Roman" w:ascii="Times New Roman" w:hAnsi="Times New Roman"/>
          <w:color w:val="111111"/>
          <w:sz w:val="28"/>
          <w:szCs w:val="28"/>
          <w:lang w:val="en-US"/>
        </w:rPr>
        <w:t>Awe, Albert: Sag/r-e Falsafeli dar Urupo, terj. Ali Ashghar Halabi, Tehran, Zuvvor, cet. 2, 1368 HS.</w:t>
      </w:r>
    </w:p>
    <w:p>
      <w:pPr>
        <w:pStyle w:val="BookText"/>
        <w:bidi w:val="0"/>
        <w:jc w:val="both"/>
        <w:rPr/>
      </w:pPr>
      <w:r>
        <w:rPr>
          <w:rFonts w:eastAsia="Times New Roman" w:cs="Times New Roman" w:ascii="Times New Roman" w:hAnsi="Times New Roman"/>
          <w:color w:val="111111"/>
          <w:sz w:val="28"/>
          <w:szCs w:val="28"/>
          <w:lang w:val="en-US"/>
        </w:rPr>
        <w:t>Ayer, Alfred J, Zaban: ﬂaqiqnt vn Mrmteq, terj. Manuchehr Buzurgh- mehr, Entesyorot—e Donesygoh-e Amir Kabir, 1974 M.</w:t>
      </w:r>
    </w:p>
    <w:p>
      <w:pPr>
        <w:pStyle w:val="BookText"/>
        <w:bidi w:val="0"/>
        <w:jc w:val="both"/>
        <w:rPr/>
      </w:pPr>
      <w:r>
        <w:rPr>
          <w:rFonts w:eastAsia="Times New Roman" w:cs="Times New Roman" w:ascii="Times New Roman" w:hAnsi="Times New Roman"/>
          <w:color w:val="111111"/>
          <w:sz w:val="28"/>
          <w:szCs w:val="28"/>
          <w:lang w:val="en-US"/>
        </w:rPr>
        <w:t>Badawi, Abdurrahman: Torikl1—e Andisyeho-ye Kalomi dar Eslom, terj. Husain Shabiri, Masyhad, Bunyod-e Pazhuhesyho-ye Eslorni Oston-e Qods-e Radhavi, 1373 HS.</w:t>
      </w:r>
    </w:p>
    <w:p>
      <w:pPr>
        <w:pStyle w:val="BookText"/>
        <w:bidi w:val="0"/>
        <w:jc w:val="both"/>
        <w:rPr/>
      </w:pPr>
      <w:r>
        <w:rPr>
          <w:rFonts w:eastAsia="Times New Roman" w:cs="Times New Roman" w:ascii="Times New Roman" w:hAnsi="Times New Roman"/>
          <w:color w:val="111111"/>
          <w:sz w:val="28"/>
          <w:szCs w:val="28"/>
          <w:lang w:val="en-US"/>
        </w:rPr>
        <w:t>Balkhi, Jalaluddin Muhammad (Rumi): Masmwi-e Ma’mwi, Tehran, Negoh va ’Elm, cet. 5, 1373 HS.</w:t>
      </w:r>
    </w:p>
    <w:p>
      <w:pPr>
        <w:pStyle w:val="BookText"/>
        <w:bidi w:val="0"/>
        <w:jc w:val="both"/>
        <w:rPr/>
      </w:pPr>
      <w:r>
        <w:rPr>
          <w:rFonts w:eastAsia="Times New Roman" w:cs="Times New Roman" w:ascii="Times New Roman" w:hAnsi="Times New Roman"/>
          <w:color w:val="111111"/>
          <w:sz w:val="28"/>
          <w:szCs w:val="28"/>
          <w:lang w:val="en-US"/>
        </w:rPr>
        <w:t>Barbour, Ian: Elm va Din, terj. Bahauddin Khuramshahi, Tehran, Markaz-e Nasyr-e Donehgohi, 1362 HS.</w:t>
      </w:r>
    </w:p>
    <w:p>
      <w:pPr>
        <w:pStyle w:val="BookText"/>
        <w:bidi w:val="0"/>
        <w:jc w:val="both"/>
        <w:rPr/>
      </w:pPr>
      <w:r>
        <w:rPr>
          <w:rFonts w:eastAsia="Times New Roman" w:cs="Times New Roman" w:ascii="Times New Roman" w:hAnsi="Times New Roman"/>
          <w:color w:val="111111"/>
          <w:sz w:val="28"/>
          <w:szCs w:val="28"/>
          <w:lang w:val="en-US"/>
        </w:rPr>
        <w:t>Birinjkar, Ridha: ”Mohiyyat ’Aql va Ta'arudh ’Aql va Val_1y" dalam Nuqd va Nazdar, tahun 1, vol. 3 8: 4, Musim Panas dan Gugur 1373 HS.</w:t>
      </w:r>
    </w:p>
    <w:p>
      <w:pPr>
        <w:pStyle w:val="BookText"/>
        <w:bidi w:val="0"/>
        <w:jc w:val="both"/>
        <w:rPr/>
      </w:pPr>
      <w:r>
        <w:rPr>
          <w:rFonts w:eastAsia="Times New Roman" w:cs="Times New Roman" w:ascii="Times New Roman" w:hAnsi="Times New Roman"/>
          <w:color w:val="111111"/>
          <w:sz w:val="28"/>
          <w:szCs w:val="28"/>
          <w:lang w:val="en-US"/>
        </w:rPr>
        <w:t>Biruni, Abu Raihan Muhammad bin Ahmad: Fehris!—e Ketobho-ye Rozi va Nomho-ye Ketobho-ye Biruni, terj. dan komentar Mahdi Muhaqqiq, Entisyorot-e Donesygoh-e Tehran, cet. 2, 1371 HS.</w:t>
      </w:r>
    </w:p>
    <w:p>
      <w:pPr>
        <w:pStyle w:val="BookText"/>
        <w:bidi w:val="0"/>
        <w:jc w:val="both"/>
        <w:rPr/>
      </w:pPr>
      <w:r>
        <w:rPr>
          <w:rFonts w:eastAsia="Times New Roman" w:cs="Times New Roman" w:ascii="Times New Roman" w:hAnsi="Times New Roman"/>
          <w:color w:val="111111"/>
          <w:sz w:val="28"/>
          <w:szCs w:val="28"/>
          <w:lang w:val="en-US"/>
        </w:rPr>
        <w:t>Brown, Collin: Fnlsafeh va Imon-e Masil_u', Totehwus Mikailiyan, Tehran, Syerkat-e Entesyorot llmi wa Farhanggi, 1375 HS.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Buzurgmer, Manuchehr: Fnlnsefeh-e Tajrubi—e Engleston, jil. 1 Locke- Barkeley, Tehran, Anjuman Falsafeh Iran, 1356 HS. </w:t>
      </w:r>
    </w:p>
    <w:p>
      <w:pPr>
        <w:pStyle w:val="BookText"/>
        <w:bidi w:val="0"/>
        <w:rPr/>
      </w:pPr>
      <w:r>
        <w:rPr>
          <w:rFonts w:eastAsia="Times New Roman" w:cs="Times New Roman" w:ascii="Times New Roman" w:hAnsi="Times New Roman"/>
          <w:color w:val="111111"/>
          <w:sz w:val="28"/>
          <w:szCs w:val="28"/>
          <w:lang w:val="en-US"/>
        </w:rPr>
        <w:t>Daftar Pustaka</w:t>
      </w:r>
    </w:p>
    <w:p>
      <w:pPr>
        <w:pStyle w:val="BookText"/>
        <w:bidi w:val="0"/>
        <w:jc w:val="both"/>
        <w:rPr/>
      </w:pPr>
      <w:r>
        <w:rPr>
          <w:rFonts w:eastAsia="Times New Roman" w:cs="Times New Roman" w:ascii="Times New Roman" w:hAnsi="Times New Roman"/>
          <w:color w:val="111111"/>
          <w:sz w:val="28"/>
          <w:szCs w:val="28"/>
          <w:lang w:val="en-US"/>
        </w:rPr>
        <w:t>Cassirer, Ernst, Fnlsnfeh-e Raunsynngari, ten‘. Yadullah Muqin, Tehran, Entesyorot Nilufar, 1370 HS.</w:t>
      </w:r>
    </w:p>
    <w:p>
      <w:pPr>
        <w:pStyle w:val="BookText"/>
        <w:bidi w:val="0"/>
        <w:jc w:val="both"/>
        <w:rPr/>
      </w:pPr>
      <w:r>
        <w:rPr>
          <w:rFonts w:eastAsia="Times New Roman" w:cs="Times New Roman" w:ascii="Times New Roman" w:hAnsi="Times New Roman"/>
          <w:color w:val="111111"/>
          <w:sz w:val="28"/>
          <w:szCs w:val="28"/>
          <w:lang w:val="en-US"/>
        </w:rPr>
        <w:t>Copleston, Frederick: TorikI1—c Fulsafeh, jld. 6, terj. Ismail Sa'adat &amp; Manuchehr Buzurgmehr, Tehran, Syerkat—e Entesyorot Ilmi wa Farhanggi wa Surush, 1373 HS.</w:t>
      </w:r>
    </w:p>
    <w:p>
      <w:pPr>
        <w:pStyle w:val="BookText"/>
        <w:bidi w:val="0"/>
        <w:jc w:val="both"/>
        <w:rPr/>
      </w:pPr>
      <w:r>
        <w:rPr>
          <w:rFonts w:eastAsia="Times New Roman" w:cs="Times New Roman" w:ascii="Times New Roman" w:hAnsi="Times New Roman"/>
          <w:color w:val="111111"/>
          <w:sz w:val="28"/>
          <w:szCs w:val="28"/>
          <w:lang w:val="en-US"/>
        </w:rPr>
        <w:t>Z : Torikh-e Fnlsnfeh, jld.7, terj. Doryush Asyuri, Tehran, Syerkat-e Entesyorot Ilmi wa Farhanggi wa Surush, 1367 HS.</w:t>
      </w:r>
    </w:p>
    <w:p>
      <w:pPr>
        <w:pStyle w:val="BookText"/>
        <w:bidi w:val="0"/>
        <w:jc w:val="both"/>
        <w:rPr/>
      </w:pPr>
      <w:r>
        <w:rPr>
          <w:rFonts w:eastAsia="Times New Roman" w:cs="Times New Roman" w:ascii="Times New Roman" w:hAnsi="Times New Roman"/>
          <w:color w:val="111111"/>
          <w:sz w:val="28"/>
          <w:szCs w:val="28"/>
          <w:lang w:val="en-US"/>
        </w:rPr>
        <w:t>j 2 Torikh—e Falsafeh, jld. 8, terj. Bahauddin Khuramsyahi, Tehran, Syerkat-e Entesyorot Ilmi va Farhanggi va Surush, cet. 2, 1376 HS.</w:t>
      </w:r>
    </w:p>
    <w:p>
      <w:pPr>
        <w:pStyle w:val="BookText"/>
        <w:bidi w:val="0"/>
        <w:jc w:val="both"/>
        <w:rPr/>
      </w:pPr>
      <w:r>
        <w:rPr>
          <w:rFonts w:eastAsia="Times New Roman" w:cs="Times New Roman" w:ascii="Times New Roman" w:hAnsi="Times New Roman"/>
          <w:color w:val="111111"/>
          <w:sz w:val="28"/>
          <w:szCs w:val="28"/>
          <w:lang w:val="en-US"/>
        </w:rPr>
        <w:t>Z : Fuilnsufon-e Englisiz Az Hobbes to Hume, terj. Amir Jalaluddin A’lam, Tehran, Surush, 1362 HS.</w:t>
      </w:r>
    </w:p>
    <w:p>
      <w:pPr>
        <w:pStyle w:val="BookText"/>
        <w:bidi w:val="0"/>
        <w:jc w:val="both"/>
        <w:rPr/>
      </w:pPr>
      <w:r>
        <w:rPr>
          <w:rFonts w:eastAsia="Times New Roman" w:cs="Times New Roman" w:ascii="Times New Roman" w:hAnsi="Times New Roman"/>
          <w:color w:val="111111"/>
          <w:sz w:val="28"/>
          <w:szCs w:val="28"/>
          <w:lang w:val="en-US"/>
        </w:rPr>
        <w:t>Corbin, Henry: Torikh-e Falsafeh-e Eslomi: az Oghoz to Dnrgudzasyt-e Ibn Rusyd, terj Asadullah Mubasysyri, Tehran, Amir Kabir, cet. 3, 1361 HS.</w:t>
      </w:r>
    </w:p>
    <w:p>
      <w:pPr>
        <w:pStyle w:val="BookText"/>
        <w:bidi w:val="0"/>
        <w:jc w:val="both"/>
        <w:rPr/>
      </w:pPr>
      <w:r>
        <w:rPr>
          <w:rFonts w:eastAsia="Times New Roman" w:cs="Times New Roman" w:ascii="Times New Roman" w:hAnsi="Times New Roman"/>
          <w:color w:val="111111"/>
          <w:sz w:val="28"/>
          <w:szCs w:val="28"/>
          <w:lang w:val="en-US"/>
        </w:rPr>
        <w:t>Cotsler, Arthur: Klzobgnrdho, ten‘. Manuchehr Ruhani, Tehran, Syerkat- e Sahomi Ketob-hoye Jibi, cet. 2, 1361 HS.</w:t>
      </w:r>
    </w:p>
    <w:p>
      <w:pPr>
        <w:pStyle w:val="BookText"/>
        <w:bidi w:val="0"/>
        <w:jc w:val="both"/>
        <w:rPr/>
      </w:pPr>
      <w:r>
        <w:rPr>
          <w:rFonts w:eastAsia="Times New Roman" w:cs="Times New Roman" w:ascii="Times New Roman" w:hAnsi="Times New Roman"/>
          <w:color w:val="111111"/>
          <w:sz w:val="28"/>
          <w:szCs w:val="28"/>
          <w:lang w:val="en-US"/>
        </w:rPr>
        <w:t>Cupet, Dann: Darya-ye Imon, terj. Hasan Kamsyad, Tehran, Tarh Nou, 1373 HS.</w:t>
      </w:r>
    </w:p>
    <w:p>
      <w:pPr>
        <w:pStyle w:val="BookText"/>
        <w:bidi w:val="0"/>
        <w:jc w:val="both"/>
        <w:rPr/>
      </w:pPr>
      <w:r>
        <w:rPr>
          <w:rFonts w:eastAsia="Times New Roman" w:cs="Times New Roman" w:ascii="Times New Roman" w:hAnsi="Times New Roman"/>
          <w:color w:val="111111"/>
          <w:sz w:val="28"/>
          <w:szCs w:val="28"/>
          <w:lang w:val="en-US"/>
        </w:rPr>
        <w:t>Da’ie Shirazi, Syah Mahmud: Nasayirn Gulsytm, dengan prakarsa Parwiz Abbasi Dakani, Tehan, Ilhom, 1377 HS.</w:t>
      </w:r>
    </w:p>
    <w:p>
      <w:pPr>
        <w:pStyle w:val="BookText"/>
        <w:bidi w:val="0"/>
        <w:jc w:val="both"/>
        <w:rPr/>
      </w:pPr>
      <w:r>
        <w:rPr>
          <w:rFonts w:eastAsia="Times New Roman" w:cs="Times New Roman" w:ascii="Times New Roman" w:hAnsi="Times New Roman"/>
          <w:color w:val="111111"/>
          <w:sz w:val="28"/>
          <w:szCs w:val="28"/>
          <w:lang w:val="en-US"/>
        </w:rPr>
        <w:t>Damadi, Sayid Muhammad: Abu Sa’id-Nomeh, Tehran, Entesyorot-e Donesygoh-e Tehran, cet. 2, 1374 HS.</w:t>
      </w:r>
    </w:p>
    <w:p>
      <w:pPr>
        <w:pStyle w:val="BookText"/>
        <w:bidi w:val="0"/>
        <w:jc w:val="both"/>
        <w:rPr/>
      </w:pPr>
      <w:r>
        <w:rPr>
          <w:rFonts w:eastAsia="Times New Roman" w:cs="Times New Roman" w:ascii="Times New Roman" w:hAnsi="Times New Roman"/>
          <w:color w:val="111111"/>
          <w:sz w:val="28"/>
          <w:szCs w:val="28"/>
          <w:lang w:val="en-US"/>
        </w:rPr>
        <w:t>Darraz, Muhammad Abdullahz Madklzali bar Kovesh dar Torikh-e Din, ten’. Sayid Muhammad Baqir I-Iujjat, Daftar-e Nashr-e Farhang-e Islami, Tehran, 1376 HS.</w:t>
      </w:r>
    </w:p>
    <w:p>
      <w:pPr>
        <w:pStyle w:val="BookText"/>
        <w:bidi w:val="0"/>
        <w:jc w:val="both"/>
        <w:rPr/>
      </w:pPr>
      <w:r>
        <w:rPr>
          <w:rFonts w:eastAsia="Times New Roman" w:cs="Times New Roman" w:ascii="Times New Roman" w:hAnsi="Times New Roman"/>
          <w:color w:val="111111"/>
          <w:sz w:val="28"/>
          <w:szCs w:val="28"/>
          <w:lang w:val="en-US"/>
        </w:rPr>
        <w:t>Dasyti, Muhammad: Falsnfeh-e Ejtehod vn Tnqlid, Qom, Muassasah Amirul Mukminin, 1374 HS.</w:t>
      </w:r>
    </w:p>
    <w:p>
      <w:pPr>
        <w:pStyle w:val="BookText"/>
        <w:bidi w:val="0"/>
        <w:jc w:val="both"/>
        <w:rPr/>
      </w:pPr>
      <w:r>
        <w:rPr>
          <w:rFonts w:eastAsia="Times New Roman" w:cs="Times New Roman" w:ascii="Times New Roman" w:hAnsi="Times New Roman"/>
          <w:color w:val="111111"/>
          <w:sz w:val="28"/>
          <w:szCs w:val="28"/>
          <w:lang w:val="en-US"/>
        </w:rPr>
        <w:t>Dawanj, Ali: Wnhid Behbahoni, Tehran, Amir Kabir, cet. 2, 1362 HS.</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Defo—e Aqloni nz Din" dalam jumal Naqd va Nazdar, tahun 1, no. 2, Musim Semi, 1374 HS.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Dekhuda, Ali Akbar: Loglmtnomeh, Tehran, Entesyorot-e Donesygoh-e Tehran, 1372 HS.</w:t>
      </w:r>
    </w:p>
    <w:p>
      <w:pPr>
        <w:pStyle w:val="BookText"/>
        <w:bidi w:val="0"/>
        <w:jc w:val="both"/>
        <w:rPr/>
      </w:pPr>
      <w:r>
        <w:rPr>
          <w:rFonts w:eastAsia="Times New Roman" w:cs="Times New Roman" w:ascii="Times New Roman" w:hAnsi="Times New Roman"/>
          <w:color w:val="111111"/>
          <w:sz w:val="28"/>
          <w:szCs w:val="28"/>
          <w:lang w:val="en-US"/>
        </w:rPr>
        <w:t>Dinpezhuhi (Kumpulan Makalah), terj. Bahauddin Khurramshahi, Tehran, Pazhuhesygoh—e ’Ulum—e Ensoni va Mutole’ot—e Farhangi, 1373 HS.</w:t>
      </w:r>
    </w:p>
    <w:p>
      <w:pPr>
        <w:pStyle w:val="BookText"/>
        <w:bidi w:val="0"/>
        <w:jc w:val="both"/>
        <w:rPr/>
      </w:pPr>
      <w:r>
        <w:rPr>
          <w:rFonts w:eastAsia="Times New Roman" w:cs="Times New Roman" w:ascii="Times New Roman" w:hAnsi="Times New Roman"/>
          <w:color w:val="111111"/>
          <w:sz w:val="28"/>
          <w:szCs w:val="28"/>
          <w:lang w:val="en-US"/>
        </w:rPr>
        <w:t>Durant, Will: Toriklz-e Tamnddun, jld. 4, terj. Abul Qasim, Tehran, Entesyorot va Amuzesy-e Enqelob-e Eslomi, cet. 3, 1371 HS. Z : Toriklz-e Tamaddun, jld. 6, terj. Faridun Badreie dkk., Tehran, Entesyorot va Amuzesy-e Enqelob-e Eslomi, cet. 3, 1371 HS. j : Torikh—e Falsnfeh, terj. Abbas Zaryab Khuie, Tehran, Syerkat-e</w:t>
      </w:r>
    </w:p>
    <w:p>
      <w:pPr>
        <w:pStyle w:val="BookText"/>
        <w:bidi w:val="0"/>
        <w:jc w:val="both"/>
        <w:rPr/>
      </w:pPr>
      <w:r>
        <w:rPr>
          <w:rFonts w:eastAsia="Times New Roman" w:cs="Times New Roman" w:ascii="Times New Roman" w:hAnsi="Times New Roman"/>
          <w:color w:val="111111"/>
          <w:sz w:val="28"/>
          <w:szCs w:val="28"/>
          <w:lang w:val="en-US"/>
        </w:rPr>
        <w:t>Entesyorot-e ’Elmj va Farhangi, cet. 11, 1374 HS.</w:t>
      </w:r>
    </w:p>
    <w:p>
      <w:pPr>
        <w:pStyle w:val="BookText"/>
        <w:bidi w:val="0"/>
        <w:jc w:val="both"/>
        <w:rPr/>
      </w:pPr>
      <w:r>
        <w:rPr>
          <w:rFonts w:eastAsia="Times New Roman" w:cs="Times New Roman" w:ascii="Times New Roman" w:hAnsi="Times New Roman"/>
          <w:color w:val="111111"/>
          <w:sz w:val="28"/>
          <w:szCs w:val="28"/>
          <w:lang w:val="en-US"/>
        </w:rPr>
        <w:t>__ : Ledzdzat-e Falsnfclz, terj. Abbas Zaryab Khuie, Tehran, Syerkat-e Entesyorot-e Elmi va Farhangi, cet. 11, 1372 HS.</w:t>
      </w:r>
    </w:p>
    <w:p>
      <w:pPr>
        <w:pStyle w:val="BookText"/>
        <w:bidi w:val="0"/>
        <w:jc w:val="both"/>
        <w:rPr/>
      </w:pPr>
      <w:r>
        <w:rPr>
          <w:rFonts w:eastAsia="Times New Roman" w:cs="Times New Roman" w:ascii="Times New Roman" w:hAnsi="Times New Roman"/>
          <w:color w:val="111111"/>
          <w:sz w:val="28"/>
          <w:szCs w:val="28"/>
          <w:lang w:val="en-US"/>
        </w:rPr>
        <w:t>Fadhil, Muhammad Taqi: ”Mafhum ’Aql Dini" dalam jumal Naqd wa Nuzdar, tahun 1, no. 3 &amp; 4, Musim Panas dan Gugur 1374 HS. Fadhil, Mahmud: Mu’tnziIah, Tehran, Markaz Nasyr Donesygohi, 1362</w:t>
      </w:r>
    </w:p>
    <w:p>
      <w:pPr>
        <w:pStyle w:val="BookText"/>
        <w:bidi w:val="0"/>
        <w:jc w:val="both"/>
        <w:rPr/>
      </w:pPr>
      <w:r>
        <w:rPr>
          <w:rFonts w:eastAsia="Times New Roman" w:cs="Times New Roman" w:ascii="Times New Roman" w:hAnsi="Times New Roman"/>
          <w:color w:val="111111"/>
          <w:sz w:val="28"/>
          <w:szCs w:val="28"/>
          <w:lang w:val="en-US"/>
        </w:rPr>
        <w:t>HS.</w:t>
      </w:r>
    </w:p>
    <w:p>
      <w:pPr>
        <w:pStyle w:val="BookText"/>
        <w:bidi w:val="0"/>
        <w:jc w:val="both"/>
        <w:rPr/>
      </w:pPr>
      <w:r>
        <w:rPr>
          <w:rFonts w:eastAsia="Times New Roman" w:cs="Times New Roman" w:ascii="Times New Roman" w:hAnsi="Times New Roman"/>
          <w:color w:val="111111"/>
          <w:sz w:val="28"/>
          <w:szCs w:val="28"/>
          <w:lang w:val="en-US"/>
        </w:rPr>
        <w:t>Fakhruddin Razi, Muhammad: Barohin dar Elm-e I(aIom, Tehran, Entesyorot Donesygoh Tehran, 1341 HS.</w:t>
      </w:r>
    </w:p>
    <w:p>
      <w:pPr>
        <w:pStyle w:val="BookText"/>
        <w:bidi w:val="0"/>
        <w:jc w:val="both"/>
        <w:rPr/>
      </w:pPr>
      <w:r>
        <w:rPr>
          <w:rFonts w:eastAsia="Times New Roman" w:cs="Times New Roman" w:ascii="Times New Roman" w:hAnsi="Times New Roman"/>
          <w:color w:val="111111"/>
          <w:sz w:val="28"/>
          <w:szCs w:val="28"/>
          <w:lang w:val="en-US"/>
        </w:rPr>
        <w:t>Fakhri, Majid: Sayr-e Falsafelr dar Ialzon-e Eslom, editor Nasrullah Purjawadi, Tehran, Markaz-e Nasyr-e Donesygohi, 1372 HS. Fana’i Esykavari, Muhammad: Mn1?Jrefats_1/enosi-e Dim’, Donesy Islami wa Donesygoh Islami, Qom, Muassasah-e Omuzesyi va</w:t>
      </w:r>
    </w:p>
    <w:p>
      <w:pPr>
        <w:pStyle w:val="BookText"/>
        <w:bidi w:val="0"/>
        <w:jc w:val="both"/>
        <w:rPr/>
      </w:pPr>
      <w:r>
        <w:rPr>
          <w:rFonts w:eastAsia="Times New Roman" w:cs="Times New Roman" w:ascii="Times New Roman" w:hAnsi="Times New Roman"/>
          <w:color w:val="111111"/>
          <w:sz w:val="28"/>
          <w:szCs w:val="28"/>
          <w:lang w:val="en-US"/>
        </w:rPr>
        <w:t>Pazhuhesyi—e Emom Khomeini, 1377 HS.</w:t>
      </w:r>
    </w:p>
    <w:p>
      <w:pPr>
        <w:pStyle w:val="BookText"/>
        <w:bidi w:val="0"/>
        <w:jc w:val="both"/>
        <w:rPr/>
      </w:pPr>
      <w:r>
        <w:rPr>
          <w:rFonts w:eastAsia="Times New Roman" w:cs="Times New Roman" w:ascii="Times New Roman" w:hAnsi="Times New Roman"/>
          <w:color w:val="111111"/>
          <w:sz w:val="28"/>
          <w:szCs w:val="28"/>
          <w:lang w:val="en-US"/>
        </w:rPr>
        <w:t>j : Ma’refatsyenosi—e Dim’, Tehran, Barg, 1374 HS.</w:t>
      </w:r>
    </w:p>
    <w:p>
      <w:pPr>
        <w:pStyle w:val="BookText"/>
        <w:bidi w:val="0"/>
        <w:jc w:val="both"/>
        <w:rPr/>
      </w:pPr>
      <w:r>
        <w:rPr>
          <w:rFonts w:eastAsia="Times New Roman" w:cs="Times New Roman" w:ascii="Times New Roman" w:hAnsi="Times New Roman"/>
          <w:color w:val="111111"/>
          <w:sz w:val="28"/>
          <w:szCs w:val="28"/>
          <w:lang w:val="en-US"/>
        </w:rPr>
        <w:t>Faqihi, Ali Asghar: Walthobiyon, Tehran, Kitobfurusyi Shabo, 1352 HS.</w:t>
      </w:r>
    </w:p>
    <w:p>
      <w:pPr>
        <w:pStyle w:val="BookText"/>
        <w:bidi w:val="0"/>
        <w:jc w:val="both"/>
        <w:rPr/>
      </w:pPr>
      <w:r>
        <w:rPr>
          <w:rFonts w:eastAsia="Times New Roman" w:cs="Times New Roman" w:ascii="Times New Roman" w:hAnsi="Times New Roman"/>
          <w:color w:val="111111"/>
          <w:sz w:val="28"/>
          <w:szCs w:val="28"/>
          <w:lang w:val="en-US"/>
        </w:rPr>
        <w:t>Farasatkhoh, Maqsud: Din va ]onn"eh, Tehran, Syerkat-e Sahorni Ente- syor, 1377 HS.</w:t>
      </w:r>
    </w:p>
    <w:p>
      <w:pPr>
        <w:pStyle w:val="BookText"/>
        <w:bidi w:val="0"/>
        <w:jc w:val="both"/>
        <w:rPr/>
      </w:pPr>
      <w:r>
        <w:rPr>
          <w:rFonts w:eastAsia="Times New Roman" w:cs="Times New Roman" w:ascii="Times New Roman" w:hAnsi="Times New Roman"/>
          <w:color w:val="111111"/>
          <w:sz w:val="28"/>
          <w:szCs w:val="28"/>
          <w:lang w:val="en-US"/>
        </w:rPr>
        <w:t>Farmantle, Anne: ’Ashr-e Imon, terj. Ahmad Karimi, Tehran, Amir Kabir, 1345 HS.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Farrukh, Umar: Aqo}/ed-e Fnlsaﬁ-e Abul Ala, terj. Husain Khdyujam, Tehran, Syerkat-e Sahomi Kitobho-ye Jibi, 1348 HS. </w:t>
      </w:r>
    </w:p>
    <w:p>
      <w:pPr>
        <w:pStyle w:val="BookText"/>
        <w:bidi w:val="0"/>
        <w:rPr/>
      </w:pPr>
      <w:r>
        <w:rPr>
          <w:rFonts w:eastAsia="Times New Roman" w:cs="Times New Roman" w:ascii="Times New Roman" w:hAnsi="Times New Roman"/>
          <w:color w:val="111111"/>
          <w:sz w:val="28"/>
          <w:szCs w:val="28"/>
          <w:lang w:val="en-US"/>
        </w:rPr>
        <w:t>Daftar Pustaka</w:t>
      </w:r>
    </w:p>
    <w:p>
      <w:pPr>
        <w:pStyle w:val="BookText"/>
        <w:bidi w:val="0"/>
        <w:jc w:val="both"/>
        <w:rPr/>
      </w:pPr>
      <w:r>
        <w:rPr>
          <w:rFonts w:eastAsia="Times New Roman" w:cs="Times New Roman" w:ascii="Times New Roman" w:hAnsi="Times New Roman"/>
          <w:color w:val="111111"/>
          <w:sz w:val="28"/>
          <w:szCs w:val="28"/>
          <w:lang w:val="en-US"/>
        </w:rPr>
        <w:t>Feiblman, Jamaes Kern: Osyno,i bo Falsnfeh-e Glmrb, terj. Muhammad Baqo’i, Tehran, ﬂekmat, 1375 HS.</w:t>
      </w:r>
    </w:p>
    <w:p>
      <w:pPr>
        <w:pStyle w:val="BookText"/>
        <w:bidi w:val="0"/>
        <w:jc w:val="both"/>
        <w:rPr/>
      </w:pPr>
      <w:r>
        <w:rPr>
          <w:rFonts w:eastAsia="Times New Roman" w:cs="Times New Roman" w:ascii="Times New Roman" w:hAnsi="Times New Roman"/>
          <w:color w:val="111111"/>
          <w:sz w:val="28"/>
          <w:szCs w:val="28"/>
          <w:lang w:val="en-US"/>
        </w:rPr>
        <w:t>Foulquie, Paul: Falsafelz-e Umumi yo Mn Balzldn AI—Iob1lEeIz, terj. Yahya Mahdawi, Tehran, Entesyorot Donesygoh Tehran, cet. 4, 1370 HS.</w:t>
      </w:r>
    </w:p>
    <w:p>
      <w:pPr>
        <w:pStyle w:val="BookText"/>
        <w:bidi w:val="0"/>
        <w:jc w:val="both"/>
        <w:rPr/>
      </w:pPr>
      <w:r>
        <w:rPr>
          <w:rFonts w:eastAsia="Times New Roman" w:cs="Times New Roman" w:ascii="Times New Roman" w:hAnsi="Times New Roman"/>
          <w:color w:val="111111"/>
          <w:sz w:val="28"/>
          <w:szCs w:val="28"/>
          <w:lang w:val="en-US"/>
        </w:rPr>
        <w:t>Furuzanfar, Badiuzaman: S_1/ar[1_-e ll/Intsnavi Syarif, Tehran, Zuwar, cet. 5, 1371 HS.</w:t>
      </w:r>
    </w:p>
    <w:p>
      <w:pPr>
        <w:pStyle w:val="BookText"/>
        <w:bidi w:val="0"/>
        <w:jc w:val="both"/>
        <w:rPr/>
      </w:pPr>
      <w:r>
        <w:rPr>
          <w:rFonts w:eastAsia="Times New Roman" w:cs="Times New Roman" w:ascii="Times New Roman" w:hAnsi="Times New Roman"/>
          <w:color w:val="111111"/>
          <w:sz w:val="28"/>
          <w:szCs w:val="28"/>
          <w:lang w:val="en-US"/>
        </w:rPr>
        <w:t>Furughi, Muhammad Ali: Sag/r—e ﬂeknmt dar Urupo, Tehran, Zuvvar, cet. 2, 1367.</w:t>
      </w:r>
    </w:p>
    <w:p>
      <w:pPr>
        <w:pStyle w:val="BookText"/>
        <w:bidi w:val="0"/>
        <w:jc w:val="both"/>
        <w:rPr/>
      </w:pPr>
      <w:r>
        <w:rPr>
          <w:rFonts w:eastAsia="Times New Roman" w:cs="Times New Roman" w:ascii="Times New Roman" w:hAnsi="Times New Roman"/>
          <w:color w:val="111111"/>
          <w:sz w:val="28"/>
          <w:szCs w:val="28"/>
          <w:lang w:val="en-US"/>
        </w:rPr>
        <w:t>Gilson, Etienne: ’AqI va Valzy dar Qurﬁn-e Vusto, Shahram Pajuki, Tehran, Muassaseh-e Mutole’ot va Tahqiqat-e Farhangi, 1371 HS.</w:t>
      </w:r>
    </w:p>
    <w:p>
      <w:pPr>
        <w:pStyle w:val="BookText"/>
        <w:bidi w:val="0"/>
        <w:jc w:val="both"/>
        <w:rPr/>
      </w:pPr>
      <w:r>
        <w:rPr>
          <w:rFonts w:eastAsia="Times New Roman" w:cs="Times New Roman" w:ascii="Times New Roman" w:hAnsi="Times New Roman"/>
          <w:color w:val="111111"/>
          <w:sz w:val="28"/>
          <w:szCs w:val="28"/>
          <w:lang w:val="en-US"/>
        </w:rPr>
        <w:t>Golpaigani, Ali Rabbani: Firaq va Madzohib-e Kalomi, Qom, Markaz-e ]ahoni—e ’Ulum-e Eslomi, 1377 HS.</w:t>
      </w:r>
    </w:p>
    <w:p>
      <w:pPr>
        <w:pStyle w:val="BookText"/>
        <w:bidi w:val="0"/>
        <w:jc w:val="both"/>
        <w:rPr/>
      </w:pPr>
      <w:r>
        <w:rPr>
          <w:rFonts w:eastAsia="Times New Roman" w:cs="Times New Roman" w:ascii="Times New Roman" w:hAnsi="Times New Roman"/>
          <w:color w:val="111111"/>
          <w:sz w:val="28"/>
          <w:szCs w:val="28"/>
          <w:lang w:val="en-US"/>
        </w:rPr>
        <w:t>Gulsyani, Mahdi: Fizikdonon-e Gharbi vn Mas'nleh—e Khudobownri, Tehran, Konun-e Andisyeh—e Javon, 1377 HS.</w:t>
      </w:r>
    </w:p>
    <w:p>
      <w:pPr>
        <w:pStyle w:val="BookText"/>
        <w:bidi w:val="0"/>
        <w:jc w:val="both"/>
        <w:rPr/>
      </w:pPr>
      <w:r>
        <w:rPr>
          <w:rFonts w:eastAsia="Times New Roman" w:cs="Times New Roman" w:ascii="Times New Roman" w:hAnsi="Times New Roman"/>
          <w:color w:val="111111"/>
          <w:sz w:val="28"/>
          <w:szCs w:val="28"/>
          <w:lang w:val="en-US"/>
        </w:rPr>
        <w:t>Hadawi Tehrani, Mahdi: Binesy va Ravesy—e Ejtehod dar Mnktab—e Syeikh Anshori, Qom, Kongreh-e Iahoni-e Buzurgdosyt-e Divistu-min Solgard-e Milod—e Syeikh A’zdam Anshori, 1373 HS.</w:t>
      </w:r>
    </w:p>
    <w:p>
      <w:pPr>
        <w:pStyle w:val="BookText"/>
        <w:bidi w:val="0"/>
        <w:jc w:val="both"/>
        <w:rPr/>
      </w:pPr>
      <w:r>
        <w:rPr>
          <w:rFonts w:eastAsia="Times New Roman" w:cs="Times New Roman" w:ascii="Times New Roman" w:hAnsi="Times New Roman"/>
          <w:color w:val="111111"/>
          <w:sz w:val="28"/>
          <w:szCs w:val="28"/>
          <w:lang w:val="en-US"/>
        </w:rPr>
        <w:t>_ : Mabodi-e Kalomi-e Ejtehod dnr Bardosyt az Qur'on, Mua-sseseh-e Farhanggi Khonehkherad, 1377 HS.</w:t>
      </w:r>
    </w:p>
    <w:p>
      <w:pPr>
        <w:pStyle w:val="BookText"/>
        <w:bidi w:val="0"/>
        <w:jc w:val="both"/>
        <w:rPr/>
      </w:pPr>
      <w:r>
        <w:rPr>
          <w:rFonts w:eastAsia="Times New Roman" w:cs="Times New Roman" w:ascii="Times New Roman" w:hAnsi="Times New Roman"/>
          <w:color w:val="111111"/>
          <w:sz w:val="28"/>
          <w:szCs w:val="28"/>
          <w:lang w:val="en-US"/>
        </w:rPr>
        <w:t>I-Iafez Shirazi, Muhammad: Divon—e Ash’or, dengan kontribusi Muha- mmad Qazwini dan Qasim Ghani, Tehran, Zuvvar, cet. 2, 1374 HS.</w:t>
      </w:r>
    </w:p>
    <w:p>
      <w:pPr>
        <w:pStyle w:val="BookText"/>
        <w:bidi w:val="0"/>
        <w:jc w:val="both"/>
        <w:rPr/>
      </w:pPr>
      <w:r>
        <w:rPr>
          <w:rFonts w:eastAsia="Times New Roman" w:cs="Times New Roman" w:ascii="Times New Roman" w:hAnsi="Times New Roman"/>
          <w:color w:val="111111"/>
          <w:sz w:val="28"/>
          <w:szCs w:val="28"/>
          <w:lang w:val="en-US"/>
        </w:rPr>
        <w:t>Hairi Yazdi, Mahdi: Kowesyho-ye ‘Aql-e Nnzdari, Tehran, Syerkat-e Sahomi Entesyorot, cet. 2, 1360 HS.</w:t>
      </w:r>
    </w:p>
    <w:p>
      <w:pPr>
        <w:pStyle w:val="BookText"/>
        <w:bidi w:val="0"/>
        <w:jc w:val="both"/>
        <w:rPr/>
      </w:pPr>
      <w:r>
        <w:rPr>
          <w:rFonts w:eastAsia="Times New Roman" w:cs="Times New Roman" w:ascii="Times New Roman" w:hAnsi="Times New Roman"/>
          <w:color w:val="111111"/>
          <w:sz w:val="28"/>
          <w:szCs w:val="28"/>
          <w:lang w:val="en-US"/>
        </w:rPr>
        <w:t>Hamadani, Ainul Qudhat: Lavoyeh, Tehran, Ketobfurusyi Manuchehri, cet. 2.</w:t>
      </w:r>
    </w:p>
    <w:p>
      <w:pPr>
        <w:pStyle w:val="BookText"/>
        <w:bidi w:val="0"/>
        <w:jc w:val="both"/>
        <w:rPr/>
      </w:pPr>
      <w:r>
        <w:rPr>
          <w:rFonts w:eastAsia="Times New Roman" w:cs="Times New Roman" w:ascii="Times New Roman" w:hAnsi="Times New Roman"/>
          <w:color w:val="111111"/>
          <w:sz w:val="28"/>
          <w:szCs w:val="28"/>
          <w:lang w:val="en-US"/>
        </w:rPr>
        <w:t>Hamilton, Malcolm: ]omi’eI1s_1/enosi-e Din, terj. Muhsin Tsulatsi, Teh- ran, Tibyan, 1377 HS.</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Hana Fakhuri &amp; Khalil Iarr: Torikh-e Falsafah dar Inhon-e Eslomi, terj. Abdul Muahmmad Oyati, Tehran, Syerkat-e Entesyrort-e 'Ilmi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wa Farhanggi, cet. 4, 1373 HS.</w:t>
      </w:r>
    </w:p>
    <w:p>
      <w:pPr>
        <w:pStyle w:val="BookText"/>
        <w:bidi w:val="0"/>
        <w:jc w:val="both"/>
        <w:rPr/>
      </w:pPr>
      <w:r>
        <w:rPr>
          <w:rFonts w:eastAsia="Times New Roman" w:cs="Times New Roman" w:ascii="Times New Roman" w:hAnsi="Times New Roman"/>
          <w:color w:val="111111"/>
          <w:sz w:val="28"/>
          <w:szCs w:val="28"/>
          <w:lang w:val="en-US"/>
        </w:rPr>
        <w:t>Hasan-Zadeh Amuli, Hasan: Mumidd AI—Himmn dar S_1/arl_1 Fushﬁsh AI- ﬂikam, Tehran, Wizarat-e Farhang va Ersyad-e Islarni, 1378 HS.</w:t>
      </w:r>
    </w:p>
    <w:p>
      <w:pPr>
        <w:pStyle w:val="BookText"/>
        <w:bidi w:val="0"/>
        <w:jc w:val="both"/>
        <w:rPr/>
      </w:pPr>
      <w:r>
        <w:rPr>
          <w:rFonts w:eastAsia="Times New Roman" w:cs="Times New Roman" w:ascii="Times New Roman" w:hAnsi="Times New Roman"/>
          <w:color w:val="111111"/>
          <w:sz w:val="28"/>
          <w:szCs w:val="28"/>
          <w:lang w:val="en-US"/>
        </w:rPr>
        <w:t>j : Qur'on va Erfon va Burhon az-ham ]udo'i Nndorrmd, Moassaseh-e Moto1e’ot va Tahqiqot—e Farhangi, 1370 HS.</w:t>
      </w:r>
    </w:p>
    <w:p>
      <w:pPr>
        <w:pStyle w:val="BookText"/>
        <w:bidi w:val="0"/>
        <w:jc w:val="both"/>
        <w:rPr/>
      </w:pPr>
      <w:r>
        <w:rPr>
          <w:rFonts w:eastAsia="Times New Roman" w:cs="Times New Roman" w:ascii="Times New Roman" w:hAnsi="Times New Roman"/>
          <w:color w:val="111111"/>
          <w:sz w:val="28"/>
          <w:szCs w:val="28"/>
          <w:lang w:val="en-US"/>
        </w:rPr>
        <w:t>Hasani Razi, Sayid Murtadha Da’i: Tabshirot Al-'Awﬁm ft“ Ma’nfnl1 Maqélﬁt Al-Anrim, revisi Abbas Iqbal, Tehran, Cet. Majelis [Par- lemen R11], 1313 HS.</w:t>
      </w:r>
    </w:p>
    <w:p>
      <w:pPr>
        <w:pStyle w:val="BookText"/>
        <w:bidi w:val="0"/>
        <w:jc w:val="both"/>
        <w:rPr/>
      </w:pPr>
      <w:r>
        <w:rPr>
          <w:rFonts w:eastAsia="Times New Roman" w:cs="Times New Roman" w:ascii="Times New Roman" w:hAnsi="Times New Roman"/>
          <w:color w:val="111111"/>
          <w:sz w:val="28"/>
          <w:szCs w:val="28"/>
          <w:lang w:val="en-US"/>
        </w:rPr>
        <w:t>Hick, John: Fnlsafeh-e Din, terj. Bahram Rad, Tehran, Entesyorot-e bainal Melali Al-Huda, 1372 HS.</w:t>
      </w:r>
    </w:p>
    <w:p>
      <w:pPr>
        <w:pStyle w:val="BookText"/>
        <w:bidi w:val="0"/>
        <w:jc w:val="both"/>
        <w:rPr/>
      </w:pPr>
      <w:r>
        <w:rPr>
          <w:rFonts w:eastAsia="Times New Roman" w:cs="Times New Roman" w:ascii="Times New Roman" w:hAnsi="Times New Roman"/>
          <w:color w:val="111111"/>
          <w:sz w:val="28"/>
          <w:szCs w:val="28"/>
          <w:lang w:val="en-US"/>
        </w:rPr>
        <w:t>Hidayat, Ridha Qalikhan: Riyﬁdh AI-’/lrzfin, Tehran, Entesyrort Ke- tobfurusyi Mahmudi.</w:t>
      </w:r>
    </w:p>
    <w:p>
      <w:pPr>
        <w:pStyle w:val="BookText"/>
        <w:bidi w:val="0"/>
        <w:jc w:val="both"/>
        <w:rPr/>
      </w:pPr>
      <w:r>
        <w:rPr>
          <w:rFonts w:eastAsia="Times New Roman" w:cs="Times New Roman" w:ascii="Times New Roman" w:hAnsi="Times New Roman"/>
          <w:color w:val="111111"/>
          <w:sz w:val="28"/>
          <w:szCs w:val="28"/>
          <w:lang w:val="en-US"/>
        </w:rPr>
        <w:t>Hikmat, Nashrullah: Ta'ammuli dar Fnlsafeh-e Toriklz-e ’Aql, Tehran, lntisharat-e llham, 1376 HS.</w:t>
      </w:r>
    </w:p>
    <w:p>
      <w:pPr>
        <w:pStyle w:val="BookText"/>
        <w:bidi w:val="0"/>
        <w:jc w:val="both"/>
        <w:rPr/>
      </w:pPr>
      <w:r>
        <w:rPr>
          <w:rFonts w:eastAsia="Times New Roman" w:cs="Times New Roman" w:ascii="Times New Roman" w:hAnsi="Times New Roman"/>
          <w:color w:val="111111"/>
          <w:sz w:val="28"/>
          <w:szCs w:val="28"/>
          <w:lang w:val="en-US"/>
        </w:rPr>
        <w:t>Hakimi, Muhammad Ridha: Maktab—e Taﬂcik, Tehran, Daftar-e Nashr-e Farhang-e Islami, 1375 HS.</w:t>
      </w:r>
    </w:p>
    <w:p>
      <w:pPr>
        <w:pStyle w:val="BookText"/>
        <w:bidi w:val="0"/>
        <w:jc w:val="both"/>
        <w:rPr/>
      </w:pPr>
      <w:r>
        <w:rPr>
          <w:rFonts w:eastAsia="Times New Roman" w:cs="Times New Roman" w:ascii="Times New Roman" w:hAnsi="Times New Roman"/>
          <w:color w:val="111111"/>
          <w:sz w:val="28"/>
          <w:szCs w:val="28"/>
          <w:lang w:val="en-US"/>
        </w:rPr>
        <w:t>Hujwairi, Ali bin Utsman: KasyfAl-Mnﬂjﬁb, Tehran, Amir Kabir, 1336 HS.</w:t>
      </w:r>
    </w:p>
    <w:p>
      <w:pPr>
        <w:pStyle w:val="BookText"/>
        <w:bidi w:val="0"/>
        <w:jc w:val="both"/>
        <w:rPr/>
      </w:pPr>
      <w:r>
        <w:rPr>
          <w:rFonts w:eastAsia="Times New Roman" w:cs="Times New Roman" w:ascii="Times New Roman" w:hAnsi="Times New Roman"/>
          <w:color w:val="111111"/>
          <w:sz w:val="28"/>
          <w:szCs w:val="28"/>
          <w:lang w:val="en-US"/>
        </w:rPr>
        <w:t>Humaie, Jalaluddinz Maulavinomeh, Tehran, Nasyr Humo, cet. 7, 1369 HS.</w:t>
      </w:r>
    </w:p>
    <w:p>
      <w:pPr>
        <w:pStyle w:val="BookText"/>
        <w:bidi w:val="0"/>
        <w:jc w:val="both"/>
        <w:rPr/>
      </w:pPr>
      <w:r>
        <w:rPr>
          <w:rFonts w:eastAsia="Times New Roman" w:cs="Times New Roman" w:ascii="Times New Roman" w:hAnsi="Times New Roman"/>
          <w:color w:val="111111"/>
          <w:sz w:val="28"/>
          <w:szCs w:val="28"/>
          <w:lang w:val="en-US"/>
        </w:rPr>
        <w:t>Hume, Robert A.: Adyon-e Zendeh-e Inhon, terj. Abdurrahman Gavahi, Tehran, Daftar-e Nashr-e Farhang-e Islami, 1369 HS.</w:t>
      </w:r>
    </w:p>
    <w:p>
      <w:pPr>
        <w:pStyle w:val="BookText"/>
        <w:bidi w:val="0"/>
        <w:jc w:val="both"/>
        <w:rPr/>
      </w:pPr>
      <w:r>
        <w:rPr>
          <w:rFonts w:eastAsia="Times New Roman" w:cs="Times New Roman" w:ascii="Times New Roman" w:hAnsi="Times New Roman"/>
          <w:color w:val="111111"/>
          <w:sz w:val="28"/>
          <w:szCs w:val="28"/>
          <w:lang w:val="en-US"/>
        </w:rPr>
        <w:t>Husain-Zadeh, Muhammad: ”Ma'refat-e Dim"’ dalam jumal Mn’reﬁ1t, tahun 5, no. 3.</w:t>
      </w:r>
    </w:p>
    <w:p>
      <w:pPr>
        <w:pStyle w:val="BookText"/>
        <w:bidi w:val="0"/>
        <w:jc w:val="both"/>
        <w:rPr/>
      </w:pPr>
      <w:r>
        <w:rPr>
          <w:rFonts w:eastAsia="Times New Roman" w:cs="Times New Roman" w:ascii="Times New Roman" w:hAnsi="Times New Roman"/>
          <w:color w:val="111111"/>
          <w:sz w:val="28"/>
          <w:szCs w:val="28"/>
          <w:lang w:val="en-US"/>
        </w:rPr>
        <w:t>j : Falsafelz-e Din, Qom, Daftar Tabligot Islami, 1376 HS.</w:t>
      </w:r>
    </w:p>
    <w:p>
      <w:pPr>
        <w:pStyle w:val="BookText"/>
        <w:bidi w:val="0"/>
        <w:jc w:val="both"/>
        <w:rPr/>
      </w:pPr>
      <w:r>
        <w:rPr>
          <w:rFonts w:eastAsia="Times New Roman" w:cs="Times New Roman" w:ascii="Times New Roman" w:hAnsi="Times New Roman"/>
          <w:color w:val="111111"/>
          <w:sz w:val="28"/>
          <w:szCs w:val="28"/>
          <w:lang w:val="en-US"/>
        </w:rPr>
        <w:t>Husain, Thaha: Goff vn Shenud-e Fnlsafi dar Zendone Abullzlnla Mnmarri, terj. Husain Khadyujam, Tehran, Zuvvar, 1344 HS.</w:t>
      </w:r>
    </w:p>
    <w:p>
      <w:pPr>
        <w:pStyle w:val="BookText"/>
        <w:bidi w:val="0"/>
        <w:jc w:val="both"/>
        <w:rPr/>
      </w:pPr>
      <w:r>
        <w:rPr>
          <w:rFonts w:eastAsia="Times New Roman" w:cs="Times New Roman" w:ascii="Times New Roman" w:hAnsi="Times New Roman"/>
          <w:color w:val="111111"/>
          <w:sz w:val="28"/>
          <w:szCs w:val="28"/>
          <w:lang w:val="en-US"/>
        </w:rPr>
        <w:t>Husaini, Husain: "Din dar Bastar Didgoho” dalam jumal Ma'refat, tahun 5, no. 4, Musim Semi 1376 HS.</w:t>
      </w:r>
    </w:p>
    <w:p>
      <w:pPr>
        <w:pStyle w:val="BookText"/>
        <w:bidi w:val="0"/>
        <w:jc w:val="both"/>
        <w:rPr/>
      </w:pPr>
      <w:r>
        <w:rPr>
          <w:rFonts w:eastAsia="Times New Roman" w:cs="Times New Roman" w:ascii="Times New Roman" w:hAnsi="Times New Roman"/>
          <w:color w:val="111111"/>
          <w:sz w:val="28"/>
          <w:szCs w:val="28"/>
          <w:lang w:val="en-US"/>
        </w:rPr>
        <w:t>Jaspers, Carl: Budlm, terj. Asadullah Mubasyiri, Nasyr Qatreh, 1364 HS.</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 : Kzmt, terj. Mir Abdul Husain Naqib-Iadeh, perpustakaan Tha- </w:t>
      </w:r>
    </w:p>
    <w:p>
      <w:pPr>
        <w:pStyle w:val="BookText"/>
        <w:bidi w:val="0"/>
        <w:rPr/>
      </w:pPr>
      <w:r>
        <w:rPr>
          <w:rFonts w:eastAsia="Times New Roman" w:cs="Times New Roman" w:ascii="Times New Roman" w:hAnsi="Times New Roman"/>
          <w:color w:val="111111"/>
          <w:sz w:val="28"/>
          <w:szCs w:val="28"/>
          <w:lang w:val="en-US"/>
        </w:rPr>
        <w:t>Daftar Pustaka</w:t>
      </w:r>
    </w:p>
    <w:p>
      <w:pPr>
        <w:pStyle w:val="BookText"/>
        <w:bidi w:val="0"/>
        <w:jc w:val="both"/>
        <w:rPr/>
      </w:pPr>
      <w:r>
        <w:rPr>
          <w:rFonts w:eastAsia="Times New Roman" w:cs="Times New Roman" w:ascii="Times New Roman" w:hAnsi="Times New Roman"/>
          <w:color w:val="111111"/>
          <w:sz w:val="28"/>
          <w:szCs w:val="28"/>
          <w:lang w:val="en-US"/>
        </w:rPr>
        <w:t>huri, 1372 HS.</w:t>
      </w:r>
    </w:p>
    <w:p>
      <w:pPr>
        <w:pStyle w:val="BookText"/>
        <w:bidi w:val="0"/>
        <w:jc w:val="both"/>
        <w:rPr/>
      </w:pPr>
      <w:r>
        <w:rPr>
          <w:rFonts w:eastAsia="Times New Roman" w:cs="Times New Roman" w:ascii="Times New Roman" w:hAnsi="Times New Roman"/>
          <w:color w:val="111111"/>
          <w:sz w:val="28"/>
          <w:szCs w:val="28"/>
          <w:lang w:val="en-US"/>
        </w:rPr>
        <w:t>Iaspers, John: Falsafeh-e Din, terj. Penerbit, Qom, Markaz Mutoleat va</w:t>
      </w:r>
    </w:p>
    <w:p>
      <w:pPr>
        <w:pStyle w:val="BookText"/>
        <w:bidi w:val="0"/>
        <w:jc w:val="both"/>
        <w:rPr/>
      </w:pPr>
      <w:r>
        <w:rPr>
          <w:rFonts w:eastAsia="Times New Roman" w:cs="Times New Roman" w:ascii="Times New Roman" w:hAnsi="Times New Roman"/>
          <w:color w:val="111111"/>
          <w:sz w:val="28"/>
          <w:szCs w:val="28"/>
          <w:lang w:val="en-US"/>
        </w:rPr>
        <w:t>Tahqiqot Daftar Tablighot Islami. Ibnu Turkah, Shainuddin Ali: Syarh-e Gulsyan-e Roz, revisi Kazdim</w:t>
      </w:r>
    </w:p>
    <w:p>
      <w:pPr>
        <w:pStyle w:val="BookText"/>
        <w:bidi w:val="0"/>
        <w:jc w:val="both"/>
        <w:rPr/>
      </w:pPr>
      <w:r>
        <w:rPr>
          <w:rFonts w:eastAsia="Times New Roman" w:cs="Times New Roman" w:ascii="Times New Roman" w:hAnsi="Times New Roman"/>
          <w:color w:val="111111"/>
          <w:sz w:val="28"/>
          <w:szCs w:val="28"/>
          <w:lang w:val="en-US"/>
        </w:rPr>
        <w:t>Dezfuliyan, Tehran, Nasyr Afarinesy, 1375 HS.</w:t>
      </w:r>
    </w:p>
    <w:p>
      <w:pPr>
        <w:pStyle w:val="BookText"/>
        <w:bidi w:val="0"/>
        <w:jc w:val="both"/>
        <w:rPr/>
      </w:pPr>
      <w:r>
        <w:rPr>
          <w:rFonts w:eastAsia="Times New Roman" w:cs="Times New Roman" w:ascii="Times New Roman" w:hAnsi="Times New Roman"/>
          <w:color w:val="111111"/>
          <w:sz w:val="28"/>
          <w:szCs w:val="28"/>
          <w:lang w:val="en-US"/>
        </w:rPr>
        <w:t>Ibnu Thufail: Zendeh-ye Bidor, terj. -Bgadiuzaman Furuzanfar, Tehran, Bungah ]am’e wa Nasyr Kitab, cet. 4, 1360 HS.</w:t>
      </w:r>
    </w:p>
    <w:p>
      <w:pPr>
        <w:pStyle w:val="BookText"/>
        <w:bidi w:val="0"/>
        <w:jc w:val="both"/>
        <w:rPr/>
      </w:pPr>
      <w:r>
        <w:rPr>
          <w:rFonts w:eastAsia="Times New Roman" w:cs="Times New Roman" w:ascii="Times New Roman" w:hAnsi="Times New Roman"/>
          <w:color w:val="111111"/>
          <w:sz w:val="28"/>
          <w:szCs w:val="28"/>
          <w:lang w:val="en-US"/>
        </w:rPr>
        <w:t>Ibnu Muhammad, Munawar: AsrérAI-Tnwl1fdﬁMuq6mﬁt Al-Syaikh Abt‘ Satﬂfd, Tehran, Amir Kabir, 1332 HS.</w:t>
      </w:r>
    </w:p>
    <w:p>
      <w:pPr>
        <w:pStyle w:val="BookText"/>
        <w:bidi w:val="0"/>
        <w:jc w:val="both"/>
        <w:rPr/>
      </w:pPr>
      <w:r>
        <w:rPr>
          <w:rFonts w:eastAsia="Times New Roman" w:cs="Times New Roman" w:ascii="Times New Roman" w:hAnsi="Times New Roman"/>
          <w:color w:val="111111"/>
          <w:sz w:val="28"/>
          <w:szCs w:val="28"/>
          <w:lang w:val="en-US"/>
        </w:rPr>
        <w:t>Ibrahlmi Dinani, Gholam Husain: Mojaro-E/e Fekr-e Falsaﬁ dar Iahon-e Eslom, Tehran, Tarh Nou, 1376 HS.</w:t>
      </w:r>
    </w:p>
    <w:p>
      <w:pPr>
        <w:pStyle w:val="BookText"/>
        <w:bidi w:val="0"/>
        <w:jc w:val="both"/>
        <w:rPr/>
      </w:pPr>
      <w:r>
        <w:rPr>
          <w:rFonts w:eastAsia="Times New Roman" w:cs="Times New Roman" w:ascii="Times New Roman" w:hAnsi="Times New Roman"/>
          <w:color w:val="111111"/>
          <w:sz w:val="28"/>
          <w:szCs w:val="28"/>
          <w:lang w:val="en-US"/>
        </w:rPr>
        <w:t>Ilrni Ardabili, Ali: Farlmng Falsafeh vn A’lom-e Vobasteh, Masyhad, Entesyorot Imomat, 1360 HS.</w:t>
      </w:r>
    </w:p>
    <w:p>
      <w:pPr>
        <w:pStyle w:val="BookText"/>
        <w:bidi w:val="0"/>
        <w:jc w:val="both"/>
        <w:rPr/>
      </w:pPr>
      <w:r>
        <w:rPr>
          <w:rFonts w:eastAsia="Times New Roman" w:cs="Times New Roman" w:ascii="Times New Roman" w:hAnsi="Times New Roman"/>
          <w:color w:val="111111"/>
          <w:sz w:val="28"/>
          <w:szCs w:val="28"/>
          <w:lang w:val="en-US"/>
        </w:rPr>
        <w:t>Iqbal Lahori, Muhammad: Elzyo-e Fekr-e Dini dar Eslom, Ahmad Aram, Tehran, Kanun Nasyr Pazhuhesyho-ye Eslomi.</w:t>
      </w:r>
    </w:p>
    <w:p>
      <w:pPr>
        <w:pStyle w:val="BookText"/>
        <w:bidi w:val="0"/>
        <w:jc w:val="both"/>
        <w:rPr/>
      </w:pPr>
      <w:r>
        <w:rPr>
          <w:rFonts w:eastAsia="Times New Roman" w:cs="Times New Roman" w:ascii="Times New Roman" w:hAnsi="Times New Roman"/>
          <w:color w:val="111111"/>
          <w:sz w:val="28"/>
          <w:szCs w:val="28"/>
          <w:lang w:val="en-US"/>
        </w:rPr>
        <w:t>Izzati, Abul Fadhl: Robiteh-e-Din va Fnlsafeh, Donesygoh Azarobode gon, 2535 HS.</w:t>
      </w:r>
    </w:p>
    <w:p>
      <w:pPr>
        <w:pStyle w:val="BookText"/>
        <w:bidi w:val="0"/>
        <w:jc w:val="both"/>
        <w:rPr/>
      </w:pPr>
      <w:r>
        <w:rPr>
          <w:rFonts w:eastAsia="Times New Roman" w:cs="Times New Roman" w:ascii="Times New Roman" w:hAnsi="Times New Roman"/>
          <w:color w:val="111111"/>
          <w:sz w:val="28"/>
          <w:szCs w:val="28"/>
          <w:lang w:val="en-US"/>
        </w:rPr>
        <w:t>]a’fariyan, Rasul: Din va 51:1/osnt dar Duvrelz-e Slmfavi, Qom, Ansari-yan, 1370 HS.</w:t>
      </w:r>
    </w:p>
    <w:p>
      <w:pPr>
        <w:pStyle w:val="BookText"/>
        <w:bidi w:val="0"/>
        <w:jc w:val="both"/>
        <w:rPr/>
      </w:pPr>
      <w:r>
        <w:rPr>
          <w:rFonts w:eastAsia="Times New Roman" w:cs="Times New Roman" w:ascii="Times New Roman" w:hAnsi="Times New Roman"/>
          <w:color w:val="111111"/>
          <w:sz w:val="28"/>
          <w:szCs w:val="28"/>
          <w:lang w:val="en-US"/>
        </w:rPr>
        <w:t>:_ : Murji’ah: Toriklz va Andisyeh, Qom, Khurram, 1371 HS.</w:t>
      </w:r>
    </w:p>
    <w:p>
      <w:pPr>
        <w:pStyle w:val="BookText"/>
        <w:bidi w:val="0"/>
        <w:jc w:val="both"/>
        <w:rPr/>
      </w:pPr>
      <w:r>
        <w:rPr>
          <w:rFonts w:eastAsia="Times New Roman" w:cs="Times New Roman" w:ascii="Times New Roman" w:hAnsi="Times New Roman"/>
          <w:color w:val="111111"/>
          <w:sz w:val="28"/>
          <w:szCs w:val="28"/>
          <w:lang w:val="en-US"/>
        </w:rPr>
        <w:t>]a'fari, Muhammad Taqi: Tarjmneh vn Tafsir—e Nahj AI-Balﬁghoh, jld. 6, Tehran, Daftar-e Nashr-e Farhang-e Islami, cet. 5, 1372 HS.</w:t>
      </w:r>
    </w:p>
    <w:p>
      <w:pPr>
        <w:pStyle w:val="BookText"/>
        <w:bidi w:val="0"/>
        <w:jc w:val="both"/>
        <w:rPr/>
      </w:pPr>
      <w:r>
        <w:rPr>
          <w:rFonts w:eastAsia="Times New Roman" w:cs="Times New Roman" w:ascii="Times New Roman" w:hAnsi="Times New Roman"/>
          <w:color w:val="111111"/>
          <w:sz w:val="28"/>
          <w:szCs w:val="28"/>
          <w:lang w:val="en-US"/>
        </w:rPr>
        <w:t>j : Tarjumeh va Tafsir Nahj AI-Balﬁghoh, jld. 7, Tehran, Daftar-e Nasyr-e Farhang-e Islami, cet. 6, 1368 HS.</w:t>
      </w:r>
    </w:p>
    <w:p>
      <w:pPr>
        <w:pStyle w:val="BookText"/>
        <w:bidi w:val="0"/>
        <w:jc w:val="both"/>
        <w:rPr/>
      </w:pPr>
      <w:r>
        <w:rPr>
          <w:rFonts w:eastAsia="Times New Roman" w:cs="Times New Roman" w:ascii="Times New Roman" w:hAnsi="Times New Roman"/>
          <w:color w:val="111111"/>
          <w:sz w:val="28"/>
          <w:szCs w:val="28"/>
          <w:lang w:val="en-US"/>
        </w:rPr>
        <w:t>__ 2 Tnrjumeh va Tafsir Nalxj Al—BnItighoh, jld. 22, Tehran, Daftar-e Nashr-e Farhang-e Islami, cet. 6, 1371 HS.</w:t>
      </w:r>
    </w:p>
    <w:p>
      <w:pPr>
        <w:pStyle w:val="BookText"/>
        <w:bidi w:val="0"/>
        <w:jc w:val="both"/>
        <w:rPr/>
      </w:pPr>
      <w:r>
        <w:rPr>
          <w:rFonts w:eastAsia="Times New Roman" w:cs="Times New Roman" w:ascii="Times New Roman" w:hAnsi="Times New Roman"/>
          <w:color w:val="111111"/>
          <w:sz w:val="28"/>
          <w:szCs w:val="28"/>
          <w:lang w:val="en-US"/>
        </w:rPr>
        <w:t>_ : Tn’ubbud va Tn’aqquI dar Feqh-e Eslomi, Qom, Kongreh-e Jahani Bozorgdosht—e Devistomin Salga.rd—e Syeikh A’zam Ansha-ri, 1373 HS.</w:t>
      </w:r>
    </w:p>
    <w:p>
      <w:pPr>
        <w:pStyle w:val="BookText"/>
        <w:bidi w:val="0"/>
        <w:jc w:val="both"/>
        <w:rPr/>
      </w:pPr>
      <w:r>
        <w:rPr>
          <w:rFonts w:eastAsia="Times New Roman" w:cs="Times New Roman" w:ascii="Times New Roman" w:hAnsi="Times New Roman"/>
          <w:color w:val="111111"/>
          <w:sz w:val="28"/>
          <w:szCs w:val="28"/>
          <w:lang w:val="en-US"/>
        </w:rPr>
        <w:t>: Taﬁir va Naqd va Tnhlil-e Matsnavi-e Ialoluddin Mulmmnmd</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Maulavi, Tehran, Entesyorot-e Islami.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_ : Tnkopu-ye Andisyeho, Tehran, Daftar-e Nashr-e Farhang-e Islami, 1373 HS.</w:t>
      </w:r>
    </w:p>
    <w:p>
      <w:pPr>
        <w:pStyle w:val="BookText"/>
        <w:bidi w:val="0"/>
        <w:jc w:val="both"/>
        <w:rPr/>
      </w:pPr>
      <w:r>
        <w:rPr>
          <w:rFonts w:eastAsia="Times New Roman" w:cs="Times New Roman" w:ascii="Times New Roman" w:hAnsi="Times New Roman"/>
          <w:color w:val="111111"/>
          <w:sz w:val="28"/>
          <w:szCs w:val="28"/>
          <w:lang w:val="en-US"/>
        </w:rPr>
        <w:t>j : ’Aql va ’AqiI va Mn’qul, Tehran, Nehzat-e Zanan-e Mosalman, 1359 HS.</w:t>
      </w:r>
    </w:p>
    <w:p>
      <w:pPr>
        <w:pStyle w:val="BookText"/>
        <w:bidi w:val="0"/>
        <w:jc w:val="both"/>
        <w:rPr/>
      </w:pPr>
      <w:r>
        <w:rPr>
          <w:rFonts w:eastAsia="Times New Roman" w:cs="Times New Roman" w:ascii="Times New Roman" w:hAnsi="Times New Roman"/>
          <w:color w:val="111111"/>
          <w:sz w:val="28"/>
          <w:szCs w:val="28"/>
          <w:lang w:val="en-US"/>
        </w:rPr>
        <w:t>j : Falsafelz-e Din, pengantar Muhammad Ridha Asadi, Tehran, Pajuheshgah-e Farhang va Andisheh-ye Islami, 1375 HS.</w:t>
      </w:r>
    </w:p>
    <w:p>
      <w:pPr>
        <w:pStyle w:val="BookText"/>
        <w:bidi w:val="0"/>
        <w:jc w:val="both"/>
        <w:rPr/>
      </w:pPr>
      <w:r>
        <w:rPr>
          <w:rFonts w:eastAsia="Times New Roman" w:cs="Times New Roman" w:ascii="Times New Roman" w:hAnsi="Times New Roman"/>
          <w:color w:val="111111"/>
          <w:sz w:val="28"/>
          <w:szCs w:val="28"/>
          <w:lang w:val="en-US"/>
        </w:rPr>
        <w:t>Jannati, Muhammad Ibrahlm: Mrmobi’e Ejtehod dar Didgoh-e Madz0-I1eb- e Eslomi, Tehran, Kayhan, 1370 HS.</w:t>
      </w:r>
    </w:p>
    <w:p>
      <w:pPr>
        <w:pStyle w:val="BookText"/>
        <w:bidi w:val="0"/>
        <w:jc w:val="both"/>
        <w:rPr/>
      </w:pPr>
      <w:r>
        <w:rPr>
          <w:rFonts w:eastAsia="Times New Roman" w:cs="Times New Roman" w:ascii="Times New Roman" w:hAnsi="Times New Roman"/>
          <w:color w:val="111111"/>
          <w:sz w:val="28"/>
          <w:szCs w:val="28"/>
          <w:lang w:val="en-US"/>
        </w:rPr>
        <w:t>Jawadi Amuli, Abdullah: Tabyin-e Barohin-e Esbot-e Klmdo, Qom, Isra’, cet. 2, 1375 HS.</w:t>
      </w:r>
    </w:p>
    <w:p>
      <w:pPr>
        <w:pStyle w:val="BookText"/>
        <w:bidi w:val="0"/>
        <w:jc w:val="both"/>
        <w:rPr/>
      </w:pPr>
      <w:r>
        <w:rPr>
          <w:rFonts w:eastAsia="Times New Roman" w:cs="Times New Roman" w:ascii="Times New Roman" w:hAnsi="Times New Roman"/>
          <w:color w:val="111111"/>
          <w:sz w:val="28"/>
          <w:szCs w:val="28"/>
          <w:lang w:val="en-US"/>
        </w:rPr>
        <w:t>_ : Tal_zrfr Tamhid AI-Qowid, Tehran, lnstisyorot Al-Zahra’, 1372 HS.</w:t>
      </w:r>
    </w:p>
    <w:p>
      <w:pPr>
        <w:pStyle w:val="BookText"/>
        <w:bidi w:val="0"/>
        <w:jc w:val="both"/>
        <w:rPr/>
      </w:pPr>
      <w:r>
        <w:rPr>
          <w:rFonts w:eastAsia="Times New Roman" w:cs="Times New Roman" w:ascii="Times New Roman" w:hAnsi="Times New Roman"/>
          <w:color w:val="111111"/>
          <w:sz w:val="28"/>
          <w:szCs w:val="28"/>
          <w:lang w:val="en-US"/>
        </w:rPr>
        <w:t>j: Tasnim: Tnféir-e Qur'0n-e Karim, Qom, Isra’, 1378 HS.</w:t>
      </w:r>
    </w:p>
    <w:p>
      <w:pPr>
        <w:pStyle w:val="BookText"/>
        <w:bidi w:val="0"/>
        <w:jc w:val="both"/>
        <w:rPr/>
      </w:pPr>
      <w:r>
        <w:rPr>
          <w:rFonts w:eastAsia="Times New Roman" w:cs="Times New Roman" w:ascii="Times New Roman" w:hAnsi="Times New Roman"/>
          <w:color w:val="111111"/>
          <w:sz w:val="28"/>
          <w:szCs w:val="28"/>
          <w:lang w:val="en-US"/>
        </w:rPr>
        <w:t>j : Synri’nt dar O_l/ineh—e Mt1’refat, Tehran, Raja', 1372 HS.</w:t>
      </w:r>
    </w:p>
    <w:p>
      <w:pPr>
        <w:pStyle w:val="BookText"/>
        <w:bidi w:val="0"/>
        <w:jc w:val="both"/>
        <w:rPr/>
      </w:pPr>
      <w:r>
        <w:rPr>
          <w:rFonts w:eastAsia="Times New Roman" w:cs="Times New Roman" w:ascii="Times New Roman" w:hAnsi="Times New Roman"/>
          <w:color w:val="111111"/>
          <w:sz w:val="28"/>
          <w:szCs w:val="28"/>
          <w:lang w:val="en-US"/>
        </w:rPr>
        <w:t>M : S_1/enokhtsyenosi dar Qur'on, Markaz-e Modiriyat-e Houzeh Ilmiyah, Qom, 1370 HS.</w:t>
      </w:r>
    </w:p>
    <w:p>
      <w:pPr>
        <w:pStyle w:val="BookText"/>
        <w:bidi w:val="0"/>
        <w:jc w:val="both"/>
        <w:rPr/>
      </w:pPr>
      <w:r>
        <w:rPr>
          <w:rFonts w:eastAsia="Times New Roman" w:cs="Times New Roman" w:ascii="Times New Roman" w:hAnsi="Times New Roman"/>
          <w:color w:val="111111"/>
          <w:sz w:val="28"/>
          <w:szCs w:val="28"/>
          <w:lang w:val="en-US"/>
        </w:rPr>
        <w:t>_ 2 Falsnfelz—e I_-IuqL?q—e Busyar, Qom, Isra’, 1375 HS.</w:t>
      </w:r>
    </w:p>
    <w:p>
      <w:pPr>
        <w:pStyle w:val="BookText"/>
        <w:bidi w:val="0"/>
        <w:jc w:val="both"/>
        <w:rPr/>
      </w:pPr>
      <w:r>
        <w:rPr>
          <w:rFonts w:eastAsia="Times New Roman" w:cs="Times New Roman" w:ascii="Times New Roman" w:hAnsi="Times New Roman"/>
          <w:color w:val="111111"/>
          <w:sz w:val="28"/>
          <w:szCs w:val="28"/>
          <w:lang w:val="en-US"/>
        </w:rPr>
        <w:t>Kasyani, Izzuddin Mahmud: Mishbtil_1 Al-Hidﬁyah wa Mifltih AI-Kifriyah, revisi jalauddin Humaie, Tehran, Humo, cet. 4, 1377 HS.</w:t>
      </w:r>
    </w:p>
    <w:p>
      <w:pPr>
        <w:pStyle w:val="BookText"/>
        <w:bidi w:val="0"/>
        <w:jc w:val="both"/>
        <w:rPr/>
      </w:pPr>
      <w:r>
        <w:rPr>
          <w:rFonts w:eastAsia="Times New Roman" w:cs="Times New Roman" w:ascii="Times New Roman" w:hAnsi="Times New Roman"/>
          <w:color w:val="111111"/>
          <w:sz w:val="28"/>
          <w:szCs w:val="28"/>
          <w:lang w:val="en-US"/>
        </w:rPr>
        <w:t>Kadiwar, Muhsin: Dafmr-e 'AqI, Tehran, Ittiloat, 1377 HS.</w:t>
      </w:r>
    </w:p>
    <w:p>
      <w:pPr>
        <w:pStyle w:val="BookText"/>
        <w:bidi w:val="0"/>
        <w:jc w:val="both"/>
        <w:rPr/>
      </w:pPr>
      <w:r>
        <w:rPr>
          <w:rFonts w:eastAsia="Times New Roman" w:cs="Times New Roman" w:ascii="Times New Roman" w:hAnsi="Times New Roman"/>
          <w:color w:val="111111"/>
          <w:sz w:val="28"/>
          <w:szCs w:val="28"/>
          <w:lang w:val="en-US"/>
        </w:rPr>
        <w:t>Keikhosru Isfandyar bin Adzarkeywan: Dnbiston-e Madzoheb, Tehran, Kitabkhoneh Thohuri, 1362 HS.</w:t>
      </w:r>
    </w:p>
    <w:p>
      <w:pPr>
        <w:pStyle w:val="BookText"/>
        <w:bidi w:val="0"/>
        <w:jc w:val="both"/>
        <w:rPr/>
      </w:pPr>
      <w:r>
        <w:rPr>
          <w:rFonts w:eastAsia="Times New Roman" w:cs="Times New Roman" w:ascii="Times New Roman" w:hAnsi="Times New Roman"/>
          <w:color w:val="111111"/>
          <w:sz w:val="28"/>
          <w:szCs w:val="28"/>
          <w:lang w:val="en-US"/>
        </w:rPr>
        <w:t>Kierkigaard, Séren: Tars va Lrzrz, terj. Abdul Karim Rasyidiyan, Tehran, Nasyr Ney, 1378 HS.</w:t>
      </w:r>
    </w:p>
    <w:p>
      <w:pPr>
        <w:pStyle w:val="BookText"/>
        <w:bidi w:val="0"/>
        <w:jc w:val="both"/>
        <w:rPr/>
      </w:pPr>
      <w:r>
        <w:rPr>
          <w:rFonts w:eastAsia="Times New Roman" w:cs="Times New Roman" w:ascii="Times New Roman" w:hAnsi="Times New Roman"/>
          <w:color w:val="111111"/>
          <w:sz w:val="28"/>
          <w:szCs w:val="28"/>
          <w:lang w:val="en-US"/>
        </w:rPr>
        <w:t>Kirrnansyahi, Ogho Muhammad Ali: Klmirotiyyah, Qom, Anshoriyan, 1412 HQ.</w:t>
      </w:r>
    </w:p>
    <w:p>
      <w:pPr>
        <w:pStyle w:val="BookText"/>
        <w:bidi w:val="0"/>
        <w:jc w:val="both"/>
        <w:rPr/>
      </w:pPr>
      <w:r>
        <w:rPr>
          <w:rFonts w:eastAsia="Times New Roman" w:cs="Times New Roman" w:ascii="Times New Roman" w:hAnsi="Times New Roman"/>
          <w:color w:val="111111"/>
          <w:sz w:val="28"/>
          <w:szCs w:val="28"/>
          <w:lang w:val="en-US"/>
        </w:rPr>
        <w:t>Kiyaie-Nejad, Zanuddin: Sayr-e Erfon dar Eslom, Tehran, e Isyroqi, 1366 HS.</w:t>
      </w:r>
    </w:p>
    <w:p>
      <w:pPr>
        <w:pStyle w:val="BookText"/>
        <w:bidi w:val="0"/>
        <w:jc w:val="both"/>
        <w:rPr/>
      </w:pPr>
      <w:r>
        <w:rPr>
          <w:rFonts w:eastAsia="Times New Roman" w:cs="Times New Roman" w:ascii="Times New Roman" w:hAnsi="Times New Roman"/>
          <w:color w:val="111111"/>
          <w:sz w:val="28"/>
          <w:szCs w:val="28"/>
          <w:lang w:val="en-US"/>
        </w:rPr>
        <w:t>Khaqani Shervani, Afdhaluddin: Divan-e Khoqoni, Tehran, Amir Kabir, 1336 HS.</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Khudo va Elm dar Guftegu bo Jean Geatton" dalam jumal Knylmn Fnrlumgi, tahun 11, no. 5, Murdod 1373 HS. </w:t>
      </w:r>
    </w:p>
    <w:p>
      <w:pPr>
        <w:pStyle w:val="BookText"/>
        <w:bidi w:val="0"/>
        <w:rPr/>
      </w:pPr>
      <w:r>
        <w:rPr>
          <w:rFonts w:eastAsia="Times New Roman" w:cs="Times New Roman" w:ascii="Times New Roman" w:hAnsi="Times New Roman"/>
          <w:color w:val="111111"/>
          <w:sz w:val="28"/>
          <w:szCs w:val="28"/>
          <w:lang w:val="en-US"/>
        </w:rPr>
        <w:t>Daftar Pustaka</w:t>
      </w:r>
    </w:p>
    <w:p>
      <w:pPr>
        <w:pStyle w:val="BookText"/>
        <w:bidi w:val="0"/>
        <w:jc w:val="both"/>
        <w:rPr/>
      </w:pPr>
      <w:r>
        <w:rPr>
          <w:rFonts w:eastAsia="Times New Roman" w:cs="Times New Roman" w:ascii="Times New Roman" w:hAnsi="Times New Roman"/>
          <w:color w:val="111111"/>
          <w:sz w:val="28"/>
          <w:szCs w:val="28"/>
          <w:lang w:val="en-US"/>
        </w:rPr>
        <w:t>Khunsari, Iamaluddin Muhammad: Syarl_1 Glmmr va Dumr, Tehran, Entesyorot-e Donesygoh—e Tehran, cet. 4, 1373 HS.</w:t>
      </w:r>
    </w:p>
    <w:p>
      <w:pPr>
        <w:pStyle w:val="BookText"/>
        <w:bidi w:val="0"/>
        <w:jc w:val="both"/>
        <w:rPr/>
      </w:pPr>
      <w:r>
        <w:rPr>
          <w:rFonts w:eastAsia="Times New Roman" w:cs="Times New Roman" w:ascii="Times New Roman" w:hAnsi="Times New Roman"/>
          <w:color w:val="111111"/>
          <w:sz w:val="28"/>
          <w:szCs w:val="28"/>
          <w:lang w:val="en-US"/>
        </w:rPr>
        <w:t>Khuramshahi, Bahauddin: ﬂofezdnomeh, Tehran, Entesyorot Elmi va Farhangi, cet. 6, 1373 HS.</w:t>
      </w:r>
    </w:p>
    <w:p>
      <w:pPr>
        <w:pStyle w:val="BookText"/>
        <w:bidi w:val="0"/>
        <w:jc w:val="both"/>
        <w:rPr/>
      </w:pPr>
      <w:r>
        <w:rPr>
          <w:rFonts w:eastAsia="Times New Roman" w:cs="Times New Roman" w:ascii="Times New Roman" w:hAnsi="Times New Roman"/>
          <w:color w:val="111111"/>
          <w:sz w:val="28"/>
          <w:szCs w:val="28"/>
          <w:lang w:val="en-US"/>
        </w:rPr>
        <w:t>Khurasani, Syarafuddin: ”Ibn Hazm” dalam Daimtul Ma’orif Buzurg- e Eslomi, Kazdim Musawi Bujnurdi, Tehran, Markaz Dairoh AI- Ma'arif Buzurg Islami, jld. 3, 1369 HS.</w:t>
      </w:r>
    </w:p>
    <w:p>
      <w:pPr>
        <w:pStyle w:val="BookText"/>
        <w:bidi w:val="0"/>
        <w:jc w:val="both"/>
        <w:rPr/>
      </w:pPr>
      <w:r>
        <w:rPr>
          <w:rFonts w:eastAsia="Times New Roman" w:cs="Times New Roman" w:ascii="Times New Roman" w:hAnsi="Times New Roman"/>
          <w:color w:val="111111"/>
          <w:sz w:val="28"/>
          <w:szCs w:val="28"/>
          <w:lang w:val="en-US"/>
        </w:rPr>
        <w:t>Lagenhausen, Muhammad: AqIgaro’i-e lndid dnr Urupo (diktat), Qom, Perpustakaan Muassasah Imam Khomeini, diktat no. 755.</w:t>
      </w:r>
    </w:p>
    <w:p>
      <w:pPr>
        <w:pStyle w:val="BookText"/>
        <w:bidi w:val="0"/>
        <w:jc w:val="both"/>
        <w:rPr/>
      </w:pPr>
      <w:r>
        <w:rPr>
          <w:rFonts w:eastAsia="Times New Roman" w:cs="Times New Roman" w:ascii="Times New Roman" w:hAnsi="Times New Roman"/>
          <w:color w:val="111111"/>
          <w:sz w:val="28"/>
          <w:szCs w:val="28"/>
          <w:lang w:val="en-US"/>
        </w:rPr>
        <w:t>Lahiji, Muhammad: Mafritz71AI-I’jﬁzﬁ S}/arl_1 Gulsyrm-e Roz, Entesyo-rot Kitobfurusyi Mahmudi.</w:t>
      </w:r>
    </w:p>
    <w:p>
      <w:pPr>
        <w:pStyle w:val="BookText"/>
        <w:bidi w:val="0"/>
        <w:jc w:val="both"/>
        <w:rPr/>
      </w:pPr>
      <w:r>
        <w:rPr>
          <w:rFonts w:eastAsia="Times New Roman" w:cs="Times New Roman" w:ascii="Times New Roman" w:hAnsi="Times New Roman"/>
          <w:color w:val="111111"/>
          <w:sz w:val="28"/>
          <w:szCs w:val="28"/>
          <w:lang w:val="en-US"/>
        </w:rPr>
        <w:t>Lahiji, Abdul Razzaq: Sarmoych-e Imon, Entesyorot Al-Zahra', cet. 2, 1364 HS.</w:t>
      </w:r>
    </w:p>
    <w:p>
      <w:pPr>
        <w:pStyle w:val="BookText"/>
        <w:bidi w:val="0"/>
        <w:jc w:val="both"/>
        <w:rPr/>
      </w:pPr>
      <w:r>
        <w:rPr>
          <w:rFonts w:eastAsia="Times New Roman" w:cs="Times New Roman" w:ascii="Times New Roman" w:hAnsi="Times New Roman"/>
          <w:color w:val="111111"/>
          <w:sz w:val="28"/>
          <w:szCs w:val="28"/>
          <w:lang w:val="en-US"/>
        </w:rPr>
        <w:t>La'la Bedakhsyi, L.ael Beik: Tsamarét Al-Quds min Syajrzrét AI-Uns, Entesyorot Pazwuhesygoh Ulum Insani, 1376 HS.</w:t>
      </w:r>
    </w:p>
    <w:p>
      <w:pPr>
        <w:pStyle w:val="BookText"/>
        <w:bidi w:val="0"/>
        <w:jc w:val="both"/>
        <w:rPr/>
      </w:pPr>
      <w:r>
        <w:rPr>
          <w:rFonts w:eastAsia="Times New Roman" w:cs="Times New Roman" w:ascii="Times New Roman" w:hAnsi="Times New Roman"/>
          <w:color w:val="111111"/>
          <w:sz w:val="28"/>
          <w:szCs w:val="28"/>
          <w:lang w:val="en-US"/>
        </w:rPr>
        <w:t>Madadpur, Muhammad: Tnjaddud va Dinzudo'i dar Farlmng va Hu-nar- e Mumzwwirul Fikr: ”Az Oghoz Peydoie to Poyon 'Ashr Qojor", Tehran, Entesyorot Solikon, 1372 HS.</w:t>
      </w:r>
    </w:p>
    <w:p>
      <w:pPr>
        <w:pStyle w:val="BookText"/>
        <w:bidi w:val="0"/>
        <w:jc w:val="both"/>
        <w:rPr/>
      </w:pPr>
      <w:r>
        <w:rPr>
          <w:rFonts w:eastAsia="Times New Roman" w:cs="Times New Roman" w:ascii="Times New Roman" w:hAnsi="Times New Roman"/>
          <w:color w:val="111111"/>
          <w:sz w:val="28"/>
          <w:szCs w:val="28"/>
          <w:lang w:val="en-US"/>
        </w:rPr>
        <w:t>j : ﬂekmahe Dim" va Yunonzadegi dar Olam-e Eslomi, Tehran, Markaz Mutoleat Syarqi wa Farhang wa Hunar, 1375 HS.</w:t>
      </w:r>
    </w:p>
    <w:p>
      <w:pPr>
        <w:pStyle w:val="BookText"/>
        <w:bidi w:val="0"/>
        <w:jc w:val="both"/>
        <w:rPr/>
      </w:pPr>
      <w:r>
        <w:rPr>
          <w:rFonts w:eastAsia="Times New Roman" w:cs="Times New Roman" w:ascii="Times New Roman" w:hAnsi="Times New Roman"/>
          <w:color w:val="111111"/>
          <w:sz w:val="28"/>
          <w:szCs w:val="28"/>
          <w:lang w:val="en-US"/>
        </w:rPr>
        <w:t>Mahmud 'Aqqad, Abbas: Tnfakkur nz Didgoh-e Eslom, terj. Muha-mmad Ridha Athaie, Masyhad, Oston Quds Radhawi, 1371 HS.</w:t>
      </w:r>
    </w:p>
    <w:p>
      <w:pPr>
        <w:pStyle w:val="BookText"/>
        <w:bidi w:val="0"/>
        <w:jc w:val="both"/>
        <w:rPr/>
      </w:pPr>
      <w:r>
        <w:rPr>
          <w:rFonts w:eastAsia="Times New Roman" w:cs="Times New Roman" w:ascii="Times New Roman" w:hAnsi="Times New Roman"/>
          <w:color w:val="111111"/>
          <w:sz w:val="28"/>
          <w:szCs w:val="28"/>
          <w:lang w:val="en-US"/>
        </w:rPr>
        <w:t>Malakian, Mustafa: Syarl_1 va Barresi-e Nazdnriyeh-e Qabdh va Bus;-e Te'orik-e S}/ari'at (diktat), Qom, Perpustakaan Muassasah Imam Khomeini, diktat no. 973.</w:t>
      </w:r>
    </w:p>
    <w:p>
      <w:pPr>
        <w:pStyle w:val="BookText"/>
        <w:bidi w:val="0"/>
        <w:jc w:val="both"/>
        <w:rPr/>
      </w:pPr>
      <w:r>
        <w:rPr>
          <w:rFonts w:eastAsia="Times New Roman" w:cs="Times New Roman" w:ascii="Times New Roman" w:hAnsi="Times New Roman"/>
          <w:color w:val="111111"/>
          <w:sz w:val="28"/>
          <w:szCs w:val="28"/>
          <w:lang w:val="en-US"/>
        </w:rPr>
        <w:t>__ : Kalom-e Indid: Ertebot—e Din vn Akhloq (diktat), Qom, Per- pustakaan Muassasah Imam Khomeini, diktat no. 801.</w:t>
      </w:r>
    </w:p>
    <w:p>
      <w:pPr>
        <w:pStyle w:val="BookText"/>
        <w:bidi w:val="0"/>
        <w:jc w:val="both"/>
        <w:rPr/>
      </w:pPr>
      <w:r>
        <w:rPr>
          <w:rFonts w:eastAsia="Times New Roman" w:cs="Times New Roman" w:ascii="Times New Roman" w:hAnsi="Times New Roman"/>
          <w:color w:val="111111"/>
          <w:sz w:val="28"/>
          <w:szCs w:val="28"/>
          <w:lang w:val="en-US"/>
        </w:rPr>
        <w:t>__ : Kalom-e ladidr Imon va Talﬂaqqul (diktat), Qom, Perpustakaan Muassasah Imam Khomeini, diktat no. 806.</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 : Maso'el Jadid Kalomi: Elm vn Din (diktat), Qom, Muassasah Imam Shodiq, tahun 1373-1374, Perpustakaan Muassasah Imam Khomeini, diktat no. 1348.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Mardiha, Sayid Murtadha: ”Tsabot-e Falsafeh dar Gudzar—e Andisyeh" dalam jumal Kayhon Farlmnggi, tahun 5, no. 3, Khurdod 1367 HS.</w:t>
      </w:r>
    </w:p>
    <w:p>
      <w:pPr>
        <w:pStyle w:val="BookText"/>
        <w:bidi w:val="0"/>
        <w:jc w:val="both"/>
        <w:rPr/>
      </w:pPr>
      <w:r>
        <w:rPr>
          <w:rFonts w:eastAsia="Times New Roman" w:cs="Times New Roman" w:ascii="Times New Roman" w:hAnsi="Times New Roman"/>
          <w:color w:val="111111"/>
          <w:sz w:val="28"/>
          <w:szCs w:val="28"/>
          <w:lang w:val="en-US"/>
        </w:rPr>
        <w:t>Z : Yeki bar Sar Syokh va Bun Miburid dalam jurnal Knyhon Far- lmnggi, tahun 6, no. 11, Bahman 1368 HS.</w:t>
      </w:r>
    </w:p>
    <w:p>
      <w:pPr>
        <w:pStyle w:val="BookText"/>
        <w:bidi w:val="0"/>
        <w:jc w:val="both"/>
        <w:rPr/>
      </w:pPr>
      <w:r>
        <w:rPr>
          <w:rFonts w:eastAsia="Times New Roman" w:cs="Times New Roman" w:ascii="Times New Roman" w:hAnsi="Times New Roman"/>
          <w:color w:val="111111"/>
          <w:sz w:val="28"/>
          <w:szCs w:val="28"/>
          <w:lang w:val="en-US"/>
        </w:rPr>
        <w:t>Miller, Danler ].: Mohiynt va Mn’muriynt Keliso, Thotehwus Mikai-liyon, Syuro Kelisa Injil Iran.</w:t>
      </w:r>
    </w:p>
    <w:p>
      <w:pPr>
        <w:pStyle w:val="BookText"/>
        <w:bidi w:val="0"/>
        <w:jc w:val="both"/>
        <w:rPr/>
      </w:pPr>
      <w:r>
        <w:rPr>
          <w:rFonts w:eastAsia="Times New Roman" w:cs="Times New Roman" w:ascii="Times New Roman" w:hAnsi="Times New Roman"/>
          <w:color w:val="111111"/>
          <w:sz w:val="28"/>
          <w:szCs w:val="28"/>
          <w:lang w:val="en-US"/>
        </w:rPr>
        <w:t>Mirdamad, Muhammad Baqir: Divon-e As}/Eior, Isfahan, Matba’ah Sa’adat, 1239 HS.</w:t>
      </w:r>
    </w:p>
    <w:p>
      <w:pPr>
        <w:pStyle w:val="BookText"/>
        <w:bidi w:val="0"/>
        <w:jc w:val="both"/>
        <w:rPr/>
      </w:pPr>
      <w:r>
        <w:rPr>
          <w:rFonts w:eastAsia="Times New Roman" w:cs="Times New Roman" w:ascii="Times New Roman" w:hAnsi="Times New Roman"/>
          <w:color w:val="111111"/>
          <w:sz w:val="28"/>
          <w:szCs w:val="28"/>
          <w:lang w:val="en-US"/>
        </w:rPr>
        <w:t>Master, Hawks: Qamus-e Ketob-e Muqaddns, Tehran, Entesyorot Asa- thir, 1377 HS.</w:t>
      </w:r>
    </w:p>
    <w:p>
      <w:pPr>
        <w:pStyle w:val="BookText"/>
        <w:bidi w:val="0"/>
        <w:jc w:val="both"/>
        <w:rPr/>
      </w:pPr>
      <w:r>
        <w:rPr>
          <w:rFonts w:eastAsia="Times New Roman" w:cs="Times New Roman" w:ascii="Times New Roman" w:hAnsi="Times New Roman"/>
          <w:color w:val="111111"/>
          <w:sz w:val="28"/>
          <w:szCs w:val="28"/>
          <w:lang w:val="en-US"/>
        </w:rPr>
        <w:t>Mishbah Yazdi, Muhammad Taqi, Aklzloq dar Qur’on, Qom, Muassa- sah Imam Khomeini, 1376 HS.</w:t>
      </w:r>
    </w:p>
    <w:p>
      <w:pPr>
        <w:pStyle w:val="BookText"/>
        <w:bidi w:val="0"/>
        <w:jc w:val="both"/>
        <w:rPr/>
      </w:pPr>
      <w:r>
        <w:rPr>
          <w:rFonts w:eastAsia="Times New Roman" w:cs="Times New Roman" w:ascii="Times New Roman" w:hAnsi="Times New Roman"/>
          <w:color w:val="111111"/>
          <w:sz w:val="28"/>
          <w:szCs w:val="28"/>
          <w:lang w:val="en-US"/>
        </w:rPr>
        <w:t>Z : lslom, Siyosat va ﬂukﬁmat, Tehran, Sozmon Tablighot Islami, 1377 HS.</w:t>
      </w:r>
    </w:p>
    <w:p>
      <w:pPr>
        <w:pStyle w:val="BookText"/>
        <w:bidi w:val="0"/>
        <w:jc w:val="both"/>
        <w:rPr/>
      </w:pPr>
      <w:r>
        <w:rPr>
          <w:rFonts w:eastAsia="Times New Roman" w:cs="Times New Roman" w:ascii="Times New Roman" w:hAnsi="Times New Roman"/>
          <w:color w:val="111111"/>
          <w:sz w:val="28"/>
          <w:szCs w:val="28"/>
          <w:lang w:val="en-US"/>
        </w:rPr>
        <w:t>_ : Rohmmzosyenosi, Tehran, Amir Kabir, 1375 HS.</w:t>
      </w:r>
    </w:p>
    <w:p>
      <w:pPr>
        <w:pStyle w:val="BookText"/>
        <w:bidi w:val="0"/>
        <w:jc w:val="both"/>
        <w:rPr/>
      </w:pPr>
      <w:r>
        <w:rPr>
          <w:rFonts w:eastAsia="Times New Roman" w:cs="Times New Roman" w:ascii="Times New Roman" w:hAnsi="Times New Roman"/>
          <w:color w:val="111111"/>
          <w:sz w:val="28"/>
          <w:szCs w:val="28"/>
          <w:lang w:val="en-US"/>
        </w:rPr>
        <w:t>_ : Mn’orefe Qur’on, jld. 1-3: ”Khudo Syenosi, Kaihon Syenosi, Inson Syenosi", Qom, Dar Roh Haq.</w:t>
      </w:r>
    </w:p>
    <w:p>
      <w:pPr>
        <w:pStyle w:val="BookText"/>
        <w:bidi w:val="0"/>
        <w:jc w:val="both"/>
        <w:rPr/>
      </w:pPr>
      <w:r>
        <w:rPr>
          <w:rFonts w:eastAsia="Times New Roman" w:cs="Times New Roman" w:ascii="Times New Roman" w:hAnsi="Times New Roman"/>
          <w:color w:val="111111"/>
          <w:sz w:val="28"/>
          <w:szCs w:val="28"/>
          <w:lang w:val="en-US"/>
        </w:rPr>
        <w:t>j : Ma'oref—e Qur'on, jld. 4-5: "Roh va Rohnamosyenosyi", Qom, Muassasah Imam Khomeini, 1376 HS.</w:t>
      </w:r>
    </w:p>
    <w:p>
      <w:pPr>
        <w:pStyle w:val="BookText"/>
        <w:bidi w:val="0"/>
        <w:jc w:val="both"/>
        <w:rPr/>
      </w:pPr>
      <w:r>
        <w:rPr>
          <w:rFonts w:eastAsia="Times New Roman" w:cs="Times New Roman" w:ascii="Times New Roman" w:hAnsi="Times New Roman"/>
          <w:color w:val="111111"/>
          <w:sz w:val="28"/>
          <w:szCs w:val="28"/>
          <w:lang w:val="en-US"/>
        </w:rPr>
        <w:t>Mudarresi Thabathabai, Husain: Muqaddimeh-i bar Fiqh-e Syiah, Kulliyyat wa Kitab-Syenosyi, terj. Muhammad Ashif Fikrat, Masyhad, Buniyod Pazwuhesy-hoye Islami, 1368 HS.</w:t>
      </w:r>
    </w:p>
    <w:p>
      <w:pPr>
        <w:pStyle w:val="BookText"/>
        <w:bidi w:val="0"/>
        <w:jc w:val="both"/>
        <w:rPr/>
      </w:pPr>
      <w:r>
        <w:rPr>
          <w:rFonts w:eastAsia="Times New Roman" w:cs="Times New Roman" w:ascii="Times New Roman" w:hAnsi="Times New Roman"/>
          <w:color w:val="111111"/>
          <w:sz w:val="28"/>
          <w:szCs w:val="28"/>
          <w:lang w:val="en-US"/>
        </w:rPr>
        <w:t>Muhaqqiq, Mahdi: Failastif-e Rey: Muhammad bin Zaknrin Rozi, Tehran, Nasyr Ney, cet. 3, 1368 HS.</w:t>
      </w:r>
    </w:p>
    <w:p>
      <w:pPr>
        <w:pStyle w:val="BookText"/>
        <w:bidi w:val="0"/>
        <w:jc w:val="both"/>
        <w:rPr/>
      </w:pPr>
      <w:r>
        <w:rPr>
          <w:rFonts w:eastAsia="Times New Roman" w:cs="Times New Roman" w:ascii="Times New Roman" w:hAnsi="Times New Roman"/>
          <w:color w:val="111111"/>
          <w:sz w:val="28"/>
          <w:szCs w:val="28"/>
          <w:lang w:val="en-US"/>
        </w:rPr>
        <w:t>Mujtahid Syabasytari, Muhammad: ”Din va ’Aql, dalam jumal Knyhon Farlmnggi, tahun 6, no. 5, Murdod 1368 HS.</w:t>
      </w:r>
    </w:p>
    <w:p>
      <w:pPr>
        <w:pStyle w:val="BookText"/>
        <w:bidi w:val="0"/>
        <w:jc w:val="both"/>
        <w:rPr/>
      </w:pPr>
      <w:r>
        <w:rPr>
          <w:rFonts w:eastAsia="Times New Roman" w:cs="Times New Roman" w:ascii="Times New Roman" w:hAnsi="Times New Roman"/>
          <w:color w:val="111111"/>
          <w:sz w:val="28"/>
          <w:szCs w:val="28"/>
          <w:lang w:val="en-US"/>
        </w:rPr>
        <w:t>Muhyiddin, Abdul Razzaq: S_1/nkhshi_1/at Adnbi Say]/id Murtadlm, terj. Jawad Muhadditsi, Tehran, Amir Kabir, 1372 HS.</w:t>
      </w:r>
    </w:p>
    <w:p>
      <w:pPr>
        <w:pStyle w:val="BookText"/>
        <w:bidi w:val="0"/>
        <w:jc w:val="both"/>
        <w:rPr/>
      </w:pPr>
      <w:r>
        <w:rPr>
          <w:rFonts w:eastAsia="Times New Roman" w:cs="Times New Roman" w:ascii="Times New Roman" w:hAnsi="Times New Roman"/>
          <w:color w:val="111111"/>
          <w:sz w:val="28"/>
          <w:szCs w:val="28"/>
          <w:lang w:val="en-US"/>
        </w:rPr>
        <w:t>Muqaddasi, Muhammad bin Ahmad: AI_1smz AI-Taqris1‘nzﬁMa’r1fat AI- Aqélim, terj. Ali Naqi Munzawi, Tehran, Syerkat-e Muallifon wa Mutarjimon Iron, 1361 HS.</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Musawi Khomeini [Imam], Ruhullah: Odob-e Nmnoz, Tehran, Mua- </w:t>
      </w:r>
    </w:p>
    <w:p>
      <w:pPr>
        <w:pStyle w:val="BookText"/>
        <w:bidi w:val="0"/>
        <w:rPr/>
      </w:pPr>
      <w:r>
        <w:rPr>
          <w:rFonts w:eastAsia="Times New Roman" w:cs="Times New Roman" w:ascii="Times New Roman" w:hAnsi="Times New Roman"/>
          <w:color w:val="111111"/>
          <w:sz w:val="28"/>
          <w:szCs w:val="28"/>
          <w:lang w:val="en-US"/>
        </w:rPr>
        <w:t>Daftar Pustaka</w:t>
      </w:r>
    </w:p>
    <w:p>
      <w:pPr>
        <w:pStyle w:val="BookText"/>
        <w:bidi w:val="0"/>
        <w:jc w:val="both"/>
        <w:rPr/>
      </w:pPr>
      <w:r>
        <w:rPr>
          <w:rFonts w:eastAsia="Times New Roman" w:cs="Times New Roman" w:ascii="Times New Roman" w:hAnsi="Times New Roman"/>
          <w:color w:val="111111"/>
          <w:sz w:val="28"/>
          <w:szCs w:val="28"/>
          <w:lang w:val="en-US"/>
        </w:rPr>
        <w:t>ssasah tanzdim wa Nasyr Otsor Imam Khomeini, cet. 3, 1372 HS.</w:t>
      </w:r>
    </w:p>
    <w:p>
      <w:pPr>
        <w:pStyle w:val="BookText"/>
        <w:bidi w:val="0"/>
        <w:jc w:val="both"/>
        <w:rPr/>
      </w:pPr>
      <w:r>
        <w:rPr>
          <w:rFonts w:eastAsia="Times New Roman" w:cs="Times New Roman" w:ascii="Times New Roman" w:hAnsi="Times New Roman"/>
          <w:color w:val="111111"/>
          <w:sz w:val="28"/>
          <w:szCs w:val="28"/>
          <w:lang w:val="en-US"/>
        </w:rPr>
        <w:t>Z: Divan-e Emom Khomeini, Tehran, Muassasah Tanzdim wa Nasyr Otsor Imam Khomeini, cet. 8, 1376 HS.</w:t>
      </w:r>
    </w:p>
    <w:p>
      <w:pPr>
        <w:pStyle w:val="BookText"/>
        <w:bidi w:val="0"/>
        <w:jc w:val="both"/>
        <w:rPr/>
      </w:pPr>
      <w:r>
        <w:rPr>
          <w:rFonts w:eastAsia="Times New Roman" w:cs="Times New Roman" w:ascii="Times New Roman" w:hAnsi="Times New Roman"/>
          <w:color w:val="111111"/>
          <w:sz w:val="28"/>
          <w:szCs w:val="28"/>
          <w:lang w:val="en-US"/>
        </w:rPr>
        <w:t>Z 2 Syarl_z-e ﬂadits lzmud AI-’AqI um AI-[ah], Tehran, Muassasah Tanzdim wa Nasyr Otsor Imam Khomeini, 1377 HS.</w:t>
      </w:r>
    </w:p>
    <w:p>
      <w:pPr>
        <w:pStyle w:val="BookText"/>
        <w:bidi w:val="0"/>
        <w:jc w:val="both"/>
        <w:rPr/>
      </w:pPr>
      <w:r>
        <w:rPr>
          <w:rFonts w:eastAsia="Times New Roman" w:cs="Times New Roman" w:ascii="Times New Roman" w:hAnsi="Times New Roman"/>
          <w:color w:val="111111"/>
          <w:sz w:val="28"/>
          <w:szCs w:val="28"/>
          <w:lang w:val="en-US"/>
        </w:rPr>
        <w:t>Mushallaie, Mirza Ali Akbar &amp; Mudarrisi, Sayid Jawadz Naqdi bnr Matsnavi, Qom, Anshoriyon, 1375 HS.</w:t>
      </w:r>
    </w:p>
    <w:p>
      <w:pPr>
        <w:pStyle w:val="BookText"/>
        <w:bidi w:val="0"/>
        <w:jc w:val="both"/>
        <w:rPr/>
      </w:pPr>
      <w:r>
        <w:rPr>
          <w:rFonts w:eastAsia="Times New Roman" w:cs="Times New Roman" w:ascii="Times New Roman" w:hAnsi="Times New Roman"/>
          <w:color w:val="111111"/>
          <w:sz w:val="28"/>
          <w:szCs w:val="28"/>
          <w:lang w:val="en-US"/>
        </w:rPr>
        <w:t>Muthahari, Murtadha: Os_1/no'i bo Qur’on, Tehran, Shadra, cet. 4, 1368 HS.</w:t>
      </w:r>
    </w:p>
    <w:p>
      <w:pPr>
        <w:pStyle w:val="BookText"/>
        <w:bidi w:val="0"/>
        <w:jc w:val="both"/>
        <w:rPr/>
      </w:pPr>
      <w:r>
        <w:rPr>
          <w:rFonts w:eastAsia="Times New Roman" w:cs="Times New Roman" w:ascii="Times New Roman" w:hAnsi="Times New Roman"/>
          <w:color w:val="111111"/>
          <w:sz w:val="28"/>
          <w:szCs w:val="28"/>
          <w:lang w:val="en-US"/>
        </w:rPr>
        <w:t>Z : Eslom va Muqtadlm_1/0t—e Znmon, Tehran, Shadra, cet. 10, 1374 HS.</w:t>
      </w:r>
    </w:p>
    <w:p>
      <w:pPr>
        <w:pStyle w:val="BookText"/>
        <w:bidi w:val="0"/>
        <w:jc w:val="both"/>
        <w:rPr/>
      </w:pPr>
      <w:r>
        <w:rPr>
          <w:rFonts w:eastAsia="Times New Roman" w:cs="Times New Roman" w:ascii="Times New Roman" w:hAnsi="Times New Roman"/>
          <w:color w:val="111111"/>
          <w:sz w:val="28"/>
          <w:szCs w:val="28"/>
          <w:lang w:val="en-US"/>
        </w:rPr>
        <w:t>: Enson Komil, Tehran, Shadra, cet. 6, 1371 HS.</w:t>
      </w:r>
    </w:p>
    <w:p>
      <w:pPr>
        <w:pStyle w:val="BookText"/>
        <w:bidi w:val="0"/>
        <w:jc w:val="both"/>
        <w:rPr/>
      </w:pPr>
      <w:r>
        <w:rPr>
          <w:rFonts w:eastAsia="Times New Roman" w:cs="Times New Roman" w:ascii="Times New Roman" w:hAnsi="Times New Roman"/>
          <w:color w:val="111111"/>
          <w:sz w:val="28"/>
          <w:szCs w:val="28"/>
          <w:lang w:val="en-US"/>
        </w:rPr>
        <w:t>: Bist Guftor, Qom, Entesyorot Islami, cet. 5, 1359 HS.</w:t>
      </w:r>
    </w:p>
    <w:p>
      <w:pPr>
        <w:pStyle w:val="BookText"/>
        <w:bidi w:val="0"/>
        <w:jc w:val="both"/>
        <w:rPr/>
      </w:pPr>
      <w:r>
        <w:rPr>
          <w:rFonts w:eastAsia="Times New Roman" w:cs="Times New Roman" w:ascii="Times New Roman" w:hAnsi="Times New Roman"/>
          <w:color w:val="111111"/>
          <w:sz w:val="28"/>
          <w:szCs w:val="28"/>
          <w:lang w:val="en-US"/>
        </w:rPr>
        <w:t>: Ta’Iim va Tnrbiya! dur Eslom, Tehran, Shadra, cet. 16, 1368 HS.</w:t>
      </w:r>
    </w:p>
    <w:p>
      <w:pPr>
        <w:pStyle w:val="BookText"/>
        <w:bidi w:val="0"/>
        <w:jc w:val="both"/>
        <w:rPr/>
      </w:pPr>
      <w:r>
        <w:rPr>
          <w:rFonts w:eastAsia="Times New Roman" w:cs="Times New Roman" w:ascii="Times New Roman" w:hAnsi="Times New Roman"/>
          <w:color w:val="111111"/>
          <w:sz w:val="28"/>
          <w:szCs w:val="28"/>
          <w:lang w:val="en-US"/>
        </w:rPr>
        <w:t>: Takomul-e Ejtimo'i-e Enson, Tehran, Shadra, cet. 5, 1368 HS.</w:t>
      </w:r>
    </w:p>
    <w:p>
      <w:pPr>
        <w:pStyle w:val="BookText"/>
        <w:bidi w:val="0"/>
        <w:jc w:val="both"/>
        <w:rPr/>
      </w:pPr>
      <w:r>
        <w:rPr>
          <w:rFonts w:eastAsia="Times New Roman" w:cs="Times New Roman" w:ascii="Times New Roman" w:hAnsi="Times New Roman"/>
          <w:color w:val="111111"/>
          <w:sz w:val="28"/>
          <w:szCs w:val="28"/>
          <w:lang w:val="en-US"/>
        </w:rPr>
        <w:t>: Klmtm-e Nubuwwat, Tehran, Shadra, cet. 5, 1369 HS.</w:t>
      </w:r>
    </w:p>
    <w:p>
      <w:pPr>
        <w:pStyle w:val="BookText"/>
        <w:bidi w:val="0"/>
        <w:jc w:val="both"/>
        <w:rPr/>
      </w:pPr>
      <w:r>
        <w:rPr>
          <w:rFonts w:eastAsia="Times New Roman" w:cs="Times New Roman" w:ascii="Times New Roman" w:hAnsi="Times New Roman"/>
          <w:color w:val="111111"/>
          <w:sz w:val="28"/>
          <w:szCs w:val="28"/>
          <w:lang w:val="en-US"/>
        </w:rPr>
        <w:t>: Klmdamot-e MutaqobeI—e Eslom vn I ran, Tehran, cet. 14, 1366 HS.</w:t>
      </w:r>
    </w:p>
    <w:p>
      <w:pPr>
        <w:pStyle w:val="BookText"/>
        <w:bidi w:val="0"/>
        <w:jc w:val="both"/>
        <w:rPr/>
      </w:pPr>
      <w:r>
        <w:rPr>
          <w:rFonts w:eastAsia="Times New Roman" w:cs="Times New Roman" w:ascii="Times New Roman" w:hAnsi="Times New Roman"/>
          <w:color w:val="111111"/>
          <w:sz w:val="28"/>
          <w:szCs w:val="28"/>
          <w:lang w:val="en-US"/>
        </w:rPr>
        <w:t>: Dal: Guftor, Tehran, Shadra, cet. 6, 1369 HS.</w:t>
      </w:r>
    </w:p>
    <w:p>
      <w:pPr>
        <w:pStyle w:val="BookText"/>
        <w:bidi w:val="0"/>
        <w:jc w:val="both"/>
        <w:rPr/>
      </w:pPr>
      <w:r>
        <w:rPr>
          <w:rFonts w:eastAsia="Times New Roman" w:cs="Times New Roman" w:ascii="Times New Roman" w:hAnsi="Times New Roman"/>
          <w:color w:val="111111"/>
          <w:sz w:val="28"/>
          <w:szCs w:val="28"/>
          <w:lang w:val="en-US"/>
        </w:rPr>
        <w:t>: Sayri dar Sirelz-e Nnbnvi, Tehran, Shadra, cet. 10, 1371 HS.</w:t>
      </w:r>
    </w:p>
    <w:p>
      <w:pPr>
        <w:pStyle w:val="BookText"/>
        <w:bidi w:val="0"/>
        <w:jc w:val="both"/>
        <w:rPr/>
      </w:pPr>
      <w:r>
        <w:rPr>
          <w:rFonts w:eastAsia="Times New Roman" w:cs="Times New Roman" w:ascii="Times New Roman" w:hAnsi="Times New Roman"/>
          <w:color w:val="111111"/>
          <w:sz w:val="28"/>
          <w:szCs w:val="28"/>
          <w:lang w:val="en-US"/>
        </w:rPr>
        <w:t>: Sayri dar Nnhj AI-Balﬁgholt, Tehran, Shadra, cet. 6, 1368 HS.</w:t>
      </w:r>
    </w:p>
    <w:p>
      <w:pPr>
        <w:pStyle w:val="BookText"/>
        <w:bidi w:val="0"/>
        <w:jc w:val="both"/>
        <w:rPr/>
      </w:pPr>
      <w:r>
        <w:rPr>
          <w:rFonts w:eastAsia="Times New Roman" w:cs="Times New Roman" w:ascii="Times New Roman" w:hAnsi="Times New Roman"/>
          <w:color w:val="111111"/>
          <w:sz w:val="28"/>
          <w:szCs w:val="28"/>
          <w:lang w:val="en-US"/>
        </w:rPr>
        <w:t>: ‘Ad!-e Ilohi, Tehran, Shadra.</w:t>
      </w:r>
    </w:p>
    <w:p>
      <w:pPr>
        <w:pStyle w:val="BookText"/>
        <w:bidi w:val="0"/>
        <w:jc w:val="both"/>
        <w:rPr/>
      </w:pPr>
      <w:r>
        <w:rPr>
          <w:rFonts w:eastAsia="Times New Roman" w:cs="Times New Roman" w:ascii="Times New Roman" w:hAnsi="Times New Roman"/>
          <w:color w:val="111111"/>
          <w:sz w:val="28"/>
          <w:szCs w:val="28"/>
          <w:lang w:val="en-US"/>
        </w:rPr>
        <w:t>Z : Majmu'el1 Otsor, jld. 14 ”Khadamote Mutaqobel-e Eslom va Iron”, Tehran &amp; Qom, Shadra, 1375 HS.</w:t>
      </w:r>
    </w:p>
    <w:p>
      <w:pPr>
        <w:pStyle w:val="BookText"/>
        <w:bidi w:val="0"/>
        <w:jc w:val="both"/>
        <w:rPr/>
      </w:pPr>
      <w:r>
        <w:rPr>
          <w:rFonts w:eastAsia="Times New Roman" w:cs="Times New Roman" w:ascii="Times New Roman" w:hAnsi="Times New Roman"/>
          <w:color w:val="111111"/>
          <w:sz w:val="28"/>
          <w:szCs w:val="28"/>
          <w:lang w:val="en-US"/>
        </w:rPr>
        <w:t>Z: MaqoIot—e Falsafi, Tehran, Hikmat, 1366 HS.</w:t>
      </w:r>
    </w:p>
    <w:p>
      <w:pPr>
        <w:pStyle w:val="BookText"/>
        <w:bidi w:val="0"/>
        <w:jc w:val="both"/>
        <w:rPr/>
      </w:pPr>
      <w:r>
        <w:rPr>
          <w:rFonts w:eastAsia="Times New Roman" w:cs="Times New Roman" w:ascii="Times New Roman" w:hAnsi="Times New Roman"/>
          <w:color w:val="111111"/>
          <w:sz w:val="28"/>
          <w:szCs w:val="28"/>
          <w:lang w:val="en-US"/>
        </w:rPr>
        <w:t>Z : Muqaddimeh-i bar Inhonbini-e Eslomi, Qom, Shadra.</w:t>
      </w:r>
    </w:p>
    <w:p>
      <w:pPr>
        <w:pStyle w:val="BookText"/>
        <w:bidi w:val="0"/>
        <w:jc w:val="both"/>
        <w:rPr/>
      </w:pPr>
      <w:r>
        <w:rPr>
          <w:rFonts w:eastAsia="Times New Roman" w:cs="Times New Roman" w:ascii="Times New Roman" w:hAnsi="Times New Roman"/>
          <w:color w:val="111111"/>
          <w:sz w:val="28"/>
          <w:szCs w:val="28"/>
          <w:lang w:val="en-US"/>
        </w:rPr>
        <w:t>Naas, John B: Torikh-e Iomi’ Adyon, terj. Ali Ashghar Hikmat, Tehran, Syerkat-e Entesyorot Ilmi wa farhanggi, cet. 9, 1377 HS.</w:t>
      </w:r>
    </w:p>
    <w:p>
      <w:pPr>
        <w:pStyle w:val="BookText"/>
        <w:bidi w:val="0"/>
        <w:jc w:val="both"/>
        <w:rPr/>
      </w:pPr>
      <w:r>
        <w:rPr>
          <w:rFonts w:eastAsia="Times New Roman" w:cs="Times New Roman" w:ascii="Times New Roman" w:hAnsi="Times New Roman"/>
          <w:color w:val="111111"/>
          <w:sz w:val="28"/>
          <w:szCs w:val="28"/>
          <w:lang w:val="en-US"/>
        </w:rPr>
        <w:t>Nah] AI-Balrighoh, terj. Sayid ]a’far Syahidi, Tehran, Entesyorot wa Omuzesy Inqilob Islamj, cet. 4, 1372 HS.</w:t>
      </w:r>
    </w:p>
    <w:p>
      <w:pPr>
        <w:pStyle w:val="BookText"/>
        <w:bidi w:val="0"/>
        <w:jc w:val="both"/>
        <w:rPr/>
      </w:pPr>
      <w:r>
        <w:rPr>
          <w:rFonts w:eastAsia="Times New Roman" w:cs="Times New Roman" w:ascii="Times New Roman" w:hAnsi="Times New Roman"/>
          <w:color w:val="111111"/>
          <w:sz w:val="28"/>
          <w:szCs w:val="28"/>
          <w:lang w:val="en-US"/>
        </w:rPr>
        <w:t>Nasafi, Syeikh Uzair: Maqslmd Aqsho, dalam kitab As}/i"nIz AI-Lrmm’rit, Tehran, Ganjineh.</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Nashri, Abdullah: Khudo va Enson dar FaIsafeh—e Iaspers, Tehran, En-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tesyorot Odzarakhsy, 1375 HS.</w:t>
      </w:r>
    </w:p>
    <w:p>
      <w:pPr>
        <w:pStyle w:val="BookText"/>
        <w:bidi w:val="0"/>
        <w:jc w:val="both"/>
        <w:rPr/>
      </w:pPr>
      <w:r>
        <w:rPr>
          <w:rFonts w:eastAsia="Times New Roman" w:cs="Times New Roman" w:ascii="Times New Roman" w:hAnsi="Times New Roman"/>
          <w:color w:val="111111"/>
          <w:sz w:val="28"/>
          <w:szCs w:val="28"/>
          <w:lang w:val="en-US"/>
        </w:rPr>
        <w:t>Natsharama, Raam: ”Falsafeh-e Din: Haqoiq va Ibhomho” dalam Knyhon Farlumggi, terj. Bizan Bahadurwan, tahun 11, no. 4, 1373 HS.</w:t>
      </w:r>
    </w:p>
    <w:p>
      <w:pPr>
        <w:pStyle w:val="BookText"/>
        <w:bidi w:val="0"/>
        <w:jc w:val="both"/>
        <w:rPr/>
      </w:pPr>
      <w:r>
        <w:rPr>
          <w:rFonts w:eastAsia="Times New Roman" w:cs="Times New Roman" w:ascii="Times New Roman" w:hAnsi="Times New Roman"/>
          <w:color w:val="111111"/>
          <w:sz w:val="28"/>
          <w:szCs w:val="28"/>
          <w:lang w:val="en-US"/>
        </w:rPr>
        <w:t>Nicolson, R.A.: Erﬁm vn Orifon Musalmon, terj. Asadullah Ozod, Masyhad, Donesygoh Firdausi, 1371 HS.</w:t>
      </w:r>
    </w:p>
    <w:p>
      <w:pPr>
        <w:pStyle w:val="BookText"/>
        <w:bidi w:val="0"/>
        <w:jc w:val="both"/>
        <w:rPr/>
      </w:pPr>
      <w:r>
        <w:rPr>
          <w:rFonts w:eastAsia="Times New Roman" w:cs="Times New Roman" w:ascii="Times New Roman" w:hAnsi="Times New Roman"/>
          <w:color w:val="111111"/>
          <w:sz w:val="28"/>
          <w:szCs w:val="28"/>
          <w:lang w:val="en-US"/>
        </w:rPr>
        <w:t>Pascal, Blaise: Andisyelzo va Risolat, terj. Ridha Masyayikhi.</w:t>
      </w:r>
    </w:p>
    <w:p>
      <w:pPr>
        <w:pStyle w:val="BookText"/>
        <w:bidi w:val="0"/>
        <w:jc w:val="both"/>
        <w:rPr/>
      </w:pPr>
      <w:r>
        <w:rPr>
          <w:rFonts w:eastAsia="Times New Roman" w:cs="Times New Roman" w:ascii="Times New Roman" w:hAnsi="Times New Roman"/>
          <w:color w:val="111111"/>
          <w:sz w:val="28"/>
          <w:szCs w:val="28"/>
          <w:lang w:val="en-US"/>
        </w:rPr>
        <w:t>Paul, Tillich: Pu_1/a’i—ye Imon, terj. Husain Nuruzi, Tehran, Hikmat, 1375 HS.</w:t>
      </w:r>
    </w:p>
    <w:p>
      <w:pPr>
        <w:pStyle w:val="BookText"/>
        <w:bidi w:val="0"/>
        <w:jc w:val="both"/>
        <w:rPr/>
      </w:pPr>
      <w:r>
        <w:rPr>
          <w:rFonts w:eastAsia="Times New Roman" w:cs="Times New Roman" w:ascii="Times New Roman" w:hAnsi="Times New Roman"/>
          <w:color w:val="111111"/>
          <w:sz w:val="28"/>
          <w:szCs w:val="28"/>
          <w:lang w:val="en-US"/>
        </w:rPr>
        <w:t>Peterson, Michael dkk.: ’AqI wa E’teqod-e Dini, terj. Ahmad Niraqi dan Ibrahlm Sultani, Tehran, Tarh Nou, 1376 HS.</w:t>
      </w:r>
    </w:p>
    <w:p>
      <w:pPr>
        <w:pStyle w:val="BookText"/>
        <w:bidi w:val="0"/>
        <w:jc w:val="both"/>
        <w:rPr/>
      </w:pPr>
      <w:r>
        <w:rPr>
          <w:rFonts w:eastAsia="Times New Roman" w:cs="Times New Roman" w:ascii="Times New Roman" w:hAnsi="Times New Roman"/>
          <w:color w:val="111111"/>
          <w:sz w:val="28"/>
          <w:szCs w:val="28"/>
          <w:lang w:val="en-US"/>
        </w:rPr>
        <w:t>Plantinga, Alvin: ”Oyo E’teqod be Khudo Voqe’an Poyeh Ast?” dalam Knlmn-e I-‘alsafi, terj. Ibrahlm Sultani dan Ahmad Niraqi, Tehran, Shirot, 1374, HS.</w:t>
      </w:r>
    </w:p>
    <w:p>
      <w:pPr>
        <w:pStyle w:val="BookText"/>
        <w:bidi w:val="0"/>
        <w:jc w:val="both"/>
        <w:rPr/>
      </w:pPr>
      <w:r>
        <w:rPr>
          <w:rFonts w:eastAsia="Times New Roman" w:cs="Times New Roman" w:ascii="Times New Roman" w:hAnsi="Times New Roman"/>
          <w:color w:val="111111"/>
          <w:sz w:val="28"/>
          <w:szCs w:val="28"/>
          <w:lang w:val="en-US"/>
        </w:rPr>
        <w:t>j : Falsafeh-e Din: Khudo, Ekhtiyor va Slmrr, Muhammad Sa'idi Mehr, Qom, Moassase-ye Farhangi-ye Taha, 1376 HS.</w:t>
      </w:r>
    </w:p>
    <w:p>
      <w:pPr>
        <w:pStyle w:val="BookText"/>
        <w:bidi w:val="0"/>
        <w:jc w:val="both"/>
        <w:rPr/>
      </w:pPr>
      <w:r>
        <w:rPr>
          <w:rFonts w:eastAsia="Times New Roman" w:cs="Times New Roman" w:ascii="Times New Roman" w:hAnsi="Times New Roman"/>
          <w:color w:val="111111"/>
          <w:sz w:val="28"/>
          <w:szCs w:val="28"/>
          <w:lang w:val="en-US"/>
        </w:rPr>
        <w:t>Plank, Max: Elm Be Koja Mirnzvnd?, terj. Ahmad Aram, Tehran, Syerkat- e Sahami-ye Entesyorot.</w:t>
      </w:r>
    </w:p>
    <w:p>
      <w:pPr>
        <w:pStyle w:val="BookText"/>
        <w:bidi w:val="0"/>
        <w:jc w:val="both"/>
        <w:rPr/>
      </w:pPr>
      <w:r>
        <w:rPr>
          <w:rFonts w:eastAsia="Times New Roman" w:cs="Times New Roman" w:ascii="Times New Roman" w:hAnsi="Times New Roman"/>
          <w:color w:val="111111"/>
          <w:sz w:val="28"/>
          <w:szCs w:val="28"/>
          <w:lang w:val="en-US"/>
        </w:rPr>
        <w:t>Popper, R. Karl: Hads-ha va Ibtal—Im, Ahmad Aram, Tehran, Shirkat-e Sahami-ye Entesyorot, cet. 2, 1368 HS.</w:t>
      </w:r>
    </w:p>
    <w:p>
      <w:pPr>
        <w:pStyle w:val="BookText"/>
        <w:bidi w:val="0"/>
        <w:jc w:val="both"/>
        <w:rPr/>
      </w:pPr>
      <w:r>
        <w:rPr>
          <w:rFonts w:eastAsia="Times New Roman" w:cs="Times New Roman" w:ascii="Times New Roman" w:hAnsi="Times New Roman"/>
          <w:color w:val="111111"/>
          <w:sz w:val="28"/>
          <w:szCs w:val="28"/>
          <w:lang w:val="en-US"/>
        </w:rPr>
        <w:t>Pozwuki, Shahram: ”M0qaddemeh-i dar Bab-e Elahiyyat" dalam Kalam-e jndid dar Guznr-e Andisheh-ho, Tehran, Moassase-ye Farhangi-ye Danesh va Andisheh-ye Moaser, 1375 HS.</w:t>
      </w:r>
    </w:p>
    <w:p>
      <w:pPr>
        <w:pStyle w:val="BookText"/>
        <w:bidi w:val="0"/>
        <w:jc w:val="both"/>
        <w:rPr/>
      </w:pPr>
      <w:r>
        <w:rPr>
          <w:rFonts w:eastAsia="Times New Roman" w:cs="Times New Roman" w:ascii="Times New Roman" w:hAnsi="Times New Roman"/>
          <w:color w:val="111111"/>
          <w:sz w:val="28"/>
          <w:szCs w:val="28"/>
          <w:lang w:val="en-US"/>
        </w:rPr>
        <w:t>Qanbari, Akbar: "Bastar Torikhi Difae az Din” dalam jumal Nnqd wu Nazdar, tahun 1, no. 2, Musim Semi 1374.</w:t>
      </w:r>
    </w:p>
    <w:p>
      <w:pPr>
        <w:pStyle w:val="BookText"/>
        <w:bidi w:val="0"/>
        <w:jc w:val="both"/>
        <w:rPr/>
      </w:pPr>
      <w:r>
        <w:rPr>
          <w:rFonts w:eastAsia="Times New Roman" w:cs="Times New Roman" w:ascii="Times New Roman" w:hAnsi="Times New Roman"/>
          <w:color w:val="111111"/>
          <w:sz w:val="28"/>
          <w:szCs w:val="28"/>
          <w:lang w:val="en-US"/>
        </w:rPr>
        <w:t>Qubadiyani, Nasir Khosru: ]ﬁmi' AI-ﬂiknmtain, Tehran, Kitabfurusyi Thohuri, cet. 2, 1363 HS.</w:t>
      </w:r>
    </w:p>
    <w:p>
      <w:pPr>
        <w:pStyle w:val="BookText"/>
        <w:bidi w:val="0"/>
        <w:jc w:val="both"/>
        <w:rPr/>
      </w:pPr>
      <w:r>
        <w:rPr>
          <w:rFonts w:eastAsia="Times New Roman" w:cs="Times New Roman" w:ascii="Times New Roman" w:hAnsi="Times New Roman"/>
          <w:color w:val="111111"/>
          <w:sz w:val="28"/>
          <w:szCs w:val="28"/>
          <w:lang w:val="en-US"/>
        </w:rPr>
        <w:t>j : Safnmomeh, prakarsa Nadir Wazinpur, Tehran, Syerkat-e Sahomi Kitob-hoye Jibi, cet. 6, 1366 HS.</w:t>
      </w:r>
    </w:p>
    <w:p>
      <w:pPr>
        <w:pStyle w:val="BookText"/>
        <w:bidi w:val="0"/>
        <w:jc w:val="both"/>
        <w:rPr/>
      </w:pPr>
      <w:r>
        <w:rPr>
          <w:rFonts w:eastAsia="Times New Roman" w:cs="Times New Roman" w:ascii="Times New Roman" w:hAnsi="Times New Roman"/>
          <w:color w:val="111111"/>
          <w:sz w:val="28"/>
          <w:szCs w:val="28"/>
          <w:lang w:val="en-US"/>
        </w:rPr>
        <w:t>Rahlmpour Azghadi, Hassan: 'Aqloi_1/yat: Bahts dar Maboni-e [ome- ‘ehs_1/enosi—e Trwse'el1, Tehran, Moassase Farhangi Danesh va Andishe-ye Moaser, 1378 HS.</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Rahlmi-Nejad, Morteza: ﬂekmat-e Sl1i’i, Tehran, Moassase-ye Far- </w:t>
      </w:r>
    </w:p>
    <w:p>
      <w:pPr>
        <w:pStyle w:val="BookText"/>
        <w:bidi w:val="0"/>
        <w:rPr/>
      </w:pPr>
      <w:r>
        <w:rPr>
          <w:rFonts w:eastAsia="Times New Roman" w:cs="Times New Roman" w:ascii="Times New Roman" w:hAnsi="Times New Roman"/>
          <w:color w:val="111111"/>
          <w:sz w:val="28"/>
          <w:szCs w:val="28"/>
          <w:lang w:val="en-US"/>
        </w:rPr>
        <w:t>Daftar Pustaka</w:t>
      </w:r>
    </w:p>
    <w:p>
      <w:pPr>
        <w:pStyle w:val="BookText"/>
        <w:bidi w:val="0"/>
        <w:jc w:val="both"/>
        <w:rPr/>
      </w:pPr>
      <w:r>
        <w:rPr>
          <w:rFonts w:eastAsia="Times New Roman" w:cs="Times New Roman" w:ascii="Times New Roman" w:hAnsi="Times New Roman"/>
          <w:color w:val="111111"/>
          <w:sz w:val="28"/>
          <w:szCs w:val="28"/>
          <w:lang w:val="en-US"/>
        </w:rPr>
        <w:t>hangi-ye Danesh va Andishe-ye Moaser, 1376 HS.</w:t>
      </w:r>
    </w:p>
    <w:p>
      <w:pPr>
        <w:pStyle w:val="BookText"/>
        <w:bidi w:val="0"/>
        <w:jc w:val="both"/>
        <w:rPr/>
      </w:pPr>
      <w:r>
        <w:rPr>
          <w:rFonts w:eastAsia="Times New Roman" w:cs="Times New Roman" w:ascii="Times New Roman" w:hAnsi="Times New Roman"/>
          <w:color w:val="111111"/>
          <w:sz w:val="28"/>
          <w:szCs w:val="28"/>
          <w:lang w:val="en-US"/>
        </w:rPr>
        <w:t>Randal, Hermann: Sayr-e Takomul-e ’AqI—e Nuvin, terj. Abul Qasim Payandeh, Tehran, Syerkat-e Entesyorot-e Elmi Va Farhangi, cet. 2, 1376 HS.</w:t>
      </w:r>
    </w:p>
    <w:p>
      <w:pPr>
        <w:pStyle w:val="BookText"/>
        <w:bidi w:val="0"/>
        <w:jc w:val="both"/>
        <w:rPr/>
      </w:pPr>
      <w:r>
        <w:rPr>
          <w:rFonts w:eastAsia="Times New Roman" w:cs="Times New Roman" w:ascii="Times New Roman" w:hAnsi="Times New Roman"/>
          <w:color w:val="111111"/>
          <w:sz w:val="28"/>
          <w:szCs w:val="28"/>
          <w:lang w:val="en-US"/>
        </w:rPr>
        <w:t>Razi, Mahdi: ”E’tebar-e Kherad va Nesbat-e on ba Din” dalam jumal Naqd va Nazdar, tahun 1, no. 3 &amp; 4, Musim Panas dan Gugur 1374 HS.</w:t>
      </w:r>
    </w:p>
    <w:p>
      <w:pPr>
        <w:pStyle w:val="BookText"/>
        <w:bidi w:val="0"/>
        <w:jc w:val="both"/>
        <w:rPr/>
      </w:pPr>
      <w:r>
        <w:rPr>
          <w:rFonts w:eastAsia="Times New Roman" w:cs="Times New Roman" w:ascii="Times New Roman" w:hAnsi="Times New Roman"/>
          <w:color w:val="111111"/>
          <w:sz w:val="28"/>
          <w:szCs w:val="28"/>
          <w:lang w:val="en-US"/>
        </w:rPr>
        <w:t>Razi, Najm: Mirshéd AI—'Ib:id, Tehran, Syerkat-e Entesyorot-e Elmi va Farhangi, cet. 5, 1373 HS.</w:t>
      </w:r>
    </w:p>
    <w:p>
      <w:pPr>
        <w:pStyle w:val="BookText"/>
        <w:bidi w:val="0"/>
        <w:jc w:val="both"/>
        <w:rPr/>
      </w:pPr>
      <w:r>
        <w:rPr>
          <w:rFonts w:eastAsia="Times New Roman" w:cs="Times New Roman" w:ascii="Times New Roman" w:hAnsi="Times New Roman"/>
          <w:color w:val="111111"/>
          <w:sz w:val="28"/>
          <w:szCs w:val="28"/>
          <w:lang w:val="en-US"/>
        </w:rPr>
        <w:t>Sinaie Ghaznawi: ﬂadfqoh AI-ﬂaqfqoh, revisi Mudarris Radhawi, Tehran, Sepehr.</w:t>
      </w:r>
    </w:p>
    <w:p>
      <w:pPr>
        <w:pStyle w:val="BookText"/>
        <w:bidi w:val="0"/>
        <w:jc w:val="both"/>
        <w:rPr/>
      </w:pPr>
      <w:r>
        <w:rPr>
          <w:rFonts w:eastAsia="Times New Roman" w:cs="Times New Roman" w:ascii="Times New Roman" w:hAnsi="Times New Roman"/>
          <w:color w:val="111111"/>
          <w:sz w:val="28"/>
          <w:szCs w:val="28"/>
          <w:lang w:val="en-US"/>
        </w:rPr>
        <w:t>Shaigan, Daryush, Henry Corbin: Ofoq-e Tnfnkkur—e Mn’nnvi dnr EsIom—e I ram’, terj. Baqir Parham, Tehran, Nashr-e Agah, 1371 HS.</w:t>
      </w:r>
    </w:p>
    <w:p>
      <w:pPr>
        <w:pStyle w:val="BookText"/>
        <w:bidi w:val="0"/>
        <w:jc w:val="both"/>
        <w:rPr/>
      </w:pPr>
      <w:r>
        <w:rPr>
          <w:rFonts w:eastAsia="Times New Roman" w:cs="Times New Roman" w:ascii="Times New Roman" w:hAnsi="Times New Roman"/>
          <w:color w:val="111111"/>
          <w:sz w:val="28"/>
          <w:szCs w:val="28"/>
          <w:lang w:val="en-US"/>
        </w:rPr>
        <w:t>Shabestari, Mahmud: Gulsyan-e Roz, Tehran, Perpustakaan Tahuri, 1361 HS.</w:t>
      </w:r>
    </w:p>
    <w:p>
      <w:pPr>
        <w:pStyle w:val="BookText"/>
        <w:bidi w:val="0"/>
        <w:jc w:val="both"/>
        <w:rPr/>
      </w:pPr>
      <w:r>
        <w:rPr>
          <w:rFonts w:eastAsia="Times New Roman" w:cs="Times New Roman" w:ascii="Times New Roman" w:hAnsi="Times New Roman"/>
          <w:color w:val="111111"/>
          <w:sz w:val="28"/>
          <w:szCs w:val="28"/>
          <w:lang w:val="en-US"/>
        </w:rPr>
        <w:t>Shadrul Mutaalihin Syirazi, Muhammad: ’Erfon vn ’Orcjfnnmoyon (Kasr AI-Aslmﬁm AI—]ril1iIi_1/*1/ulz), terj. Muhsin Bidorfar, Tehran, Entesyorot Al-Zahra', cet. 3, 1371 HS.</w:t>
      </w:r>
    </w:p>
    <w:p>
      <w:pPr>
        <w:pStyle w:val="BookText"/>
        <w:bidi w:val="0"/>
        <w:jc w:val="both"/>
        <w:rPr/>
      </w:pPr>
      <w:r>
        <w:rPr>
          <w:rFonts w:eastAsia="Times New Roman" w:cs="Times New Roman" w:ascii="Times New Roman" w:hAnsi="Times New Roman"/>
          <w:color w:val="111111"/>
          <w:sz w:val="28"/>
          <w:szCs w:val="28"/>
          <w:lang w:val="en-US"/>
        </w:rPr>
        <w:t>Shafaie, Ahmad: His}/om bin AI-ﬂakam, Tehran, Entesyorot Donesy- goh Tehran, 1342 HS.</w:t>
      </w:r>
    </w:p>
    <w:p>
      <w:pPr>
        <w:pStyle w:val="BookText"/>
        <w:bidi w:val="0"/>
        <w:jc w:val="both"/>
        <w:rPr/>
      </w:pPr>
      <w:r>
        <w:rPr>
          <w:rFonts w:eastAsia="Times New Roman" w:cs="Times New Roman" w:ascii="Times New Roman" w:hAnsi="Times New Roman"/>
          <w:color w:val="111111"/>
          <w:sz w:val="28"/>
          <w:szCs w:val="28"/>
          <w:lang w:val="en-US"/>
        </w:rPr>
        <w:t>Shariati, Ali: Mnjmu’eh-e Otsor, jld. 5 ”Mo va Iqbal”, Tehran, Entesya- rat-e Elham, cet. 5, 1373 HS.</w:t>
      </w:r>
    </w:p>
    <w:p>
      <w:pPr>
        <w:pStyle w:val="BookText"/>
        <w:bidi w:val="0"/>
        <w:jc w:val="both"/>
        <w:rPr/>
      </w:pPr>
      <w:r>
        <w:rPr>
          <w:rFonts w:eastAsia="Times New Roman" w:cs="Times New Roman" w:ascii="Times New Roman" w:hAnsi="Times New Roman"/>
          <w:color w:val="111111"/>
          <w:sz w:val="28"/>
          <w:szCs w:val="28"/>
          <w:lang w:val="en-US"/>
        </w:rPr>
        <w:t>Sharif, Miyan Muhammad: Torikli-e Fnlsafeh dnr Eslom, jld. 1 «Sr 2, Nasrullah Purjavadi, Tehran, Markaz-e Nashr-e Donesygohi, 1362 &amp; 1365 HS.</w:t>
      </w:r>
    </w:p>
    <w:p>
      <w:pPr>
        <w:pStyle w:val="BookText"/>
        <w:bidi w:val="0"/>
        <w:jc w:val="both"/>
        <w:rPr/>
      </w:pPr>
      <w:r>
        <w:rPr>
          <w:rFonts w:eastAsia="Times New Roman" w:cs="Times New Roman" w:ascii="Times New Roman" w:hAnsi="Times New Roman"/>
          <w:color w:val="111111"/>
          <w:sz w:val="28"/>
          <w:szCs w:val="28"/>
          <w:lang w:val="en-US"/>
        </w:rPr>
        <w:t>Sorush, Abdul Karim: ﬂekma! va Ma’isyat, jil. 2, Tehran, Shirot, 1376 HS.</w:t>
      </w:r>
    </w:p>
    <w:p>
      <w:pPr>
        <w:pStyle w:val="BookText"/>
        <w:bidi w:val="0"/>
        <w:jc w:val="both"/>
        <w:rPr/>
      </w:pPr>
      <w:r>
        <w:rPr>
          <w:rFonts w:eastAsia="Times New Roman" w:cs="Times New Roman" w:ascii="Times New Roman" w:hAnsi="Times New Roman"/>
          <w:color w:val="111111"/>
          <w:sz w:val="28"/>
          <w:szCs w:val="28"/>
          <w:lang w:val="en-US"/>
        </w:rPr>
        <w:t>__ : Donesy va Arzesh, Yaran, cet. 8, 1361 HS.</w:t>
      </w:r>
    </w:p>
    <w:p>
      <w:pPr>
        <w:pStyle w:val="BookText"/>
        <w:bidi w:val="0"/>
        <w:jc w:val="both"/>
        <w:rPr/>
      </w:pPr>
      <w:r>
        <w:rPr>
          <w:rFonts w:eastAsia="Times New Roman" w:cs="Times New Roman" w:ascii="Times New Roman" w:hAnsi="Times New Roman"/>
          <w:color w:val="111111"/>
          <w:sz w:val="28"/>
          <w:szCs w:val="28"/>
          <w:lang w:val="en-US"/>
        </w:rPr>
        <w:t>j: Dnrsho'i dar Falsafeh-e Elm-e Ejtcmoiél, Tehran, Nasyr Ney, cet. 3, 1379 HS.</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 : Elm va Din (diktat), Qom, Perpustakaan Moassaseh Imam Khomeini, diktat no. 695.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_ : Farbehtnr nz Ideolozhi, Tehran, Sirat, 1373 HS.</w:t>
      </w:r>
    </w:p>
    <w:p>
      <w:pPr>
        <w:pStyle w:val="BookText"/>
        <w:bidi w:val="0"/>
        <w:jc w:val="both"/>
        <w:rPr/>
      </w:pPr>
      <w:r>
        <w:rPr>
          <w:rFonts w:eastAsia="Times New Roman" w:cs="Times New Roman" w:ascii="Times New Roman" w:hAnsi="Times New Roman"/>
          <w:color w:val="111111"/>
          <w:sz w:val="28"/>
          <w:szCs w:val="28"/>
          <w:lang w:val="en-US"/>
        </w:rPr>
        <w:t>_ 2 Qabdh va Bus;-e Teorik—e Syari'at, Tehran, Sirat, 1370 HS.</w:t>
      </w:r>
    </w:p>
    <w:p>
      <w:pPr>
        <w:pStyle w:val="BookText"/>
        <w:bidi w:val="0"/>
        <w:jc w:val="both"/>
        <w:rPr/>
      </w:pPr>
      <w:r>
        <w:rPr>
          <w:rFonts w:eastAsia="Times New Roman" w:cs="Times New Roman" w:ascii="Times New Roman" w:hAnsi="Times New Roman"/>
          <w:color w:val="111111"/>
          <w:sz w:val="28"/>
          <w:szCs w:val="28"/>
          <w:lang w:val="en-US"/>
        </w:rPr>
        <w:t>Z : Mudoro va Mudiriy_1/at, Tehran, Sirat, 1376 HS.</w:t>
      </w:r>
    </w:p>
    <w:p>
      <w:pPr>
        <w:pStyle w:val="BookText"/>
        <w:bidi w:val="0"/>
        <w:jc w:val="both"/>
        <w:rPr/>
      </w:pPr>
      <w:r>
        <w:rPr>
          <w:rFonts w:eastAsia="Times New Roman" w:cs="Times New Roman" w:ascii="Times New Roman" w:hAnsi="Times New Roman"/>
          <w:color w:val="111111"/>
          <w:sz w:val="28"/>
          <w:szCs w:val="28"/>
          <w:lang w:val="en-US"/>
        </w:rPr>
        <w:t>Subhani,Ja’far: ﬂusn va Qubl_1 ’AqIi, disaduroleh Ali Rabbanicolpaigani, Tehran, Moassase-ye Motalaat va Tahqiqat-e Farhangi, 1368 HS.</w:t>
      </w:r>
    </w:p>
    <w:p>
      <w:pPr>
        <w:pStyle w:val="BookText"/>
        <w:bidi w:val="0"/>
        <w:jc w:val="both"/>
        <w:rPr/>
      </w:pPr>
      <w:r>
        <w:rPr>
          <w:rFonts w:eastAsia="Times New Roman" w:cs="Times New Roman" w:ascii="Times New Roman" w:hAnsi="Times New Roman"/>
          <w:color w:val="111111"/>
          <w:sz w:val="28"/>
          <w:szCs w:val="28"/>
          <w:lang w:val="en-US"/>
        </w:rPr>
        <w:t>Subhani, Muhammad Taqi: ”Aqlgaro'i va Nashgardi dar Kalom-e Eslomi" dalam jurnal Naqd vn Nazdar, tahun 1, no. 3 &amp; 4, Musim Panas dan Gugur 1374 HS.</w:t>
      </w:r>
    </w:p>
    <w:p>
      <w:pPr>
        <w:pStyle w:val="BookText"/>
        <w:bidi w:val="0"/>
        <w:jc w:val="both"/>
        <w:rPr/>
      </w:pPr>
      <w:r>
        <w:rPr>
          <w:rFonts w:eastAsia="Times New Roman" w:cs="Times New Roman" w:ascii="Times New Roman" w:hAnsi="Times New Roman"/>
          <w:color w:val="111111"/>
          <w:sz w:val="28"/>
          <w:szCs w:val="28"/>
          <w:lang w:val="en-US"/>
        </w:rPr>
        <w:t>Z : "Furugh-e Din dar Feraq-e ’Aql” dalam jumal Naqd va Nazar, tahun 2, no. 2, Musim Semi 1375 HS.</w:t>
      </w:r>
    </w:p>
    <w:p>
      <w:pPr>
        <w:pStyle w:val="BookText"/>
        <w:bidi w:val="0"/>
        <w:jc w:val="both"/>
        <w:rPr/>
      </w:pPr>
      <w:r>
        <w:rPr>
          <w:rFonts w:eastAsia="Times New Roman" w:cs="Times New Roman" w:ascii="Times New Roman" w:hAnsi="Times New Roman"/>
          <w:color w:val="111111"/>
          <w:sz w:val="28"/>
          <w:szCs w:val="28"/>
          <w:lang w:val="en-US"/>
        </w:rPr>
        <w:t>Syariﬁ, Ahmad Hussein &amp; Yusofian: Pnzhuhesyi dar Esmnt—e Mullen- mon, Qom dan Tehran, Pajuheshgah-e Farhang va Andishe-ye Islami, 1377 HS.</w:t>
      </w:r>
    </w:p>
    <w:p>
      <w:pPr>
        <w:pStyle w:val="BookText"/>
        <w:bidi w:val="0"/>
        <w:jc w:val="both"/>
        <w:rPr/>
      </w:pPr>
      <w:r>
        <w:rPr>
          <w:rFonts w:eastAsia="Times New Roman" w:cs="Times New Roman" w:ascii="Times New Roman" w:hAnsi="Times New Roman"/>
          <w:color w:val="111111"/>
          <w:sz w:val="28"/>
          <w:szCs w:val="28"/>
          <w:lang w:val="en-US"/>
        </w:rPr>
        <w:t>Syeikh Bahaie, Muhammad: Divan-e Komel-e Syeiklz Bal1o'i, intro-duksi Said Nafisi, Tehran, Entesyorot Gulsyoie, cet 3, 1368 HS.</w:t>
      </w:r>
    </w:p>
    <w:p>
      <w:pPr>
        <w:pStyle w:val="BookText"/>
        <w:bidi w:val="0"/>
        <w:jc w:val="both"/>
        <w:rPr/>
      </w:pPr>
      <w:r>
        <w:rPr>
          <w:rFonts w:eastAsia="Times New Roman" w:cs="Times New Roman" w:ascii="Times New Roman" w:hAnsi="Times New Roman"/>
          <w:color w:val="111111"/>
          <w:sz w:val="28"/>
          <w:szCs w:val="28"/>
          <w:lang w:val="en-US"/>
        </w:rPr>
        <w:t>Syeikh Bahaie, Muhammad: KuIIi_1/.1/ot—e Asy’or-e Farsi vn Musy va Gurbeh, Tehran, Entesyorot Kitobfurusyi Mahmudi, 1336 HS. Syirazi, Muhammad Maksum: Ior6’iq AI—ﬂnq6’iq, revisi Muhammad</w:t>
      </w:r>
    </w:p>
    <w:p>
      <w:pPr>
        <w:pStyle w:val="BookText"/>
        <w:bidi w:val="0"/>
        <w:jc w:val="both"/>
        <w:rPr/>
      </w:pPr>
      <w:r>
        <w:rPr>
          <w:rFonts w:eastAsia="Times New Roman" w:cs="Times New Roman" w:ascii="Times New Roman" w:hAnsi="Times New Roman"/>
          <w:color w:val="111111"/>
          <w:sz w:val="28"/>
          <w:szCs w:val="28"/>
          <w:lang w:val="en-US"/>
        </w:rPr>
        <w:t>]a’far Mahjub, Tehran, Entesyorot Kitabfurusyi Sinaie.</w:t>
      </w:r>
    </w:p>
    <w:p>
      <w:pPr>
        <w:pStyle w:val="BookText"/>
        <w:bidi w:val="0"/>
        <w:jc w:val="both"/>
        <w:rPr/>
      </w:pPr>
      <w:r>
        <w:rPr>
          <w:rFonts w:eastAsia="Times New Roman" w:cs="Times New Roman" w:ascii="Times New Roman" w:hAnsi="Times New Roman"/>
          <w:color w:val="111111"/>
          <w:sz w:val="28"/>
          <w:szCs w:val="28"/>
          <w:lang w:val="en-US"/>
        </w:rPr>
        <w:t>Syusytari, Qadhi Nurullah: Mnjﬁlis AI-Mu'mim‘n, Tehran, toko buku Islamiyyah, 1375 HS.</w:t>
      </w:r>
    </w:p>
    <w:p>
      <w:pPr>
        <w:pStyle w:val="BookText"/>
        <w:bidi w:val="0"/>
        <w:jc w:val="both"/>
        <w:rPr/>
      </w:pPr>
      <w:r>
        <w:rPr>
          <w:rFonts w:eastAsia="Times New Roman" w:cs="Times New Roman" w:ascii="Times New Roman" w:hAnsi="Times New Roman"/>
          <w:color w:val="111111"/>
          <w:sz w:val="28"/>
          <w:szCs w:val="28"/>
          <w:lang w:val="en-US"/>
        </w:rPr>
        <w:t>Tehrani, Agha-Bozorg: Ejtehod va Madzoheb-e Eslomi, Terj. Mahmud Iftikhar-Zadeh, Qom, Sazman-e Nashr-e Hurr.</w:t>
      </w:r>
    </w:p>
    <w:p>
      <w:pPr>
        <w:pStyle w:val="BookText"/>
        <w:bidi w:val="0"/>
        <w:jc w:val="both"/>
        <w:rPr/>
      </w:pPr>
      <w:r>
        <w:rPr>
          <w:rFonts w:eastAsia="Times New Roman" w:cs="Times New Roman" w:ascii="Times New Roman" w:hAnsi="Times New Roman"/>
          <w:color w:val="111111"/>
          <w:sz w:val="28"/>
          <w:szCs w:val="28"/>
          <w:lang w:val="en-US"/>
        </w:rPr>
        <w:t>Tehrani, Jawad: ’Oref va Slmfi Cheh Migu}/m1d?, Tehran, Bunyod-e Be'tsat, cet. 8, 1369 HS.</w:t>
      </w:r>
    </w:p>
    <w:p>
      <w:pPr>
        <w:pStyle w:val="BookText"/>
        <w:bidi w:val="0"/>
        <w:jc w:val="both"/>
        <w:rPr/>
      </w:pPr>
      <w:r>
        <w:rPr>
          <w:rFonts w:eastAsia="Times New Roman" w:cs="Times New Roman" w:ascii="Times New Roman" w:hAnsi="Times New Roman"/>
          <w:color w:val="111111"/>
          <w:sz w:val="28"/>
          <w:szCs w:val="28"/>
          <w:lang w:val="en-US"/>
        </w:rPr>
        <w:t>Thabathabai, Muhammad Husain: Uslml-e Falsafeh vn Raves}/-e Re’oIism, momentar Murtadha Mutahari, Tehran, Shadra.</w:t>
      </w:r>
    </w:p>
    <w:p>
      <w:pPr>
        <w:pStyle w:val="BookText"/>
        <w:bidi w:val="0"/>
        <w:jc w:val="both"/>
        <w:rPr/>
      </w:pPr>
      <w:r>
        <w:rPr>
          <w:rFonts w:eastAsia="Times New Roman" w:cs="Times New Roman" w:ascii="Times New Roman" w:hAnsi="Times New Roman"/>
          <w:color w:val="111111"/>
          <w:sz w:val="28"/>
          <w:szCs w:val="28"/>
          <w:lang w:val="en-US"/>
        </w:rPr>
        <w:t>Thawil, Taufiq: Din va Falsafeh, terj. Muhammad Ali Khalili, Tehran, Syerkat-e Iqbal, 1328 HS.</w:t>
      </w:r>
    </w:p>
    <w:p>
      <w:pPr>
        <w:pStyle w:val="BookText"/>
        <w:bidi w:val="0"/>
        <w:jc w:val="both"/>
        <w:rPr/>
      </w:pPr>
      <w:r>
        <w:rPr>
          <w:rFonts w:eastAsia="Times New Roman" w:cs="Times New Roman" w:ascii="Times New Roman" w:hAnsi="Times New Roman"/>
          <w:color w:val="111111"/>
          <w:sz w:val="28"/>
          <w:szCs w:val="28"/>
          <w:lang w:val="en-US"/>
        </w:rPr>
        <w:t>Tyson, Henry: Eloltiy}/ot—e Masil_u', Thotehwus Mikailiyon, Entesyorot-e Hayat.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Urujniya, Parwoneh: ”Buktosyiyeh", dalam Donesynomeh-e ]aI1on—e </w:t>
      </w:r>
    </w:p>
    <w:p>
      <w:pPr>
        <w:pStyle w:val="BookText"/>
        <w:bidi w:val="0"/>
        <w:rPr/>
      </w:pPr>
      <w:r>
        <w:rPr>
          <w:rFonts w:eastAsia="Times New Roman" w:cs="Times New Roman" w:ascii="Times New Roman" w:hAnsi="Times New Roman"/>
          <w:color w:val="111111"/>
          <w:sz w:val="28"/>
          <w:szCs w:val="28"/>
          <w:lang w:val="en-US"/>
        </w:rPr>
        <w:t>Daftar Pustaka</w:t>
      </w:r>
    </w:p>
    <w:p>
      <w:pPr>
        <w:pStyle w:val="BookText"/>
        <w:bidi w:val="0"/>
        <w:jc w:val="both"/>
        <w:rPr/>
      </w:pPr>
      <w:r>
        <w:rPr>
          <w:rFonts w:eastAsia="Times New Roman" w:cs="Times New Roman" w:ascii="Times New Roman" w:hAnsi="Times New Roman"/>
          <w:color w:val="111111"/>
          <w:sz w:val="28"/>
          <w:szCs w:val="28"/>
          <w:lang w:val="en-US"/>
        </w:rPr>
        <w:t>Eslom, editor Ghulam Ali Haddad Adil, abjad B, jld. 3,Tehran, Buniyod Dairotul Ma’arif Islami, 1376 HS.</w:t>
      </w:r>
    </w:p>
    <w:p>
      <w:pPr>
        <w:pStyle w:val="BookText"/>
        <w:bidi w:val="0"/>
        <w:jc w:val="both"/>
        <w:rPr/>
      </w:pPr>
      <w:r>
        <w:rPr>
          <w:rFonts w:eastAsia="Times New Roman" w:cs="Times New Roman" w:ascii="Times New Roman" w:hAnsi="Times New Roman"/>
          <w:color w:val="111111"/>
          <w:sz w:val="28"/>
          <w:szCs w:val="28"/>
          <w:lang w:val="en-US"/>
        </w:rPr>
        <w:t>Vemeaux, Roger &amp; Wahl, Jean: Padidorsyenosi va Fnlsufel1o—ye Hast Bﬁdan, terj. Yahya Mahdawi, Tehran, Entesyorot Khorazmi, 1373 HS.</w:t>
      </w:r>
    </w:p>
    <w:p>
      <w:pPr>
        <w:pStyle w:val="BookText"/>
        <w:bidi w:val="0"/>
        <w:jc w:val="both"/>
        <w:rPr/>
      </w:pPr>
      <w:r>
        <w:rPr>
          <w:rFonts w:eastAsia="Times New Roman" w:cs="Times New Roman" w:ascii="Times New Roman" w:hAnsi="Times New Roman"/>
          <w:color w:val="111111"/>
          <w:sz w:val="28"/>
          <w:szCs w:val="28"/>
          <w:lang w:val="en-US"/>
        </w:rPr>
        <w:t>William: Jean Paul: Ionzfelisyenosi-e Adi/on, terj. Abdurrahman Gavahi, Tehran, Tibyon, 1377 HS.</w:t>
      </w:r>
    </w:p>
    <w:p>
      <w:pPr>
        <w:pStyle w:val="BookText"/>
        <w:bidi w:val="0"/>
        <w:jc w:val="both"/>
        <w:rPr/>
      </w:pPr>
      <w:r>
        <w:rPr>
          <w:rFonts w:eastAsia="Times New Roman" w:cs="Times New Roman" w:ascii="Times New Roman" w:hAnsi="Times New Roman"/>
          <w:color w:val="111111"/>
          <w:sz w:val="28"/>
          <w:szCs w:val="28"/>
          <w:lang w:val="en-US"/>
        </w:rPr>
        <w:t>Williams, Bernard: ”Aq1garo’i", dalam jurnal Naqd wn Nnzdar, terj. Muhammad Taqi Subhani, tahun 1, no. 2, Musim Semi 1374 HS.</w:t>
      </w:r>
    </w:p>
    <w:p>
      <w:pPr>
        <w:pStyle w:val="BookText"/>
        <w:bidi w:val="0"/>
        <w:jc w:val="both"/>
        <w:rPr/>
      </w:pPr>
      <w:r>
        <w:rPr>
          <w:rFonts w:eastAsia="Times New Roman" w:cs="Times New Roman" w:ascii="Times New Roman" w:hAnsi="Times New Roman"/>
          <w:color w:val="111111"/>
          <w:sz w:val="28"/>
          <w:szCs w:val="28"/>
          <w:lang w:val="en-US"/>
        </w:rPr>
        <w:t>Yusufi Esykevari, Hasan: Katsmtgaro'i dnr Nazdar va Vahdatgaro'i dar ’Amal, dalam jurnal Kiyon, no. 39, Odzar &amp; Dey 1376 HS.</w:t>
      </w:r>
    </w:p>
    <w:p>
      <w:pPr>
        <w:pStyle w:val="BookText"/>
        <w:bidi w:val="0"/>
        <w:jc w:val="both"/>
        <w:rPr/>
      </w:pPr>
      <w:r>
        <w:rPr>
          <w:rFonts w:eastAsia="Times New Roman" w:cs="Times New Roman" w:ascii="Times New Roman" w:hAnsi="Times New Roman"/>
          <w:color w:val="111111"/>
          <w:sz w:val="28"/>
          <w:szCs w:val="28"/>
          <w:lang w:val="en-US"/>
        </w:rPr>
        <w:t>Zaryab Khuie, Abbas: ”Ibn Taimiyah, dalam Dn’z'rntul Ma’nnf—e Bu- zurg-e Eslomi, Kazdim Musawi Bujnurdi, Tehran, Markaz Dairah Al-Ma'arif Buzurg Islami, jld. 3, 1369 HS.</w:t>
      </w:r>
    </w:p>
    <w:p>
      <w:pPr>
        <w:pStyle w:val="BookText"/>
        <w:bidi w:val="0"/>
        <w:jc w:val="both"/>
        <w:rPr/>
      </w:pPr>
      <w:r>
        <w:rPr>
          <w:rFonts w:eastAsia="Times New Roman" w:cs="Times New Roman" w:ascii="Times New Roman" w:hAnsi="Times New Roman"/>
          <w:color w:val="111111"/>
          <w:sz w:val="28"/>
          <w:szCs w:val="28"/>
          <w:lang w:val="en-US"/>
        </w:rPr>
        <w:t>Zarinkub, Abdul Husein: Dar Qnlamru-e Vejdon, Tehran, Entesyorot-e Elmi, 1369 HS.</w:t>
      </w:r>
    </w:p>
    <w:p>
      <w:pPr>
        <w:pStyle w:val="BookText"/>
        <w:bidi w:val="0"/>
        <w:jc w:val="both"/>
        <w:rPr/>
      </w:pPr>
      <w:r>
        <w:rPr>
          <w:rFonts w:eastAsia="Times New Roman" w:cs="Times New Roman" w:ascii="Times New Roman" w:hAnsi="Times New Roman"/>
          <w:color w:val="111111"/>
          <w:sz w:val="28"/>
          <w:szCs w:val="28"/>
          <w:lang w:val="en-US"/>
        </w:rPr>
        <w:t>_: Dzmboleh-e Iusteju dar Taslmvvuf—e Iron, Entesyorot-e Amir Kabir, cet. 3, 1369 HS.</w:t>
      </w:r>
    </w:p>
    <w:p>
      <w:pPr>
        <w:pStyle w:val="BookText"/>
        <w:bidi w:val="0"/>
        <w:jc w:val="both"/>
        <w:rPr/>
      </w:pPr>
      <w:r>
        <w:rPr>
          <w:rFonts w:eastAsia="Times New Roman" w:cs="Times New Roman" w:ascii="Times New Roman" w:hAnsi="Times New Roman"/>
          <w:color w:val="111111"/>
          <w:sz w:val="28"/>
          <w:szCs w:val="28"/>
          <w:lang w:val="en-US"/>
        </w:rPr>
        <w:t>Literatur Arab</w:t>
      </w:r>
    </w:p>
    <w:p>
      <w:pPr>
        <w:pStyle w:val="BookText"/>
        <w:bidi w:val="0"/>
        <w:jc w:val="both"/>
        <w:rPr/>
      </w:pPr>
      <w:r>
        <w:rPr>
          <w:rFonts w:eastAsia="Times New Roman" w:cs="Times New Roman" w:ascii="Times New Roman" w:hAnsi="Times New Roman"/>
          <w:color w:val="111111"/>
          <w:sz w:val="28"/>
          <w:szCs w:val="28"/>
          <w:lang w:val="en-US"/>
        </w:rPr>
        <w:t>Alquran Al-Karim</w:t>
      </w:r>
    </w:p>
    <w:p>
      <w:pPr>
        <w:pStyle w:val="BookText"/>
        <w:bidi w:val="0"/>
        <w:jc w:val="both"/>
        <w:rPr/>
      </w:pPr>
      <w:r>
        <w:rPr>
          <w:rFonts w:eastAsia="Times New Roman" w:cs="Times New Roman" w:ascii="Times New Roman" w:hAnsi="Times New Roman"/>
          <w:color w:val="111111"/>
          <w:sz w:val="28"/>
          <w:szCs w:val="28"/>
          <w:lang w:val="en-US"/>
        </w:rPr>
        <w:t>Abdurahman bin Hasan: Qurmt ’U_1/fm AI-Muwnl;Iy'dfn: Syarh Al- Tnwl_1fd karya Muhammad bin Abdul Wahhab, Cairo, Dar Al- Shohabah li Al-Turots, cet. 2, 1412 HQ.</w:t>
      </w:r>
    </w:p>
    <w:p>
      <w:pPr>
        <w:pStyle w:val="BookText"/>
        <w:bidi w:val="0"/>
        <w:jc w:val="both"/>
        <w:rPr/>
      </w:pPr>
      <w:r>
        <w:rPr>
          <w:rFonts w:eastAsia="Times New Roman" w:cs="Times New Roman" w:ascii="Times New Roman" w:hAnsi="Times New Roman"/>
          <w:color w:val="111111"/>
          <w:sz w:val="28"/>
          <w:szCs w:val="28"/>
          <w:lang w:val="en-US"/>
        </w:rPr>
        <w:t>'Abud bin Ali bin Dar’e: Zdrilzirah AI-Glmluwﬁ AI-Dfn, Riyadh, Dar Al- Shumaiyie, 1419 HQ.</w:t>
      </w:r>
    </w:p>
    <w:p>
      <w:pPr>
        <w:pStyle w:val="BookText"/>
        <w:bidi w:val="0"/>
        <w:jc w:val="both"/>
        <w:rPr/>
      </w:pPr>
      <w:r>
        <w:rPr>
          <w:rFonts w:eastAsia="Times New Roman" w:cs="Times New Roman" w:ascii="Times New Roman" w:hAnsi="Times New Roman"/>
          <w:color w:val="111111"/>
          <w:sz w:val="28"/>
          <w:szCs w:val="28"/>
          <w:lang w:val="en-US"/>
        </w:rPr>
        <w:t>Abu Zuhrah, Muhammad: lbn I;Inzm, ﬂag/tituliu wa ’Asl1ruIm—/Alrri'uhu wn Fiqlmlm, Cairo, Dar Al-Fikr Al-’Arobi.</w:t>
      </w:r>
    </w:p>
    <w:p>
      <w:pPr>
        <w:pStyle w:val="BookText"/>
        <w:bidi w:val="0"/>
        <w:jc w:val="both"/>
        <w:rPr/>
      </w:pPr>
      <w:r>
        <w:rPr>
          <w:rFonts w:eastAsia="Times New Roman" w:cs="Times New Roman" w:ascii="Times New Roman" w:hAnsi="Times New Roman"/>
          <w:color w:val="111111"/>
          <w:sz w:val="28"/>
          <w:szCs w:val="28"/>
          <w:lang w:val="en-US"/>
        </w:rPr>
        <w:t>j : Ibn ﬂanbal, Hnyritulm wa ’Ashrulm-Arﬁ'uhu um Fiqhulm, Cairo, Dar A1-Fikr Al-’Arobi.</w:t>
      </w:r>
    </w:p>
    <w:p>
      <w:pPr>
        <w:pStyle w:val="BookText"/>
        <w:bidi w:val="0"/>
        <w:jc w:val="both"/>
        <w:rPr/>
      </w:pPr>
      <w:r>
        <w:rPr>
          <w:rFonts w:eastAsia="Times New Roman" w:cs="Times New Roman" w:ascii="Times New Roman" w:hAnsi="Times New Roman"/>
          <w:color w:val="111111"/>
          <w:sz w:val="28"/>
          <w:szCs w:val="28"/>
          <w:lang w:val="en-US"/>
        </w:rPr>
        <w:t>_: Térfkh AI—Madzﬁhib AI-Islzimiyyah, Cairo, Dar Al-Fikr Al-’Arobi.</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Zaid, Nashr I-Iarnid: Isykziliyyrit Al—Qir6’nI1 wa Aliyyﬁt Al-Ta’wx‘l,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Beirut, A]-Markaz A]-Tsaqofi Al-’Arobi, cet. 4, 1996.</w:t>
      </w:r>
    </w:p>
    <w:p>
      <w:pPr>
        <w:pStyle w:val="BookText"/>
        <w:bidi w:val="0"/>
        <w:jc w:val="both"/>
        <w:rPr/>
      </w:pPr>
      <w:r>
        <w:rPr>
          <w:rFonts w:eastAsia="Times New Roman" w:cs="Times New Roman" w:ascii="Times New Roman" w:hAnsi="Times New Roman"/>
          <w:color w:val="111111"/>
          <w:sz w:val="28"/>
          <w:szCs w:val="28"/>
          <w:lang w:val="en-US"/>
        </w:rPr>
        <w:t>_ : AI—IttijﬁI1 AI—’AqI1‘_ﬁ Al—Tafs1‘r, Beirut, Al-Markaz Al-Tsaqafi Al- ’Arabi, cet. 4, 1996.</w:t>
      </w:r>
    </w:p>
    <w:p>
      <w:pPr>
        <w:pStyle w:val="BookText"/>
        <w:bidi w:val="0"/>
        <w:jc w:val="both"/>
        <w:rPr/>
      </w:pPr>
      <w:r>
        <w:rPr>
          <w:rFonts w:eastAsia="Times New Roman" w:cs="Times New Roman" w:ascii="Times New Roman" w:hAnsi="Times New Roman"/>
          <w:color w:val="111111"/>
          <w:sz w:val="28"/>
          <w:szCs w:val="28"/>
          <w:lang w:val="en-US"/>
        </w:rPr>
        <w:t>j : Falsafnh AI-Ta'wfI: Dirrisah Ta’w1‘I Alqurrm 'inda Muh_t/;idd1'n bin ’Ambt‘, Al-Markaz Al-tsaqofi Al-’Arobi, cet. 4, 1996.</w:t>
      </w:r>
    </w:p>
    <w:p>
      <w:pPr>
        <w:pStyle w:val="BookText"/>
        <w:bidi w:val="0"/>
        <w:jc w:val="both"/>
        <w:rPr/>
      </w:pPr>
      <w:r>
        <w:rPr>
          <w:rFonts w:eastAsia="Times New Roman" w:cs="Times New Roman" w:ascii="Times New Roman" w:hAnsi="Times New Roman"/>
          <w:color w:val="111111"/>
          <w:sz w:val="28"/>
          <w:szCs w:val="28"/>
          <w:lang w:val="en-US"/>
        </w:rPr>
        <w:t>j : Maﬂuim AI-Nashsh: Dirﬁsah f1‘ ‘UIz?m Alquran, Beirut, Al- Markaz Al-Tsaqofi Al-’Arobi, cet. 4, 1996.</w:t>
      </w:r>
    </w:p>
    <w:p>
      <w:pPr>
        <w:pStyle w:val="BookText"/>
        <w:bidi w:val="0"/>
        <w:jc w:val="both"/>
        <w:rPr/>
      </w:pPr>
      <w:r>
        <w:rPr>
          <w:rFonts w:eastAsia="Times New Roman" w:cs="Times New Roman" w:ascii="Times New Roman" w:hAnsi="Times New Roman"/>
          <w:color w:val="111111"/>
          <w:sz w:val="28"/>
          <w:szCs w:val="28"/>
          <w:lang w:val="en-US"/>
        </w:rPr>
        <w:t>Ahmad Amin: Dlml_ui AI-Isltim, Beirut, Dar Al-Kitab Al-’Arobi.</w:t>
      </w:r>
    </w:p>
    <w:p>
      <w:pPr>
        <w:pStyle w:val="BookText"/>
        <w:bidi w:val="0"/>
        <w:jc w:val="both"/>
        <w:rPr/>
      </w:pPr>
      <w:r>
        <w:rPr>
          <w:rFonts w:eastAsia="Times New Roman" w:cs="Times New Roman" w:ascii="Times New Roman" w:hAnsi="Times New Roman"/>
          <w:color w:val="111111"/>
          <w:sz w:val="28"/>
          <w:szCs w:val="28"/>
          <w:lang w:val="en-US"/>
        </w:rPr>
        <w:t>j : AI-Tnktimulﬁ AI-Islém, Beirut, Dar Al-Ma'rifah.</w:t>
      </w:r>
    </w:p>
    <w:p>
      <w:pPr>
        <w:pStyle w:val="BookText"/>
        <w:bidi w:val="0"/>
        <w:jc w:val="both"/>
        <w:rPr/>
      </w:pPr>
      <w:r>
        <w:rPr>
          <w:rFonts w:eastAsia="Times New Roman" w:cs="Times New Roman" w:ascii="Times New Roman" w:hAnsi="Times New Roman"/>
          <w:color w:val="111111"/>
          <w:sz w:val="28"/>
          <w:szCs w:val="28"/>
          <w:lang w:val="en-US"/>
        </w:rPr>
        <w:t>j 2 Fajr AI-Islﬁm, Beirut, Dar AI-Kitab Al-’Arobi.</w:t>
      </w:r>
    </w:p>
    <w:p>
      <w:pPr>
        <w:pStyle w:val="BookText"/>
        <w:bidi w:val="0"/>
        <w:jc w:val="both"/>
        <w:rPr/>
      </w:pPr>
      <w:r>
        <w:rPr>
          <w:rFonts w:eastAsia="Times New Roman" w:cs="Times New Roman" w:ascii="Times New Roman" w:hAnsi="Times New Roman"/>
          <w:color w:val="111111"/>
          <w:sz w:val="28"/>
          <w:szCs w:val="28"/>
          <w:lang w:val="en-US"/>
        </w:rPr>
        <w:t>_ : Zhuhr AI-Islﬁm, Beirut, Dar Al-Kitab Al-’Arobi, cet. 5.</w:t>
      </w:r>
    </w:p>
    <w:p>
      <w:pPr>
        <w:pStyle w:val="BookText"/>
        <w:bidi w:val="0"/>
        <w:jc w:val="both"/>
        <w:rPr/>
      </w:pPr>
      <w:r>
        <w:rPr>
          <w:rFonts w:eastAsia="Times New Roman" w:cs="Times New Roman" w:ascii="Times New Roman" w:hAnsi="Times New Roman"/>
          <w:color w:val="111111"/>
          <w:sz w:val="28"/>
          <w:szCs w:val="28"/>
          <w:lang w:val="en-US"/>
        </w:rPr>
        <w:t>Alam, Yusuf Hamid: AI-Maqrishid AI-’/imnmh Ii AI-S_1/ar1"at AI-Ism- miyyah, Cairo, Dar A1-Hadits.</w:t>
      </w:r>
    </w:p>
    <w:p>
      <w:pPr>
        <w:pStyle w:val="BookText"/>
        <w:bidi w:val="0"/>
        <w:jc w:val="both"/>
        <w:rPr/>
      </w:pPr>
      <w:r>
        <w:rPr>
          <w:rFonts w:eastAsia="Times New Roman" w:cs="Times New Roman" w:ascii="Times New Roman" w:hAnsi="Times New Roman"/>
          <w:color w:val="111111"/>
          <w:sz w:val="28"/>
          <w:szCs w:val="28"/>
          <w:lang w:val="en-US"/>
        </w:rPr>
        <w:t>Alayili, Abdullah: AI-Ma'tzrr1‘ Dztilikn AI-Majhtil; Beirut, Dar AI-Iadid, cet. 3, 1995 M.</w:t>
      </w:r>
    </w:p>
    <w:p>
      <w:pPr>
        <w:pStyle w:val="BookText"/>
        <w:bidi w:val="0"/>
        <w:jc w:val="both"/>
        <w:rPr/>
      </w:pPr>
      <w:r>
        <w:rPr>
          <w:rFonts w:eastAsia="Times New Roman" w:cs="Times New Roman" w:ascii="Times New Roman" w:hAnsi="Times New Roman"/>
          <w:color w:val="111111"/>
          <w:sz w:val="28"/>
          <w:szCs w:val="28"/>
          <w:lang w:val="en-US"/>
        </w:rPr>
        <w:t>Albani, Muhammad Nasiruddin: AI—’Aqfdat AI-Tohmviyynh, Beirut, Al- Maktab Al-Islami, cet. 2, 1414 HQ.</w:t>
      </w:r>
    </w:p>
    <w:p>
      <w:pPr>
        <w:pStyle w:val="BookText"/>
        <w:bidi w:val="0"/>
        <w:jc w:val="both"/>
        <w:rPr/>
      </w:pPr>
      <w:r>
        <w:rPr>
          <w:rFonts w:eastAsia="Times New Roman" w:cs="Times New Roman" w:ascii="Times New Roman" w:hAnsi="Times New Roman"/>
          <w:color w:val="111111"/>
          <w:sz w:val="28"/>
          <w:szCs w:val="28"/>
          <w:lang w:val="en-US"/>
        </w:rPr>
        <w:t>Allamah Hilli: I&lt;as‘1/fAI-Murédfi Syarh Tajrfd AI-I’tiqﬁd, Qom, Al-Nasyr Al-Islami, cet. 4, 1413 HQ.</w:t>
      </w:r>
    </w:p>
    <w:p>
      <w:pPr>
        <w:pStyle w:val="BookText"/>
        <w:bidi w:val="0"/>
        <w:jc w:val="both"/>
        <w:rPr/>
      </w:pPr>
      <w:r>
        <w:rPr>
          <w:rFonts w:eastAsia="Times New Roman" w:cs="Times New Roman" w:ascii="Times New Roman" w:hAnsi="Times New Roman"/>
          <w:color w:val="111111"/>
          <w:sz w:val="28"/>
          <w:szCs w:val="28"/>
          <w:lang w:val="en-US"/>
        </w:rPr>
        <w:t>_ : Mamihij AI—Ynqfn ff Usluil AI-Din, revisi Muhammad Ridha Anshari, 1374 HS.</w:t>
      </w:r>
    </w:p>
    <w:p>
      <w:pPr>
        <w:pStyle w:val="BookText"/>
        <w:bidi w:val="0"/>
        <w:jc w:val="both"/>
        <w:rPr/>
      </w:pPr>
      <w:r>
        <w:rPr>
          <w:rFonts w:eastAsia="Times New Roman" w:cs="Times New Roman" w:ascii="Times New Roman" w:hAnsi="Times New Roman"/>
          <w:color w:val="111111"/>
          <w:sz w:val="28"/>
          <w:szCs w:val="28"/>
          <w:lang w:val="en-US"/>
        </w:rPr>
        <w:t>Alusi, Mahmud: Rt2l1AI-Mzftim‘, Tehran, Entesyorot Jahon.</w:t>
      </w:r>
    </w:p>
    <w:p>
      <w:pPr>
        <w:pStyle w:val="BookText"/>
        <w:bidi w:val="0"/>
        <w:jc w:val="both"/>
        <w:rPr/>
      </w:pPr>
      <w:r>
        <w:rPr>
          <w:rFonts w:eastAsia="Times New Roman" w:cs="Times New Roman" w:ascii="Times New Roman" w:hAnsi="Times New Roman"/>
          <w:color w:val="111111"/>
          <w:sz w:val="28"/>
          <w:szCs w:val="28"/>
          <w:lang w:val="en-US"/>
        </w:rPr>
        <w:t>Amin, Muhsin: A’;/ﬁn AI-S_i/1“’ali, Beirut, Dar Al-Ta'aruf li Al-Matbu'at.</w:t>
      </w:r>
    </w:p>
    <w:p>
      <w:pPr>
        <w:pStyle w:val="BookText"/>
        <w:bidi w:val="0"/>
        <w:jc w:val="both"/>
        <w:rPr/>
      </w:pPr>
      <w:r>
        <w:rPr>
          <w:rFonts w:eastAsia="Times New Roman" w:cs="Times New Roman" w:ascii="Times New Roman" w:hAnsi="Times New Roman"/>
          <w:color w:val="111111"/>
          <w:sz w:val="28"/>
          <w:szCs w:val="28"/>
          <w:lang w:val="en-US"/>
        </w:rPr>
        <w:t>Amini, Abdul Husein: AI-Glmdfr, Tehran, Dar Al-Kutub Al-Islami- yyah, cet. 2, 1366 HS.</w:t>
      </w:r>
    </w:p>
    <w:p>
      <w:pPr>
        <w:pStyle w:val="BookText"/>
        <w:bidi w:val="0"/>
        <w:jc w:val="both"/>
        <w:rPr/>
      </w:pPr>
      <w:r>
        <w:rPr>
          <w:rFonts w:eastAsia="Times New Roman" w:cs="Times New Roman" w:ascii="Times New Roman" w:hAnsi="Times New Roman"/>
          <w:color w:val="111111"/>
          <w:sz w:val="28"/>
          <w:szCs w:val="28"/>
          <w:lang w:val="en-US"/>
        </w:rPr>
        <w:t>Amuli, I-Iaidar bin Ali: Iﬁmﬂﬂ Al-Asrﬁr wn Mnnbmﬂ AI-Anwﬁr, Tehran, Syerkat-e Entesyorot Ilrni wa Farhanggi, cet. 2, 1368 HS.</w:t>
      </w:r>
    </w:p>
    <w:p>
      <w:pPr>
        <w:pStyle w:val="BookText"/>
        <w:bidi w:val="0"/>
        <w:jc w:val="both"/>
        <w:rPr/>
      </w:pPr>
      <w:r>
        <w:rPr>
          <w:rFonts w:eastAsia="Times New Roman" w:cs="Times New Roman" w:ascii="Times New Roman" w:hAnsi="Times New Roman"/>
          <w:color w:val="111111"/>
          <w:sz w:val="28"/>
          <w:szCs w:val="28"/>
          <w:lang w:val="en-US"/>
        </w:rPr>
        <w:t>Anshari, Murtadha: Far6'id AI-Usluil, Qom, Matbu'at Dini, cet. 2, 1370 HS.</w:t>
      </w:r>
    </w:p>
    <w:p>
      <w:pPr>
        <w:pStyle w:val="BookText"/>
        <w:bidi w:val="0"/>
        <w:jc w:val="both"/>
        <w:rPr/>
      </w:pPr>
      <w:r>
        <w:rPr>
          <w:rFonts w:eastAsia="Times New Roman" w:cs="Times New Roman" w:ascii="Times New Roman" w:hAnsi="Times New Roman"/>
          <w:color w:val="111111"/>
          <w:sz w:val="28"/>
          <w:szCs w:val="28"/>
          <w:lang w:val="en-US"/>
        </w:rPr>
        <w:t>Arawi, Abdullah: Mnflzﬁnx Al—’AqI, Beirut, Al-Markaz Al-Tsaqofi Al- ’Arobi, 1996 M.</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Ardabili, Muhammad bin Ali: Iﬁmi’ AI-Ruwﬁt, Syerkat-e Chop Negin, </w:t>
      </w:r>
    </w:p>
    <w:p>
      <w:pPr>
        <w:pStyle w:val="BookText"/>
        <w:bidi w:val="0"/>
        <w:rPr/>
      </w:pPr>
      <w:r>
        <w:rPr>
          <w:rFonts w:eastAsia="Times New Roman" w:cs="Times New Roman" w:ascii="Times New Roman" w:hAnsi="Times New Roman"/>
          <w:color w:val="111111"/>
          <w:sz w:val="28"/>
          <w:szCs w:val="28"/>
          <w:lang w:val="en-US"/>
        </w:rPr>
        <w:t>Daftar Pustaka</w:t>
      </w:r>
    </w:p>
    <w:p>
      <w:pPr>
        <w:pStyle w:val="BookText"/>
        <w:bidi w:val="0"/>
        <w:jc w:val="both"/>
        <w:rPr/>
      </w:pPr>
      <w:r>
        <w:rPr>
          <w:rFonts w:eastAsia="Times New Roman" w:cs="Times New Roman" w:ascii="Times New Roman" w:hAnsi="Times New Roman"/>
          <w:color w:val="111111"/>
          <w:sz w:val="28"/>
          <w:szCs w:val="28"/>
          <w:lang w:val="en-US"/>
        </w:rPr>
        <w:t>1334 HS.</w:t>
      </w:r>
    </w:p>
    <w:p>
      <w:pPr>
        <w:pStyle w:val="BookText"/>
        <w:bidi w:val="0"/>
        <w:jc w:val="both"/>
        <w:rPr/>
      </w:pPr>
      <w:r>
        <w:rPr>
          <w:rFonts w:eastAsia="Times New Roman" w:cs="Times New Roman" w:ascii="Times New Roman" w:hAnsi="Times New Roman"/>
          <w:color w:val="111111"/>
          <w:sz w:val="28"/>
          <w:szCs w:val="28"/>
          <w:lang w:val="en-US"/>
        </w:rPr>
        <w:t>Armawi, Sirajuddin: Al-TuI_1slu‘I min Al-MnI_zslu?I, revisi Abdul Hamid Ali Abu Zanaid, Beirut, Muassasah Al-Risalah, 1408 HS.</w:t>
      </w:r>
    </w:p>
    <w:p>
      <w:pPr>
        <w:pStyle w:val="BookText"/>
        <w:bidi w:val="0"/>
        <w:jc w:val="both"/>
        <w:rPr/>
      </w:pPr>
      <w:r>
        <w:rPr>
          <w:rFonts w:eastAsia="Times New Roman" w:cs="Times New Roman" w:ascii="Times New Roman" w:hAnsi="Times New Roman"/>
          <w:color w:val="111111"/>
          <w:sz w:val="28"/>
          <w:szCs w:val="28"/>
          <w:lang w:val="en-US"/>
        </w:rPr>
        <w:t>Ashifi, Muhammad Mahdi: AI-Dali! wa AI-ﬂujjah: ﬂ Dirﬁsnt AI-Syeikh AI-Anshﬁri, Qom, Al-Mu’tamar Al-’Alami bi Munasabah Al- Dzikro Al-Miawiyyah Al-Tsaniyah li Milad Al-Syeikh, 1373 HQ.</w:t>
      </w:r>
    </w:p>
    <w:p>
      <w:pPr>
        <w:pStyle w:val="BookText"/>
        <w:bidi w:val="0"/>
        <w:jc w:val="both"/>
        <w:rPr/>
      </w:pPr>
      <w:r>
        <w:rPr>
          <w:rFonts w:eastAsia="Times New Roman" w:cs="Times New Roman" w:ascii="Times New Roman" w:hAnsi="Times New Roman"/>
          <w:color w:val="111111"/>
          <w:sz w:val="28"/>
          <w:szCs w:val="28"/>
          <w:lang w:val="en-US"/>
        </w:rPr>
        <w:t>Asy'ari, Abul Hasan: ’Maq:ilrit AI-Isltirriig/_1/in wn Ikhtilrif Al-Muslmllfn, Dar Al-Nasyr, cet. 3, 1400 HQ.</w:t>
      </w:r>
    </w:p>
    <w:p>
      <w:pPr>
        <w:pStyle w:val="BookText"/>
        <w:bidi w:val="0"/>
        <w:jc w:val="both"/>
        <w:rPr/>
      </w:pPr>
      <w:r>
        <w:rPr>
          <w:rFonts w:eastAsia="Times New Roman" w:cs="Times New Roman" w:ascii="Times New Roman" w:hAnsi="Times New Roman"/>
          <w:color w:val="111111"/>
          <w:sz w:val="28"/>
          <w:szCs w:val="28"/>
          <w:lang w:val="en-US"/>
        </w:rPr>
        <w:t>Bahiy, Muhammad: Al-Fikr AI-Islrimf Al-Hadis wa Shilatuhu bi AI- Istiﬁmir AI-Glmrbi, Cairo, Dar Al-Fikr, cet. 7, 1991 M.</w:t>
      </w:r>
    </w:p>
    <w:p>
      <w:pPr>
        <w:pStyle w:val="BookText"/>
        <w:bidi w:val="0"/>
        <w:jc w:val="both"/>
        <w:rPr/>
      </w:pPr>
      <w:r>
        <w:rPr>
          <w:rFonts w:eastAsia="Times New Roman" w:cs="Times New Roman" w:ascii="Times New Roman" w:hAnsi="Times New Roman"/>
          <w:color w:val="111111"/>
          <w:sz w:val="28"/>
          <w:szCs w:val="28"/>
          <w:lang w:val="en-US"/>
        </w:rPr>
        <w:t>Bahrani, Yusuf bin Ahmad: AI-_Iindﬁ’iq AI-Nndhlmh, Najaf, Dar Al- Kutub Al-Islamiyyah, 1376 HQ.</w:t>
      </w:r>
    </w:p>
    <w:p>
      <w:pPr>
        <w:pStyle w:val="BookText"/>
        <w:bidi w:val="0"/>
        <w:jc w:val="both"/>
        <w:rPr/>
      </w:pPr>
      <w:r>
        <w:rPr>
          <w:rFonts w:eastAsia="Times New Roman" w:cs="Times New Roman" w:ascii="Times New Roman" w:hAnsi="Times New Roman"/>
          <w:color w:val="111111"/>
          <w:sz w:val="28"/>
          <w:szCs w:val="28"/>
          <w:lang w:val="en-US"/>
        </w:rPr>
        <w:t>Z : AI-Durar Al-Najaﬁyynh, Qom, Muassasah Al Al-Bait li Ihya Al- Turots.</w:t>
      </w:r>
    </w:p>
    <w:p>
      <w:pPr>
        <w:pStyle w:val="BookText"/>
        <w:bidi w:val="0"/>
        <w:jc w:val="both"/>
        <w:rPr/>
      </w:pPr>
      <w:r>
        <w:rPr>
          <w:rFonts w:eastAsia="Times New Roman" w:cs="Times New Roman" w:ascii="Times New Roman" w:hAnsi="Times New Roman"/>
          <w:color w:val="111111"/>
          <w:sz w:val="28"/>
          <w:szCs w:val="28"/>
          <w:lang w:val="en-US"/>
        </w:rPr>
        <w:t>Baghdadi, Abdul Qahir: AI—Farq bain AI-Firaq, Beirut, Dar Al-Mur- tadho, cet. 3, 1993 M.</w:t>
      </w:r>
    </w:p>
    <w:p>
      <w:pPr>
        <w:pStyle w:val="BookText"/>
        <w:bidi w:val="0"/>
        <w:jc w:val="both"/>
        <w:rPr/>
      </w:pPr>
      <w:r>
        <w:rPr>
          <w:rFonts w:eastAsia="Times New Roman" w:cs="Times New Roman" w:ascii="Times New Roman" w:hAnsi="Times New Roman"/>
          <w:color w:val="111111"/>
          <w:sz w:val="28"/>
          <w:szCs w:val="28"/>
          <w:lang w:val="en-US"/>
        </w:rPr>
        <w:t>Baligh, Abdul Halim: Adnb Al—Mu'tnziIali ila Niluiyat AI—Qnrn AI—R6bi’ AI-Hzjrz‘, Cairo, Dar Nahdhoh Misr, cet. 3.</w:t>
      </w:r>
    </w:p>
    <w:p>
      <w:pPr>
        <w:pStyle w:val="BookText"/>
        <w:bidi w:val="0"/>
        <w:jc w:val="both"/>
        <w:rPr/>
      </w:pPr>
      <w:r>
        <w:rPr>
          <w:rFonts w:eastAsia="Times New Roman" w:cs="Times New Roman" w:ascii="Times New Roman" w:hAnsi="Times New Roman"/>
          <w:color w:val="111111"/>
          <w:sz w:val="28"/>
          <w:szCs w:val="28"/>
          <w:lang w:val="en-US"/>
        </w:rPr>
        <w:t>Baqillani, Qodhi Abu Bakar: AI-Inslnifﬁ mﬁ Yajib I ’tiqridulm am hi Yajﬁz AI-]al1I bihi, revisi Muhammad Zahid Kautsari, Cairo, Maktabah Khoniji, cet. 3, 1413 HQ.</w:t>
      </w:r>
    </w:p>
    <w:p>
      <w:pPr>
        <w:pStyle w:val="BookText"/>
        <w:bidi w:val="0"/>
        <w:jc w:val="both"/>
        <w:rPr/>
      </w:pPr>
      <w:r>
        <w:rPr>
          <w:rFonts w:eastAsia="Times New Roman" w:cs="Times New Roman" w:ascii="Times New Roman" w:hAnsi="Times New Roman"/>
          <w:color w:val="111111"/>
          <w:sz w:val="28"/>
          <w:szCs w:val="28"/>
          <w:lang w:val="en-US"/>
        </w:rPr>
        <w:t>Bayadhi Hanafi, Ahmad: Is}/tirﬁt AI-Marrim min ’Ib¢irrit AI-Imtim, revisi Yusuf Abdul Razzaq, Cairo, Syirkah Maktabah wa Matba’ah Al- Babi Al-Halabi wa Auladuhu, 1368 HQ.</w:t>
      </w:r>
    </w:p>
    <w:p>
      <w:pPr>
        <w:pStyle w:val="BookText"/>
        <w:bidi w:val="0"/>
        <w:jc w:val="both"/>
        <w:rPr/>
      </w:pPr>
      <w:r>
        <w:rPr>
          <w:rFonts w:eastAsia="Times New Roman" w:cs="Times New Roman" w:ascii="Times New Roman" w:hAnsi="Times New Roman"/>
          <w:color w:val="111111"/>
          <w:sz w:val="28"/>
          <w:szCs w:val="28"/>
          <w:lang w:val="en-US"/>
        </w:rPr>
        <w:t>Bukhari, Muhammad bin Ismail: Slml_u7_1 AI-Bukhriri, Beirut, Dar Al- Qolam, 1407 HQ.</w:t>
      </w:r>
    </w:p>
    <w:p>
      <w:pPr>
        <w:pStyle w:val="BookText"/>
        <w:bidi w:val="0"/>
        <w:jc w:val="both"/>
        <w:rPr/>
      </w:pPr>
      <w:r>
        <w:rPr>
          <w:rFonts w:eastAsia="Times New Roman" w:cs="Times New Roman" w:ascii="Times New Roman" w:hAnsi="Times New Roman"/>
          <w:color w:val="111111"/>
          <w:sz w:val="28"/>
          <w:szCs w:val="28"/>
          <w:lang w:val="en-US"/>
        </w:rPr>
        <w:t>Dzahabi, Syarnsuddin Muhammad: Tudzkirot Al-ﬂuﬂtizd, Dar Ihya’ Al- Turots Al-'Arobi.</w:t>
      </w:r>
    </w:p>
    <w:p>
      <w:pPr>
        <w:pStyle w:val="BookText"/>
        <w:bidi w:val="0"/>
        <w:jc w:val="both"/>
        <w:rPr/>
      </w:pPr>
      <w:r>
        <w:rPr>
          <w:rFonts w:eastAsia="Times New Roman" w:cs="Times New Roman" w:ascii="Times New Roman" w:hAnsi="Times New Roman"/>
          <w:color w:val="111111"/>
          <w:sz w:val="28"/>
          <w:szCs w:val="28"/>
          <w:lang w:val="en-US"/>
        </w:rPr>
        <w:t>j 2 Siynr A'lrim Al-Nubalri’, Beirut, Muassasah Al-Risalah, cet. 10, 1414 HQ.</w:t>
      </w:r>
    </w:p>
    <w:p>
      <w:pPr>
        <w:pStyle w:val="BookText"/>
        <w:bidi w:val="0"/>
        <w:jc w:val="both"/>
        <w:rPr/>
      </w:pPr>
      <w:r>
        <w:rPr>
          <w:rFonts w:eastAsia="Times New Roman" w:cs="Times New Roman" w:ascii="Times New Roman" w:hAnsi="Times New Roman"/>
          <w:color w:val="111111"/>
          <w:sz w:val="28"/>
          <w:szCs w:val="28"/>
          <w:lang w:val="en-US"/>
        </w:rPr>
        <w:t>j : Miztin AI-I’tidtiI, Dar AL-Fikr Al-'Arobi.</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Fakhri, Ali bin Muhammad: Tnlkhisli Al-Bnyﬁn fi Dzikr Firm] A11! A1-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hmin, Dar AI-I-Iikmah, 1415 HQ.</w:t>
      </w:r>
    </w:p>
    <w:p>
      <w:pPr>
        <w:pStyle w:val="BookText"/>
        <w:bidi w:val="0"/>
        <w:jc w:val="both"/>
        <w:rPr/>
      </w:pPr>
      <w:r>
        <w:rPr>
          <w:rFonts w:eastAsia="Times New Roman" w:cs="Times New Roman" w:ascii="Times New Roman" w:hAnsi="Times New Roman"/>
          <w:color w:val="111111"/>
          <w:sz w:val="28"/>
          <w:szCs w:val="28"/>
          <w:lang w:val="en-US"/>
        </w:rPr>
        <w:t>Fakhri, Majid, Ibn Rusyd: Fnilnszif Qurtlmbah, Bairut, Dar Al-Masyriq, cet. 3, 1992 M.</w:t>
      </w:r>
    </w:p>
    <w:p>
      <w:pPr>
        <w:pStyle w:val="BookText"/>
        <w:bidi w:val="0"/>
        <w:jc w:val="both"/>
        <w:rPr/>
      </w:pPr>
      <w:r>
        <w:rPr>
          <w:rFonts w:eastAsia="Times New Roman" w:cs="Times New Roman" w:ascii="Times New Roman" w:hAnsi="Times New Roman"/>
          <w:color w:val="111111"/>
          <w:sz w:val="28"/>
          <w:szCs w:val="28"/>
          <w:lang w:val="en-US"/>
        </w:rPr>
        <w:t>Fakhruddin Razi: Al-Tnfsfr AI-Knbfr, Beirut, Dar Al-Kutub Al—’Ilmi- yyah, 1411 HQ.</w:t>
      </w:r>
    </w:p>
    <w:p>
      <w:pPr>
        <w:pStyle w:val="BookText"/>
        <w:bidi w:val="0"/>
        <w:jc w:val="both"/>
        <w:rPr/>
      </w:pPr>
      <w:r>
        <w:rPr>
          <w:rFonts w:eastAsia="Times New Roman" w:cs="Times New Roman" w:ascii="Times New Roman" w:hAnsi="Times New Roman"/>
          <w:color w:val="111111"/>
          <w:sz w:val="28"/>
          <w:szCs w:val="28"/>
          <w:lang w:val="en-US"/>
        </w:rPr>
        <w:t>j : AI-Mal_zslniI ft‘ ’IIm Usluil AI-Fiqh, revisi Thaha Jabir, Beirut, Muassasah Al-Risalah, cet. 2, 1412 HQ.</w:t>
      </w:r>
    </w:p>
    <w:p>
      <w:pPr>
        <w:pStyle w:val="BookText"/>
        <w:bidi w:val="0"/>
        <w:jc w:val="both"/>
        <w:rPr/>
      </w:pPr>
      <w:r>
        <w:rPr>
          <w:rFonts w:eastAsia="Times New Roman" w:cs="Times New Roman" w:ascii="Times New Roman" w:hAnsi="Times New Roman"/>
          <w:color w:val="111111"/>
          <w:sz w:val="28"/>
          <w:szCs w:val="28"/>
          <w:lang w:val="en-US"/>
        </w:rPr>
        <w:t>Fakultas Kalam, Majma’ A1-Buhuts Al-Islamiyyah: Syarlg AI- MusI1taIal_uit AI-Falsaﬁyyah, Mayhad, Ostoneh Al-Radhawiyyah AI-Muqoddasah, 1414 HQ.</w:t>
      </w:r>
    </w:p>
    <w:p>
      <w:pPr>
        <w:pStyle w:val="BookText"/>
        <w:bidi w:val="0"/>
        <w:jc w:val="both"/>
        <w:rPr/>
      </w:pPr>
      <w:r>
        <w:rPr>
          <w:rFonts w:eastAsia="Times New Roman" w:cs="Times New Roman" w:ascii="Times New Roman" w:hAnsi="Times New Roman"/>
          <w:color w:val="111111"/>
          <w:sz w:val="28"/>
          <w:szCs w:val="28"/>
          <w:lang w:val="en-US"/>
        </w:rPr>
        <w:t>Faydh Kasyani, Muhsin: Al-I;Inqq AI-Mubfn ﬂ Tal_1q1‘q Kmﬁyynt AI- Tnfnqqulz ff AI-Din, Sozmon Chop Donesygoh, 1349 HS, dicetak dengan kitab Al-Ushﬁl Al-Ashliyyah.</w:t>
      </w:r>
    </w:p>
    <w:p>
      <w:pPr>
        <w:pStyle w:val="BookText"/>
        <w:bidi w:val="0"/>
        <w:jc w:val="both"/>
        <w:rPr/>
      </w:pPr>
      <w:r>
        <w:rPr>
          <w:rFonts w:eastAsia="Times New Roman" w:cs="Times New Roman" w:ascii="Times New Roman" w:hAnsi="Times New Roman"/>
          <w:color w:val="111111"/>
          <w:sz w:val="28"/>
          <w:szCs w:val="28"/>
          <w:lang w:val="en-US"/>
        </w:rPr>
        <w:t>j : AI—Mnl_mjjah AI-Bm'dh6' ﬁ Tnlldzfb AI-”_1\1/('7', Qom, Daftar Entesyorot Islami, cet. 2.</w:t>
      </w:r>
    </w:p>
    <w:p>
      <w:pPr>
        <w:pStyle w:val="BookText"/>
        <w:bidi w:val="0"/>
        <w:jc w:val="both"/>
        <w:rPr/>
      </w:pPr>
      <w:r>
        <w:rPr>
          <w:rFonts w:eastAsia="Times New Roman" w:cs="Times New Roman" w:ascii="Times New Roman" w:hAnsi="Times New Roman"/>
          <w:color w:val="111111"/>
          <w:sz w:val="28"/>
          <w:szCs w:val="28"/>
          <w:lang w:val="en-US"/>
        </w:rPr>
        <w:t>_: 'IIm AI-Ynqfn ft“ Uslu?I Al-Din, Qom, Bidar, 1358 HS.</w:t>
      </w:r>
    </w:p>
    <w:p>
      <w:pPr>
        <w:pStyle w:val="BookText"/>
        <w:bidi w:val="0"/>
        <w:jc w:val="both"/>
        <w:rPr/>
      </w:pPr>
      <w:r>
        <w:rPr>
          <w:rFonts w:eastAsia="Times New Roman" w:cs="Times New Roman" w:ascii="Times New Roman" w:hAnsi="Times New Roman"/>
          <w:color w:val="111111"/>
          <w:sz w:val="28"/>
          <w:szCs w:val="28"/>
          <w:lang w:val="en-US"/>
        </w:rPr>
        <w:t>Gardiae, Luis &amp; G. Kanawati: Fnlsnfat AI—Fikr AI-Dim’ bain AI—IsItim wn AI-Masi71i_1/_i/uh, terj. Shubhi Shaleh &amp; Farid Jabar, Bairut, Dar Al- ’Ilm Ii Al-Malayin, cet. 2, 1983 M.</w:t>
      </w:r>
    </w:p>
    <w:p>
      <w:pPr>
        <w:pStyle w:val="BookText"/>
        <w:bidi w:val="0"/>
        <w:jc w:val="both"/>
        <w:rPr/>
      </w:pPr>
      <w:r>
        <w:rPr>
          <w:rFonts w:eastAsia="Times New Roman" w:cs="Times New Roman" w:ascii="Times New Roman" w:hAnsi="Times New Roman"/>
          <w:color w:val="111111"/>
          <w:sz w:val="28"/>
          <w:szCs w:val="28"/>
          <w:lang w:val="en-US"/>
        </w:rPr>
        <w:t>Ghamidi, Ahmad bin Athiyah: AI-Brzylmqt‘ wa Mrmqzfulm min AI- Ilrilriyyﬁt, Bahrain, Makrabah Ibn Taimiyyah, cet. 4, 1413 HQ. Gharawi, Muhammad Abdul I-Iasan: Mnsluidir Al-Istinbﬁg baina AI- Uslzﬁliyyfn wa AI-Aklzbﬁriyyfn, Qom, Maktab Al-l’lam Al-Islami,</w:t>
      </w:r>
    </w:p>
    <w:p>
      <w:pPr>
        <w:pStyle w:val="BookText"/>
        <w:bidi w:val="0"/>
        <w:jc w:val="both"/>
        <w:rPr/>
      </w:pPr>
      <w:r>
        <w:rPr>
          <w:rFonts w:eastAsia="Times New Roman" w:cs="Times New Roman" w:ascii="Times New Roman" w:hAnsi="Times New Roman"/>
          <w:color w:val="111111"/>
          <w:sz w:val="28"/>
          <w:szCs w:val="28"/>
          <w:lang w:val="en-US"/>
        </w:rPr>
        <w:t>1413 HQ.</w:t>
      </w:r>
    </w:p>
    <w:p>
      <w:pPr>
        <w:pStyle w:val="BookText"/>
        <w:bidi w:val="0"/>
        <w:jc w:val="both"/>
        <w:rPr/>
      </w:pPr>
      <w:r>
        <w:rPr>
          <w:rFonts w:eastAsia="Times New Roman" w:cs="Times New Roman" w:ascii="Times New Roman" w:hAnsi="Times New Roman"/>
          <w:color w:val="111111"/>
          <w:sz w:val="28"/>
          <w:szCs w:val="28"/>
          <w:lang w:val="en-US"/>
        </w:rPr>
        <w:t>Ghazali, Abu Hamid Muhammad: Iljﬁm AI-’Awﬁm ‘an ’Ilm AI-Kalrim, Damascus-Beirut, Dar Al—I-Iikmah, 1417 HQ.</w:t>
      </w:r>
    </w:p>
    <w:p>
      <w:pPr>
        <w:pStyle w:val="BookText"/>
        <w:bidi w:val="0"/>
        <w:jc w:val="both"/>
        <w:rPr/>
      </w:pPr>
      <w:r>
        <w:rPr>
          <w:rFonts w:eastAsia="Times New Roman" w:cs="Times New Roman" w:ascii="Times New Roman" w:hAnsi="Times New Roman"/>
          <w:color w:val="111111"/>
          <w:sz w:val="28"/>
          <w:szCs w:val="28"/>
          <w:lang w:val="en-US"/>
        </w:rPr>
        <w:t>j : Al-IqtisI1ﬁdﬁAI—I’h'qﬁd, Beirut, Maktabah A1-Hilal, 1993 M.</w:t>
      </w:r>
    </w:p>
    <w:p>
      <w:pPr>
        <w:pStyle w:val="BookText"/>
        <w:bidi w:val="0"/>
        <w:jc w:val="both"/>
        <w:rPr/>
      </w:pPr>
      <w:r>
        <w:rPr>
          <w:rFonts w:eastAsia="Times New Roman" w:cs="Times New Roman" w:ascii="Times New Roman" w:hAnsi="Times New Roman"/>
          <w:color w:val="111111"/>
          <w:sz w:val="28"/>
          <w:szCs w:val="28"/>
          <w:lang w:val="en-US"/>
        </w:rPr>
        <w:t>Hakimi, Muhammad Ridha, Muhammad &amp;: Ali Hakimi: AI-ﬂu}/tilt, Tehran, Daftar—e Nashr-e Farhang-e Islami, cet. 5, 1367 HS.</w:t>
      </w:r>
    </w:p>
    <w:p>
      <w:pPr>
        <w:pStyle w:val="BookText"/>
        <w:bidi w:val="0"/>
        <w:jc w:val="both"/>
        <w:rPr/>
      </w:pPr>
      <w:r>
        <w:rPr>
          <w:rFonts w:eastAsia="Times New Roman" w:cs="Times New Roman" w:ascii="Times New Roman" w:hAnsi="Times New Roman"/>
          <w:color w:val="111111"/>
          <w:sz w:val="28"/>
          <w:szCs w:val="28"/>
          <w:lang w:val="en-US"/>
        </w:rPr>
        <w:t>Haluw, Abduh: AI-Wriﬁﬁ Tﬁrfkh Al—FaIsafat AI—’Ambiyynh, Beirut, Dar Al-Fikr Al—Lubnani, 1995 M.</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I-Iasan, Abbas: Al-Nzzl_1w AI-Wﬁﬁ, Tehran, Nasir Khosru. </w:t>
      </w:r>
    </w:p>
    <w:p>
      <w:pPr>
        <w:pStyle w:val="BookText"/>
        <w:bidi w:val="0"/>
        <w:rPr/>
      </w:pPr>
      <w:r>
        <w:rPr>
          <w:rFonts w:eastAsia="Times New Roman" w:cs="Times New Roman" w:ascii="Times New Roman" w:hAnsi="Times New Roman"/>
          <w:color w:val="111111"/>
          <w:sz w:val="28"/>
          <w:szCs w:val="28"/>
          <w:lang w:val="en-US"/>
        </w:rPr>
        <w:t>Daftar Pustaka</w:t>
      </w:r>
    </w:p>
    <w:p>
      <w:pPr>
        <w:pStyle w:val="BookText"/>
        <w:bidi w:val="0"/>
        <w:jc w:val="both"/>
        <w:rPr/>
      </w:pPr>
      <w:r>
        <w:rPr>
          <w:rFonts w:eastAsia="Times New Roman" w:cs="Times New Roman" w:ascii="Times New Roman" w:hAnsi="Times New Roman"/>
          <w:color w:val="111111"/>
          <w:sz w:val="28"/>
          <w:szCs w:val="28"/>
          <w:lang w:val="en-US"/>
        </w:rPr>
        <w:t>I-Iimayah, Muhammad Ali: Ibn ﬂnzm wn Manlmjulm di Dirtisat AI- Adyrin, Cairo, Dar Al-Ma'arif, 1983 M.</w:t>
      </w:r>
    </w:p>
    <w:p>
      <w:pPr>
        <w:pStyle w:val="BookText"/>
        <w:bidi w:val="0"/>
        <w:jc w:val="both"/>
        <w:rPr/>
      </w:pPr>
      <w:r>
        <w:rPr>
          <w:rFonts w:eastAsia="Times New Roman" w:cs="Times New Roman" w:ascii="Times New Roman" w:hAnsi="Times New Roman"/>
          <w:color w:val="111111"/>
          <w:sz w:val="28"/>
          <w:szCs w:val="28"/>
          <w:lang w:val="en-US"/>
        </w:rPr>
        <w:t>Hamdi Zaqroq, Mahmud: Al-ﬂnqfqat AI—D1‘niyyaI1 wn AI—ﬂaq1‘qalz AI- Falsafiyynlz laduy Ibn Rusyd, Cairo, 1993 M.</w:t>
      </w:r>
    </w:p>
    <w:p>
      <w:pPr>
        <w:pStyle w:val="BookText"/>
        <w:bidi w:val="0"/>
        <w:jc w:val="both"/>
        <w:rPr/>
      </w:pPr>
      <w:r>
        <w:rPr>
          <w:rFonts w:eastAsia="Times New Roman" w:cs="Times New Roman" w:ascii="Times New Roman" w:hAnsi="Times New Roman"/>
          <w:color w:val="111111"/>
          <w:sz w:val="28"/>
          <w:szCs w:val="28"/>
          <w:lang w:val="en-US"/>
        </w:rPr>
        <w:t>Z : "Mafhﬁm Al-Tanwir fi Fikr Ibn Rusyd", dalam Ibn Rusyd wa AI-Tanwfr, Murad Wahbah &amp; Muna Abu Sanah, Mesir, Dar Al- Tsaqofah Al—]adidah, 1997 M.</w:t>
      </w:r>
    </w:p>
    <w:p>
      <w:pPr>
        <w:pStyle w:val="BookText"/>
        <w:bidi w:val="0"/>
        <w:jc w:val="both"/>
        <w:rPr/>
      </w:pPr>
      <w:r>
        <w:rPr>
          <w:rFonts w:eastAsia="Times New Roman" w:cs="Times New Roman" w:ascii="Times New Roman" w:hAnsi="Times New Roman"/>
          <w:color w:val="111111"/>
          <w:sz w:val="28"/>
          <w:szCs w:val="28"/>
          <w:lang w:val="en-US"/>
        </w:rPr>
        <w:t>Hanafi, Hasan: Qadltﬁyri Mu’ﬁsln'ral1 ff Al-Fikr AI-Gharbi AI—Mu'r?sI1ir, Cairo, Dar AI-Fikr Al-’Arobi, cet. 1978 M.</w:t>
      </w:r>
    </w:p>
    <w:p>
      <w:pPr>
        <w:pStyle w:val="BookText"/>
        <w:bidi w:val="0"/>
        <w:jc w:val="both"/>
        <w:rPr/>
      </w:pPr>
      <w:r>
        <w:rPr>
          <w:rFonts w:eastAsia="Times New Roman" w:cs="Times New Roman" w:ascii="Times New Roman" w:hAnsi="Times New Roman"/>
          <w:color w:val="111111"/>
          <w:sz w:val="28"/>
          <w:szCs w:val="28"/>
          <w:lang w:val="en-US"/>
        </w:rPr>
        <w:t>_ 2 Min AI-'Aqz‘dal1 ilri AI-Tsaurah, Beirut, Dar Al-Tanwir wa Al- Markaz Al-Tsaqofi, 1988 M.</w:t>
      </w:r>
    </w:p>
    <w:p>
      <w:pPr>
        <w:pStyle w:val="BookText"/>
        <w:bidi w:val="0"/>
        <w:jc w:val="both"/>
        <w:rPr/>
      </w:pPr>
      <w:r>
        <w:rPr>
          <w:rFonts w:eastAsia="Times New Roman" w:cs="Times New Roman" w:ascii="Times New Roman" w:hAnsi="Times New Roman"/>
          <w:color w:val="111111"/>
          <w:sz w:val="28"/>
          <w:szCs w:val="28"/>
          <w:lang w:val="en-US"/>
        </w:rPr>
        <w:t>Hanafi, Abdul Mun‘im: AI—Mu ‘jam AI-Falsaﬁ, Beirut, Dar Ibn Zaidun, 1992 M.</w:t>
      </w:r>
    </w:p>
    <w:p>
      <w:pPr>
        <w:pStyle w:val="BookText"/>
        <w:bidi w:val="0"/>
        <w:jc w:val="both"/>
        <w:rPr/>
      </w:pPr>
      <w:r>
        <w:rPr>
          <w:rFonts w:eastAsia="Times New Roman" w:cs="Times New Roman" w:ascii="Times New Roman" w:hAnsi="Times New Roman"/>
          <w:color w:val="111111"/>
          <w:sz w:val="28"/>
          <w:szCs w:val="28"/>
          <w:lang w:val="en-US"/>
        </w:rPr>
        <w:t>Hanafi, Ali bin Abu 'lzz: S_1/arI_1 AI-ﬂaI_mzvi_1/_1/ah f1‘ AI-’Aqfd11t AI- Salaﬁyynlz, revisi Abdurahman Umairah, Riyadh, Maktabah Al- Ma'arif, cet. 2, 1407 HQ.</w:t>
      </w:r>
    </w:p>
    <w:p>
      <w:pPr>
        <w:pStyle w:val="BookText"/>
        <w:bidi w:val="0"/>
        <w:jc w:val="both"/>
        <w:rPr/>
      </w:pPr>
      <w:r>
        <w:rPr>
          <w:rFonts w:eastAsia="Times New Roman" w:cs="Times New Roman" w:ascii="Times New Roman" w:hAnsi="Times New Roman"/>
          <w:color w:val="111111"/>
          <w:sz w:val="28"/>
          <w:szCs w:val="28"/>
          <w:lang w:val="en-US"/>
        </w:rPr>
        <w:t>Hurr Amili, Muhammad bin Hasan: AI-Fawri’id AI-Tﬁsiyyah, Qom, Al- Matba'ah Al-Ilmiyyah, 1403 HQ.</w:t>
      </w:r>
    </w:p>
    <w:p>
      <w:pPr>
        <w:pStyle w:val="BookText"/>
        <w:bidi w:val="0"/>
        <w:jc w:val="both"/>
        <w:rPr/>
      </w:pPr>
      <w:r>
        <w:rPr>
          <w:rFonts w:eastAsia="Times New Roman" w:cs="Times New Roman" w:ascii="Times New Roman" w:hAnsi="Times New Roman"/>
          <w:color w:val="111111"/>
          <w:sz w:val="28"/>
          <w:szCs w:val="28"/>
          <w:lang w:val="en-US"/>
        </w:rPr>
        <w:t>_ : Wasé’iI AI-Syi'nI1, Beirut, Dar Al-Ihya' Al-Turots Al-’Arobi,</w:t>
      </w:r>
    </w:p>
    <w:p>
      <w:pPr>
        <w:pStyle w:val="BookText"/>
        <w:bidi w:val="0"/>
        <w:jc w:val="both"/>
        <w:rPr/>
      </w:pPr>
      <w:r>
        <w:rPr>
          <w:rFonts w:eastAsia="Times New Roman" w:cs="Times New Roman" w:ascii="Times New Roman" w:hAnsi="Times New Roman"/>
          <w:color w:val="111111"/>
          <w:sz w:val="28"/>
          <w:szCs w:val="28"/>
          <w:lang w:val="en-US"/>
        </w:rPr>
        <w:t>Ibnu Abi Ushaibaah: [ZlU_1/tin AI-Anbﬁ' ﬁ 'I7mbnqﬁt AI-Athibbﬁ’, Beirut, Dar Al-Fikr, 1377 HQ.</w:t>
      </w:r>
    </w:p>
    <w:p>
      <w:pPr>
        <w:pStyle w:val="BookText"/>
        <w:bidi w:val="0"/>
        <w:jc w:val="both"/>
        <w:rPr/>
      </w:pPr>
      <w:r>
        <w:rPr>
          <w:rFonts w:eastAsia="Times New Roman" w:cs="Times New Roman" w:ascii="Times New Roman" w:hAnsi="Times New Roman"/>
          <w:color w:val="111111"/>
          <w:sz w:val="28"/>
          <w:szCs w:val="28"/>
          <w:lang w:val="en-US"/>
        </w:rPr>
        <w:t>Ibnu Abil Hadid: Syarh Nnl1jAl-Baltiglztzh, Qom, Mansyuroh Maktabah Ayatullah Al-Uzdma Al-Mar'asyi Al-Najafi, 1404 HQ.</w:t>
      </w:r>
    </w:p>
    <w:p>
      <w:pPr>
        <w:pStyle w:val="BookText"/>
        <w:bidi w:val="0"/>
        <w:jc w:val="both"/>
        <w:rPr/>
      </w:pPr>
      <w:r>
        <w:rPr>
          <w:rFonts w:eastAsia="Times New Roman" w:cs="Times New Roman" w:ascii="Times New Roman" w:hAnsi="Times New Roman"/>
          <w:color w:val="111111"/>
          <w:sz w:val="28"/>
          <w:szCs w:val="28"/>
          <w:lang w:val="en-US"/>
        </w:rPr>
        <w:t>Ibnu Idris Hilli, Muhammad: AI~Snrﬁ'ir, Qom, Al-Nasyr A1-Islami, cet. 2, 1410 HQ.</w:t>
      </w:r>
    </w:p>
    <w:p>
      <w:pPr>
        <w:pStyle w:val="BookText"/>
        <w:bidi w:val="0"/>
        <w:jc w:val="both"/>
        <w:rPr/>
      </w:pPr>
      <w:r>
        <w:rPr>
          <w:rFonts w:eastAsia="Times New Roman" w:cs="Times New Roman" w:ascii="Times New Roman" w:hAnsi="Times New Roman"/>
          <w:color w:val="111111"/>
          <w:sz w:val="28"/>
          <w:szCs w:val="28"/>
          <w:lang w:val="en-US"/>
        </w:rPr>
        <w:t>Ibnu Atsir]azari:Al-Kﬁ11iilﬁAI- Ttirfkh, Beirut, Dar Al-Fikr, 1398 HQ.</w:t>
      </w:r>
    </w:p>
    <w:p>
      <w:pPr>
        <w:pStyle w:val="BookText"/>
        <w:bidi w:val="0"/>
        <w:jc w:val="both"/>
        <w:rPr/>
      </w:pPr>
      <w:r>
        <w:rPr>
          <w:rFonts w:eastAsia="Times New Roman" w:cs="Times New Roman" w:ascii="Times New Roman" w:hAnsi="Times New Roman"/>
          <w:color w:val="111111"/>
          <w:sz w:val="28"/>
          <w:szCs w:val="28"/>
          <w:lang w:val="en-US"/>
        </w:rPr>
        <w:t>Ibnu Turkah, Shainuddin Ali: Tmnlzid Al-Qow(i’id, Tehran, Anjuman Islami I-Iikmat wa Falsafeh Iran, cet. 2, 1360 HS.</w:t>
      </w:r>
    </w:p>
    <w:p>
      <w:pPr>
        <w:pStyle w:val="BookText"/>
        <w:bidi w:val="0"/>
        <w:jc w:val="both"/>
        <w:rPr/>
      </w:pPr>
      <w:r>
        <w:rPr>
          <w:rFonts w:eastAsia="Times New Roman" w:cs="Times New Roman" w:ascii="Times New Roman" w:hAnsi="Times New Roman"/>
          <w:color w:val="111111"/>
          <w:sz w:val="28"/>
          <w:szCs w:val="28"/>
          <w:lang w:val="en-US"/>
        </w:rPr>
        <w:t>Ibnu Jauzi, Abdurrahman: Talbfs Iblfs, Beirut, Dar Kutub A1-’Ilmiyah.</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Ibnu Murtadha, Ahmad bin Yahya: Tobnqcit AI-Mu’tazilnl1, Beirut, Dar Al-Muntazdar, cet. 2, 1409 HQ.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Ibnu Taimiyah, Ahmad: Dar’ TaEJﬁrudI1 AI-Aql wa AI-Nnql, revisi Mu- hammad Rasyad Salim, Al-Riyadh, Dar Al-Kunuz A1-Adabiyah.</w:t>
      </w:r>
    </w:p>
    <w:p>
      <w:pPr>
        <w:pStyle w:val="BookText"/>
        <w:bidi w:val="0"/>
        <w:jc w:val="both"/>
        <w:rPr/>
      </w:pPr>
      <w:r>
        <w:rPr>
          <w:rFonts w:eastAsia="Times New Roman" w:cs="Times New Roman" w:ascii="Times New Roman" w:hAnsi="Times New Roman"/>
          <w:color w:val="111111"/>
          <w:sz w:val="28"/>
          <w:szCs w:val="28"/>
          <w:lang w:val="en-US"/>
        </w:rPr>
        <w:t>Q 2 MnjmLi’al1 AI-Frzhiwri, revisi ’Amir Al-Iazzar 8: Anwar Al-Baz, Al-Riyadh, Dar Al-Wafa’, 1418 HQ.</w:t>
      </w:r>
    </w:p>
    <w:p>
      <w:pPr>
        <w:pStyle w:val="BookText"/>
        <w:bidi w:val="0"/>
        <w:jc w:val="both"/>
        <w:rPr/>
      </w:pPr>
      <w:r>
        <w:rPr>
          <w:rFonts w:eastAsia="Times New Roman" w:cs="Times New Roman" w:ascii="Times New Roman" w:hAnsi="Times New Roman"/>
          <w:color w:val="111111"/>
          <w:sz w:val="28"/>
          <w:szCs w:val="28"/>
          <w:lang w:val="en-US"/>
        </w:rPr>
        <w:t>_: Bughyal1AI-Murttid, revisi Musa Sulaiman, Maktabah Al-’Ulum wa Al-Hikam, cet. 3, 1415 HQ.</w:t>
      </w:r>
    </w:p>
    <w:p>
      <w:pPr>
        <w:pStyle w:val="BookText"/>
        <w:bidi w:val="0"/>
        <w:jc w:val="both"/>
        <w:rPr/>
      </w:pPr>
      <w:r>
        <w:rPr>
          <w:rFonts w:eastAsia="Times New Roman" w:cs="Times New Roman" w:ascii="Times New Roman" w:hAnsi="Times New Roman"/>
          <w:color w:val="111111"/>
          <w:sz w:val="28"/>
          <w:szCs w:val="28"/>
          <w:lang w:val="en-US"/>
        </w:rPr>
        <w:t>__ : Synrﬂ AI-'Aqidat AI-Islifaliriniyyalz, Riyadh, Maktabah Al-Rusyd, 1415 HQ.</w:t>
      </w:r>
    </w:p>
    <w:p>
      <w:pPr>
        <w:pStyle w:val="BookText"/>
        <w:bidi w:val="0"/>
        <w:jc w:val="both"/>
        <w:rPr/>
      </w:pPr>
      <w:r>
        <w:rPr>
          <w:rFonts w:eastAsia="Times New Roman" w:cs="Times New Roman" w:ascii="Times New Roman" w:hAnsi="Times New Roman"/>
          <w:color w:val="111111"/>
          <w:sz w:val="28"/>
          <w:szCs w:val="28"/>
          <w:lang w:val="en-US"/>
        </w:rPr>
        <w:t>lbnu Hajar ’Asqalani: Tnhdzib AI-Talzdzib, Beirut, Dar Shodir.</w:t>
      </w:r>
    </w:p>
    <w:p>
      <w:pPr>
        <w:pStyle w:val="BookText"/>
        <w:bidi w:val="0"/>
        <w:jc w:val="both"/>
        <w:rPr/>
      </w:pPr>
      <w:r>
        <w:rPr>
          <w:rFonts w:eastAsia="Times New Roman" w:cs="Times New Roman" w:ascii="Times New Roman" w:hAnsi="Times New Roman"/>
          <w:color w:val="111111"/>
          <w:sz w:val="28"/>
          <w:szCs w:val="28"/>
          <w:lang w:val="en-US"/>
        </w:rPr>
        <w:t>Ibnu Hazm Andalusi: AI-Fadhl fi A!-Milal wa AI-Ahwri’ wn Al—NiI_mI, Beirut, Dar Shodir.</w:t>
      </w:r>
    </w:p>
    <w:p>
      <w:pPr>
        <w:pStyle w:val="BookText"/>
        <w:bidi w:val="0"/>
        <w:jc w:val="both"/>
        <w:rPr/>
      </w:pPr>
      <w:r>
        <w:rPr>
          <w:rFonts w:eastAsia="Times New Roman" w:cs="Times New Roman" w:ascii="Times New Roman" w:hAnsi="Times New Roman"/>
          <w:color w:val="111111"/>
          <w:sz w:val="28"/>
          <w:szCs w:val="28"/>
          <w:lang w:val="en-US"/>
        </w:rPr>
        <w:t>j : AI-Mulmllé bi Al-Atsrir, revisi Abdul Ghaffar Sulaiman A1- Baghdadi, Beirut, Dar Al-Kutub Al-Ilmiyyah, 1408 HQ.</w:t>
      </w:r>
    </w:p>
    <w:p>
      <w:pPr>
        <w:pStyle w:val="BookText"/>
        <w:bidi w:val="0"/>
        <w:jc w:val="both"/>
        <w:rPr/>
      </w:pPr>
      <w:r>
        <w:rPr>
          <w:rFonts w:eastAsia="Times New Roman" w:cs="Times New Roman" w:ascii="Times New Roman" w:hAnsi="Times New Roman"/>
          <w:color w:val="111111"/>
          <w:sz w:val="28"/>
          <w:szCs w:val="28"/>
          <w:lang w:val="en-US"/>
        </w:rPr>
        <w:t>j :Rosﬁ’iI Ibn Hnzm Al-Andalusi, revisi Ihsan Abbas, Beirut, Al- Mua'ssasah Al-”Arobiyyah li Al-Dirosat wa Al-Nasyr, 1987 HQ.</w:t>
      </w:r>
    </w:p>
    <w:p>
      <w:pPr>
        <w:pStyle w:val="BookText"/>
        <w:bidi w:val="0"/>
        <w:jc w:val="both"/>
        <w:rPr/>
      </w:pPr>
      <w:r>
        <w:rPr>
          <w:rFonts w:eastAsia="Times New Roman" w:cs="Times New Roman" w:ascii="Times New Roman" w:hAnsi="Times New Roman"/>
          <w:color w:val="111111"/>
          <w:sz w:val="28"/>
          <w:szCs w:val="28"/>
          <w:lang w:val="en-US"/>
        </w:rPr>
        <w:t>Ibnu Hanbal, Ahmad: Dri'irot AI-Ma’rinfAI-Islzimiyynlz, Dar Al-Fikr.</w:t>
      </w:r>
    </w:p>
    <w:p>
      <w:pPr>
        <w:pStyle w:val="BookText"/>
        <w:bidi w:val="0"/>
        <w:jc w:val="both"/>
        <w:rPr/>
      </w:pPr>
      <w:r>
        <w:rPr>
          <w:rFonts w:eastAsia="Times New Roman" w:cs="Times New Roman" w:ascii="Times New Roman" w:hAnsi="Times New Roman"/>
          <w:color w:val="111111"/>
          <w:sz w:val="28"/>
          <w:szCs w:val="28"/>
          <w:lang w:val="en-US"/>
        </w:rPr>
        <w:t>j : AI-’Aqfdnh, revisi Abdul Aziz Izzuddin, Damaskus, Dar Qutai- bah, 1408 HQ.</w:t>
      </w:r>
    </w:p>
    <w:p>
      <w:pPr>
        <w:pStyle w:val="BookText"/>
        <w:bidi w:val="0"/>
        <w:jc w:val="both"/>
        <w:rPr/>
      </w:pPr>
      <w:r>
        <w:rPr>
          <w:rFonts w:eastAsia="Times New Roman" w:cs="Times New Roman" w:ascii="Times New Roman" w:hAnsi="Times New Roman"/>
          <w:color w:val="111111"/>
          <w:sz w:val="28"/>
          <w:szCs w:val="28"/>
          <w:lang w:val="en-US"/>
        </w:rPr>
        <w:t>Ibnu Khuzaimah, Muhammad bin Ishaq:Al-TauhfdwaItsbtitSl1MitAI- Robb ’Azza wa Ialln, Beirut, Dar Al-Kutub Al-Ilmiyyah, 1412 HQ.</w:t>
      </w:r>
    </w:p>
    <w:p>
      <w:pPr>
        <w:pStyle w:val="BookText"/>
        <w:bidi w:val="0"/>
        <w:jc w:val="both"/>
        <w:rPr/>
      </w:pPr>
      <w:r>
        <w:rPr>
          <w:rFonts w:eastAsia="Times New Roman" w:cs="Times New Roman" w:ascii="Times New Roman" w:hAnsi="Times New Roman"/>
          <w:color w:val="111111"/>
          <w:sz w:val="28"/>
          <w:szCs w:val="28"/>
          <w:lang w:val="en-US"/>
        </w:rPr>
        <w:t>Ibnu Khaldun, Abdurrahman: Trirfkh Ibn Klialdtin, Beirut, Dar Al-Kutub Al-Ilmiyyah, 1412 HQ.</w:t>
      </w:r>
    </w:p>
    <w:p>
      <w:pPr>
        <w:pStyle w:val="BookText"/>
        <w:bidi w:val="0"/>
        <w:jc w:val="both"/>
        <w:rPr/>
      </w:pPr>
      <w:r>
        <w:rPr>
          <w:rFonts w:eastAsia="Times New Roman" w:cs="Times New Roman" w:ascii="Times New Roman" w:hAnsi="Times New Roman"/>
          <w:color w:val="111111"/>
          <w:sz w:val="28"/>
          <w:szCs w:val="28"/>
          <w:lang w:val="en-US"/>
        </w:rPr>
        <w:t>j : Muqaddimat Ibn Kholdiin, Beirut, Dar Ihya’ Al-Turots Al-’Arobi, 1408 HQ.</w:t>
      </w:r>
    </w:p>
    <w:p>
      <w:pPr>
        <w:pStyle w:val="BookText"/>
        <w:bidi w:val="0"/>
        <w:jc w:val="both"/>
        <w:rPr/>
      </w:pPr>
      <w:r>
        <w:rPr>
          <w:rFonts w:eastAsia="Times New Roman" w:cs="Times New Roman" w:ascii="Times New Roman" w:hAnsi="Times New Roman"/>
          <w:color w:val="111111"/>
          <w:sz w:val="28"/>
          <w:szCs w:val="28"/>
          <w:lang w:val="en-US"/>
        </w:rPr>
        <w:t>Ibnu Khalkan, Ahmad: Wufayrit Al-A’yrin, revisi Ihsan Abbas, Qom, Mansyurot AI-Syarif Al-Rodhi, cet. 2, 1364 HS.</w:t>
      </w:r>
    </w:p>
    <w:p>
      <w:pPr>
        <w:pStyle w:val="BookText"/>
        <w:bidi w:val="0"/>
        <w:jc w:val="both"/>
        <w:rPr/>
      </w:pPr>
      <w:r>
        <w:rPr>
          <w:rFonts w:eastAsia="Times New Roman" w:cs="Times New Roman" w:ascii="Times New Roman" w:hAnsi="Times New Roman"/>
          <w:color w:val="111111"/>
          <w:sz w:val="28"/>
          <w:szCs w:val="28"/>
          <w:lang w:val="en-US"/>
        </w:rPr>
        <w:t>Ibnu Rusyd, Muhammad: Fnshl AI-Maqﬁl ji rm? Brain Al-S_1/arz"'aI1 ma AI—ﬁikmali min AI-Ittishril, (dicetak dengan kitab Al-Kasyf ‘an Manahij A1-Adillah fi ’Aqa’id Al-Millah), Beirut, Maktabah Al- Qurbiyyah, 1987 M.</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Ibnu Sina, Husain bin Abdillahz Al-Isytirtit wa AI-Tanbihﬁt, comentar </w:t>
      </w:r>
    </w:p>
    <w:p>
      <w:pPr>
        <w:pStyle w:val="BookText"/>
        <w:bidi w:val="0"/>
        <w:rPr/>
      </w:pPr>
      <w:r>
        <w:rPr>
          <w:rFonts w:eastAsia="Times New Roman" w:cs="Times New Roman" w:ascii="Times New Roman" w:hAnsi="Times New Roman"/>
          <w:color w:val="111111"/>
          <w:sz w:val="28"/>
          <w:szCs w:val="28"/>
          <w:lang w:val="en-US"/>
        </w:rPr>
        <w:t>Daftar Pustaka</w:t>
      </w:r>
    </w:p>
    <w:p>
      <w:pPr>
        <w:pStyle w:val="BookText"/>
        <w:bidi w:val="0"/>
        <w:jc w:val="both"/>
        <w:rPr/>
      </w:pPr>
      <w:r>
        <w:rPr>
          <w:rFonts w:eastAsia="Times New Roman" w:cs="Times New Roman" w:ascii="Times New Roman" w:hAnsi="Times New Roman"/>
          <w:color w:val="111111"/>
          <w:sz w:val="28"/>
          <w:szCs w:val="28"/>
          <w:lang w:val="en-US"/>
        </w:rPr>
        <w:t>Nashirucldin Thusi, Beirut, Muassasah Al-Nu’man, cet. 2, 1413 HQ.</w:t>
      </w:r>
    </w:p>
    <w:p>
      <w:pPr>
        <w:pStyle w:val="BookText"/>
        <w:bidi w:val="0"/>
        <w:jc w:val="both"/>
        <w:rPr/>
      </w:pPr>
      <w:r>
        <w:rPr>
          <w:rFonts w:eastAsia="Times New Roman" w:cs="Times New Roman" w:ascii="Times New Roman" w:hAnsi="Times New Roman"/>
          <w:color w:val="111111"/>
          <w:sz w:val="28"/>
          <w:szCs w:val="28"/>
          <w:lang w:val="en-US"/>
        </w:rPr>
        <w:t>j : A]-Rosa’il, Qom, Bidor.</w:t>
      </w:r>
    </w:p>
    <w:p>
      <w:pPr>
        <w:pStyle w:val="BookText"/>
        <w:bidi w:val="0"/>
        <w:jc w:val="both"/>
        <w:rPr/>
      </w:pPr>
      <w:r>
        <w:rPr>
          <w:rFonts w:eastAsia="Times New Roman" w:cs="Times New Roman" w:ascii="Times New Roman" w:hAnsi="Times New Roman"/>
          <w:color w:val="111111"/>
          <w:sz w:val="28"/>
          <w:szCs w:val="28"/>
          <w:lang w:val="en-US"/>
        </w:rPr>
        <w:t>Ibnu Arabi, Muhyiddin: Kitﬁb Al-Mu‘rifah, revisi Said Abdul Fatih, Paris &amp; Beirut, Dar Al-Mutanabbi, 1993 M.</w:t>
      </w:r>
    </w:p>
    <w:p>
      <w:pPr>
        <w:pStyle w:val="BookText"/>
        <w:bidi w:val="0"/>
        <w:jc w:val="both"/>
        <w:rPr/>
      </w:pPr>
      <w:r>
        <w:rPr>
          <w:rFonts w:eastAsia="Times New Roman" w:cs="Times New Roman" w:ascii="Times New Roman" w:hAnsi="Times New Roman"/>
          <w:color w:val="111111"/>
          <w:sz w:val="28"/>
          <w:szCs w:val="28"/>
          <w:lang w:val="en-US"/>
        </w:rPr>
        <w:t>Ibnu Asakir: Tab}/$11 Kidzb Al-Muftrm‘, Beirut, Dar Al-Jil, 1416 HQ.</w:t>
      </w:r>
    </w:p>
    <w:p>
      <w:pPr>
        <w:pStyle w:val="BookText"/>
        <w:bidi w:val="0"/>
        <w:jc w:val="both"/>
        <w:rPr/>
      </w:pPr>
      <w:r>
        <w:rPr>
          <w:rFonts w:eastAsia="Times New Roman" w:cs="Times New Roman" w:ascii="Times New Roman" w:hAnsi="Times New Roman"/>
          <w:color w:val="111111"/>
          <w:sz w:val="28"/>
          <w:szCs w:val="28"/>
          <w:lang w:val="en-US"/>
        </w:rPr>
        <w:t>Ibnu Jauzi, Qayim: MiﬂﬁI_z Dﬁr AI—Sa’ﬁdalz, Cairo, Dar Al-Hadits, 1414 HQ.</w:t>
      </w:r>
    </w:p>
    <w:p>
      <w:pPr>
        <w:pStyle w:val="BookText"/>
        <w:bidi w:val="0"/>
        <w:jc w:val="both"/>
        <w:rPr/>
      </w:pPr>
      <w:r>
        <w:rPr>
          <w:rFonts w:eastAsia="Times New Roman" w:cs="Times New Roman" w:ascii="Times New Roman" w:hAnsi="Times New Roman"/>
          <w:color w:val="111111"/>
          <w:sz w:val="28"/>
          <w:szCs w:val="28"/>
          <w:lang w:val="en-US"/>
        </w:rPr>
        <w:t>j : Mukhtaslmr AI-Shawz?’iq AI-Mursalah ‘alt? AI-]aInm'y_1/ah wt: Al- Mu’atI1tI1iIalz, revisi Sayid Ibrahlm, Cairo, Dar Al-Hadits, 1412 HQ.</w:t>
      </w:r>
    </w:p>
    <w:p>
      <w:pPr>
        <w:pStyle w:val="BookText"/>
        <w:bidi w:val="0"/>
        <w:jc w:val="both"/>
        <w:rPr/>
      </w:pPr>
      <w:r>
        <w:rPr>
          <w:rFonts w:eastAsia="Times New Roman" w:cs="Times New Roman" w:ascii="Times New Roman" w:hAnsi="Times New Roman"/>
          <w:color w:val="111111"/>
          <w:sz w:val="28"/>
          <w:szCs w:val="28"/>
          <w:lang w:val="en-US"/>
        </w:rPr>
        <w:t>Ibnu Katsir Al-Damsyiqi: AI-Bidﬁyah wn Al-Nilrtiynlt, Beirut, Dar Ihya' Al-Turats Al-’Arobi.</w:t>
      </w:r>
    </w:p>
    <w:p>
      <w:pPr>
        <w:pStyle w:val="BookText"/>
        <w:bidi w:val="0"/>
        <w:jc w:val="both"/>
        <w:rPr/>
      </w:pPr>
      <w:r>
        <w:rPr>
          <w:rFonts w:eastAsia="Times New Roman" w:cs="Times New Roman" w:ascii="Times New Roman" w:hAnsi="Times New Roman"/>
          <w:color w:val="111111"/>
          <w:sz w:val="28"/>
          <w:szCs w:val="28"/>
          <w:lang w:val="en-US"/>
        </w:rPr>
        <w:t>Ibnu Maimun, Musa: Dalrilat AI-Hr3’ir1‘n, revisi Husain Anay, Ankara, Maktabah Al-Tsaqofah A1-Diniyyah.</w:t>
      </w:r>
    </w:p>
    <w:p>
      <w:pPr>
        <w:pStyle w:val="BookText"/>
        <w:bidi w:val="0"/>
        <w:jc w:val="both"/>
        <w:rPr/>
      </w:pPr>
      <w:r>
        <w:rPr>
          <w:rFonts w:eastAsia="Times New Roman" w:cs="Times New Roman" w:ascii="Times New Roman" w:hAnsi="Times New Roman"/>
          <w:color w:val="111111"/>
          <w:sz w:val="28"/>
          <w:szCs w:val="28"/>
          <w:lang w:val="en-US"/>
        </w:rPr>
        <w:t>Ibrahlm Hasan, Hasan: Tarikh Al—Islam, cet. 7, 1964 M.</w:t>
      </w:r>
    </w:p>
    <w:p>
      <w:pPr>
        <w:pStyle w:val="BookText"/>
        <w:bidi w:val="0"/>
        <w:jc w:val="both"/>
        <w:rPr/>
      </w:pPr>
      <w:r>
        <w:rPr>
          <w:rFonts w:eastAsia="Times New Roman" w:cs="Times New Roman" w:ascii="Times New Roman" w:hAnsi="Times New Roman"/>
          <w:color w:val="111111"/>
          <w:sz w:val="28"/>
          <w:szCs w:val="28"/>
          <w:lang w:val="en-US"/>
        </w:rPr>
        <w:t>Ishbahani, Hafizd Abu Nuaim: Hilyat AI-Awliyﬁ’, Beirut, Dar Al-Kitab Al-’Arobi, cat. 5, 1407 HQ.</w:t>
      </w:r>
    </w:p>
    <w:p>
      <w:pPr>
        <w:pStyle w:val="BookText"/>
        <w:bidi w:val="0"/>
        <w:jc w:val="both"/>
        <w:rPr/>
      </w:pPr>
      <w:r>
        <w:rPr>
          <w:rFonts w:eastAsia="Times New Roman" w:cs="Times New Roman" w:ascii="Times New Roman" w:hAnsi="Times New Roman"/>
          <w:color w:val="111111"/>
          <w:sz w:val="28"/>
          <w:szCs w:val="28"/>
          <w:lang w:val="en-US"/>
        </w:rPr>
        <w:t>Jaidi, Umar: AI—Tasyrt" AI-Islﬁmt‘: Uslnilulzu wa Maqﬁslziduhu, Al-Dar Al- Baidho’, Mansyurot ’Ukazd, 1408 HQ,</w:t>
      </w:r>
    </w:p>
    <w:p>
      <w:pPr>
        <w:pStyle w:val="BookText"/>
        <w:bidi w:val="0"/>
        <w:jc w:val="both"/>
        <w:rPr/>
      </w:pPr>
      <w:r>
        <w:rPr>
          <w:rFonts w:eastAsia="Times New Roman" w:cs="Times New Roman" w:ascii="Times New Roman" w:hAnsi="Times New Roman"/>
          <w:color w:val="111111"/>
          <w:sz w:val="28"/>
          <w:szCs w:val="28"/>
          <w:lang w:val="en-US"/>
        </w:rPr>
        <w:t>Jami, Muhammad Aman: AI—Slnfﬁt Al—IIzilziyyal1ﬁAI-Kittib wa Al—Szmm1t AI-Nnbawi_1/_1/ah, Beirut, Dar Al-Taqwa.</w:t>
      </w:r>
    </w:p>
    <w:p>
      <w:pPr>
        <w:pStyle w:val="BookText"/>
        <w:bidi w:val="0"/>
        <w:jc w:val="both"/>
        <w:rPr/>
      </w:pPr>
      <w:r>
        <w:rPr>
          <w:rFonts w:eastAsia="Times New Roman" w:cs="Times New Roman" w:ascii="Times New Roman" w:hAnsi="Times New Roman"/>
          <w:color w:val="111111"/>
          <w:sz w:val="28"/>
          <w:szCs w:val="28"/>
          <w:lang w:val="en-US"/>
        </w:rPr>
        <w:t>Jauzu, Muhammad Ali: Mnﬂnim AI-’AqI wa AI-Qalbﬁ Alqurtm wt: Al- Smmah, Beirut, Dar A1-Qolam li A1-Malayin, 1980 M.</w:t>
      </w:r>
    </w:p>
    <w:p>
      <w:pPr>
        <w:pStyle w:val="BookText"/>
        <w:bidi w:val="0"/>
        <w:jc w:val="both"/>
        <w:rPr/>
      </w:pPr>
      <w:r>
        <w:rPr>
          <w:rFonts w:eastAsia="Times New Roman" w:cs="Times New Roman" w:ascii="Times New Roman" w:hAnsi="Times New Roman"/>
          <w:color w:val="111111"/>
          <w:sz w:val="28"/>
          <w:szCs w:val="28"/>
          <w:lang w:val="en-US"/>
        </w:rPr>
        <w:t>Kadzimi Khurasani, Muhammad Ali: I-'nwzi'id Al-Usluilr min Ifridtit AI- Nﬁ’1‘nf, komentar Agha Dhiyauddin Iraki, Qom, Muassasah Al- Nasyr Al-Islami, 1406 HQ.</w:t>
      </w:r>
    </w:p>
    <w:p>
      <w:pPr>
        <w:pStyle w:val="BookText"/>
        <w:bidi w:val="0"/>
        <w:jc w:val="both"/>
        <w:rPr/>
      </w:pPr>
      <w:r>
        <w:rPr>
          <w:rFonts w:eastAsia="Times New Roman" w:cs="Times New Roman" w:ascii="Times New Roman" w:hAnsi="Times New Roman"/>
          <w:color w:val="111111"/>
          <w:sz w:val="28"/>
          <w:szCs w:val="28"/>
          <w:lang w:val="en-US"/>
        </w:rPr>
        <w:t>Kalantari, Abu] Qasim: Mnt_hﬁrih Al-Anzdﬁr: Tuqr1‘rAI-Syaikh Al-Anshﬁrf, Qom, Muassasah Al Al-Bait, 1404 HQ.</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Karam, Yusuf: Tﬁrfklz Al-Falsafnt Al-Urﬁbiyynlz ﬁ‘ AI-Aslzr AI-Wasfj, Beirut, Dar Al-Qolam, 1979 HQ.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Khalili, ]a’far: Mnusz?’at AI-’Atal7ﬁt Al-Muqaddusalz, Beirut, Muassa-sah Al-A’lami li Al-Matbu’at, cet. 2, 1407 HQ.</w:t>
      </w:r>
    </w:p>
    <w:p>
      <w:pPr>
        <w:pStyle w:val="BookText"/>
        <w:bidi w:val="0"/>
        <w:jc w:val="both"/>
        <w:rPr/>
      </w:pPr>
      <w:r>
        <w:rPr>
          <w:rFonts w:eastAsia="Times New Roman" w:cs="Times New Roman" w:ascii="Times New Roman" w:hAnsi="Times New Roman"/>
          <w:color w:val="111111"/>
          <w:sz w:val="28"/>
          <w:szCs w:val="28"/>
          <w:lang w:val="en-US"/>
        </w:rPr>
        <w:t>Khasyt, Muhammad Utsman: Falsafnlz Al—Dfnfi Dhow Ta’wz‘l ]adz‘dl1‘Al- Naqdiy}/nl1AI-Kantiy_I/ah, Cairo, Dar Ghuraib.</w:t>
      </w:r>
    </w:p>
    <w:p>
      <w:pPr>
        <w:pStyle w:val="BookText"/>
        <w:bidi w:val="0"/>
        <w:jc w:val="both"/>
        <w:rPr/>
      </w:pPr>
      <w:r>
        <w:rPr>
          <w:rFonts w:eastAsia="Times New Roman" w:cs="Times New Roman" w:ascii="Times New Roman" w:hAnsi="Times New Roman"/>
          <w:color w:val="111111"/>
          <w:sz w:val="28"/>
          <w:szCs w:val="28"/>
          <w:lang w:val="en-US"/>
        </w:rPr>
        <w:t>Khatib Baghdadi, Ahmad bin Ali: Tﬁrikh Bnghdzid, Mesir, Matba’ah A1- Sa’adah, 1349 HQ.</w:t>
      </w:r>
    </w:p>
    <w:p>
      <w:pPr>
        <w:pStyle w:val="BookText"/>
        <w:bidi w:val="0"/>
        <w:jc w:val="both"/>
        <w:rPr/>
      </w:pPr>
      <w:r>
        <w:rPr>
          <w:rFonts w:eastAsia="Times New Roman" w:cs="Times New Roman" w:ascii="Times New Roman" w:hAnsi="Times New Roman"/>
          <w:color w:val="111111"/>
          <w:sz w:val="28"/>
          <w:szCs w:val="28"/>
          <w:lang w:val="en-US"/>
        </w:rPr>
        <w:t>Khurasani, Muhammad Kadzim: S_1/arl_1 Fzmi’id AI—LIsh1il, Qom, Bashirati.</w:t>
      </w:r>
    </w:p>
    <w:p>
      <w:pPr>
        <w:pStyle w:val="BookText"/>
        <w:bidi w:val="0"/>
        <w:jc w:val="both"/>
        <w:rPr/>
      </w:pPr>
      <w:r>
        <w:rPr>
          <w:rFonts w:eastAsia="Times New Roman" w:cs="Times New Roman" w:ascii="Times New Roman" w:hAnsi="Times New Roman"/>
          <w:color w:val="111111"/>
          <w:sz w:val="28"/>
          <w:szCs w:val="28"/>
          <w:lang w:val="en-US"/>
        </w:rPr>
        <w:t>Kualini, Muhammad bin Ya’qub: AI-Kriﬁ, Tehran, Dar Al-Kutub Al- Islamiyyah.</w:t>
      </w:r>
    </w:p>
    <w:p>
      <w:pPr>
        <w:pStyle w:val="BookText"/>
        <w:bidi w:val="0"/>
        <w:jc w:val="both"/>
        <w:rPr/>
      </w:pPr>
      <w:r>
        <w:rPr>
          <w:rFonts w:eastAsia="Times New Roman" w:cs="Times New Roman" w:ascii="Times New Roman" w:hAnsi="Times New Roman"/>
          <w:color w:val="111111"/>
          <w:sz w:val="28"/>
          <w:szCs w:val="28"/>
          <w:lang w:val="en-US"/>
        </w:rPr>
        <w:t>Ma'arri, Abul Ala’: Rosﬁ’iI Abf AI-‘Ala’ AI-Ma'arri, Beirut, ’Alam Al- Kutub, cet. 3, 1404 HQ.</w:t>
      </w:r>
    </w:p>
    <w:p>
      <w:pPr>
        <w:pStyle w:val="BookText"/>
        <w:bidi w:val="0"/>
        <w:jc w:val="both"/>
        <w:rPr/>
      </w:pPr>
      <w:r>
        <w:rPr>
          <w:rFonts w:eastAsia="Times New Roman" w:cs="Times New Roman" w:ascii="Times New Roman" w:hAnsi="Times New Roman"/>
          <w:color w:val="111111"/>
          <w:sz w:val="28"/>
          <w:szCs w:val="28"/>
          <w:lang w:val="en-US"/>
        </w:rPr>
        <w:t>j : Siq! AI-Zand, dikomentari oleh Ahmad Syamsuddin, Beirut, Dar Al-Kutub Al-'Ilmiyyah, 1410 HQ.</w:t>
      </w:r>
    </w:p>
    <w:p>
      <w:pPr>
        <w:pStyle w:val="BookText"/>
        <w:bidi w:val="0"/>
        <w:jc w:val="both"/>
        <w:rPr/>
      </w:pPr>
      <w:r>
        <w:rPr>
          <w:rFonts w:eastAsia="Times New Roman" w:cs="Times New Roman" w:ascii="Times New Roman" w:hAnsi="Times New Roman"/>
          <w:color w:val="111111"/>
          <w:sz w:val="28"/>
          <w:szCs w:val="28"/>
          <w:lang w:val="en-US"/>
        </w:rPr>
        <w:t>_ : Luzzim mri Izi Ynlznm, komentar Nadim Adiy, Damaskus, Dar Tolas, cet. 2, 1988 M.</w:t>
      </w:r>
    </w:p>
    <w:p>
      <w:pPr>
        <w:pStyle w:val="BookText"/>
        <w:bidi w:val="0"/>
        <w:jc w:val="both"/>
        <w:rPr/>
      </w:pPr>
      <w:r>
        <w:rPr>
          <w:rFonts w:eastAsia="Times New Roman" w:cs="Times New Roman" w:ascii="Times New Roman" w:hAnsi="Times New Roman"/>
          <w:color w:val="111111"/>
          <w:sz w:val="28"/>
          <w:szCs w:val="28"/>
          <w:lang w:val="en-US"/>
        </w:rPr>
        <w:t>Madani, Shaleh: IbnAl-Thufail:Qodl16yti wa Mawziqiﬁ Baghdad, Dar Al- Rosyid, 1980 M.</w:t>
      </w:r>
    </w:p>
    <w:p>
      <w:pPr>
        <w:pStyle w:val="BookText"/>
        <w:bidi w:val="0"/>
        <w:jc w:val="both"/>
        <w:rPr/>
      </w:pPr>
      <w:r>
        <w:rPr>
          <w:rFonts w:eastAsia="Times New Roman" w:cs="Times New Roman" w:ascii="Times New Roman" w:hAnsi="Times New Roman"/>
          <w:color w:val="111111"/>
          <w:sz w:val="28"/>
          <w:szCs w:val="28"/>
          <w:lang w:val="en-US"/>
        </w:rPr>
        <w:t>Maghribi, Ali Abdul Faffah: Dirasat ’AqIi_1/yah wa Rﬁlziyyalz Al-Falsafat AI-Ishlmiyynlz, Cairo, Maktabah Wahbah, 1415 HQ.</w:t>
      </w:r>
    </w:p>
    <w:p>
      <w:pPr>
        <w:pStyle w:val="BookText"/>
        <w:bidi w:val="0"/>
        <w:jc w:val="both"/>
        <w:rPr/>
      </w:pPr>
      <w:r>
        <w:rPr>
          <w:rFonts w:eastAsia="Times New Roman" w:cs="Times New Roman" w:ascii="Times New Roman" w:hAnsi="Times New Roman"/>
          <w:color w:val="111111"/>
          <w:sz w:val="28"/>
          <w:szCs w:val="28"/>
          <w:lang w:val="en-US"/>
        </w:rPr>
        <w:t>Mahmud, Abdul Halim: Falsafah Ibn AI-Tlzufail wa Riszilatuhu ﬂat/y bin Ynqzdtin, Beirut, AI-Syirkah Al-’Alamiyyah li AI-Kitab, 1987 M.</w:t>
      </w:r>
    </w:p>
    <w:p>
      <w:pPr>
        <w:pStyle w:val="BookText"/>
        <w:bidi w:val="0"/>
        <w:jc w:val="both"/>
        <w:rPr/>
      </w:pPr>
      <w:r>
        <w:rPr>
          <w:rFonts w:eastAsia="Times New Roman" w:cs="Times New Roman" w:ascii="Times New Roman" w:hAnsi="Times New Roman"/>
          <w:color w:val="111111"/>
          <w:sz w:val="28"/>
          <w:szCs w:val="28"/>
          <w:lang w:val="en-US"/>
        </w:rPr>
        <w:t>Mahmud, Abdul Karim: AI-lslﬁm wa AI-’Aql, Cairo, Dar Al-Ma'arif, cet. 3.</w:t>
      </w:r>
    </w:p>
    <w:p>
      <w:pPr>
        <w:pStyle w:val="BookText"/>
        <w:bidi w:val="0"/>
        <w:jc w:val="both"/>
        <w:rPr/>
      </w:pPr>
      <w:r>
        <w:rPr>
          <w:rFonts w:eastAsia="Times New Roman" w:cs="Times New Roman" w:ascii="Times New Roman" w:hAnsi="Times New Roman"/>
          <w:color w:val="111111"/>
          <w:sz w:val="28"/>
          <w:szCs w:val="28"/>
          <w:lang w:val="en-US"/>
        </w:rPr>
        <w:t>Mahmud Khudhairi, Zainab: Atsar Ibn Rusyd _ﬁ Fnlsafzt AI-’Uslu?r AI- Wusgé, Beirut, Dar AI-tanwir, cet. 2, 1985 M.</w:t>
      </w:r>
    </w:p>
    <w:p>
      <w:pPr>
        <w:pStyle w:val="BookText"/>
        <w:bidi w:val="0"/>
        <w:jc w:val="both"/>
        <w:rPr/>
      </w:pPr>
      <w:r>
        <w:rPr>
          <w:rFonts w:eastAsia="Times New Roman" w:cs="Times New Roman" w:ascii="Times New Roman" w:hAnsi="Times New Roman"/>
          <w:color w:val="111111"/>
          <w:sz w:val="28"/>
          <w:szCs w:val="28"/>
          <w:lang w:val="en-US"/>
        </w:rPr>
        <w:t>Majlisi, Muhammad Baqir: Bil_ztir AI-Anwﬁr, Beirut, Dar lhya' Al-Turots Al-’Arobi, cet. 2, 1403 HQ.</w:t>
      </w:r>
    </w:p>
    <w:p>
      <w:pPr>
        <w:pStyle w:val="BookText"/>
        <w:bidi w:val="0"/>
        <w:jc w:val="both"/>
        <w:rPr/>
      </w:pPr>
      <w:r>
        <w:rPr>
          <w:rFonts w:eastAsia="Times New Roman" w:cs="Times New Roman" w:ascii="Times New Roman" w:hAnsi="Times New Roman"/>
          <w:color w:val="111111"/>
          <w:sz w:val="28"/>
          <w:szCs w:val="28"/>
          <w:lang w:val="en-US"/>
        </w:rPr>
        <w:t>Mas’ud, Michael: LIdabri’AI-Fnltisifah, Beirut, Dar A1-’Ilm li Al-Malayin, 1993 M.</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MausLi'at AI-Fiqh AI-Islrimi (Mnusﬂ ’al1 Iamzil Abd AI-Nzishir AI-Fiql1i_1/_1/nlz), </w:t>
      </w:r>
    </w:p>
    <w:p>
      <w:pPr>
        <w:pStyle w:val="BookText"/>
        <w:bidi w:val="0"/>
        <w:rPr/>
      </w:pPr>
      <w:r>
        <w:rPr>
          <w:rFonts w:eastAsia="Times New Roman" w:cs="Times New Roman" w:ascii="Times New Roman" w:hAnsi="Times New Roman"/>
          <w:color w:val="111111"/>
          <w:sz w:val="28"/>
          <w:szCs w:val="28"/>
          <w:lang w:val="en-US"/>
        </w:rPr>
        <w:t>Daftar Pustaka</w:t>
      </w:r>
    </w:p>
    <w:p>
      <w:pPr>
        <w:pStyle w:val="BookText"/>
        <w:bidi w:val="0"/>
        <w:jc w:val="both"/>
        <w:rPr/>
      </w:pPr>
      <w:r>
        <w:rPr>
          <w:rFonts w:eastAsia="Times New Roman" w:cs="Times New Roman" w:ascii="Times New Roman" w:hAnsi="Times New Roman"/>
          <w:color w:val="111111"/>
          <w:sz w:val="28"/>
          <w:szCs w:val="28"/>
          <w:lang w:val="en-US"/>
        </w:rPr>
        <w:t>Cairo, Al-Majlis Al-A’la li Al-Syu’un Al-Islamiyyah, 1410 HQ. Maus12’at AI—I&lt;z'trib AI-Muqaddas, Dar Manhal Al-Hayah, 1993 M. Miqrizi, Ahmad bin Ali: Al-Klmtlmth Al-Miqrfziyynlz, Lebanon, Dar Al-</w:t>
      </w:r>
    </w:p>
    <w:p>
      <w:pPr>
        <w:pStyle w:val="BookText"/>
        <w:bidi w:val="0"/>
        <w:jc w:val="both"/>
        <w:rPr/>
      </w:pPr>
      <w:r>
        <w:rPr>
          <w:rFonts w:eastAsia="Times New Roman" w:cs="Times New Roman" w:ascii="Times New Roman" w:hAnsi="Times New Roman"/>
          <w:color w:val="111111"/>
          <w:sz w:val="28"/>
          <w:szCs w:val="28"/>
          <w:lang w:val="en-US"/>
        </w:rPr>
        <w:t>Irfan, 1959 M.</w:t>
      </w:r>
    </w:p>
    <w:p>
      <w:pPr>
        <w:pStyle w:val="BookText"/>
        <w:bidi w:val="0"/>
        <w:jc w:val="both"/>
        <w:rPr/>
      </w:pPr>
      <w:r>
        <w:rPr>
          <w:rFonts w:eastAsia="Times New Roman" w:cs="Times New Roman" w:ascii="Times New Roman" w:hAnsi="Times New Roman"/>
          <w:color w:val="111111"/>
          <w:sz w:val="28"/>
          <w:szCs w:val="28"/>
          <w:lang w:val="en-US"/>
        </w:rPr>
        <w:t>Mudzaffar, Muhammad Ridha: Usluil AI-Fiqh, Nastr Donesy Islami,</w:t>
      </w:r>
    </w:p>
    <w:p>
      <w:pPr>
        <w:pStyle w:val="BookText"/>
        <w:bidi w:val="0"/>
        <w:jc w:val="both"/>
        <w:rPr/>
      </w:pPr>
      <w:r>
        <w:rPr>
          <w:rFonts w:eastAsia="Times New Roman" w:cs="Times New Roman" w:ascii="Times New Roman" w:hAnsi="Times New Roman"/>
          <w:color w:val="111111"/>
          <w:sz w:val="28"/>
          <w:szCs w:val="28"/>
          <w:lang w:val="en-US"/>
        </w:rPr>
        <w:t>1405 HQ.</w:t>
      </w:r>
    </w:p>
    <w:p>
      <w:pPr>
        <w:pStyle w:val="BookText"/>
        <w:bidi w:val="0"/>
        <w:jc w:val="both"/>
        <w:rPr/>
      </w:pPr>
      <w:r>
        <w:rPr>
          <w:rFonts w:eastAsia="Times New Roman" w:cs="Times New Roman" w:ascii="Times New Roman" w:hAnsi="Times New Roman"/>
          <w:color w:val="111111"/>
          <w:sz w:val="28"/>
          <w:szCs w:val="28"/>
          <w:lang w:val="en-US"/>
        </w:rPr>
        <w:t>Mughniyah, Muhammad Jawad: ’Aqli_1/_1/(it Isltimiyyalr, Beirut, Muassasah ’Izzuddin, 1414 HQ.</w:t>
      </w:r>
    </w:p>
    <w:p>
      <w:pPr>
        <w:pStyle w:val="BookText"/>
        <w:bidi w:val="0"/>
        <w:jc w:val="both"/>
        <w:rPr/>
      </w:pPr>
      <w:r>
        <w:rPr>
          <w:rFonts w:eastAsia="Times New Roman" w:cs="Times New Roman" w:ascii="Times New Roman" w:hAnsi="Times New Roman"/>
          <w:color w:val="111111"/>
          <w:sz w:val="28"/>
          <w:szCs w:val="28"/>
          <w:lang w:val="en-US"/>
        </w:rPr>
        <w:t>j : Madzrihib wn Mushthalahﬁt Falsaﬁyyali, Beirut, Dar AI-Ta’aruf li Al-Matbu’at.</w:t>
      </w:r>
    </w:p>
    <w:p>
      <w:pPr>
        <w:pStyle w:val="BookText"/>
        <w:bidi w:val="0"/>
        <w:jc w:val="both"/>
        <w:rPr/>
      </w:pPr>
      <w:r>
        <w:rPr>
          <w:rFonts w:eastAsia="Times New Roman" w:cs="Times New Roman" w:ascii="Times New Roman" w:hAnsi="Times New Roman"/>
          <w:color w:val="111111"/>
          <w:sz w:val="28"/>
          <w:szCs w:val="28"/>
          <w:lang w:val="en-US"/>
        </w:rPr>
        <w:t>Muhammad Ismail, Fathlmah Ismail: Alqu mn wa Al-Nazdnr AI-’AqIi”, Virginia-USA, Al-Ma’had Al-'Alami li Al-Fikr Al-Islarni, 1993 M.</w:t>
      </w:r>
    </w:p>
    <w:p>
      <w:pPr>
        <w:pStyle w:val="BookText"/>
        <w:bidi w:val="0"/>
        <w:jc w:val="both"/>
        <w:rPr/>
      </w:pPr>
      <w:r>
        <w:rPr>
          <w:rFonts w:eastAsia="Times New Roman" w:cs="Times New Roman" w:ascii="Times New Roman" w:hAnsi="Times New Roman"/>
          <w:color w:val="111111"/>
          <w:sz w:val="28"/>
          <w:szCs w:val="28"/>
          <w:lang w:val="en-US"/>
        </w:rPr>
        <w:t>Muhammad Ba-Abdullah, Muhammad Bakarim: WasatI1iyynl1AhI Al- Summlz baina AI-Fimq, Riyadh, Dar AI-Royah, 1415 HQ.</w:t>
      </w:r>
    </w:p>
    <w:p>
      <w:pPr>
        <w:pStyle w:val="BookText"/>
        <w:bidi w:val="0"/>
        <w:jc w:val="both"/>
        <w:rPr/>
      </w:pPr>
      <w:r>
        <w:rPr>
          <w:rFonts w:eastAsia="Times New Roman" w:cs="Times New Roman" w:ascii="Times New Roman" w:hAnsi="Times New Roman"/>
          <w:color w:val="111111"/>
          <w:sz w:val="28"/>
          <w:szCs w:val="28"/>
          <w:lang w:val="en-US"/>
        </w:rPr>
        <w:t>Muhaqqiq Hilli, ]a’far: Al-Mu’trzbnr ff Synrh AI—Mukhtnslmr, Qom, Muassasah Sayyid Al-Syuhada’, 1364 HS.</w:t>
      </w:r>
    </w:p>
    <w:p>
      <w:pPr>
        <w:pStyle w:val="BookText"/>
        <w:bidi w:val="0"/>
        <w:jc w:val="both"/>
        <w:rPr/>
      </w:pPr>
      <w:r>
        <w:rPr>
          <w:rFonts w:eastAsia="Times New Roman" w:cs="Times New Roman" w:ascii="Times New Roman" w:hAnsi="Times New Roman"/>
          <w:color w:val="111111"/>
          <w:sz w:val="28"/>
          <w:szCs w:val="28"/>
          <w:lang w:val="en-US"/>
        </w:rPr>
        <w:t>Muhaqqiq Karaki: jtimi’ AI-Maqtishid, Qom, Muassasah Al AI-Bait, 1408.</w:t>
      </w:r>
    </w:p>
    <w:p>
      <w:pPr>
        <w:pStyle w:val="BookText"/>
        <w:bidi w:val="0"/>
        <w:jc w:val="both"/>
        <w:rPr/>
      </w:pPr>
      <w:r>
        <w:rPr>
          <w:rFonts w:eastAsia="Times New Roman" w:cs="Times New Roman" w:ascii="Times New Roman" w:hAnsi="Times New Roman"/>
          <w:color w:val="111111"/>
          <w:sz w:val="28"/>
          <w:szCs w:val="28"/>
          <w:lang w:val="en-US"/>
        </w:rPr>
        <w:t>Muhasibi, I-Iarits bin Asad: AI-'AqI wa Maﬂuim Alquran, revisi Husain Qutali, Beirut, Dar Al-Kindi, cet. 3, 1402 HQ.</w:t>
      </w:r>
    </w:p>
    <w:p>
      <w:pPr>
        <w:pStyle w:val="BookText"/>
        <w:bidi w:val="0"/>
        <w:jc w:val="both"/>
        <w:rPr/>
      </w:pPr>
      <w:r>
        <w:rPr>
          <w:rFonts w:eastAsia="Times New Roman" w:cs="Times New Roman" w:ascii="Times New Roman" w:hAnsi="Times New Roman"/>
          <w:color w:val="111111"/>
          <w:sz w:val="28"/>
          <w:szCs w:val="28"/>
          <w:lang w:val="en-US"/>
        </w:rPr>
        <w:t>M1/jam Al-Lziluit AI-Kittibi, Antonius Najib, editor terjemah, Beirut, Dar Al-Masyriq, cet. 3, 1991 HQ.</w:t>
      </w:r>
    </w:p>
    <w:p>
      <w:pPr>
        <w:pStyle w:val="BookText"/>
        <w:bidi w:val="0"/>
        <w:jc w:val="both"/>
        <w:rPr/>
      </w:pPr>
      <w:r>
        <w:rPr>
          <w:rFonts w:eastAsia="Times New Roman" w:cs="Times New Roman" w:ascii="Times New Roman" w:hAnsi="Times New Roman"/>
          <w:color w:val="111111"/>
          <w:sz w:val="28"/>
          <w:szCs w:val="28"/>
          <w:lang w:val="en-US"/>
        </w:rPr>
        <w:t>Musawi Ishfahani, Sayid Muhammad Baqir: Hidti}/at AI—LIsIuiI, Qom, Al-Matba’ah Al-’IImiyyah, 1384 HQ.</w:t>
      </w:r>
    </w:p>
    <w:p>
      <w:pPr>
        <w:pStyle w:val="BookText"/>
        <w:bidi w:val="0"/>
        <w:jc w:val="both"/>
        <w:rPr/>
      </w:pPr>
      <w:r>
        <w:rPr>
          <w:rFonts w:eastAsia="Times New Roman" w:cs="Times New Roman" w:ascii="Times New Roman" w:hAnsi="Times New Roman"/>
          <w:color w:val="111111"/>
          <w:sz w:val="28"/>
          <w:szCs w:val="28"/>
          <w:lang w:val="en-US"/>
        </w:rPr>
        <w:t>Musawi Khumaini, Ruhullah [Imam]: Tn'Iiqtit ’nIﬁ SynrI_1 Fusluish AI- ﬂiknm um Mishbtih AI-Uns, Qom.</w:t>
      </w:r>
    </w:p>
    <w:p>
      <w:pPr>
        <w:pStyle w:val="BookText"/>
        <w:bidi w:val="0"/>
        <w:jc w:val="both"/>
        <w:rPr/>
      </w:pPr>
      <w:r>
        <w:rPr>
          <w:rFonts w:eastAsia="Times New Roman" w:cs="Times New Roman" w:ascii="Times New Roman" w:hAnsi="Times New Roman"/>
          <w:color w:val="111111"/>
          <w:sz w:val="28"/>
          <w:szCs w:val="28"/>
          <w:lang w:val="en-US"/>
        </w:rPr>
        <w:t>Musawi Khunsari, Muhammad Baqir: Rowdhﬁt AI-Immﬁt, Qom, Ismailiyyon, 1390 HQ.</w:t>
      </w:r>
    </w:p>
    <w:p>
      <w:pPr>
        <w:pStyle w:val="BookText"/>
        <w:bidi w:val="0"/>
        <w:jc w:val="both"/>
        <w:rPr/>
      </w:pPr>
      <w:r>
        <w:rPr>
          <w:rFonts w:eastAsia="Times New Roman" w:cs="Times New Roman" w:ascii="Times New Roman" w:hAnsi="Times New Roman"/>
          <w:color w:val="111111"/>
          <w:sz w:val="28"/>
          <w:szCs w:val="28"/>
          <w:lang w:val="en-US"/>
        </w:rPr>
        <w:t>Musawi Tabrizi, Sayid Nikmatullah: AI-AnwtirAI-Nuﬁnriniy}/nli, Tabriz, Al-Haj Hadi Bai Hasyim.</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Mushommfit Al-S}/niklr AI-Muﬁd, Qom, Al-Mu'tamar Al-'Alami li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Alfiyah Al-Syaikh Al-Mufid, 1413 HQ.</w:t>
      </w:r>
    </w:p>
    <w:p>
      <w:pPr>
        <w:pStyle w:val="BookText"/>
        <w:bidi w:val="0"/>
        <w:jc w:val="both"/>
        <w:rPr/>
      </w:pPr>
      <w:r>
        <w:rPr>
          <w:rFonts w:eastAsia="Times New Roman" w:cs="Times New Roman" w:ascii="Times New Roman" w:hAnsi="Times New Roman"/>
          <w:color w:val="111111"/>
          <w:sz w:val="28"/>
          <w:szCs w:val="28"/>
          <w:lang w:val="en-US"/>
        </w:rPr>
        <w:t>Muslim bin Hajjaj: SImﬁi7_1 Muslim, Beirut, Muassasah ’Izzuddin, 1407 HQ.</w:t>
      </w:r>
    </w:p>
    <w:p>
      <w:pPr>
        <w:pStyle w:val="BookText"/>
        <w:bidi w:val="0"/>
        <w:jc w:val="both"/>
        <w:rPr/>
      </w:pPr>
      <w:r>
        <w:rPr>
          <w:rFonts w:eastAsia="Times New Roman" w:cs="Times New Roman" w:ascii="Times New Roman" w:hAnsi="Times New Roman"/>
          <w:color w:val="111111"/>
          <w:sz w:val="28"/>
          <w:szCs w:val="28"/>
          <w:lang w:val="en-US"/>
        </w:rPr>
        <w:t>Mustafa Ibrahlm, Ibrahlm: Mnﬂmm AI-'AqI ﬁ Al—Fikr Al-Fnlsaﬁ, Beirut, Dar Al-Nahdhoh Al-’Arobiyyah, 1993 M.</w:t>
      </w:r>
    </w:p>
    <w:p>
      <w:pPr>
        <w:pStyle w:val="BookText"/>
        <w:bidi w:val="0"/>
        <w:jc w:val="both"/>
        <w:rPr/>
      </w:pPr>
      <w:r>
        <w:rPr>
          <w:rFonts w:eastAsia="Times New Roman" w:cs="Times New Roman" w:ascii="Times New Roman" w:hAnsi="Times New Roman"/>
          <w:color w:val="111111"/>
          <w:sz w:val="28"/>
          <w:szCs w:val="28"/>
          <w:lang w:val="en-US"/>
        </w:rPr>
        <w:t>Mustafawi, Muhammad Kadzim: AI-Qowﬁ’id: Mi ’ah Qﬁ’idal1 Fiqlii-_i/_1/nli, Qom, Muassasah Al-nasyr Al-Islami, 1412 HQ.</w:t>
      </w:r>
    </w:p>
    <w:p>
      <w:pPr>
        <w:pStyle w:val="BookText"/>
        <w:bidi w:val="0"/>
        <w:jc w:val="both"/>
        <w:rPr/>
      </w:pPr>
      <w:r>
        <w:rPr>
          <w:rFonts w:eastAsia="Times New Roman" w:cs="Times New Roman" w:ascii="Times New Roman" w:hAnsi="Times New Roman"/>
          <w:color w:val="111111"/>
          <w:sz w:val="28"/>
          <w:szCs w:val="28"/>
          <w:lang w:val="en-US"/>
        </w:rPr>
        <w:t>Mu’tiq, ’Awwad bin Abdullah: AI—Mu’tnziIah wa Ushﬁlulmm AI- Klmmsah wa MtmqifAhl AI-Smmalz minlui, Riyadh, Maktabah Al- Rusyd, cet. 3, 1417 HQ.</w:t>
      </w:r>
    </w:p>
    <w:p>
      <w:pPr>
        <w:pStyle w:val="BookText"/>
        <w:bidi w:val="0"/>
        <w:jc w:val="both"/>
        <w:rPr/>
      </w:pPr>
      <w:r>
        <w:rPr>
          <w:rFonts w:eastAsia="Times New Roman" w:cs="Times New Roman" w:ascii="Times New Roman" w:hAnsi="Times New Roman"/>
          <w:color w:val="111111"/>
          <w:sz w:val="28"/>
          <w:szCs w:val="28"/>
          <w:lang w:val="en-US"/>
        </w:rPr>
        <w:t>Nadim, Muhammad bin Ishaq: AI-I-"ihrist, Tehran, Chopkhoneh Ma- ravi.</w:t>
      </w:r>
    </w:p>
    <w:p>
      <w:pPr>
        <w:pStyle w:val="BookText"/>
        <w:bidi w:val="0"/>
        <w:jc w:val="both"/>
        <w:rPr/>
      </w:pPr>
      <w:r>
        <w:rPr>
          <w:rFonts w:eastAsia="Times New Roman" w:cs="Times New Roman" w:ascii="Times New Roman" w:hAnsi="Times New Roman"/>
          <w:color w:val="111111"/>
          <w:sz w:val="28"/>
          <w:szCs w:val="28"/>
          <w:lang w:val="en-US"/>
        </w:rPr>
        <w:t>Najasyi, Ahmad bin Ali: Al-Rijril, Nasyr Kitob.</w:t>
      </w:r>
    </w:p>
    <w:p>
      <w:pPr>
        <w:pStyle w:val="BookText"/>
        <w:bidi w:val="0"/>
        <w:jc w:val="both"/>
        <w:rPr/>
      </w:pPr>
      <w:r>
        <w:rPr>
          <w:rFonts w:eastAsia="Times New Roman" w:cs="Times New Roman" w:ascii="Times New Roman" w:hAnsi="Times New Roman"/>
          <w:color w:val="111111"/>
          <w:sz w:val="28"/>
          <w:szCs w:val="28"/>
          <w:lang w:val="en-US"/>
        </w:rPr>
        <w:t>Najafi, Muhammad Hasan: lawﬁlzir AI-Kulﬁm, Beirut, Dar Ihya' AL- Turots Al-'Arobi, cet. 7.</w:t>
      </w:r>
    </w:p>
    <w:p>
      <w:pPr>
        <w:pStyle w:val="BookText"/>
        <w:bidi w:val="0"/>
        <w:jc w:val="both"/>
        <w:rPr/>
      </w:pPr>
      <w:r>
        <w:rPr>
          <w:rFonts w:eastAsia="Times New Roman" w:cs="Times New Roman" w:ascii="Times New Roman" w:hAnsi="Times New Roman"/>
          <w:color w:val="111111"/>
          <w:sz w:val="28"/>
          <w:szCs w:val="28"/>
          <w:lang w:val="en-US"/>
        </w:rPr>
        <w:t>Nikmah, Abdullah: Falﬁsifnt AI-S3/f‘nh, Qom, Dar Al-Kitab Al-Islami.</w:t>
      </w:r>
    </w:p>
    <w:p>
      <w:pPr>
        <w:pStyle w:val="BookText"/>
        <w:bidi w:val="0"/>
        <w:jc w:val="both"/>
        <w:rPr/>
      </w:pPr>
      <w:r>
        <w:rPr>
          <w:rFonts w:eastAsia="Times New Roman" w:cs="Times New Roman" w:ascii="Times New Roman" w:hAnsi="Times New Roman"/>
          <w:color w:val="111111"/>
          <w:sz w:val="28"/>
          <w:szCs w:val="28"/>
          <w:lang w:val="en-US"/>
        </w:rPr>
        <w:t>Qadhi Abdul Jabbar Muktazili: Synrh AI—Uslu?I Al—KhomsnI1, Cairo, Maktabah Wahbah, cet. 2, 1418 HQ.</w:t>
      </w:r>
    </w:p>
    <w:p>
      <w:pPr>
        <w:pStyle w:val="BookText"/>
        <w:bidi w:val="0"/>
        <w:jc w:val="both"/>
        <w:rPr/>
      </w:pPr>
      <w:r>
        <w:rPr>
          <w:rFonts w:eastAsia="Times New Roman" w:cs="Times New Roman" w:ascii="Times New Roman" w:hAnsi="Times New Roman"/>
          <w:color w:val="111111"/>
          <w:sz w:val="28"/>
          <w:szCs w:val="28"/>
          <w:lang w:val="en-US"/>
        </w:rPr>
        <w:t>Qomair, Yuhanna: Fnlﬁsifaml-‘A mb:AI-Glmzalz‘, Beirut, Dar Al-Masyriq, cet. 2, 1986 M.</w:t>
      </w:r>
    </w:p>
    <w:p>
      <w:pPr>
        <w:pStyle w:val="BookText"/>
        <w:bidi w:val="0"/>
        <w:jc w:val="both"/>
        <w:rPr/>
      </w:pPr>
      <w:r>
        <w:rPr>
          <w:rFonts w:eastAsia="Times New Roman" w:cs="Times New Roman" w:ascii="Times New Roman" w:hAnsi="Times New Roman"/>
          <w:color w:val="111111"/>
          <w:sz w:val="28"/>
          <w:szCs w:val="28"/>
          <w:lang w:val="en-US"/>
        </w:rPr>
        <w:t>Qaru, Nadim: Al-ﬂaqq wn AI-Imﬁn fi‘ '11»: Knlﬁm Ibn Tainvziyynli, Damaskus, AL-Hikmah, 1415 HQ.</w:t>
      </w:r>
    </w:p>
    <w:p>
      <w:pPr>
        <w:pStyle w:val="BookText"/>
        <w:bidi w:val="0"/>
        <w:jc w:val="both"/>
        <w:rPr/>
      </w:pPr>
      <w:r>
        <w:rPr>
          <w:rFonts w:eastAsia="Times New Roman" w:cs="Times New Roman" w:ascii="Times New Roman" w:hAnsi="Times New Roman"/>
          <w:color w:val="111111"/>
          <w:sz w:val="28"/>
          <w:szCs w:val="28"/>
          <w:lang w:val="en-US"/>
        </w:rPr>
        <w:t>Qushairi, Dawud bin Mahmud: Maﬂa’ Klmslnislz AI-Knlim ﬂ Ma’rim‘ FusIu?sl1AI-Hikmn, Mansyurot Anwar Al-Huda, 1414 HQ.</w:t>
      </w:r>
    </w:p>
    <w:p>
      <w:pPr>
        <w:pStyle w:val="BookText"/>
        <w:bidi w:val="0"/>
        <w:jc w:val="both"/>
        <w:rPr/>
      </w:pPr>
      <w:r>
        <w:rPr>
          <w:rFonts w:eastAsia="Times New Roman" w:cs="Times New Roman" w:ascii="Times New Roman" w:hAnsi="Times New Roman"/>
          <w:color w:val="111111"/>
          <w:sz w:val="28"/>
          <w:szCs w:val="28"/>
          <w:lang w:val="en-US"/>
        </w:rPr>
        <w:t>Qusyairi, Abdul Karim bin Hawazin: AI-RisﬁlntAI—Qusyairiyyal1, Beirut, Dar Al-Kitab A1-’Arobi.</w:t>
      </w:r>
    </w:p>
    <w:p>
      <w:pPr>
        <w:pStyle w:val="BookText"/>
        <w:bidi w:val="0"/>
        <w:jc w:val="both"/>
        <w:rPr/>
      </w:pPr>
      <w:r>
        <w:rPr>
          <w:rFonts w:eastAsia="Times New Roman" w:cs="Times New Roman" w:ascii="Times New Roman" w:hAnsi="Times New Roman"/>
          <w:color w:val="111111"/>
          <w:sz w:val="28"/>
          <w:szCs w:val="28"/>
          <w:lang w:val="en-US"/>
        </w:rPr>
        <w:t>Rafiei, Mustafa: Tririkh Al-Tnsyn", Beirut, Al—Syirkah Al-'Alarniyyah Ii Al-Kitab, 1993 M.</w:t>
      </w:r>
    </w:p>
    <w:p>
      <w:pPr>
        <w:pStyle w:val="BookText"/>
        <w:bidi w:val="0"/>
        <w:jc w:val="both"/>
        <w:rPr/>
      </w:pPr>
      <w:r>
        <w:rPr>
          <w:rFonts w:eastAsia="Times New Roman" w:cs="Times New Roman" w:ascii="Times New Roman" w:hAnsi="Times New Roman"/>
          <w:color w:val="111111"/>
          <w:sz w:val="28"/>
          <w:szCs w:val="28"/>
          <w:lang w:val="en-US"/>
        </w:rPr>
        <w:t>Ramadhan Buthi, Muhammad Saed: AI-Din wn AI-Falsafalz, Damas- kus, Maktabah Al-Farabi, cet. 2, 1414 HQ.</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Rasyid Ridha, Muhammad: Tnfsfr AI-Mnmir, Mesir, Dar AL-Manar, cet. 2, 1367 HQ. </w:t>
      </w:r>
    </w:p>
    <w:p>
      <w:pPr>
        <w:pStyle w:val="BookText"/>
        <w:bidi w:val="0"/>
        <w:rPr/>
      </w:pPr>
      <w:r>
        <w:rPr>
          <w:rFonts w:eastAsia="Times New Roman" w:cs="Times New Roman" w:ascii="Times New Roman" w:hAnsi="Times New Roman"/>
          <w:color w:val="111111"/>
          <w:sz w:val="28"/>
          <w:szCs w:val="28"/>
          <w:lang w:val="en-US"/>
        </w:rPr>
        <w:t>Daftar Pustaka</w:t>
      </w:r>
    </w:p>
    <w:p>
      <w:pPr>
        <w:pStyle w:val="BookText"/>
        <w:bidi w:val="0"/>
        <w:jc w:val="both"/>
        <w:rPr/>
      </w:pPr>
      <w:r>
        <w:rPr>
          <w:rFonts w:eastAsia="Times New Roman" w:cs="Times New Roman" w:ascii="Times New Roman" w:hAnsi="Times New Roman"/>
          <w:color w:val="111111"/>
          <w:sz w:val="28"/>
          <w:szCs w:val="28"/>
          <w:lang w:val="en-US"/>
        </w:rPr>
        <w:t>Razi, Abu Hatim: A'lﬁm Al-Nubuwwah, Tehran, Anjuman Falsafeh Iron, 1397 HS.</w:t>
      </w:r>
    </w:p>
    <w:p>
      <w:pPr>
        <w:pStyle w:val="BookText"/>
        <w:bidi w:val="0"/>
        <w:jc w:val="both"/>
        <w:rPr/>
      </w:pPr>
      <w:r>
        <w:rPr>
          <w:rFonts w:eastAsia="Times New Roman" w:cs="Times New Roman" w:ascii="Times New Roman" w:hAnsi="Times New Roman"/>
          <w:color w:val="111111"/>
          <w:sz w:val="28"/>
          <w:szCs w:val="28"/>
          <w:lang w:val="en-US"/>
        </w:rPr>
        <w:t>Razi, Muhammad bin Zakaria: Rosr3’il Falsaﬁyyah, revisi P. Crouse, Tehran, Al—Maktabah Al-Murtadhawiyyah.</w:t>
      </w:r>
    </w:p>
    <w:p>
      <w:pPr>
        <w:pStyle w:val="BookText"/>
        <w:bidi w:val="0"/>
        <w:jc w:val="both"/>
        <w:rPr/>
      </w:pPr>
      <w:r>
        <w:rPr>
          <w:rFonts w:eastAsia="Times New Roman" w:cs="Times New Roman" w:ascii="Times New Roman" w:hAnsi="Times New Roman"/>
          <w:color w:val="111111"/>
          <w:sz w:val="28"/>
          <w:szCs w:val="28"/>
          <w:lang w:val="en-US"/>
        </w:rPr>
        <w:t>Rihlat Ibn Bagﬁgah, Matba’ah Mustofa Muhammad, 1357 HQ.</w:t>
      </w:r>
    </w:p>
    <w:p>
      <w:pPr>
        <w:pStyle w:val="BookText"/>
        <w:bidi w:val="0"/>
        <w:jc w:val="both"/>
        <w:rPr/>
      </w:pPr>
      <w:r>
        <w:rPr>
          <w:rFonts w:eastAsia="Times New Roman" w:cs="Times New Roman" w:ascii="Times New Roman" w:hAnsi="Times New Roman"/>
          <w:color w:val="111111"/>
          <w:sz w:val="28"/>
          <w:szCs w:val="28"/>
          <w:lang w:val="en-US"/>
        </w:rPr>
        <w:t>Ros:f’iI Ikhwﬁn Al-Shaft? wa Khillﬁn AI-Wafﬁ', revisi Arif Tamir, Beirut- Paris, Mansyurot Uwaidat, 1415 HQ.</w:t>
      </w:r>
    </w:p>
    <w:p>
      <w:pPr>
        <w:pStyle w:val="BookText"/>
        <w:bidi w:val="0"/>
        <w:jc w:val="both"/>
        <w:rPr/>
      </w:pPr>
      <w:r>
        <w:rPr>
          <w:rFonts w:eastAsia="Times New Roman" w:cs="Times New Roman" w:ascii="Times New Roman" w:hAnsi="Times New Roman"/>
          <w:color w:val="111111"/>
          <w:sz w:val="28"/>
          <w:szCs w:val="28"/>
          <w:lang w:val="en-US"/>
        </w:rPr>
        <w:t>Rosﬁ’iI AI—]zi[y'zd, revisi dan komentar Abdul Salam Muhammad Harun, Beirut, Dar Al-Jalil, 1411 HQ.</w:t>
      </w:r>
    </w:p>
    <w:p>
      <w:pPr>
        <w:pStyle w:val="BookText"/>
        <w:bidi w:val="0"/>
        <w:jc w:val="both"/>
        <w:rPr/>
      </w:pPr>
      <w:r>
        <w:rPr>
          <w:rFonts w:eastAsia="Times New Roman" w:cs="Times New Roman" w:ascii="Times New Roman" w:hAnsi="Times New Roman"/>
          <w:color w:val="111111"/>
          <w:sz w:val="28"/>
          <w:szCs w:val="28"/>
          <w:lang w:val="en-US"/>
        </w:rPr>
        <w:t>Sabzawari, Mulla Hadi: S3/arl_1 AI-Manzdtimalz.</w:t>
      </w:r>
    </w:p>
    <w:p>
      <w:pPr>
        <w:pStyle w:val="BookText"/>
        <w:bidi w:val="0"/>
        <w:jc w:val="both"/>
        <w:rPr/>
      </w:pPr>
      <w:r>
        <w:rPr>
          <w:rFonts w:eastAsia="Times New Roman" w:cs="Times New Roman" w:ascii="Times New Roman" w:hAnsi="Times New Roman"/>
          <w:color w:val="111111"/>
          <w:sz w:val="28"/>
          <w:szCs w:val="28"/>
          <w:lang w:val="en-US"/>
        </w:rPr>
        <w:t>Samarqandi, Muhammad bin Ahmad: Mfzﬁn Al-Ushzil, revisi Abdul Malik Abdurahman Saedi, Matba’ah A1-Khulud, 1407 HQ.</w:t>
      </w:r>
    </w:p>
    <w:p>
      <w:pPr>
        <w:pStyle w:val="BookText"/>
        <w:bidi w:val="0"/>
        <w:jc w:val="both"/>
        <w:rPr/>
      </w:pPr>
      <w:r>
        <w:rPr>
          <w:rFonts w:eastAsia="Times New Roman" w:cs="Times New Roman" w:ascii="Times New Roman" w:hAnsi="Times New Roman"/>
          <w:color w:val="111111"/>
          <w:sz w:val="28"/>
          <w:szCs w:val="28"/>
          <w:lang w:val="en-US"/>
        </w:rPr>
        <w:t>Sarraj Thusi, lbnu Nashr: Al-Lzmm’ ff AI—Tasl1owwuf, revisi Nicolson, Tehran, Entesyorot Jahan.</w:t>
      </w:r>
    </w:p>
    <w:p>
      <w:pPr>
        <w:pStyle w:val="BookText"/>
        <w:bidi w:val="0"/>
        <w:jc w:val="both"/>
        <w:rPr/>
      </w:pPr>
      <w:r>
        <w:rPr>
          <w:rFonts w:eastAsia="Times New Roman" w:cs="Times New Roman" w:ascii="Times New Roman" w:hAnsi="Times New Roman"/>
          <w:color w:val="111111"/>
          <w:sz w:val="28"/>
          <w:szCs w:val="28"/>
          <w:lang w:val="en-US"/>
        </w:rPr>
        <w:t>Shadr, Sayid Hasan: Tn'sfs AI-S_1/f’ah Ii ’Ulz?m AI—IsIr3m, Syirkah Al-Nasyr wa Al-Thoba’ah Al-’Iroqiyyah, 1370 HQ.</w:t>
      </w:r>
    </w:p>
    <w:p>
      <w:pPr>
        <w:pStyle w:val="BookText"/>
        <w:bidi w:val="0"/>
        <w:jc w:val="both"/>
        <w:rPr/>
      </w:pPr>
      <w:r>
        <w:rPr>
          <w:rFonts w:eastAsia="Times New Roman" w:cs="Times New Roman" w:ascii="Times New Roman" w:hAnsi="Times New Roman"/>
          <w:color w:val="111111"/>
          <w:sz w:val="28"/>
          <w:szCs w:val="28"/>
          <w:lang w:val="en-US"/>
        </w:rPr>
        <w:t>Shadr, Muhammad Baqir: Al-Majmﬁ ‘ah AI-Krimilah Ii Mz/nllnfﬁt AI- Szzyyid Mulmmad Bziqir Al—Slmdr, jld. 3 "Durus fi 'llm A1-Ushul”, Beirut, Dar Al-Ta’aruf li Al-Matbu’at.</w:t>
      </w:r>
    </w:p>
    <w:p>
      <w:pPr>
        <w:pStyle w:val="BookText"/>
        <w:bidi w:val="0"/>
        <w:jc w:val="both"/>
        <w:rPr/>
      </w:pPr>
      <w:r>
        <w:rPr>
          <w:rFonts w:eastAsia="Times New Roman" w:cs="Times New Roman" w:ascii="Times New Roman" w:hAnsi="Times New Roman"/>
          <w:color w:val="111111"/>
          <w:sz w:val="28"/>
          <w:szCs w:val="28"/>
          <w:lang w:val="en-US"/>
        </w:rPr>
        <w:t>Shaeb, Adib: AI-Muqaddimah ff Falsafal‘ AI-Din, Beirut, Dar Al-Nahar, cet. 2, 1995 M.</w:t>
      </w:r>
    </w:p>
    <w:p>
      <w:pPr>
        <w:pStyle w:val="BookText"/>
        <w:bidi w:val="0"/>
        <w:jc w:val="both"/>
        <w:rPr/>
      </w:pPr>
      <w:r>
        <w:rPr>
          <w:rFonts w:eastAsia="Times New Roman" w:cs="Times New Roman" w:ascii="Times New Roman" w:hAnsi="Times New Roman"/>
          <w:color w:val="111111"/>
          <w:sz w:val="28"/>
          <w:szCs w:val="28"/>
          <w:lang w:val="en-US"/>
        </w:rPr>
        <w:t>Shafadi, Shalahuddin: Nukat Al-I_~Iimyrin ﬂ Nukat Al~’Imyzin, Qom, Mansyurot Al-Syarif Al-Radhi, 1372 HS.</w:t>
      </w:r>
    </w:p>
    <w:p>
      <w:pPr>
        <w:pStyle w:val="BookText"/>
        <w:bidi w:val="0"/>
        <w:jc w:val="both"/>
        <w:rPr/>
      </w:pPr>
      <w:r>
        <w:rPr>
          <w:rFonts w:eastAsia="Times New Roman" w:cs="Times New Roman" w:ascii="Times New Roman" w:hAnsi="Times New Roman"/>
          <w:color w:val="111111"/>
          <w:sz w:val="28"/>
          <w:szCs w:val="28"/>
          <w:lang w:val="en-US"/>
        </w:rPr>
        <w:t>Shaliba, Jamil: AI-Mu’jam AI-Falsaﬁ, Beirut, Dar Al-Kitab Al-Lubnani, 1982 M.</w:t>
      </w:r>
    </w:p>
    <w:p>
      <w:pPr>
        <w:pStyle w:val="BookText"/>
        <w:bidi w:val="0"/>
        <w:jc w:val="both"/>
        <w:rPr/>
      </w:pPr>
      <w:r>
        <w:rPr>
          <w:rFonts w:eastAsia="Times New Roman" w:cs="Times New Roman" w:ascii="Times New Roman" w:hAnsi="Times New Roman"/>
          <w:color w:val="111111"/>
          <w:sz w:val="28"/>
          <w:szCs w:val="28"/>
          <w:lang w:val="en-US"/>
        </w:rPr>
        <w:t>Sili, Abdul Aziz: AI-’Aqz‘dn! AI-Salafiyyalz bnin Ibn ﬂanbnl zvn Al-Imﬁm Ibn Taimiyg/ah, Cairo, Dar Al-Manar, 1413 HQ.</w:t>
      </w:r>
    </w:p>
    <w:p>
      <w:pPr>
        <w:pStyle w:val="BookText"/>
        <w:bidi w:val="0"/>
        <w:jc w:val="both"/>
        <w:rPr/>
      </w:pPr>
      <w:r>
        <w:rPr>
          <w:rFonts w:eastAsia="Times New Roman" w:cs="Times New Roman" w:ascii="Times New Roman" w:hAnsi="Times New Roman"/>
          <w:color w:val="111111"/>
          <w:sz w:val="28"/>
          <w:szCs w:val="28"/>
          <w:lang w:val="en-US"/>
        </w:rPr>
        <w:t>Subhani, ]a‘far: AI-llrilzig/ﬁt, Qom, Al-Markaz Al-’Alami li Al-dirosat Al-Islamiyyah, Beirut, cet. 3, 1412 HQ.</w:t>
      </w:r>
    </w:p>
    <w:p>
      <w:pPr>
        <w:pStyle w:val="BookText"/>
        <w:bidi w:val="0"/>
        <w:jc w:val="both"/>
        <w:rPr/>
      </w:pPr>
      <w:r>
        <w:rPr>
          <w:rFonts w:eastAsia="Times New Roman" w:cs="Times New Roman" w:ascii="Times New Roman" w:hAnsi="Times New Roman"/>
          <w:color w:val="111111"/>
          <w:sz w:val="28"/>
          <w:szCs w:val="28"/>
          <w:lang w:val="en-US"/>
        </w:rPr>
        <w:t>_: BuI_u?tsﬁ Al-Milal wa AI—NiI_mI, Qom, Lajnah Idaroh Al-Hauzah Al-’llmiyyah, cet. 2, 1410 HQ.</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Subki, Abdul Wahhab bin Ali: Tobaqﬁt AI-S_1/tifi’i}/_i/at AI-Kubrﬁ, Cairo,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Dar Ihya’ A1-Kutub Al-’Arobiyyah.</w:t>
      </w:r>
    </w:p>
    <w:p>
      <w:pPr>
        <w:pStyle w:val="BookText"/>
        <w:bidi w:val="0"/>
        <w:jc w:val="both"/>
        <w:rPr/>
      </w:pPr>
      <w:r>
        <w:rPr>
          <w:rFonts w:eastAsia="Times New Roman" w:cs="Times New Roman" w:ascii="Times New Roman" w:hAnsi="Times New Roman"/>
          <w:color w:val="111111"/>
          <w:sz w:val="28"/>
          <w:szCs w:val="28"/>
          <w:lang w:val="en-US"/>
        </w:rPr>
        <w:t>Sudibyo, lman: ”Fahm Al-Din", dalam Ibn Rusyd wa AI—Trmwir, Murad Wahbah &amp; Muna Abu Sanah, Mesir, Dar Al-Tsaqofah A1-Jadidah, 1997 M.</w:t>
      </w:r>
    </w:p>
    <w:p>
      <w:pPr>
        <w:pStyle w:val="BookText"/>
        <w:bidi w:val="0"/>
        <w:jc w:val="both"/>
        <w:rPr/>
      </w:pPr>
      <w:r>
        <w:rPr>
          <w:rFonts w:eastAsia="Times New Roman" w:cs="Times New Roman" w:ascii="Times New Roman" w:hAnsi="Times New Roman"/>
          <w:color w:val="111111"/>
          <w:sz w:val="28"/>
          <w:szCs w:val="28"/>
          <w:lang w:val="en-US"/>
        </w:rPr>
        <w:t>Suhrawardi, Abdul Qohir bin Abdullah: ’Awtiri:fAI-Mn’ririf, Beirut, Dar Al-Kitab Al-’Arobi, cet. 2, 1403 HQ.</w:t>
      </w:r>
    </w:p>
    <w:p>
      <w:pPr>
        <w:pStyle w:val="BookText"/>
        <w:bidi w:val="0"/>
        <w:jc w:val="both"/>
        <w:rPr/>
      </w:pPr>
      <w:r>
        <w:rPr>
          <w:rFonts w:eastAsia="Times New Roman" w:cs="Times New Roman" w:ascii="Times New Roman" w:hAnsi="Times New Roman"/>
          <w:color w:val="111111"/>
          <w:sz w:val="28"/>
          <w:szCs w:val="28"/>
          <w:lang w:val="en-US"/>
        </w:rPr>
        <w:t>Suhrawardi, Syihabuddin Yahya: Majmﬁ’aI1 Mushrmnaﬁit S3/aikh Isyrtiq (AI-Talzwlgrit AI-LauI_1iyyah wa AI-’Arsyi}/yali), revisi Henry Corbin, Tehran, Anjuman Falsafeh Iron, 1395 HQ.</w:t>
      </w:r>
    </w:p>
    <w:p>
      <w:pPr>
        <w:pStyle w:val="BookText"/>
        <w:bidi w:val="0"/>
        <w:jc w:val="both"/>
        <w:rPr/>
      </w:pPr>
      <w:r>
        <w:rPr>
          <w:rFonts w:eastAsia="Times New Roman" w:cs="Times New Roman" w:ascii="Times New Roman" w:hAnsi="Times New Roman"/>
          <w:color w:val="111111"/>
          <w:sz w:val="28"/>
          <w:szCs w:val="28"/>
          <w:lang w:val="en-US"/>
        </w:rPr>
        <w:t>Sulaimani, Fahad bin Nashir: Mnjmz?’ Fatrizvé wa Rnsri’iI Mulmmmad bin Shrilih AI-’Utsainmin, Riyadh, Dar Al-Tsuroyya, 1416 HQ.</w:t>
      </w:r>
    </w:p>
    <w:p>
      <w:pPr>
        <w:pStyle w:val="BookText"/>
        <w:bidi w:val="0"/>
        <w:jc w:val="both"/>
        <w:rPr/>
      </w:pPr>
      <w:r>
        <w:rPr>
          <w:rFonts w:eastAsia="Times New Roman" w:cs="Times New Roman" w:ascii="Times New Roman" w:hAnsi="Times New Roman"/>
          <w:color w:val="111111"/>
          <w:sz w:val="28"/>
          <w:szCs w:val="28"/>
          <w:lang w:val="en-US"/>
        </w:rPr>
        <w:t>Suyuri Hilli, Miqdad bin Abdullah: Irsyzid Al-Talibfn ilti Nahj AI- Mustarsyidfn, revisi Sayyid Mahdi Rajaie, Qom, Maktabah Ayatullah Uzdma Mar’asyi Najafi, 1405 HQ.</w:t>
      </w:r>
    </w:p>
    <w:p>
      <w:pPr>
        <w:pStyle w:val="BookText"/>
        <w:bidi w:val="0"/>
        <w:jc w:val="both"/>
        <w:rPr/>
      </w:pPr>
      <w:r>
        <w:rPr>
          <w:rFonts w:eastAsia="Times New Roman" w:cs="Times New Roman" w:ascii="Times New Roman" w:hAnsi="Times New Roman"/>
          <w:color w:val="111111"/>
          <w:sz w:val="28"/>
          <w:szCs w:val="28"/>
          <w:lang w:val="en-US"/>
        </w:rPr>
        <w:t>Suyuthi, Ialaluddinz AI—Wnsri’iI ilti Mn'rifnI1 Al-Awci’iI, revisi Ibrahlm Adawi &amp; Ali Muhammad Umar, Cairo, Maktabah Khanji.</w:t>
      </w:r>
    </w:p>
    <w:p>
      <w:pPr>
        <w:pStyle w:val="BookText"/>
        <w:bidi w:val="0"/>
        <w:jc w:val="both"/>
        <w:rPr/>
      </w:pPr>
      <w:r>
        <w:rPr>
          <w:rFonts w:eastAsia="Times New Roman" w:cs="Times New Roman" w:ascii="Times New Roman" w:hAnsi="Times New Roman"/>
          <w:color w:val="111111"/>
          <w:sz w:val="28"/>
          <w:szCs w:val="28"/>
          <w:lang w:val="en-US"/>
        </w:rPr>
        <w:t>Syathibi, Abu lshaq: AI-Muwcifaqzit ﬁ Usluil AI-Al_1kzim, Dar lhya’ Al- Kutub Al-’Arobiyyah.</w:t>
      </w:r>
    </w:p>
    <w:p>
      <w:pPr>
        <w:pStyle w:val="BookText"/>
        <w:bidi w:val="0"/>
        <w:jc w:val="both"/>
        <w:rPr/>
      </w:pPr>
      <w:r>
        <w:rPr>
          <w:rFonts w:eastAsia="Times New Roman" w:cs="Times New Roman" w:ascii="Times New Roman" w:hAnsi="Times New Roman"/>
          <w:color w:val="111111"/>
          <w:sz w:val="28"/>
          <w:szCs w:val="28"/>
          <w:lang w:val="en-US"/>
        </w:rPr>
        <w:t>Syahristani, Muhammad bin Abdul Karim: AI-Milal wa AI-Nilyzl, Qom, Mansyurot Al-Syarif Al-Rodhi, cet. 3, 1367 HS.</w:t>
      </w:r>
    </w:p>
    <w:p>
      <w:pPr>
        <w:pStyle w:val="BookText"/>
        <w:bidi w:val="0"/>
        <w:jc w:val="both"/>
        <w:rPr/>
      </w:pPr>
      <w:r>
        <w:rPr>
          <w:rFonts w:eastAsia="Times New Roman" w:cs="Times New Roman" w:ascii="Times New Roman" w:hAnsi="Times New Roman"/>
          <w:color w:val="111111"/>
          <w:sz w:val="28"/>
          <w:szCs w:val="28"/>
          <w:lang w:val="en-US"/>
        </w:rPr>
        <w:t>Z 2 Niluiyalz AI—/lqdrim fi '11»: AI-Kalrim, revisi Alfred Gume, Cairo, Maktabah Al-Mutanabbi.</w:t>
      </w:r>
    </w:p>
    <w:p>
      <w:pPr>
        <w:pStyle w:val="BookText"/>
        <w:bidi w:val="0"/>
        <w:jc w:val="both"/>
        <w:rPr/>
      </w:pPr>
      <w:r>
        <w:rPr>
          <w:rFonts w:eastAsia="Times New Roman" w:cs="Times New Roman" w:ascii="Times New Roman" w:hAnsi="Times New Roman"/>
          <w:color w:val="111111"/>
          <w:sz w:val="28"/>
          <w:szCs w:val="28"/>
          <w:lang w:val="en-US"/>
        </w:rPr>
        <w:t>Syahid Tsani, Zainuddin: ﬂaqri'iq AI-lmrin, dicetak dengan "Risalah Al-Iqtishéd wa Al-'Adalah”, revisi Mahdi Rajaie, Qom, Maktabah Ayatullah Uzdma Mar’asyi Najafi, 1409 HQ.</w:t>
      </w:r>
    </w:p>
    <w:p>
      <w:pPr>
        <w:pStyle w:val="BookText"/>
        <w:bidi w:val="0"/>
        <w:jc w:val="both"/>
        <w:rPr/>
      </w:pPr>
      <w:r>
        <w:rPr>
          <w:rFonts w:eastAsia="Times New Roman" w:cs="Times New Roman" w:ascii="Times New Roman" w:hAnsi="Times New Roman"/>
          <w:color w:val="111111"/>
          <w:sz w:val="28"/>
          <w:szCs w:val="28"/>
          <w:lang w:val="en-US"/>
        </w:rPr>
        <w:t>Sya’rani, Abdul Wahhab: Al-Thnbnqﬁt AI-S_1/riﬂiyynlz AI-Kubrri, Mesir, Matba'ah Abdul Hamid.</w:t>
      </w:r>
    </w:p>
    <w:p>
      <w:pPr>
        <w:pStyle w:val="BookText"/>
        <w:bidi w:val="0"/>
        <w:jc w:val="both"/>
        <w:rPr/>
      </w:pPr>
      <w:r>
        <w:rPr>
          <w:rFonts w:eastAsia="Times New Roman" w:cs="Times New Roman" w:ascii="Times New Roman" w:hAnsi="Times New Roman"/>
          <w:color w:val="111111"/>
          <w:sz w:val="28"/>
          <w:szCs w:val="28"/>
          <w:lang w:val="en-US"/>
        </w:rPr>
        <w:t>Syamsuddin, Abdul Amir: AI-Fikr AI-Tarbuwz‘ ’indu Ibn AI-Thufail, Beirut, Dar Iqro, cet. 2, 1406 HQ.</w:t>
      </w:r>
    </w:p>
    <w:p>
      <w:pPr>
        <w:pStyle w:val="BookText"/>
        <w:bidi w:val="0"/>
        <w:jc w:val="both"/>
        <w:rPr/>
      </w:pPr>
      <w:r>
        <w:rPr>
          <w:rFonts w:eastAsia="Times New Roman" w:cs="Times New Roman" w:ascii="Times New Roman" w:hAnsi="Times New Roman"/>
          <w:color w:val="111111"/>
          <w:sz w:val="28"/>
          <w:szCs w:val="28"/>
          <w:lang w:val="en-US"/>
        </w:rPr>
        <w:t>Syeikh Shaduq: AI-Tnwl_n‘d, Qom, Muassasah Al-Nasyr Al-Islami, 1415</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HQ. </w:t>
      </w:r>
    </w:p>
    <w:p>
      <w:pPr>
        <w:pStyle w:val="BookText"/>
        <w:bidi w:val="0"/>
        <w:rPr/>
      </w:pPr>
      <w:r>
        <w:rPr>
          <w:rFonts w:eastAsia="Times New Roman" w:cs="Times New Roman" w:ascii="Times New Roman" w:hAnsi="Times New Roman"/>
          <w:color w:val="111111"/>
          <w:sz w:val="28"/>
          <w:szCs w:val="28"/>
          <w:lang w:val="en-US"/>
        </w:rPr>
        <w:t>Daftar Pustaka</w:t>
      </w:r>
    </w:p>
    <w:p>
      <w:pPr>
        <w:pStyle w:val="BookText"/>
        <w:bidi w:val="0"/>
        <w:jc w:val="both"/>
        <w:rPr/>
      </w:pPr>
      <w:r>
        <w:rPr>
          <w:rFonts w:eastAsia="Times New Roman" w:cs="Times New Roman" w:ascii="Times New Roman" w:hAnsi="Times New Roman"/>
          <w:color w:val="111111"/>
          <w:sz w:val="28"/>
          <w:szCs w:val="28"/>
          <w:lang w:val="en-US"/>
        </w:rPr>
        <w:t>Syeikh Thusi, Muhammad bin Hasan: Iklztiyﬁr Mn’rifat AI-Rijﬁl, (Rijal AL-Kasyi), revisi Hasan Mustafawi, Masyhad Donesykadeh Ilahiyyat wa Ma'orif lslami, 1348 HS.</w:t>
      </w:r>
    </w:p>
    <w:p>
      <w:pPr>
        <w:pStyle w:val="BookText"/>
        <w:bidi w:val="0"/>
        <w:jc w:val="both"/>
        <w:rPr/>
      </w:pPr>
      <w:r>
        <w:rPr>
          <w:rFonts w:eastAsia="Times New Roman" w:cs="Times New Roman" w:ascii="Times New Roman" w:hAnsi="Times New Roman"/>
          <w:color w:val="111111"/>
          <w:sz w:val="28"/>
          <w:szCs w:val="28"/>
          <w:lang w:val="en-US"/>
        </w:rPr>
        <w:t>j : AI-Tibyﬁn, Dar Al—Andalus.</w:t>
      </w:r>
    </w:p>
    <w:p>
      <w:pPr>
        <w:pStyle w:val="BookText"/>
        <w:bidi w:val="0"/>
        <w:jc w:val="both"/>
        <w:rPr/>
      </w:pPr>
      <w:r>
        <w:rPr>
          <w:rFonts w:eastAsia="Times New Roman" w:cs="Times New Roman" w:ascii="Times New Roman" w:hAnsi="Times New Roman"/>
          <w:color w:val="111111"/>
          <w:sz w:val="28"/>
          <w:szCs w:val="28"/>
          <w:lang w:val="en-US"/>
        </w:rPr>
        <w:t>j : AI-Glznibalr, Qom, Muassasah Al-Ma'arif A1-Islamiyyah, 1411 HQ.</w:t>
      </w:r>
    </w:p>
    <w:p>
      <w:pPr>
        <w:pStyle w:val="BookText"/>
        <w:bidi w:val="0"/>
        <w:jc w:val="both"/>
        <w:rPr/>
      </w:pPr>
      <w:r>
        <w:rPr>
          <w:rFonts w:eastAsia="Times New Roman" w:cs="Times New Roman" w:ascii="Times New Roman" w:hAnsi="Times New Roman"/>
          <w:color w:val="111111"/>
          <w:sz w:val="28"/>
          <w:szCs w:val="28"/>
          <w:lang w:val="en-US"/>
        </w:rPr>
        <w:t>Z : AI-Fihrist, Qom. Mansyurot A1-Syarif Al-Rodhi.</w:t>
      </w:r>
    </w:p>
    <w:p>
      <w:pPr>
        <w:pStyle w:val="BookText"/>
        <w:bidi w:val="0"/>
        <w:jc w:val="both"/>
        <w:rPr/>
      </w:pPr>
      <w:r>
        <w:rPr>
          <w:rFonts w:eastAsia="Times New Roman" w:cs="Times New Roman" w:ascii="Times New Roman" w:hAnsi="Times New Roman"/>
          <w:color w:val="111111"/>
          <w:sz w:val="28"/>
          <w:szCs w:val="28"/>
          <w:lang w:val="en-US"/>
        </w:rPr>
        <w:t>Syirazi, Qutbudin: Syarlg ﬂikmah AI-Is}/rﬁq, Qom, Bidar.</w:t>
      </w:r>
    </w:p>
    <w:p>
      <w:pPr>
        <w:pStyle w:val="BookText"/>
        <w:bidi w:val="0"/>
        <w:jc w:val="both"/>
        <w:rPr/>
      </w:pPr>
      <w:r>
        <w:rPr>
          <w:rFonts w:eastAsia="Times New Roman" w:cs="Times New Roman" w:ascii="Times New Roman" w:hAnsi="Times New Roman"/>
          <w:color w:val="111111"/>
          <w:sz w:val="28"/>
          <w:szCs w:val="28"/>
          <w:lang w:val="en-US"/>
        </w:rPr>
        <w:t>Syirazi, Muhammad Shadrul Mutaalihin: Knsr AI-Ashmim AI-lrilul Iiy_1/ah, revisi Muhammad Taqi Donesy-Pezveh, tehran, Matba'ah ]ami'ah Tehran 1340 HS.</w:t>
      </w:r>
    </w:p>
    <w:p>
      <w:pPr>
        <w:pStyle w:val="BookText"/>
        <w:bidi w:val="0"/>
        <w:jc w:val="both"/>
        <w:rPr/>
      </w:pPr>
      <w:r>
        <w:rPr>
          <w:rFonts w:eastAsia="Times New Roman" w:cs="Times New Roman" w:ascii="Times New Roman" w:hAnsi="Times New Roman"/>
          <w:i/>
          <w:iCs/>
          <w:color w:val="111111"/>
          <w:sz w:val="28"/>
          <w:szCs w:val="28"/>
          <w:lang w:val="en-US"/>
        </w:rPr>
        <w:t>Z</w:t>
      </w:r>
      <w:r>
        <w:rPr>
          <w:rFonts w:eastAsia="Times New Roman" w:cs="Times New Roman" w:ascii="Times New Roman" w:hAnsi="Times New Roman"/>
          <w:color w:val="111111"/>
          <w:sz w:val="28"/>
          <w:szCs w:val="28"/>
          <w:lang w:val="en-US"/>
        </w:rPr>
        <w:t xml:space="preserve"> : Tafsfr AI-Qur’r?n AI-Karim, Qom, Bidar, cet. 2, 1366 HS.</w:t>
      </w:r>
    </w:p>
    <w:p>
      <w:pPr>
        <w:pStyle w:val="BookText"/>
        <w:bidi w:val="0"/>
        <w:jc w:val="both"/>
        <w:rPr/>
      </w:pPr>
      <w:r>
        <w:rPr>
          <w:rFonts w:eastAsia="Times New Roman" w:cs="Times New Roman" w:ascii="Times New Roman" w:hAnsi="Times New Roman"/>
          <w:color w:val="111111"/>
          <w:sz w:val="28"/>
          <w:szCs w:val="28"/>
          <w:lang w:val="en-US"/>
        </w:rPr>
        <w:t>j : AI-ﬂikmat Al-Muta'ﬁli_1/ah ﬁ AI-Asfir Al-'AqIi_1/_1/at AI-Arbn'aI1, Beirut, Dar Ihya' Al-Turots Al-’Arobi, 1410 HQ.</w:t>
      </w:r>
    </w:p>
    <w:p>
      <w:pPr>
        <w:pStyle w:val="BookText"/>
        <w:bidi w:val="0"/>
        <w:jc w:val="both"/>
        <w:rPr/>
      </w:pPr>
      <w:r>
        <w:rPr>
          <w:rFonts w:eastAsia="Times New Roman" w:cs="Times New Roman" w:ascii="Times New Roman" w:hAnsi="Times New Roman"/>
          <w:color w:val="111111"/>
          <w:sz w:val="28"/>
          <w:szCs w:val="28"/>
          <w:lang w:val="en-US"/>
        </w:rPr>
        <w:t>M : AI-Ros(3’iI (Risﬁluh Snrayrin AI-Wujﬁd), Qom, Maktabah Al- Mushtafawi.</w:t>
      </w:r>
    </w:p>
    <w:p>
      <w:pPr>
        <w:pStyle w:val="BookText"/>
        <w:bidi w:val="0"/>
        <w:jc w:val="both"/>
        <w:rPr/>
      </w:pPr>
      <w:r>
        <w:rPr>
          <w:rFonts w:eastAsia="Times New Roman" w:cs="Times New Roman" w:ascii="Times New Roman" w:hAnsi="Times New Roman"/>
          <w:color w:val="111111"/>
          <w:sz w:val="28"/>
          <w:szCs w:val="28"/>
          <w:lang w:val="en-US"/>
        </w:rPr>
        <w:t>Z : Syarﬁ Usl1L?lAI-Kﬁﬁ, Tehran, Muassasah Mutoleat wa Tahqiqot Farhanggi, 1367 HS.</w:t>
      </w:r>
    </w:p>
    <w:p>
      <w:pPr>
        <w:pStyle w:val="BookText"/>
        <w:bidi w:val="0"/>
        <w:jc w:val="both"/>
        <w:rPr/>
      </w:pPr>
      <w:r>
        <w:rPr>
          <w:rFonts w:eastAsia="Times New Roman" w:cs="Times New Roman" w:ascii="Times New Roman" w:hAnsi="Times New Roman"/>
          <w:color w:val="111111"/>
          <w:sz w:val="28"/>
          <w:szCs w:val="28"/>
          <w:lang w:val="en-US"/>
        </w:rPr>
        <w:t>j 2 Mafﬁh7_z AI-Glmyb, revisi Muhammad Khajawi, Tehran, Muassasah Mutoleat wa Tahqiqot Farhanggi, 1363 HS.</w:t>
      </w:r>
    </w:p>
    <w:p>
      <w:pPr>
        <w:pStyle w:val="BookText"/>
        <w:bidi w:val="0"/>
        <w:jc w:val="both"/>
        <w:rPr/>
      </w:pPr>
      <w:r>
        <w:rPr>
          <w:rFonts w:eastAsia="Times New Roman" w:cs="Times New Roman" w:ascii="Times New Roman" w:hAnsi="Times New Roman"/>
          <w:color w:val="111111"/>
          <w:sz w:val="28"/>
          <w:szCs w:val="28"/>
          <w:lang w:val="en-US"/>
        </w:rPr>
        <w:t>Taftazani, Saeduddin: Synrl_z AI-‘Aqr?’id AI-Nasaﬁyyah, revisi Ahmad Hijazi Al-Saqo, Cairo, Maktabah Al-Kulliyyat Al-Azhariyyah, 1408 HQ.</w:t>
      </w:r>
    </w:p>
    <w:p>
      <w:pPr>
        <w:pStyle w:val="BookText"/>
        <w:bidi w:val="0"/>
        <w:jc w:val="both"/>
        <w:rPr/>
      </w:pPr>
      <w:r>
        <w:rPr>
          <w:rFonts w:eastAsia="Times New Roman" w:cs="Times New Roman" w:ascii="Times New Roman" w:hAnsi="Times New Roman"/>
          <w:color w:val="111111"/>
          <w:sz w:val="28"/>
          <w:szCs w:val="28"/>
          <w:lang w:val="en-US"/>
        </w:rPr>
        <w:t>Taghlabi Andalusi, Sho’id bin Ahmad: Tltabaqrit AI—Umrmz, Najaf, Mansyurot Al-Maktabah Al-I-Iaidariyyah, 1387 HQ.</w:t>
      </w:r>
    </w:p>
    <w:p>
      <w:pPr>
        <w:pStyle w:val="BookText"/>
        <w:bidi w:val="0"/>
        <w:jc w:val="both"/>
        <w:rPr/>
      </w:pPr>
      <w:r>
        <w:rPr>
          <w:rFonts w:eastAsia="Times New Roman" w:cs="Times New Roman" w:ascii="Times New Roman" w:hAnsi="Times New Roman"/>
          <w:color w:val="111111"/>
          <w:sz w:val="28"/>
          <w:szCs w:val="28"/>
          <w:lang w:val="en-US"/>
        </w:rPr>
        <w:t>Tauhidi, Abu I-Iayyan: AI-AI-Imtﬁ’ wn AI-Mu’ﬁm1snl1, Mansyurot Al- Syarif Al-Rodhi.</w:t>
      </w:r>
    </w:p>
    <w:p>
      <w:pPr>
        <w:pStyle w:val="BookText"/>
        <w:bidi w:val="0"/>
        <w:jc w:val="both"/>
        <w:rPr/>
      </w:pPr>
      <w:r>
        <w:rPr>
          <w:rFonts w:eastAsia="Times New Roman" w:cs="Times New Roman" w:ascii="Times New Roman" w:hAnsi="Times New Roman"/>
          <w:color w:val="111111"/>
          <w:sz w:val="28"/>
          <w:szCs w:val="28"/>
          <w:lang w:val="en-US"/>
        </w:rPr>
        <w:t>Tehrani, Agha Buzurg, AI-Dzari”al1 {In Tasluinff AI-Syz"nh, Najaf, Maktabah Shohib Al-Dzari'ah Al-’Ammah, 1392 HQ.</w:t>
      </w:r>
    </w:p>
    <w:p>
      <w:pPr>
        <w:pStyle w:val="BookText"/>
        <w:bidi w:val="0"/>
        <w:jc w:val="both"/>
        <w:rPr/>
      </w:pPr>
      <w:r>
        <w:rPr>
          <w:rFonts w:eastAsia="Times New Roman" w:cs="Times New Roman" w:ascii="Times New Roman" w:hAnsi="Times New Roman"/>
          <w:color w:val="111111"/>
          <w:sz w:val="28"/>
          <w:szCs w:val="28"/>
          <w:lang w:val="en-US"/>
        </w:rPr>
        <w:t>Thabarsi, Fadhl bin Hasan: Majmn’ AI-Bayrin, Tehran, Nasir Khosru.</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Thabathabai, Muhammad I-Iusain: AI-Mfzﬁn ﬂ Tnfsfr Alqurrm, Qom, Intosyorot ]ami’ah Mudarrisin.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Tustari, Qadhi Sayid Nuruddin: Ihqriq AI-_H_nqq wa Izhﬁq Al-Bzigil, comentar Syihabuddin Najafi Mar’asyi, Tehran, Matba ‘ah Al- Islamiyyah.</w:t>
      </w:r>
    </w:p>
    <w:p>
      <w:pPr>
        <w:pStyle w:val="BookText"/>
        <w:bidi w:val="0"/>
        <w:jc w:val="both"/>
        <w:rPr/>
      </w:pPr>
      <w:r>
        <w:rPr>
          <w:rFonts w:eastAsia="Times New Roman" w:cs="Times New Roman" w:ascii="Times New Roman" w:hAnsi="Times New Roman"/>
          <w:color w:val="111111"/>
          <w:sz w:val="28"/>
          <w:szCs w:val="28"/>
          <w:lang w:val="en-US"/>
        </w:rPr>
        <w:t>Utsaimain, Muhammad bin Shaleh: SyarI_1 Lum’nh AI-I'tiq6d Ii Ibn Qudzinmh, Dar Ibn Huzaimah, 1417 HQ.</w:t>
      </w:r>
    </w:p>
    <w:p>
      <w:pPr>
        <w:pStyle w:val="BookText"/>
        <w:bidi w:val="0"/>
        <w:jc w:val="both"/>
        <w:rPr/>
      </w:pPr>
      <w:r>
        <w:rPr>
          <w:rFonts w:eastAsia="Times New Roman" w:cs="Times New Roman" w:ascii="Times New Roman" w:hAnsi="Times New Roman"/>
          <w:color w:val="111111"/>
          <w:sz w:val="28"/>
          <w:szCs w:val="28"/>
          <w:lang w:val="en-US"/>
        </w:rPr>
        <w:t>Zamakhsyari, Mahmud bin Umar: Al-Kasysyﬁf, Beirut, Dar AL-Kitab AL’Arobi, cet. 3, 1407 HQ.</w:t>
      </w:r>
    </w:p>
    <w:p>
      <w:pPr>
        <w:pStyle w:val="BookText"/>
        <w:bidi w:val="0"/>
        <w:jc w:val="both"/>
        <w:rPr/>
      </w:pPr>
      <w:r>
        <w:rPr>
          <w:rFonts w:eastAsia="Times New Roman" w:cs="Times New Roman" w:ascii="Times New Roman" w:hAnsi="Times New Roman"/>
          <w:color w:val="111111"/>
          <w:sz w:val="28"/>
          <w:szCs w:val="28"/>
          <w:lang w:val="en-US"/>
        </w:rPr>
        <w:t>Zemarli, Fawwaf Ahmad: Ushﬁl Al-Sunnah Ii Al_1mad ibn ﬂanbal, Beirut, Dar Al-Kitab Al-'Arobi, 1415 HQ, dicetak dalam buku ’Aqo'id Aimmah Al-Salaf.</w:t>
      </w:r>
    </w:p>
    <w:p>
      <w:pPr>
        <w:pStyle w:val="BookText"/>
        <w:bidi w:val="0"/>
        <w:jc w:val="both"/>
        <w:rPr/>
      </w:pPr>
      <w:r>
        <w:rPr>
          <w:rFonts w:eastAsia="Times New Roman" w:cs="Times New Roman" w:ascii="Times New Roman" w:hAnsi="Times New Roman"/>
          <w:color w:val="111111"/>
          <w:sz w:val="28"/>
          <w:szCs w:val="28"/>
          <w:lang w:val="en-US"/>
        </w:rPr>
        <w:t>__ : ’Aqri'id A’imnmh AI-Snlnf, Beirut, Dar Al-Kitab Al-'Arobi, 1415 HQ.</w:t>
      </w:r>
    </w:p>
    <w:p>
      <w:pPr>
        <w:pStyle w:val="BookText"/>
        <w:bidi w:val="0"/>
        <w:jc w:val="both"/>
        <w:rPr/>
      </w:pPr>
      <w:r>
        <w:rPr>
          <w:rFonts w:eastAsia="Times New Roman" w:cs="Times New Roman" w:ascii="Times New Roman" w:hAnsi="Times New Roman"/>
          <w:color w:val="111111"/>
          <w:sz w:val="28"/>
          <w:szCs w:val="28"/>
          <w:lang w:val="en-US"/>
        </w:rPr>
        <w:t>Zuhdi Jarullah: AI-Mu’taziInl1, Beirut, Muassasah AL-'Arobiyyah li Al- Dirosat wa Al-Nasyr, cet. 6, 1410 HQ.</w:t>
      </w:r>
    </w:p>
    <w:p>
      <w:pPr>
        <w:pStyle w:val="BookText"/>
        <w:bidi w:val="0"/>
        <w:jc w:val="both"/>
        <w:rPr/>
      </w:pPr>
      <w:r>
        <w:rPr>
          <w:rFonts w:eastAsia="Times New Roman" w:cs="Times New Roman" w:ascii="Times New Roman" w:hAnsi="Times New Roman"/>
          <w:color w:val="111111"/>
          <w:sz w:val="28"/>
          <w:szCs w:val="28"/>
          <w:lang w:val="en-US"/>
        </w:rPr>
        <w:t>Zulma, Mustafa Ibrahlm: Falsafat AI-Tnsyri’, Baghdad, Dar Al-Risalah, 1979 M.</w:t>
      </w:r>
    </w:p>
    <w:p>
      <w:pPr>
        <w:pStyle w:val="BookText"/>
        <w:bidi w:val="0"/>
        <w:jc w:val="both"/>
        <w:rPr/>
      </w:pPr>
      <w:r>
        <w:rPr>
          <w:rFonts w:eastAsia="Times New Roman" w:cs="Times New Roman" w:ascii="Times New Roman" w:hAnsi="Times New Roman"/>
          <w:color w:val="111111"/>
          <w:sz w:val="28"/>
          <w:szCs w:val="28"/>
          <w:lang w:val="en-US"/>
        </w:rPr>
        <w:t>Yafi’ie, Abdullah bin As’ad: Rawdh Al—Royrih1‘n fi‘ ﬂikﬁyrit AI-Shalihin, Damaskus, Dar Al-Basya'ir, 1416 HQ.</w:t>
      </w:r>
    </w:p>
    <w:p>
      <w:pPr>
        <w:pStyle w:val="BookText"/>
        <w:bidi w:val="0"/>
        <w:jc w:val="both"/>
        <w:rPr/>
      </w:pPr>
      <w:r>
        <w:rPr>
          <w:rFonts w:eastAsia="Times New Roman" w:cs="Times New Roman" w:ascii="Times New Roman" w:hAnsi="Times New Roman"/>
          <w:color w:val="111111"/>
          <w:sz w:val="28"/>
          <w:szCs w:val="28"/>
          <w:lang w:val="en-US"/>
        </w:rPr>
        <w:t>Literatur Latin</w:t>
      </w:r>
    </w:p>
    <w:p>
      <w:pPr>
        <w:pStyle w:val="BookText"/>
        <w:bidi w:val="0"/>
        <w:jc w:val="both"/>
        <w:rPr/>
      </w:pPr>
      <w:r>
        <w:rPr>
          <w:rFonts w:eastAsia="Times New Roman" w:cs="Times New Roman" w:ascii="Times New Roman" w:hAnsi="Times New Roman"/>
          <w:color w:val="111111"/>
          <w:sz w:val="28"/>
          <w:szCs w:val="28"/>
          <w:lang w:val="en-US"/>
        </w:rPr>
        <w:t>Alston, William: ”Is Religious Belief RastionaI?", in Ann Loades 8 Loyal D. Rue, eds., Contemporary Classics in Philosophy of Religion, Illinios, Open Court, 1991, pp. 139-156.</w:t>
      </w:r>
    </w:p>
    <w:p>
      <w:pPr>
        <w:pStyle w:val="BookText"/>
        <w:bidi w:val="0"/>
        <w:jc w:val="both"/>
        <w:rPr/>
      </w:pPr>
      <w:r>
        <w:rPr>
          <w:rFonts w:eastAsia="Times New Roman" w:cs="Times New Roman" w:ascii="Times New Roman" w:hAnsi="Times New Roman"/>
          <w:color w:val="111111"/>
          <w:sz w:val="28"/>
          <w:szCs w:val="28"/>
          <w:lang w:val="en-US"/>
        </w:rPr>
        <w:t>Amir Moezzi, Mohammad Ali: The Divine Guide in Early Shi’ism, trans. From French by David Streight, Albany, State University of New York Press, 1994.</w:t>
      </w:r>
    </w:p>
    <w:p>
      <w:pPr>
        <w:pStyle w:val="BookText"/>
        <w:bidi w:val="0"/>
        <w:jc w:val="both"/>
        <w:rPr/>
      </w:pPr>
      <w:r>
        <w:rPr>
          <w:rFonts w:eastAsia="Times New Roman" w:cs="Times New Roman" w:ascii="Times New Roman" w:hAnsi="Times New Roman"/>
          <w:color w:val="111111"/>
          <w:sz w:val="28"/>
          <w:szCs w:val="28"/>
          <w:lang w:val="en-US"/>
        </w:rPr>
        <w:t>Aquinas, Thomas: "Reason and Revelation", in William L, Rowe &amp; William]. Waimwright, Philosophy of Religion, Florida, HB], 1989.</w:t>
      </w:r>
    </w:p>
    <w:p>
      <w:pPr>
        <w:pStyle w:val="BookText"/>
        <w:bidi w:val="0"/>
        <w:jc w:val="both"/>
        <w:rPr/>
      </w:pPr>
      <w:r>
        <w:rPr>
          <w:rFonts w:eastAsia="Times New Roman" w:cs="Times New Roman" w:ascii="Times New Roman" w:hAnsi="Times New Roman"/>
          <w:color w:val="111111"/>
          <w:sz w:val="28"/>
          <w:szCs w:val="28"/>
          <w:lang w:val="en-US"/>
        </w:rPr>
        <w:t>Amaldez, Koger: "Ibn Hanz”, in Mircea Eliade, ed., The Encyclopedia of Religion, New York, P.C., 1993, V.6.</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Bambrough, Renford: ”Reason and Faith", in Mircea Eliade, ed., The </w:t>
      </w:r>
    </w:p>
    <w:p>
      <w:pPr>
        <w:pStyle w:val="BookText"/>
        <w:bidi w:val="0"/>
        <w:rPr/>
      </w:pPr>
      <w:r>
        <w:rPr>
          <w:rFonts w:eastAsia="Times New Roman" w:cs="Times New Roman" w:ascii="Times New Roman" w:hAnsi="Times New Roman"/>
          <w:color w:val="111111"/>
          <w:sz w:val="28"/>
          <w:szCs w:val="28"/>
          <w:lang w:val="en-US"/>
        </w:rPr>
        <w:t>Daftar Pustaka</w:t>
      </w:r>
    </w:p>
    <w:p>
      <w:pPr>
        <w:pStyle w:val="BookText"/>
        <w:bidi w:val="0"/>
        <w:jc w:val="both"/>
        <w:rPr/>
      </w:pPr>
      <w:r>
        <w:rPr>
          <w:rFonts w:eastAsia="Times New Roman" w:cs="Times New Roman" w:ascii="Times New Roman" w:hAnsi="Times New Roman"/>
          <w:color w:val="111111"/>
          <w:sz w:val="28"/>
          <w:szCs w:val="28"/>
          <w:lang w:val="en-US"/>
        </w:rPr>
        <w:t>Encyclopedia of Religion, Cambridge, Cambridge University Press, 1992.</w:t>
      </w:r>
    </w:p>
    <w:p>
      <w:pPr>
        <w:pStyle w:val="BookText"/>
        <w:bidi w:val="0"/>
        <w:jc w:val="both"/>
        <w:rPr/>
      </w:pPr>
      <w:r>
        <w:rPr>
          <w:rFonts w:eastAsia="Times New Roman" w:cs="Times New Roman" w:ascii="Times New Roman" w:hAnsi="Times New Roman"/>
          <w:color w:val="111111"/>
          <w:sz w:val="28"/>
          <w:szCs w:val="28"/>
          <w:lang w:val="en-US"/>
        </w:rPr>
        <w:t>Berman, Harold: ”Law and Religion in the West", in Mircea Eliade, ed., The Encyclopedia of Religion, New York, P.C., 1993, V.8.</w:t>
      </w:r>
    </w:p>
    <w:p>
      <w:pPr>
        <w:pStyle w:val="BookText"/>
        <w:bidi w:val="0"/>
        <w:jc w:val="both"/>
        <w:rPr/>
      </w:pPr>
      <w:r>
        <w:rPr>
          <w:rFonts w:eastAsia="Times New Roman" w:cs="Times New Roman" w:ascii="Times New Roman" w:hAnsi="Times New Roman"/>
          <w:color w:val="111111"/>
          <w:sz w:val="28"/>
          <w:szCs w:val="28"/>
          <w:lang w:val="en-US"/>
        </w:rPr>
        <w:t>Butterfeld, Herbert: ”Christianity in History", in Philip P. Weiner, ed., Dictionary of the History of Ideas, New York, Scribeners, 1973, V.1.</w:t>
      </w:r>
    </w:p>
    <w:p>
      <w:pPr>
        <w:pStyle w:val="BookText"/>
        <w:bidi w:val="0"/>
        <w:jc w:val="both"/>
        <w:rPr/>
      </w:pPr>
      <w:r>
        <w:rPr>
          <w:rFonts w:eastAsia="Times New Roman" w:cs="Times New Roman" w:ascii="Times New Roman" w:hAnsi="Times New Roman"/>
          <w:color w:val="111111"/>
          <w:sz w:val="28"/>
          <w:szCs w:val="28"/>
          <w:lang w:val="en-US"/>
        </w:rPr>
        <w:t>Carus, Paul: ”Science a Religious Revelation”, in Richard Hughest Seager, ed., The Dawn of Religious Pluralism, Illinois, Open Court, 1993.</w:t>
      </w:r>
    </w:p>
    <w:p>
      <w:pPr>
        <w:pStyle w:val="BookText"/>
        <w:bidi w:val="0"/>
        <w:jc w:val="both"/>
        <w:rPr/>
      </w:pPr>
      <w:r>
        <w:rPr>
          <w:rFonts w:eastAsia="Times New Roman" w:cs="Times New Roman" w:ascii="Times New Roman" w:hAnsi="Times New Roman"/>
          <w:color w:val="111111"/>
          <w:sz w:val="28"/>
          <w:szCs w:val="28"/>
          <w:lang w:val="en-US"/>
        </w:rPr>
        <w:t>Chadwick, W. Owen: ”Religion and Science in the Nineteenth Century", in Philip P. Weiner, ed., Dictionary of the History of Ideas, New York, Scribeners, 1973, VA.</w:t>
      </w:r>
    </w:p>
    <w:p>
      <w:pPr>
        <w:pStyle w:val="BookText"/>
        <w:bidi w:val="0"/>
        <w:jc w:val="both"/>
        <w:rPr/>
      </w:pPr>
      <w:r>
        <w:rPr>
          <w:rFonts w:eastAsia="Times New Roman" w:cs="Times New Roman" w:ascii="Times New Roman" w:hAnsi="Times New Roman"/>
          <w:color w:val="111111"/>
          <w:sz w:val="28"/>
          <w:szCs w:val="28"/>
          <w:lang w:val="en-US"/>
        </w:rPr>
        <w:t>Clark, Kelly james: Return to Reason, Grand Rapids, Eerdmans, 1990.</w:t>
      </w:r>
    </w:p>
    <w:p>
      <w:pPr>
        <w:pStyle w:val="BookText"/>
        <w:bidi w:val="0"/>
        <w:jc w:val="both"/>
        <w:rPr/>
      </w:pPr>
      <w:r>
        <w:rPr>
          <w:rFonts w:eastAsia="Times New Roman" w:cs="Times New Roman" w:ascii="Times New Roman" w:hAnsi="Times New Roman"/>
          <w:color w:val="111111"/>
          <w:sz w:val="28"/>
          <w:szCs w:val="28"/>
          <w:lang w:val="en-US"/>
        </w:rPr>
        <w:t>Clifford, W. K.: "The Ethics of Belief", in William L. Rowe &amp; William J. Waimwright, Philosophy of Religion, Florida, HB], 1989.</w:t>
      </w:r>
    </w:p>
    <w:p>
      <w:pPr>
        <w:pStyle w:val="BookText"/>
        <w:bidi w:val="0"/>
        <w:jc w:val="both"/>
        <w:rPr/>
      </w:pPr>
      <w:r>
        <w:rPr>
          <w:rFonts w:eastAsia="Times New Roman" w:cs="Times New Roman" w:ascii="Times New Roman" w:hAnsi="Times New Roman"/>
          <w:color w:val="111111"/>
          <w:sz w:val="28"/>
          <w:szCs w:val="28"/>
          <w:lang w:val="en-US"/>
        </w:rPr>
        <w:t>Dwen, H. P.: ”Theism", in Paul Edward, ed., The Encyclopedia of Philosophy, New York, Macmillan Publishing, Co., 1972, V. 8. Ebbesen, Sten: ”Averroism”, in Edward Craig, ed., Routledge Ency-</w:t>
      </w:r>
    </w:p>
    <w:p>
      <w:pPr>
        <w:pStyle w:val="BookText"/>
        <w:bidi w:val="0"/>
        <w:jc w:val="both"/>
        <w:rPr/>
      </w:pPr>
      <w:r>
        <w:rPr>
          <w:rFonts w:eastAsia="Times New Roman" w:cs="Times New Roman" w:ascii="Times New Roman" w:hAnsi="Times New Roman"/>
          <w:color w:val="111111"/>
          <w:sz w:val="28"/>
          <w:szCs w:val="28"/>
          <w:lang w:val="en-US"/>
        </w:rPr>
        <w:t>clopedia of Philosophy, London &amp; New York, Routledge, 1998, V. 1.</w:t>
      </w:r>
    </w:p>
    <w:p>
      <w:pPr>
        <w:pStyle w:val="BookText"/>
        <w:bidi w:val="0"/>
        <w:jc w:val="both"/>
        <w:rPr/>
      </w:pPr>
      <w:r>
        <w:rPr>
          <w:rFonts w:eastAsia="Times New Roman" w:cs="Times New Roman" w:ascii="Times New Roman" w:hAnsi="Times New Roman"/>
          <w:color w:val="111111"/>
          <w:sz w:val="28"/>
          <w:szCs w:val="28"/>
          <w:lang w:val="en-US"/>
        </w:rPr>
        <w:t>Godbey, John: "Sozzini, Fausto Pavolo", in Mircea Eliade, ed., The Encyclopedia of Religion, New York, Macmillan, PC. 1993, V. 13.</w:t>
      </w:r>
    </w:p>
    <w:p>
      <w:pPr>
        <w:pStyle w:val="BookText"/>
        <w:bidi w:val="0"/>
        <w:jc w:val="both"/>
        <w:rPr/>
      </w:pPr>
      <w:r>
        <w:rPr>
          <w:rFonts w:eastAsia="Times New Roman" w:cs="Times New Roman" w:ascii="Times New Roman" w:hAnsi="Times New Roman"/>
          <w:color w:val="111111"/>
          <w:sz w:val="28"/>
          <w:szCs w:val="28"/>
          <w:lang w:val="en-US"/>
        </w:rPr>
        <w:t>I-lick, John: Philosophy of Religion, Englewood Cliffs, NJ, Prentice-Hall, 1990.</w:t>
      </w:r>
    </w:p>
    <w:p>
      <w:pPr>
        <w:pStyle w:val="BookText"/>
        <w:bidi w:val="0"/>
        <w:jc w:val="both"/>
        <w:rPr/>
      </w:pPr>
      <w:r>
        <w:rPr>
          <w:rFonts w:eastAsia="Times New Roman" w:cs="Times New Roman" w:ascii="Times New Roman" w:hAnsi="Times New Roman"/>
          <w:color w:val="111111"/>
          <w:sz w:val="28"/>
          <w:szCs w:val="28"/>
          <w:lang w:val="en-US"/>
        </w:rPr>
        <w:t>Hoodbhooy, Pervez: ”Science”, in John L. Esposito, ed., The Oxford Encyclopedia of the Modern Islamic World, Oxford &amp; New York, Oxford University Press, 1995, V. 5.</w:t>
      </w:r>
    </w:p>
    <w:p>
      <w:pPr>
        <w:pStyle w:val="BookText"/>
        <w:bidi w:val="0"/>
        <w:jc w:val="both"/>
        <w:rPr/>
      </w:pPr>
      <w:r>
        <w:rPr>
          <w:rFonts w:eastAsia="Times New Roman" w:cs="Times New Roman" w:ascii="Times New Roman" w:hAnsi="Times New Roman"/>
          <w:color w:val="111111"/>
          <w:sz w:val="28"/>
          <w:szCs w:val="28"/>
          <w:lang w:val="en-US"/>
        </w:rPr>
        <w:t>Hudson, W. Donald: ”Ibn Tufoyl, Abu Bakr Muhammad”, in Edward Craig, ed., Routledge Encyclopedia of Philosophy, London &amp; New York, Routledge, 1998, VA.</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Kocklmans, Iosepsz ”Reﬂections on the Interaction Between Science and Religion”, in Fredrick Ferre &amp; Others, eds., The Challenge of Religion, New York, The Seabury Press, 1982.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Konyndyk, Kenneth: "Faith and Evidentialism”, in Robert Audi &amp; William Wainwrigth, eds., Rationality, Religious Belieﬁ and Moral Commitment, New York, Cornell University Press, 1986.</w:t>
      </w:r>
    </w:p>
    <w:p>
      <w:pPr>
        <w:pStyle w:val="BookText"/>
        <w:bidi w:val="0"/>
        <w:jc w:val="both"/>
        <w:rPr/>
      </w:pPr>
      <w:r>
        <w:rPr>
          <w:rFonts w:eastAsia="Times New Roman" w:cs="Times New Roman" w:ascii="Times New Roman" w:hAnsi="Times New Roman"/>
          <w:color w:val="111111"/>
          <w:sz w:val="28"/>
          <w:szCs w:val="28"/>
          <w:lang w:val="en-US"/>
        </w:rPr>
        <w:t>Kung, Hans: Great Christian Thinkers, New York, Continuum P., 1995.</w:t>
      </w:r>
    </w:p>
    <w:p>
      <w:pPr>
        <w:pStyle w:val="BookText"/>
        <w:bidi w:val="0"/>
        <w:jc w:val="both"/>
        <w:rPr/>
      </w:pPr>
      <w:r>
        <w:rPr>
          <w:rFonts w:eastAsia="Times New Roman" w:cs="Times New Roman" w:ascii="Times New Roman" w:hAnsi="Times New Roman"/>
          <w:color w:val="111111"/>
          <w:sz w:val="28"/>
          <w:szCs w:val="28"/>
          <w:lang w:val="en-US"/>
        </w:rPr>
        <w:t>L. Golding, Joshua: "On the Rationality of Being Religious”, in Elizabeth S. Radcliffe &amp; Carol J. White, eds., Faith in Theory and Practice, Illinois, Open Court, 1993.</w:t>
      </w:r>
    </w:p>
    <w:p>
      <w:pPr>
        <w:pStyle w:val="BookText"/>
        <w:bidi w:val="0"/>
        <w:jc w:val="both"/>
        <w:rPr/>
      </w:pPr>
      <w:r>
        <w:rPr>
          <w:rFonts w:eastAsia="Times New Roman" w:cs="Times New Roman" w:ascii="Times New Roman" w:hAnsi="Times New Roman"/>
          <w:color w:val="111111"/>
          <w:sz w:val="28"/>
          <w:szCs w:val="28"/>
          <w:lang w:val="en-US"/>
        </w:rPr>
        <w:t>L. Schmitz, Kenneth: ”Philosophy of Religion and Redefinition of Philosophy", in Fredrick Ferre &amp; Others, eds., The Challenge of</w:t>
      </w:r>
    </w:p>
    <w:p>
      <w:pPr>
        <w:pStyle w:val="BookText"/>
        <w:bidi w:val="0"/>
        <w:jc w:val="both"/>
        <w:rPr/>
      </w:pPr>
      <w:r>
        <w:rPr>
          <w:rFonts w:eastAsia="Times New Roman" w:cs="Times New Roman" w:ascii="Times New Roman" w:hAnsi="Times New Roman"/>
          <w:color w:val="111111"/>
          <w:sz w:val="28"/>
          <w:szCs w:val="28"/>
          <w:lang w:val="en-US"/>
        </w:rPr>
        <w:t>Religion, New York, The Seabury Press, 1982. Lauer, Quentin: Hegel '5 Concept of God, New York, State University of</w:t>
      </w:r>
    </w:p>
    <w:p>
      <w:pPr>
        <w:pStyle w:val="BookText"/>
        <w:bidi w:val="0"/>
        <w:jc w:val="both"/>
        <w:rPr/>
      </w:pPr>
      <w:r>
        <w:rPr>
          <w:rFonts w:eastAsia="Times New Roman" w:cs="Times New Roman" w:ascii="Times New Roman" w:hAnsi="Times New Roman"/>
          <w:color w:val="111111"/>
          <w:sz w:val="28"/>
          <w:szCs w:val="28"/>
          <w:lang w:val="en-US"/>
        </w:rPr>
        <w:t>New York Press, 1982.</w:t>
      </w:r>
    </w:p>
    <w:p>
      <w:pPr>
        <w:pStyle w:val="BookText"/>
        <w:bidi w:val="0"/>
        <w:jc w:val="both"/>
        <w:rPr/>
      </w:pPr>
      <w:r>
        <w:rPr>
          <w:rFonts w:eastAsia="Times New Roman" w:cs="Times New Roman" w:ascii="Times New Roman" w:hAnsi="Times New Roman"/>
          <w:color w:val="111111"/>
          <w:sz w:val="28"/>
          <w:szCs w:val="28"/>
          <w:lang w:val="en-US"/>
        </w:rPr>
        <w:t>Leaman, Oliver: "Averroism, Tewish", in Edward Craig, ed., Routledge Encyclopedia of Philosophy, London 8: New York, Routledge, 1998, V.1.</w:t>
      </w:r>
    </w:p>
    <w:p>
      <w:pPr>
        <w:pStyle w:val="BookText"/>
        <w:bidi w:val="0"/>
        <w:jc w:val="both"/>
        <w:rPr/>
      </w:pPr>
      <w:r>
        <w:rPr>
          <w:rFonts w:eastAsia="Times New Roman" w:cs="Times New Roman" w:ascii="Times New Roman" w:hAnsi="Times New Roman"/>
          <w:color w:val="111111"/>
          <w:sz w:val="28"/>
          <w:szCs w:val="28"/>
          <w:lang w:val="en-US"/>
        </w:rPr>
        <w:t>Levy, Leonard: ”Blasphemy, Judeo — Christian Concept”, in Mircea Eliade, ed., The Encyclopedia of Religion, New York, Macmillan, P.C. 1993, V.5.</w:t>
      </w:r>
    </w:p>
    <w:p>
      <w:pPr>
        <w:pStyle w:val="BookText"/>
        <w:bidi w:val="0"/>
        <w:jc w:val="both"/>
        <w:rPr/>
      </w:pPr>
      <w:r>
        <w:rPr>
          <w:rFonts w:eastAsia="Times New Roman" w:cs="Times New Roman" w:ascii="Times New Roman" w:hAnsi="Times New Roman"/>
          <w:color w:val="111111"/>
          <w:sz w:val="28"/>
          <w:szCs w:val="28"/>
          <w:lang w:val="en-US"/>
        </w:rPr>
        <w:t>M. Parsons, Keith: God and the Burden of Proof, New York, Prome-theus Books, 1989.</w:t>
      </w:r>
    </w:p>
    <w:p>
      <w:pPr>
        <w:pStyle w:val="BookText"/>
        <w:bidi w:val="0"/>
        <w:jc w:val="both"/>
        <w:rPr/>
      </w:pPr>
      <w:r>
        <w:rPr>
          <w:rFonts w:eastAsia="Times New Roman" w:cs="Times New Roman" w:ascii="Times New Roman" w:hAnsi="Times New Roman"/>
          <w:color w:val="111111"/>
          <w:sz w:val="28"/>
          <w:szCs w:val="28"/>
          <w:lang w:val="en-US"/>
        </w:rPr>
        <w:t>MacDonald, Scott: ”Natural Theology", in Edward Craig, ed., Rout- ledge Encyclopedia of Philosophy, London &amp; New York, Routledge, 1998, V.6.</w:t>
      </w:r>
    </w:p>
    <w:p>
      <w:pPr>
        <w:pStyle w:val="BookText"/>
        <w:bidi w:val="0"/>
        <w:jc w:val="both"/>
        <w:rPr/>
      </w:pPr>
      <w:r>
        <w:rPr>
          <w:rFonts w:eastAsia="Times New Roman" w:cs="Times New Roman" w:ascii="Times New Roman" w:hAnsi="Times New Roman"/>
          <w:color w:val="111111"/>
          <w:sz w:val="28"/>
          <w:szCs w:val="28"/>
          <w:lang w:val="en-US"/>
        </w:rPr>
        <w:t>MacGregor, Geddes: Dictionary of Religion and Philosophy, New York, Paragon House, 1989.</w:t>
      </w:r>
    </w:p>
    <w:p>
      <w:pPr>
        <w:pStyle w:val="BookText"/>
        <w:bidi w:val="0"/>
        <w:jc w:val="both"/>
        <w:rPr/>
      </w:pPr>
      <w:r>
        <w:rPr>
          <w:rFonts w:eastAsia="Times New Roman" w:cs="Times New Roman" w:ascii="Times New Roman" w:hAnsi="Times New Roman"/>
          <w:color w:val="111111"/>
          <w:sz w:val="28"/>
          <w:szCs w:val="28"/>
          <w:lang w:val="en-US"/>
        </w:rPr>
        <w:t>Mackie, John: The Miracle of Theism, New York, Oxford University Press, 1982.</w:t>
      </w:r>
    </w:p>
    <w:p>
      <w:pPr>
        <w:pStyle w:val="BookText"/>
        <w:bidi w:val="0"/>
        <w:jc w:val="both"/>
        <w:rPr/>
      </w:pPr>
      <w:r>
        <w:rPr>
          <w:rFonts w:eastAsia="Times New Roman" w:cs="Times New Roman" w:ascii="Times New Roman" w:hAnsi="Times New Roman"/>
          <w:color w:val="111111"/>
          <w:sz w:val="28"/>
          <w:szCs w:val="28"/>
          <w:lang w:val="en-US"/>
        </w:rPr>
        <w:t>Malcolm, Norman: "The Groundlessness of Belief”, in Stuart Brown, ed., Reason and Religion, London, Cornell University Press, 1977.</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Marshall, John: ”Socinianism”, in Edward Craig, ed., Routledge Ency clopedia of Philosophy, London &amp; New York, Routledge, 1998, V.8. </w:t>
      </w:r>
    </w:p>
    <w:p>
      <w:pPr>
        <w:pStyle w:val="BookText"/>
        <w:bidi w:val="0"/>
        <w:rPr/>
      </w:pPr>
      <w:r>
        <w:rPr>
          <w:rFonts w:eastAsia="Times New Roman" w:cs="Times New Roman" w:ascii="Times New Roman" w:hAnsi="Times New Roman"/>
          <w:color w:val="111111"/>
          <w:sz w:val="28"/>
          <w:szCs w:val="28"/>
          <w:lang w:val="en-US"/>
        </w:rPr>
        <w:t>Daftar Pustaka</w:t>
      </w:r>
    </w:p>
    <w:p>
      <w:pPr>
        <w:pStyle w:val="BookText"/>
        <w:bidi w:val="0"/>
        <w:jc w:val="both"/>
        <w:rPr/>
      </w:pPr>
      <w:r>
        <w:rPr>
          <w:rFonts w:eastAsia="Times New Roman" w:cs="Times New Roman" w:ascii="Times New Roman" w:hAnsi="Times New Roman"/>
          <w:color w:val="111111"/>
          <w:sz w:val="28"/>
          <w:szCs w:val="28"/>
          <w:lang w:val="en-US"/>
        </w:rPr>
        <w:t>Murata, Sachiko: The Tao of Islam, Albany, State University of New York Press, 1992.</w:t>
      </w:r>
    </w:p>
    <w:p>
      <w:pPr>
        <w:pStyle w:val="BookText"/>
        <w:bidi w:val="0"/>
        <w:jc w:val="both"/>
        <w:rPr/>
      </w:pPr>
      <w:r>
        <w:rPr>
          <w:rFonts w:eastAsia="Times New Roman" w:cs="Times New Roman" w:ascii="Times New Roman" w:hAnsi="Times New Roman"/>
          <w:color w:val="111111"/>
          <w:sz w:val="28"/>
          <w:szCs w:val="28"/>
          <w:lang w:val="en-US"/>
        </w:rPr>
        <w:t>0'1-lear, Anthony: Experience, Explanation and Faith, London, Routledge &amp; Kegan Paul, 1984.</w:t>
      </w:r>
    </w:p>
    <w:p>
      <w:pPr>
        <w:pStyle w:val="BookText"/>
        <w:bidi w:val="0"/>
        <w:jc w:val="both"/>
        <w:rPr/>
      </w:pPr>
      <w:r>
        <w:rPr>
          <w:rFonts w:eastAsia="Times New Roman" w:cs="Times New Roman" w:ascii="Times New Roman" w:hAnsi="Times New Roman"/>
          <w:color w:val="111111"/>
          <w:sz w:val="28"/>
          <w:szCs w:val="28"/>
          <w:lang w:val="en-US"/>
        </w:rPr>
        <w:t>Peterson, Michael, et al.: Reason and Religious Belief, New York, Oxford University Press, 1991.</w:t>
      </w:r>
    </w:p>
    <w:p>
      <w:pPr>
        <w:pStyle w:val="BookText"/>
        <w:bidi w:val="0"/>
        <w:jc w:val="both"/>
        <w:rPr/>
      </w:pPr>
      <w:r>
        <w:rPr>
          <w:rFonts w:eastAsia="Times New Roman" w:cs="Times New Roman" w:ascii="Times New Roman" w:hAnsi="Times New Roman"/>
          <w:color w:val="111111"/>
          <w:sz w:val="28"/>
          <w:szCs w:val="28"/>
          <w:lang w:val="en-US"/>
        </w:rPr>
        <w:t>Pine, Martin: ”Double Truth”, in Philip P. Weiner, ed., Dictionary of the History of Ideas, New York, Scribeners, 1973, V.2.</w:t>
      </w:r>
    </w:p>
    <w:p>
      <w:pPr>
        <w:pStyle w:val="BookText"/>
        <w:bidi w:val="0"/>
        <w:jc w:val="both"/>
        <w:rPr/>
      </w:pPr>
      <w:r>
        <w:rPr>
          <w:rFonts w:eastAsia="Times New Roman" w:cs="Times New Roman" w:ascii="Times New Roman" w:hAnsi="Times New Roman"/>
          <w:color w:val="111111"/>
          <w:sz w:val="28"/>
          <w:szCs w:val="28"/>
          <w:lang w:val="en-US"/>
        </w:rPr>
        <w:t>Plantinga, Alvin: ”Reason and Belief in God", in Alvin Plantinga 8: Nicholas Wolterstorff, eds., Faith and Rationality, Notredame, University of Notredame Press, 1983.</w:t>
      </w:r>
    </w:p>
    <w:p>
      <w:pPr>
        <w:pStyle w:val="BookText"/>
        <w:bidi w:val="0"/>
        <w:jc w:val="both"/>
        <w:rPr/>
      </w:pPr>
      <w:r>
        <w:rPr>
          <w:rFonts w:eastAsia="Times New Roman" w:cs="Times New Roman" w:ascii="Times New Roman" w:hAnsi="Times New Roman"/>
          <w:color w:val="111111"/>
          <w:sz w:val="28"/>
          <w:szCs w:val="28"/>
          <w:lang w:val="en-US"/>
        </w:rPr>
        <w:t>__ : "Religious Belief without Evidence”, in Louis Pojman, ed., Philosophy Religion, California, Wadsworth, P.C., 1987.</w:t>
      </w:r>
    </w:p>
    <w:p>
      <w:pPr>
        <w:pStyle w:val="BookText"/>
        <w:bidi w:val="0"/>
        <w:jc w:val="both"/>
        <w:rPr/>
      </w:pPr>
      <w:r>
        <w:rPr>
          <w:rFonts w:eastAsia="Times New Roman" w:cs="Times New Roman" w:ascii="Times New Roman" w:hAnsi="Times New Roman"/>
          <w:color w:val="111111"/>
          <w:sz w:val="28"/>
          <w:szCs w:val="28"/>
          <w:lang w:val="en-US"/>
        </w:rPr>
        <w:t>Pojman, Louis: "Can Religious Belief be Rational?", in Louis Pojman, ed., Philosophy of Religion, California, Wadsworth, P.C., 1987. Quinton, Anthony: ”Knowledge and Belief", in Paul Edward, ed., The Encyclopedia of Philosophy, New York, Cacmillan Publishing, Co.,</w:t>
      </w:r>
    </w:p>
    <w:p>
      <w:pPr>
        <w:pStyle w:val="BookText"/>
        <w:bidi w:val="0"/>
        <w:jc w:val="both"/>
        <w:rPr/>
      </w:pPr>
      <w:r>
        <w:rPr>
          <w:rFonts w:eastAsia="Times New Roman" w:cs="Times New Roman" w:ascii="Times New Roman" w:hAnsi="Times New Roman"/>
          <w:color w:val="111111"/>
          <w:sz w:val="28"/>
          <w:szCs w:val="28"/>
          <w:lang w:val="en-US"/>
        </w:rPr>
        <w:t>1972, V.4.</w:t>
      </w:r>
    </w:p>
    <w:p>
      <w:pPr>
        <w:pStyle w:val="BookText"/>
        <w:bidi w:val="0"/>
        <w:jc w:val="both"/>
        <w:rPr/>
      </w:pPr>
      <w:r>
        <w:rPr>
          <w:rFonts w:eastAsia="Times New Roman" w:cs="Times New Roman" w:ascii="Times New Roman" w:hAnsi="Times New Roman"/>
          <w:color w:val="111111"/>
          <w:sz w:val="28"/>
          <w:szCs w:val="28"/>
          <w:lang w:val="en-US"/>
        </w:rPr>
        <w:t>Ravindra, Ravi: ”Galileo Galilei", in Mircea Eliade, ed., The Encyclo- pedia of Religion, New York, Macmillan, P.C. 1993, V.5.</w:t>
      </w:r>
    </w:p>
    <w:p>
      <w:pPr>
        <w:pStyle w:val="BookText"/>
        <w:bidi w:val="0"/>
        <w:jc w:val="both"/>
        <w:rPr/>
      </w:pPr>
      <w:r>
        <w:rPr>
          <w:rFonts w:eastAsia="Times New Roman" w:cs="Times New Roman" w:ascii="Times New Roman" w:hAnsi="Times New Roman"/>
          <w:color w:val="111111"/>
          <w:sz w:val="28"/>
          <w:szCs w:val="28"/>
          <w:lang w:val="en-US"/>
        </w:rPr>
        <w:t>___: ”Phisics and Religion”, in Mircea Eliade, ed., The Encyclopedia of Religion, New York, Macmillan, P.C. 1993, V. 11.</w:t>
      </w:r>
    </w:p>
    <w:p>
      <w:pPr>
        <w:pStyle w:val="BookText"/>
        <w:bidi w:val="0"/>
        <w:jc w:val="both"/>
        <w:rPr/>
      </w:pPr>
      <w:r>
        <w:rPr>
          <w:rFonts w:eastAsia="Times New Roman" w:cs="Times New Roman" w:ascii="Times New Roman" w:hAnsi="Times New Roman"/>
          <w:color w:val="111111"/>
          <w:sz w:val="28"/>
          <w:szCs w:val="28"/>
          <w:lang w:val="en-US"/>
        </w:rPr>
        <w:t>Robinson, Richard: ” Religion and Reason", in Critiques of God.</w:t>
      </w:r>
    </w:p>
    <w:p>
      <w:pPr>
        <w:pStyle w:val="BookText"/>
        <w:bidi w:val="0"/>
        <w:jc w:val="both"/>
        <w:rPr/>
      </w:pPr>
      <w:r>
        <w:rPr>
          <w:rFonts w:eastAsia="Times New Roman" w:cs="Times New Roman" w:ascii="Times New Roman" w:hAnsi="Times New Roman"/>
          <w:color w:val="111111"/>
          <w:sz w:val="28"/>
          <w:szCs w:val="28"/>
          <w:lang w:val="en-US"/>
        </w:rPr>
        <w:t>Rippin, Andrew: Muslims, London 8: New York, Routledge, 1995.</w:t>
      </w:r>
    </w:p>
    <w:p>
      <w:pPr>
        <w:pStyle w:val="BookText"/>
        <w:bidi w:val="0"/>
        <w:jc w:val="both"/>
        <w:rPr/>
      </w:pPr>
      <w:r>
        <w:rPr>
          <w:rFonts w:eastAsia="Times New Roman" w:cs="Times New Roman" w:ascii="Times New Roman" w:hAnsi="Times New Roman"/>
          <w:color w:val="111111"/>
          <w:sz w:val="28"/>
          <w:szCs w:val="28"/>
          <w:lang w:val="en-US"/>
        </w:rPr>
        <w:t>Robinson, Richard: ”Religion and Reason”, in Peter Angeles, ed., Philosophy, London, New York, Routledge, 1998, V.2.</w:t>
      </w:r>
    </w:p>
    <w:p>
      <w:pPr>
        <w:pStyle w:val="BookText"/>
        <w:bidi w:val="0"/>
        <w:jc w:val="both"/>
        <w:rPr/>
      </w:pPr>
      <w:r>
        <w:rPr>
          <w:rFonts w:eastAsia="Times New Roman" w:cs="Times New Roman" w:ascii="Times New Roman" w:hAnsi="Times New Roman"/>
          <w:color w:val="111111"/>
          <w:sz w:val="28"/>
          <w:szCs w:val="28"/>
          <w:lang w:val="en-US"/>
        </w:rPr>
        <w:t>Scriven, Michael: "The Presumption of Atheism", in Louis Pojman, ed., Philosophy of Religion, California, Wadsworth, P.C., 1987. Smith, John E.: "Philosophy and Religion”, in Mircea Eliade, ed., The</w:t>
      </w:r>
    </w:p>
    <w:p>
      <w:pPr>
        <w:pStyle w:val="BookText"/>
        <w:bidi w:val="0"/>
        <w:jc w:val="both"/>
        <w:rPr/>
      </w:pPr>
      <w:r>
        <w:rPr>
          <w:rFonts w:eastAsia="Times New Roman" w:cs="Times New Roman" w:ascii="Times New Roman" w:hAnsi="Times New Roman"/>
          <w:color w:val="111111"/>
          <w:sz w:val="28"/>
          <w:szCs w:val="28"/>
          <w:lang w:val="en-US"/>
        </w:rPr>
        <w:t>Encyclopedia of Religion, New York, Macmillan, P.C. 1993, V. 11.</w:t>
      </w:r>
    </w:p>
    <w:p>
      <w:pPr>
        <w:pStyle w:val="BookText"/>
        <w:bidi w:val="0"/>
        <w:jc w:val="both"/>
        <w:rPr/>
      </w:pPr>
      <w:r>
        <w:rPr>
          <w:rFonts w:eastAsia="Times New Roman" w:cs="Times New Roman" w:ascii="Times New Roman" w:hAnsi="Times New Roman"/>
          <w:color w:val="111111"/>
          <w:sz w:val="28"/>
          <w:szCs w:val="28"/>
          <w:lang w:val="en-US"/>
        </w:rPr>
        <w:t>Smith, Ionathan Z., ed.: The HarpesCollins Dictionary of Religion, New</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York, HarperCollins Publishers, 1995.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Sullivan, Roger: Immanuel Kant Moral Theory, U.S.A., Cambridge University Press, 1989.</w:t>
      </w:r>
    </w:p>
    <w:p>
      <w:pPr>
        <w:pStyle w:val="BookText"/>
        <w:bidi w:val="0"/>
        <w:jc w:val="both"/>
        <w:rPr/>
      </w:pPr>
      <w:r>
        <w:rPr>
          <w:rFonts w:eastAsia="Times New Roman" w:cs="Times New Roman" w:ascii="Times New Roman" w:hAnsi="Times New Roman"/>
          <w:color w:val="111111"/>
          <w:sz w:val="28"/>
          <w:szCs w:val="28"/>
          <w:lang w:val="en-US"/>
        </w:rPr>
        <w:t>Swinburne, Richard: Faith and Reason, New York, Oxford University Press, 1985.</w:t>
      </w:r>
    </w:p>
    <w:p>
      <w:pPr>
        <w:pStyle w:val="BookText"/>
        <w:bidi w:val="0"/>
        <w:jc w:val="both"/>
        <w:rPr/>
      </w:pPr>
      <w:r>
        <w:rPr>
          <w:rFonts w:eastAsia="Times New Roman" w:cs="Times New Roman" w:ascii="Times New Roman" w:hAnsi="Times New Roman"/>
          <w:color w:val="111111"/>
          <w:sz w:val="28"/>
          <w:szCs w:val="28"/>
          <w:lang w:val="en-US"/>
        </w:rPr>
        <w:t>Z : Revelation from Metaphor to Analogy, New York, Oxford University Press, 1992.</w:t>
      </w:r>
    </w:p>
    <w:p>
      <w:pPr>
        <w:pStyle w:val="BookText"/>
        <w:bidi w:val="0"/>
        <w:jc w:val="both"/>
        <w:rPr/>
      </w:pPr>
      <w:r>
        <w:rPr>
          <w:rFonts w:eastAsia="Times New Roman" w:cs="Times New Roman" w:ascii="Times New Roman" w:hAnsi="Times New Roman"/>
          <w:color w:val="111111"/>
          <w:sz w:val="28"/>
          <w:szCs w:val="28"/>
          <w:lang w:val="en-US"/>
        </w:rPr>
        <w:t>Trigg, Roger: ” Reason and Faith”, in Martin Warner, ed., Religious and Philosophy, Cambridge, Cambridge University Press, 1992.</w:t>
      </w:r>
    </w:p>
    <w:p>
      <w:pPr>
        <w:pStyle w:val="BookText"/>
        <w:bidi w:val="0"/>
        <w:jc w:val="both"/>
        <w:rPr/>
      </w:pPr>
      <w:r>
        <w:rPr>
          <w:rFonts w:eastAsia="Times New Roman" w:cs="Times New Roman" w:ascii="Times New Roman" w:hAnsi="Times New Roman"/>
          <w:color w:val="111111"/>
          <w:sz w:val="28"/>
          <w:szCs w:val="28"/>
          <w:lang w:val="en-US"/>
        </w:rPr>
        <w:t>Woltersorff, Nicholas: ‘'15 Reason Enough?", in R. Douglas Geivett &amp; Brendan Sweetman, eds., Contemporary Perspective oh Religious Epistemology, New York, Oxford University Press, 1992. Wood, Allen W.: ”The Enlightenment”, in Mircea Eliade, ed., The Encyclopedia of Religion, New York, Macmillan, P.C. 1993, V.5. j : ”Kant’s Deism", in Philip Rossi &amp; Michea Wreen, eds., Kant's Philosophy of Religion Reconsidered, U.S.A., Indiana University Press, 1991.</w:t>
      </w:r>
    </w:p>
    <w:p>
      <w:pPr>
        <w:pStyle w:val="BookText"/>
        <w:bidi w:val="0"/>
        <w:jc w:val="both"/>
        <w:rPr/>
      </w:pPr>
      <w:r>
        <w:rPr>
          <w:rFonts w:eastAsia="Times New Roman" w:cs="Times New Roman" w:ascii="Times New Roman" w:hAnsi="Times New Roman"/>
          <w:color w:val="111111"/>
          <w:sz w:val="28"/>
          <w:szCs w:val="28"/>
          <w:lang w:val="en-US"/>
        </w:rPr>
        <w:t>_ 2 Revelation.</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Wiebe, Donald: Beyond Legitimation, New York, ST. Martin's Press, 1994. </w:t>
      </w:r>
      <w:bookmarkStart w:id="477" w:name="pg5378_50929"/>
    </w:p>
    <w:p>
      <w:pPr>
        <w:pStyle w:val="Heading2"/>
        <w:numPr>
          <w:ilvl w:val="1"/>
          <w:numId w:val="1"/>
        </w:numPr>
        <w:bidi w:val="0"/>
        <w:jc w:val="left"/>
        <w:rPr/>
      </w:pPr>
      <w:bookmarkStart w:id="478" w:name="__RefHeading___Toc1351390_581953129"/>
      <w:bookmarkStart w:id="479" w:name="_Toc174"/>
      <w:bookmarkEnd w:id="477"/>
      <w:bookmarkEnd w:id="478"/>
      <w:r>
        <w:rPr/>
        <w:t>INDEKS</w:t>
      </w:r>
      <w:bookmarkEnd w:id="479"/>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Abdul Jalil Qazwaini 164</w:t>
      </w:r>
    </w:p>
    <w:p>
      <w:pPr>
        <w:pStyle w:val="BookText"/>
        <w:bidi w:val="0"/>
        <w:jc w:val="both"/>
        <w:rPr/>
      </w:pPr>
      <w:r>
        <w:rPr>
          <w:rFonts w:eastAsia="Times New Roman" w:cs="Times New Roman" w:ascii="Times New Roman" w:hAnsi="Times New Roman"/>
          <w:color w:val="111111"/>
          <w:sz w:val="28"/>
          <w:szCs w:val="28"/>
          <w:lang w:val="en-US"/>
        </w:rPr>
        <w:t>Abdurahman bin I-Iajjaj 161</w:t>
      </w:r>
    </w:p>
    <w:p>
      <w:pPr>
        <w:pStyle w:val="BookText"/>
        <w:bidi w:val="0"/>
        <w:jc w:val="both"/>
        <w:rPr/>
      </w:pPr>
      <w:r>
        <w:rPr>
          <w:rFonts w:eastAsia="Times New Roman" w:cs="Times New Roman" w:ascii="Times New Roman" w:hAnsi="Times New Roman"/>
          <w:color w:val="111111"/>
          <w:sz w:val="28"/>
          <w:szCs w:val="28"/>
          <w:lang w:val="en-US"/>
        </w:rPr>
        <w:t>Abu Ali Sina 41</w:t>
      </w:r>
    </w:p>
    <w:p>
      <w:pPr>
        <w:pStyle w:val="BookText"/>
        <w:bidi w:val="0"/>
        <w:jc w:val="both"/>
        <w:rPr/>
      </w:pPr>
      <w:r>
        <w:rPr>
          <w:rFonts w:eastAsia="Times New Roman" w:cs="Times New Roman" w:ascii="Times New Roman" w:hAnsi="Times New Roman"/>
          <w:color w:val="111111"/>
          <w:sz w:val="28"/>
          <w:szCs w:val="28"/>
          <w:lang w:val="en-US"/>
        </w:rPr>
        <w:t>Abu Hamid Muhammad Ghazali 19</w:t>
      </w:r>
    </w:p>
    <w:p>
      <w:pPr>
        <w:pStyle w:val="BookText"/>
        <w:bidi w:val="0"/>
        <w:jc w:val="both"/>
        <w:rPr/>
      </w:pPr>
      <w:r>
        <w:rPr>
          <w:rFonts w:eastAsia="Times New Roman" w:cs="Times New Roman" w:ascii="Times New Roman" w:hAnsi="Times New Roman"/>
          <w:color w:val="111111"/>
          <w:sz w:val="28"/>
          <w:szCs w:val="28"/>
          <w:lang w:val="en-US"/>
        </w:rPr>
        <w:t>Abu I-Ianifah 121, 175, 178</w:t>
      </w:r>
    </w:p>
    <w:p>
      <w:pPr>
        <w:pStyle w:val="BookText"/>
        <w:bidi w:val="0"/>
        <w:jc w:val="both"/>
        <w:rPr/>
      </w:pPr>
      <w:r>
        <w:rPr>
          <w:rFonts w:eastAsia="Times New Roman" w:cs="Times New Roman" w:ascii="Times New Roman" w:hAnsi="Times New Roman"/>
          <w:color w:val="111111"/>
          <w:sz w:val="28"/>
          <w:szCs w:val="28"/>
          <w:lang w:val="en-US"/>
        </w:rPr>
        <w:t>Abu I-Iasyim ]uba’i 95</w:t>
      </w:r>
    </w:p>
    <w:p>
      <w:pPr>
        <w:pStyle w:val="BookText"/>
        <w:bidi w:val="0"/>
        <w:jc w:val="both"/>
        <w:rPr/>
      </w:pPr>
      <w:r>
        <w:rPr>
          <w:rFonts w:eastAsia="Times New Roman" w:cs="Times New Roman" w:ascii="Times New Roman" w:hAnsi="Times New Roman"/>
          <w:color w:val="111111"/>
          <w:sz w:val="28"/>
          <w:szCs w:val="28"/>
          <w:lang w:val="en-US"/>
        </w:rPr>
        <w:t>Abul Ala’ Ma‘arri 67, 70,</w:t>
      </w:r>
    </w:p>
    <w:p>
      <w:pPr>
        <w:pStyle w:val="BookText"/>
        <w:bidi w:val="0"/>
        <w:jc w:val="both"/>
        <w:rPr/>
      </w:pPr>
      <w:r>
        <w:rPr>
          <w:rFonts w:eastAsia="Times New Roman" w:cs="Times New Roman" w:ascii="Times New Roman" w:hAnsi="Times New Roman"/>
          <w:color w:val="111111"/>
          <w:sz w:val="28"/>
          <w:szCs w:val="28"/>
          <w:lang w:val="en-US"/>
        </w:rPr>
        <w:t>Abul Hasan Karkhi 95</w:t>
      </w:r>
    </w:p>
    <w:p>
      <w:pPr>
        <w:pStyle w:val="BookText"/>
        <w:bidi w:val="0"/>
        <w:jc w:val="both"/>
        <w:rPr/>
      </w:pPr>
      <w:r>
        <w:rPr>
          <w:rFonts w:eastAsia="Times New Roman" w:cs="Times New Roman" w:ascii="Times New Roman" w:hAnsi="Times New Roman"/>
          <w:color w:val="111111"/>
          <w:sz w:val="28"/>
          <w:szCs w:val="28"/>
          <w:lang w:val="en-US"/>
        </w:rPr>
        <w:t>Abul Hasan Nasyi 162</w:t>
      </w:r>
    </w:p>
    <w:p>
      <w:pPr>
        <w:pStyle w:val="BookText"/>
        <w:bidi w:val="0"/>
        <w:jc w:val="both"/>
        <w:rPr/>
      </w:pPr>
      <w:r>
        <w:rPr>
          <w:rFonts w:eastAsia="Times New Roman" w:cs="Times New Roman" w:ascii="Times New Roman" w:hAnsi="Times New Roman"/>
          <w:color w:val="111111"/>
          <w:sz w:val="28"/>
          <w:szCs w:val="28"/>
          <w:lang w:val="en-US"/>
        </w:rPr>
        <w:t>Abu Nashr Qusyairi 129</w:t>
      </w:r>
    </w:p>
    <w:p>
      <w:pPr>
        <w:pStyle w:val="BookText"/>
        <w:bidi w:val="0"/>
        <w:jc w:val="both"/>
        <w:rPr/>
      </w:pPr>
      <w:r>
        <w:rPr>
          <w:rFonts w:eastAsia="Times New Roman" w:cs="Times New Roman" w:ascii="Times New Roman" w:hAnsi="Times New Roman"/>
          <w:color w:val="111111"/>
          <w:sz w:val="28"/>
          <w:szCs w:val="28"/>
          <w:lang w:val="en-US"/>
        </w:rPr>
        <w:t>Abu Sa’id Abul Khair 41</w:t>
      </w:r>
    </w:p>
    <w:p>
      <w:pPr>
        <w:pStyle w:val="BookText"/>
        <w:bidi w:val="0"/>
        <w:jc w:val="both"/>
        <w:rPr/>
      </w:pPr>
      <w:r>
        <w:rPr>
          <w:rFonts w:eastAsia="Times New Roman" w:cs="Times New Roman" w:ascii="Times New Roman" w:hAnsi="Times New Roman"/>
          <w:color w:val="111111"/>
          <w:sz w:val="28"/>
          <w:szCs w:val="28"/>
          <w:lang w:val="en-US"/>
        </w:rPr>
        <w:t>Abu Yazid Bastami 210</w:t>
      </w:r>
    </w:p>
    <w:p>
      <w:pPr>
        <w:pStyle w:val="BookText"/>
        <w:bidi w:val="0"/>
        <w:jc w:val="both"/>
        <w:rPr/>
      </w:pPr>
      <w:r>
        <w:rPr>
          <w:rFonts w:eastAsia="Times New Roman" w:cs="Times New Roman" w:ascii="Times New Roman" w:hAnsi="Times New Roman"/>
          <w:color w:val="111111"/>
          <w:sz w:val="28"/>
          <w:szCs w:val="28"/>
          <w:lang w:val="en-US"/>
        </w:rPr>
        <w:t>Ad hominem 87, 205</w:t>
      </w:r>
    </w:p>
    <w:p>
      <w:pPr>
        <w:pStyle w:val="BookText"/>
        <w:bidi w:val="0"/>
        <w:jc w:val="both"/>
        <w:rPr/>
      </w:pPr>
      <w:r>
        <w:rPr>
          <w:rFonts w:eastAsia="Times New Roman" w:cs="Times New Roman" w:ascii="Times New Roman" w:hAnsi="Times New Roman"/>
          <w:color w:val="111111"/>
          <w:sz w:val="28"/>
          <w:szCs w:val="28"/>
          <w:lang w:val="en-US"/>
        </w:rPr>
        <w:t>Agnostisisme 120, 151, 154</w:t>
      </w:r>
    </w:p>
    <w:p>
      <w:pPr>
        <w:pStyle w:val="BookText"/>
        <w:bidi w:val="0"/>
        <w:jc w:val="both"/>
        <w:rPr/>
      </w:pPr>
      <w:r>
        <w:rPr>
          <w:rFonts w:eastAsia="Times New Roman" w:cs="Times New Roman" w:ascii="Times New Roman" w:hAnsi="Times New Roman"/>
          <w:color w:val="111111"/>
          <w:sz w:val="28"/>
          <w:szCs w:val="28"/>
          <w:lang w:val="en-US"/>
        </w:rPr>
        <w:t>Ah] al-fiqh wa al-i‘tibér 164</w:t>
      </w:r>
    </w:p>
    <w:p>
      <w:pPr>
        <w:pStyle w:val="BookText"/>
        <w:bidi w:val="0"/>
        <w:jc w:val="both"/>
        <w:rPr/>
      </w:pPr>
      <w:r>
        <w:rPr>
          <w:rFonts w:eastAsia="Times New Roman" w:cs="Times New Roman" w:ascii="Times New Roman" w:hAnsi="Times New Roman"/>
          <w:color w:val="111111"/>
          <w:sz w:val="28"/>
          <w:szCs w:val="28"/>
          <w:lang w:val="en-US"/>
        </w:rPr>
        <w:t>Ah] al-naql 163</w:t>
      </w:r>
    </w:p>
    <w:p>
      <w:pPr>
        <w:pStyle w:val="BookText"/>
        <w:bidi w:val="0"/>
        <w:jc w:val="both"/>
        <w:rPr/>
      </w:pPr>
      <w:r>
        <w:rPr>
          <w:rFonts w:eastAsia="Times New Roman" w:cs="Times New Roman" w:ascii="Times New Roman" w:hAnsi="Times New Roman"/>
          <w:color w:val="111111"/>
          <w:sz w:val="28"/>
          <w:szCs w:val="28"/>
          <w:lang w:val="en-US"/>
        </w:rPr>
        <w:t>Ahlul Bait 71, 93, 94, 131, 152, 160, 165, 166, 167, 168, 172, 173, 174, 175, 176, 178, 181, 182, 183, 188, 240, 241</w:t>
      </w:r>
    </w:p>
    <w:p>
      <w:pPr>
        <w:pStyle w:val="BookText"/>
        <w:bidi w:val="0"/>
        <w:jc w:val="both"/>
        <w:rPr/>
      </w:pPr>
      <w:r>
        <w:rPr>
          <w:rFonts w:eastAsia="Times New Roman" w:cs="Times New Roman" w:ascii="Times New Roman" w:hAnsi="Times New Roman"/>
          <w:color w:val="111111"/>
          <w:sz w:val="28"/>
          <w:szCs w:val="28"/>
          <w:lang w:val="en-US"/>
        </w:rPr>
        <w:t>Ahmad bin Hanbal 34, 100, 121, 124, 125, 126, 127, 128, 130, 137, 139, 141, 150, 152, 258</w:t>
      </w:r>
    </w:p>
    <w:p>
      <w:pPr>
        <w:pStyle w:val="BookText"/>
        <w:bidi w:val="0"/>
        <w:jc w:val="both"/>
        <w:rPr/>
      </w:pPr>
      <w:r>
        <w:rPr>
          <w:rFonts w:eastAsia="Times New Roman" w:cs="Times New Roman" w:ascii="Times New Roman" w:hAnsi="Times New Roman"/>
          <w:color w:val="111111"/>
          <w:sz w:val="28"/>
          <w:szCs w:val="28"/>
          <w:lang w:val="en-US"/>
        </w:rPr>
        <w:t>Akhbariyah 34, 158, 161, 162, 164, 166, 167, 168, 169, 170, 171, 173, 174, 175, 176, 180, 182, 185, 186, 189, 197</w:t>
      </w:r>
    </w:p>
    <w:p>
      <w:pPr>
        <w:pStyle w:val="BookText"/>
        <w:bidi w:val="0"/>
        <w:jc w:val="both"/>
        <w:rPr/>
      </w:pPr>
      <w:r>
        <w:rPr>
          <w:rFonts w:eastAsia="Times New Roman" w:cs="Times New Roman" w:ascii="Times New Roman" w:hAnsi="Times New Roman"/>
          <w:color w:val="111111"/>
          <w:sz w:val="28"/>
          <w:szCs w:val="28"/>
          <w:lang w:val="en-US"/>
        </w:rPr>
        <w:t>Al-Aqsa 146</w:t>
      </w:r>
    </w:p>
    <w:p>
      <w:pPr>
        <w:pStyle w:val="BookText"/>
        <w:bidi w:val="0"/>
        <w:jc w:val="both"/>
        <w:rPr/>
      </w:pPr>
      <w:r>
        <w:rPr>
          <w:rFonts w:eastAsia="Times New Roman" w:cs="Times New Roman" w:ascii="Times New Roman" w:hAnsi="Times New Roman"/>
          <w:color w:val="111111"/>
          <w:sz w:val="28"/>
          <w:szCs w:val="28"/>
          <w:lang w:val="en-US"/>
        </w:rPr>
        <w:t>Al-I-Iaram 146</w:t>
      </w:r>
    </w:p>
    <w:p>
      <w:pPr>
        <w:pStyle w:val="BookText"/>
        <w:bidi w:val="0"/>
        <w:jc w:val="both"/>
        <w:rPr/>
      </w:pPr>
      <w:r>
        <w:rPr>
          <w:rFonts w:eastAsia="Times New Roman" w:cs="Times New Roman" w:ascii="Times New Roman" w:hAnsi="Times New Roman"/>
          <w:color w:val="111111"/>
          <w:sz w:val="28"/>
          <w:szCs w:val="28"/>
          <w:lang w:val="en-US"/>
        </w:rPr>
        <w:t>Al-muta’aliqin bi zdéhir al- riwéyah 163</w:t>
      </w:r>
    </w:p>
    <w:p>
      <w:pPr>
        <w:pStyle w:val="BookText"/>
        <w:bidi w:val="0"/>
        <w:jc w:val="both"/>
        <w:rPr/>
      </w:pPr>
      <w:r>
        <w:rPr>
          <w:rFonts w:eastAsia="Times New Roman" w:cs="Times New Roman" w:ascii="Times New Roman" w:hAnsi="Times New Roman"/>
          <w:color w:val="111111"/>
          <w:sz w:val="28"/>
          <w:szCs w:val="28"/>
          <w:lang w:val="en-US"/>
        </w:rPr>
        <w:t>Al-Naqdh 164</w:t>
      </w:r>
    </w:p>
    <w:p>
      <w:pPr>
        <w:pStyle w:val="BookText"/>
        <w:bidi w:val="0"/>
        <w:jc w:val="both"/>
        <w:rPr/>
      </w:pPr>
      <w:r>
        <w:rPr>
          <w:rFonts w:eastAsia="Times New Roman" w:cs="Times New Roman" w:ascii="Times New Roman" w:hAnsi="Times New Roman"/>
          <w:color w:val="111111"/>
          <w:sz w:val="28"/>
          <w:szCs w:val="28"/>
          <w:lang w:val="en-US"/>
        </w:rPr>
        <w:t>Al-zhuhﬁr al-lafzdi 191</w:t>
      </w:r>
    </w:p>
    <w:p>
      <w:pPr>
        <w:pStyle w:val="BookText"/>
        <w:bidi w:val="0"/>
        <w:jc w:val="both"/>
        <w:rPr/>
      </w:pPr>
      <w:r>
        <w:rPr>
          <w:rFonts w:eastAsia="Times New Roman" w:cs="Times New Roman" w:ascii="Times New Roman" w:hAnsi="Times New Roman"/>
          <w:color w:val="111111"/>
          <w:sz w:val="28"/>
          <w:szCs w:val="28"/>
          <w:lang w:val="en-US"/>
        </w:rPr>
        <w:t>Ali bin Ibrahlm 173</w:t>
      </w:r>
    </w:p>
    <w:p>
      <w:pPr>
        <w:pStyle w:val="BookText"/>
        <w:bidi w:val="0"/>
        <w:jc w:val="both"/>
        <w:rPr/>
      </w:pPr>
      <w:r>
        <w:rPr>
          <w:rFonts w:eastAsia="Times New Roman" w:cs="Times New Roman" w:ascii="Times New Roman" w:hAnsi="Times New Roman"/>
          <w:color w:val="111111"/>
          <w:sz w:val="28"/>
          <w:szCs w:val="28"/>
          <w:lang w:val="en-US"/>
        </w:rPr>
        <w:t>Ali bin Mehziyar 160</w:t>
      </w:r>
    </w:p>
    <w:p>
      <w:pPr>
        <w:pStyle w:val="BookText"/>
        <w:bidi w:val="0"/>
        <w:jc w:val="both"/>
        <w:rPr/>
      </w:pPr>
      <w:r>
        <w:rPr>
          <w:rFonts w:eastAsia="Times New Roman" w:cs="Times New Roman" w:ascii="Times New Roman" w:hAnsi="Times New Roman"/>
          <w:color w:val="111111"/>
          <w:sz w:val="28"/>
          <w:szCs w:val="28"/>
          <w:lang w:val="en-US"/>
        </w:rPr>
        <w:t>Allamah Hilli 25, 172, 280</w:t>
      </w:r>
    </w:p>
    <w:p>
      <w:pPr>
        <w:pStyle w:val="BookText"/>
        <w:bidi w:val="0"/>
        <w:jc w:val="both"/>
        <w:rPr/>
      </w:pPr>
      <w:r>
        <w:rPr>
          <w:rFonts w:eastAsia="Times New Roman" w:cs="Times New Roman" w:ascii="Times New Roman" w:hAnsi="Times New Roman"/>
          <w:color w:val="111111"/>
          <w:sz w:val="28"/>
          <w:szCs w:val="28"/>
          <w:lang w:val="en-US"/>
        </w:rPr>
        <w:t>Allamah Thabathabai 179, 184, 190</w:t>
      </w:r>
    </w:p>
    <w:p>
      <w:pPr>
        <w:pStyle w:val="BookText"/>
        <w:bidi w:val="0"/>
        <w:jc w:val="both"/>
        <w:rPr/>
      </w:pPr>
      <w:r>
        <w:rPr>
          <w:rFonts w:eastAsia="Times New Roman" w:cs="Times New Roman" w:ascii="Times New Roman" w:hAnsi="Times New Roman"/>
          <w:color w:val="111111"/>
          <w:sz w:val="28"/>
          <w:szCs w:val="28"/>
          <w:lang w:val="en-US"/>
        </w:rPr>
        <w:t>Antropomorfisme 104, 120, 128, 142, 156</w:t>
      </w:r>
    </w:p>
    <w:p>
      <w:pPr>
        <w:pStyle w:val="BookText"/>
        <w:bidi w:val="0"/>
        <w:jc w:val="both"/>
        <w:rPr/>
      </w:pPr>
      <w:r>
        <w:rPr>
          <w:rFonts w:eastAsia="Times New Roman" w:cs="Times New Roman" w:ascii="Times New Roman" w:hAnsi="Times New Roman"/>
          <w:color w:val="111111"/>
          <w:sz w:val="28"/>
          <w:szCs w:val="28"/>
          <w:lang w:val="en-US"/>
        </w:rPr>
        <w:t>Arberty 34,</w:t>
      </w:r>
    </w:p>
    <w:p>
      <w:pPr>
        <w:pStyle w:val="BookText"/>
        <w:bidi w:val="0"/>
        <w:jc w:val="both"/>
        <w:rPr/>
      </w:pPr>
      <w:r>
        <w:rPr>
          <w:rFonts w:eastAsia="Times New Roman" w:cs="Times New Roman" w:ascii="Times New Roman" w:hAnsi="Times New Roman"/>
          <w:color w:val="111111"/>
          <w:sz w:val="28"/>
          <w:szCs w:val="28"/>
          <w:lang w:val="en-US"/>
        </w:rPr>
        <w:t>Aristoteles 4, 20, 22, 33, 91, 92, 108, 145</w:t>
      </w:r>
    </w:p>
    <w:p>
      <w:pPr>
        <w:pStyle w:val="BookText"/>
        <w:bidi w:val="0"/>
        <w:jc w:val="both"/>
        <w:rPr/>
      </w:pPr>
      <w:r>
        <w:rPr>
          <w:rFonts w:eastAsia="Times New Roman" w:cs="Times New Roman" w:ascii="Times New Roman" w:hAnsi="Times New Roman"/>
          <w:color w:val="111111"/>
          <w:sz w:val="28"/>
          <w:szCs w:val="28"/>
          <w:lang w:val="en-US"/>
        </w:rPr>
        <w:t>Ash-héb al-atsar 163</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Ashhéb al-naql 163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Ashhéb hadis 163</w:t>
      </w:r>
    </w:p>
    <w:p>
      <w:pPr>
        <w:pStyle w:val="BookText"/>
        <w:bidi w:val="0"/>
        <w:jc w:val="both"/>
        <w:rPr/>
      </w:pPr>
      <w:r>
        <w:rPr>
          <w:rFonts w:eastAsia="Times New Roman" w:cs="Times New Roman" w:ascii="Times New Roman" w:hAnsi="Times New Roman"/>
          <w:color w:val="111111"/>
          <w:sz w:val="28"/>
          <w:szCs w:val="28"/>
          <w:lang w:val="en-US"/>
        </w:rPr>
        <w:t>Asy’ari 101, 121, 125, 136, 281</w:t>
      </w:r>
    </w:p>
    <w:p>
      <w:pPr>
        <w:pStyle w:val="BookText"/>
        <w:bidi w:val="0"/>
        <w:jc w:val="both"/>
        <w:rPr/>
      </w:pPr>
      <w:r>
        <w:rPr>
          <w:rFonts w:eastAsia="Times New Roman" w:cs="Times New Roman" w:ascii="Times New Roman" w:hAnsi="Times New Roman"/>
          <w:color w:val="111111"/>
          <w:sz w:val="28"/>
          <w:szCs w:val="28"/>
          <w:lang w:val="en-US"/>
        </w:rPr>
        <w:t>Aththar Naisyaburi 210, 212, 213, 227, 233</w:t>
      </w:r>
    </w:p>
    <w:p>
      <w:pPr>
        <w:pStyle w:val="BookText"/>
        <w:bidi w:val="0"/>
        <w:jc w:val="both"/>
        <w:rPr/>
      </w:pPr>
      <w:r>
        <w:rPr>
          <w:rFonts w:eastAsia="Times New Roman" w:cs="Times New Roman" w:ascii="Times New Roman" w:hAnsi="Times New Roman"/>
          <w:color w:val="111111"/>
          <w:sz w:val="28"/>
          <w:szCs w:val="28"/>
          <w:lang w:val="en-US"/>
        </w:rPr>
        <w:t>Awhaduddin Kirmani 220, 221</w:t>
      </w:r>
    </w:p>
    <w:p>
      <w:pPr>
        <w:pStyle w:val="BookText"/>
        <w:bidi w:val="0"/>
        <w:jc w:val="both"/>
        <w:rPr/>
      </w:pPr>
      <w:r>
        <w:rPr>
          <w:rFonts w:eastAsia="Times New Roman" w:cs="Times New Roman" w:ascii="Times New Roman" w:hAnsi="Times New Roman"/>
          <w:color w:val="111111"/>
          <w:sz w:val="28"/>
          <w:szCs w:val="28"/>
          <w:lang w:val="en-US"/>
        </w:rPr>
        <w:t>Ayatullah Borujerdi 169</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Bazanti 160</w:t>
      </w:r>
    </w:p>
    <w:p>
      <w:pPr>
        <w:pStyle w:val="BookText"/>
        <w:bidi w:val="0"/>
        <w:jc w:val="both"/>
        <w:rPr/>
      </w:pPr>
      <w:r>
        <w:rPr>
          <w:rFonts w:eastAsia="Times New Roman" w:cs="Times New Roman" w:ascii="Times New Roman" w:hAnsi="Times New Roman"/>
          <w:color w:val="111111"/>
          <w:sz w:val="28"/>
          <w:szCs w:val="28"/>
          <w:lang w:val="en-US"/>
        </w:rPr>
        <w:t>Berkeley 28</w:t>
      </w:r>
    </w:p>
    <w:p>
      <w:pPr>
        <w:pStyle w:val="BookText"/>
        <w:bidi w:val="0"/>
        <w:jc w:val="both"/>
        <w:rPr/>
      </w:pPr>
      <w:r>
        <w:rPr>
          <w:rFonts w:eastAsia="Times New Roman" w:cs="Times New Roman" w:ascii="Times New Roman" w:hAnsi="Times New Roman"/>
          <w:color w:val="111111"/>
          <w:sz w:val="28"/>
          <w:szCs w:val="28"/>
          <w:lang w:val="en-US"/>
        </w:rPr>
        <w:t>Bertrand Russell 65</w:t>
      </w:r>
    </w:p>
    <w:p>
      <w:pPr>
        <w:pStyle w:val="BookText"/>
        <w:bidi w:val="0"/>
        <w:jc w:val="both"/>
        <w:rPr/>
      </w:pPr>
      <w:r>
        <w:rPr>
          <w:rFonts w:eastAsia="Times New Roman" w:cs="Times New Roman" w:ascii="Times New Roman" w:hAnsi="Times New Roman"/>
          <w:color w:val="111111"/>
          <w:sz w:val="28"/>
          <w:szCs w:val="28"/>
          <w:lang w:val="en-US"/>
        </w:rPr>
        <w:t>Bid'ah 21, 34, 122, 125, 126, 129, 139, 141, 149, 150, 167, 181,</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Damaskus 142, 224, 284, 286, 288, 292</w:t>
      </w:r>
    </w:p>
    <w:p>
      <w:pPr>
        <w:pStyle w:val="BookText"/>
        <w:bidi w:val="0"/>
        <w:jc w:val="both"/>
        <w:rPr/>
      </w:pPr>
      <w:r>
        <w:rPr>
          <w:rFonts w:eastAsia="Times New Roman" w:cs="Times New Roman" w:ascii="Times New Roman" w:hAnsi="Times New Roman"/>
          <w:color w:val="111111"/>
          <w:sz w:val="28"/>
          <w:szCs w:val="28"/>
          <w:lang w:val="en-US"/>
        </w:rPr>
        <w:t>Danesnameh Shahi 165 David Hume 169 Dawud bin Ali Isfahani 101, 121, 129 Demonstratif 24, 39, 74, 112, 24, 39, 74, 112 Denis Diderot 64 Descartes 28 Diskursif 42, 64 Doktrin Malamatiyah 223 Dzul Nun Mishri 214</w:t>
      </w:r>
    </w:p>
    <w:p>
      <w:pPr>
        <w:pStyle w:val="BookText"/>
        <w:bidi w:val="0"/>
        <w:jc w:val="both"/>
        <w:rPr/>
      </w:pPr>
      <w:r>
        <w:rPr>
          <w:rFonts w:eastAsia="Times New Roman" w:cs="Times New Roman" w:ascii="Times New Roman" w:hAnsi="Times New Roman"/>
          <w:color w:val="111111"/>
          <w:sz w:val="28"/>
          <w:szCs w:val="28"/>
          <w:lang w:val="en-US"/>
        </w:rPr>
        <w:t>E Ekstemal 2, 37, 52, 56, 77, 79,</w:t>
      </w:r>
    </w:p>
    <w:p>
      <w:pPr>
        <w:pStyle w:val="BookText"/>
        <w:bidi w:val="0"/>
        <w:jc w:val="both"/>
        <w:rPr/>
      </w:pPr>
      <w:r>
        <w:rPr>
          <w:rFonts w:eastAsia="Times New Roman" w:cs="Times New Roman" w:ascii="Times New Roman" w:hAnsi="Times New Roman"/>
          <w:color w:val="111111"/>
          <w:sz w:val="28"/>
          <w:szCs w:val="28"/>
          <w:lang w:val="en-US"/>
        </w:rPr>
        <w:t>158, 190, 240, 241, 243 Ekstrim 57, 73, 115, 124, 125, 227 Empiris Sumainah 89 Eskatologi 151 Evidensialisme 7</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Fakhru Razi 38, 43, 48, 193, 232 Farushlm 86, 90</w:t>
      </w:r>
    </w:p>
    <w:p>
      <w:pPr>
        <w:pStyle w:val="BookText"/>
        <w:bidi w:val="0"/>
        <w:jc w:val="both"/>
        <w:rPr/>
      </w:pPr>
      <w:r>
        <w:rPr>
          <w:rFonts w:eastAsia="Times New Roman" w:cs="Times New Roman" w:ascii="Times New Roman" w:hAnsi="Times New Roman"/>
          <w:color w:val="111111"/>
          <w:sz w:val="28"/>
          <w:szCs w:val="28"/>
          <w:lang w:val="en-US"/>
        </w:rPr>
        <w:t>Fideisme 28, 32, 33</w:t>
      </w:r>
    </w:p>
    <w:p>
      <w:pPr>
        <w:pStyle w:val="BookText"/>
        <w:bidi w:val="0"/>
        <w:jc w:val="both"/>
        <w:rPr/>
      </w:pPr>
      <w:r>
        <w:rPr>
          <w:rFonts w:eastAsia="Times New Roman" w:cs="Times New Roman" w:ascii="Times New Roman" w:hAnsi="Times New Roman"/>
          <w:color w:val="111111"/>
          <w:sz w:val="28"/>
          <w:szCs w:val="28"/>
          <w:lang w:val="en-US"/>
        </w:rPr>
        <w:t>Francis Bacon 169</w:t>
      </w:r>
    </w:p>
    <w:p>
      <w:pPr>
        <w:pStyle w:val="BookText"/>
        <w:bidi w:val="0"/>
        <w:jc w:val="both"/>
        <w:rPr/>
      </w:pPr>
      <w:r>
        <w:rPr>
          <w:rFonts w:eastAsia="Times New Roman" w:cs="Times New Roman" w:ascii="Times New Roman" w:hAnsi="Times New Roman"/>
          <w:color w:val="111111"/>
          <w:sz w:val="28"/>
          <w:szCs w:val="28"/>
          <w:lang w:val="en-US"/>
        </w:rPr>
        <w:t>Fuqaha' al-lmémiyyah 163 Fuqahé’ al-Syi’ah 163</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I-Iadis muwatstsaq 162 Hamalat al-akhbér 163 Hamalat al-atsar 163 Hanbalisme 120, 125</w:t>
      </w:r>
    </w:p>
    <w:p>
      <w:pPr>
        <w:pStyle w:val="BookText"/>
        <w:bidi w:val="0"/>
        <w:jc w:val="both"/>
        <w:rPr/>
      </w:pPr>
      <w:r>
        <w:rPr>
          <w:rFonts w:eastAsia="Times New Roman" w:cs="Times New Roman" w:ascii="Times New Roman" w:hAnsi="Times New Roman"/>
          <w:color w:val="111111"/>
          <w:sz w:val="28"/>
          <w:szCs w:val="28"/>
          <w:lang w:val="en-US"/>
        </w:rPr>
        <w:t>Hans Georg Gadamer 76 Haris Muhasibi 124 Hasywiyyah 122, 163</w:t>
      </w:r>
    </w:p>
    <w:p>
      <w:pPr>
        <w:pStyle w:val="BookText"/>
        <w:bidi w:val="0"/>
        <w:jc w:val="both"/>
        <w:rPr/>
      </w:pPr>
      <w:r>
        <w:rPr>
          <w:rFonts w:eastAsia="Times New Roman" w:cs="Times New Roman" w:ascii="Times New Roman" w:hAnsi="Times New Roman"/>
          <w:color w:val="111111"/>
          <w:sz w:val="28"/>
          <w:szCs w:val="28"/>
          <w:lang w:val="en-US"/>
        </w:rPr>
        <w:t>Hay bin Yaqzdan 102, 103, 104,</w:t>
      </w:r>
    </w:p>
    <w:p>
      <w:pPr>
        <w:pStyle w:val="BookText"/>
        <w:bidi w:val="0"/>
        <w:jc w:val="both"/>
        <w:rPr/>
      </w:pPr>
      <w:r>
        <w:rPr>
          <w:rFonts w:eastAsia="Times New Roman" w:cs="Times New Roman" w:ascii="Times New Roman" w:hAnsi="Times New Roman"/>
          <w:color w:val="111111"/>
          <w:sz w:val="28"/>
          <w:szCs w:val="28"/>
          <w:lang w:val="en-US"/>
        </w:rPr>
        <w:t>105, 106, 107 Hikmah Muta’aliyah 5 Hisyam bin Hakam 159, 160, 161, 174, 241</w:t>
      </w:r>
    </w:p>
    <w:p>
      <w:pPr>
        <w:pStyle w:val="BookText"/>
        <w:bidi w:val="0"/>
        <w:jc w:val="both"/>
        <w:rPr/>
      </w:pPr>
      <w:r>
        <w:rPr>
          <w:rFonts w:eastAsia="Times New Roman" w:cs="Times New Roman" w:ascii="Times New Roman" w:hAnsi="Times New Roman"/>
          <w:color w:val="111111"/>
          <w:sz w:val="28"/>
          <w:szCs w:val="28"/>
          <w:lang w:val="en-US"/>
        </w:rPr>
        <w:t>I-Iisyam bin Salim 159 Hujjatul Islam Fayyadhi 8</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Irfan 5, 39, 40, 41, 42, 43, 44, 46, 200, 201, 202, 207, 215, 228</w:t>
      </w:r>
    </w:p>
    <w:p>
      <w:pPr>
        <w:pStyle w:val="BookText"/>
        <w:bidi w:val="0"/>
        <w:jc w:val="both"/>
        <w:rPr/>
      </w:pPr>
      <w:r>
        <w:rPr>
          <w:rFonts w:eastAsia="Times New Roman" w:cs="Times New Roman" w:ascii="Times New Roman" w:hAnsi="Times New Roman"/>
          <w:color w:val="111111"/>
          <w:sz w:val="28"/>
          <w:szCs w:val="28"/>
          <w:lang w:val="en-US"/>
        </w:rPr>
        <w:t>Ibn Abi Jumhur Ahsaie 164</w:t>
      </w:r>
    </w:p>
    <w:p>
      <w:pPr>
        <w:pStyle w:val="BookText"/>
        <w:bidi w:val="0"/>
        <w:jc w:val="both"/>
        <w:rPr/>
      </w:pPr>
      <w:r>
        <w:rPr>
          <w:rFonts w:eastAsia="Times New Roman" w:cs="Times New Roman" w:ascii="Times New Roman" w:hAnsi="Times New Roman"/>
          <w:color w:val="111111"/>
          <w:sz w:val="28"/>
          <w:szCs w:val="28"/>
          <w:lang w:val="en-US"/>
        </w:rPr>
        <w:t>Ibn al-waqt 208</w:t>
      </w:r>
    </w:p>
    <w:p>
      <w:pPr>
        <w:pStyle w:val="BookText"/>
        <w:bidi w:val="0"/>
        <w:jc w:val="both"/>
        <w:rPr/>
      </w:pPr>
      <w:r>
        <w:rPr>
          <w:rFonts w:eastAsia="Times New Roman" w:cs="Times New Roman" w:ascii="Times New Roman" w:hAnsi="Times New Roman"/>
          <w:color w:val="111111"/>
          <w:sz w:val="28"/>
          <w:szCs w:val="28"/>
          <w:lang w:val="en-US"/>
        </w:rPr>
        <w:t>Ibnu Atsir 126, 128, 283</w:t>
      </w:r>
    </w:p>
    <w:p>
      <w:pPr>
        <w:pStyle w:val="BookText"/>
        <w:bidi w:val="0"/>
        <w:jc w:val="both"/>
        <w:rPr/>
      </w:pPr>
      <w:r>
        <w:rPr>
          <w:rFonts w:eastAsia="Times New Roman" w:cs="Times New Roman" w:ascii="Times New Roman" w:hAnsi="Times New Roman"/>
          <w:color w:val="111111"/>
          <w:sz w:val="28"/>
          <w:szCs w:val="28"/>
          <w:lang w:val="en-US"/>
        </w:rPr>
        <w:t>Ibnu l-lazm Andalusi 130, 284</w:t>
      </w:r>
    </w:p>
    <w:p>
      <w:pPr>
        <w:pStyle w:val="BookText"/>
        <w:bidi w:val="0"/>
        <w:jc w:val="both"/>
        <w:rPr/>
      </w:pPr>
      <w:r>
        <w:rPr>
          <w:rFonts w:eastAsia="Times New Roman" w:cs="Times New Roman" w:ascii="Times New Roman" w:hAnsi="Times New Roman"/>
          <w:color w:val="111111"/>
          <w:sz w:val="28"/>
          <w:szCs w:val="28"/>
          <w:lang w:val="en-US"/>
        </w:rPr>
        <w:t>Ibnu Idris 191, 283</w:t>
      </w:r>
    </w:p>
    <w:p>
      <w:pPr>
        <w:pStyle w:val="BookText"/>
        <w:bidi w:val="0"/>
        <w:jc w:val="both"/>
        <w:rPr/>
      </w:pPr>
      <w:r>
        <w:rPr>
          <w:rFonts w:eastAsia="Times New Roman" w:cs="Times New Roman" w:ascii="Times New Roman" w:hAnsi="Times New Roman"/>
          <w:color w:val="111111"/>
          <w:sz w:val="28"/>
          <w:szCs w:val="28"/>
          <w:lang w:val="en-US"/>
        </w:rPr>
        <w:t>Ibnu Katsir Dimasyqi 148</w:t>
      </w:r>
    </w:p>
    <w:p>
      <w:pPr>
        <w:pStyle w:val="BookText"/>
        <w:bidi w:val="0"/>
        <w:jc w:val="both"/>
        <w:rPr/>
      </w:pPr>
      <w:r>
        <w:rPr>
          <w:rFonts w:eastAsia="Times New Roman" w:cs="Times New Roman" w:ascii="Times New Roman" w:hAnsi="Times New Roman"/>
          <w:color w:val="111111"/>
          <w:sz w:val="28"/>
          <w:szCs w:val="28"/>
          <w:lang w:val="en-US"/>
        </w:rPr>
        <w:t>Ibnu Qayim Jauzi 4, 147</w:t>
      </w:r>
    </w:p>
    <w:p>
      <w:pPr>
        <w:pStyle w:val="BookText"/>
        <w:bidi w:val="0"/>
        <w:jc w:val="both"/>
        <w:rPr/>
      </w:pPr>
      <w:r>
        <w:rPr>
          <w:rFonts w:eastAsia="Times New Roman" w:cs="Times New Roman" w:ascii="Times New Roman" w:hAnsi="Times New Roman"/>
          <w:color w:val="111111"/>
          <w:sz w:val="28"/>
          <w:szCs w:val="28"/>
          <w:lang w:val="en-US"/>
        </w:rPr>
        <w:t>Ibnu Rusyd 19, 20, 21, 22, 107, 108, 109, 110, 111, 112, 113, 114, 115, 116, 117, 240, 284</w:t>
      </w:r>
    </w:p>
    <w:p>
      <w:pPr>
        <w:pStyle w:val="BookText"/>
        <w:bidi w:val="0"/>
        <w:jc w:val="both"/>
        <w:rPr/>
      </w:pPr>
      <w:r>
        <w:rPr>
          <w:rFonts w:eastAsia="Times New Roman" w:cs="Times New Roman" w:ascii="Times New Roman" w:hAnsi="Times New Roman"/>
          <w:color w:val="111111"/>
          <w:sz w:val="28"/>
          <w:szCs w:val="28"/>
          <w:lang w:val="en-US"/>
        </w:rPr>
        <w:t>Ibnu Taimiyah 3, 34, 122, 131, 132, 135, 137, 138, 139, 140, 141, 142, 143, 144, 145, 146, 147, 148, 149, 154, 256, 284</w:t>
      </w:r>
    </w:p>
    <w:p>
      <w:pPr>
        <w:pStyle w:val="BookText"/>
        <w:bidi w:val="0"/>
        <w:jc w:val="both"/>
        <w:rPr/>
      </w:pPr>
      <w:r>
        <w:rPr>
          <w:rFonts w:eastAsia="Times New Roman" w:cs="Times New Roman" w:ascii="Times New Roman" w:hAnsi="Times New Roman"/>
          <w:color w:val="111111"/>
          <w:sz w:val="28"/>
          <w:szCs w:val="28"/>
          <w:lang w:val="en-US"/>
        </w:rPr>
        <w:t>Ibnu Thufail 11, 101, 102, 105, 106, 107, 271</w:t>
      </w:r>
    </w:p>
    <w:p>
      <w:pPr>
        <w:pStyle w:val="BookText"/>
        <w:bidi w:val="0"/>
        <w:jc w:val="both"/>
        <w:rPr/>
      </w:pPr>
      <w:r>
        <w:rPr>
          <w:rFonts w:eastAsia="Times New Roman" w:cs="Times New Roman" w:ascii="Times New Roman" w:hAnsi="Times New Roman"/>
          <w:color w:val="111111"/>
          <w:sz w:val="28"/>
          <w:szCs w:val="28"/>
          <w:lang w:val="en-US"/>
        </w:rPr>
        <w:t>Ibnu Zahra 142</w:t>
      </w:r>
    </w:p>
    <w:p>
      <w:pPr>
        <w:pStyle w:val="BookText"/>
        <w:bidi w:val="0"/>
        <w:jc w:val="both"/>
        <w:rPr/>
      </w:pPr>
      <w:r>
        <w:rPr>
          <w:rFonts w:eastAsia="Times New Roman" w:cs="Times New Roman" w:ascii="Times New Roman" w:hAnsi="Times New Roman"/>
          <w:color w:val="111111"/>
          <w:sz w:val="28"/>
          <w:szCs w:val="28"/>
          <w:lang w:val="en-US"/>
        </w:rPr>
        <w:t>Ibrahlm Al Khalil 147</w:t>
      </w:r>
    </w:p>
    <w:p>
      <w:pPr>
        <w:pStyle w:val="BookText"/>
        <w:bidi w:val="0"/>
        <w:jc w:val="both"/>
        <w:rPr/>
      </w:pPr>
      <w:r>
        <w:rPr>
          <w:rFonts w:eastAsia="Times New Roman" w:cs="Times New Roman" w:ascii="Times New Roman" w:hAnsi="Times New Roman"/>
          <w:color w:val="111111"/>
          <w:sz w:val="28"/>
          <w:szCs w:val="28"/>
          <w:lang w:val="en-US"/>
        </w:rPr>
        <w:t>Imam ]a‘far Shadiq 16</w:t>
      </w:r>
    </w:p>
    <w:p>
      <w:pPr>
        <w:pStyle w:val="BookText"/>
        <w:bidi w:val="0"/>
        <w:jc w:val="both"/>
        <w:rPr/>
      </w:pPr>
      <w:r>
        <w:rPr>
          <w:rFonts w:eastAsia="Times New Roman" w:cs="Times New Roman" w:ascii="Times New Roman" w:hAnsi="Times New Roman"/>
          <w:color w:val="111111"/>
          <w:sz w:val="28"/>
          <w:szCs w:val="28"/>
          <w:lang w:val="en-US"/>
        </w:rPr>
        <w:t>Imam Kazhlm 160, 241</w:t>
      </w:r>
    </w:p>
    <w:p>
      <w:pPr>
        <w:pStyle w:val="BookText"/>
        <w:bidi w:val="0"/>
        <w:jc w:val="both"/>
        <w:rPr/>
      </w:pPr>
      <w:r>
        <w:rPr>
          <w:rFonts w:eastAsia="Times New Roman" w:cs="Times New Roman" w:ascii="Times New Roman" w:hAnsi="Times New Roman"/>
          <w:color w:val="111111"/>
          <w:sz w:val="28"/>
          <w:szCs w:val="28"/>
          <w:lang w:val="en-US"/>
        </w:rPr>
        <w:t>Imam Muhammad Jawad 160</w:t>
      </w:r>
    </w:p>
    <w:p>
      <w:pPr>
        <w:pStyle w:val="BookText"/>
        <w:bidi w:val="0"/>
        <w:jc w:val="both"/>
        <w:rPr/>
      </w:pPr>
      <w:r>
        <w:rPr>
          <w:rFonts w:eastAsia="Times New Roman" w:cs="Times New Roman" w:ascii="Times New Roman" w:hAnsi="Times New Roman"/>
          <w:color w:val="111111"/>
          <w:sz w:val="28"/>
          <w:szCs w:val="28"/>
          <w:lang w:val="en-US"/>
        </w:rPr>
        <w:t>Imam Musa Kazhlm 189</w:t>
      </w:r>
    </w:p>
    <w:p>
      <w:pPr>
        <w:pStyle w:val="BookText"/>
        <w:bidi w:val="0"/>
        <w:jc w:val="both"/>
        <w:rPr/>
      </w:pPr>
      <w:r>
        <w:rPr>
          <w:rFonts w:eastAsia="Times New Roman" w:cs="Times New Roman" w:ascii="Times New Roman" w:hAnsi="Times New Roman"/>
          <w:color w:val="111111"/>
          <w:sz w:val="28"/>
          <w:szCs w:val="28"/>
          <w:lang w:val="en-US"/>
        </w:rPr>
        <w:t>Imam Shadiq 159, 160, 161, 165, 174, 181, 190</w:t>
      </w:r>
    </w:p>
    <w:p>
      <w:pPr>
        <w:pStyle w:val="BookText"/>
        <w:bidi w:val="0"/>
        <w:jc w:val="both"/>
        <w:rPr/>
      </w:pPr>
      <w:r>
        <w:rPr>
          <w:rFonts w:eastAsia="Times New Roman" w:cs="Times New Roman" w:ascii="Times New Roman" w:hAnsi="Times New Roman"/>
          <w:color w:val="111111"/>
          <w:sz w:val="28"/>
          <w:szCs w:val="28"/>
          <w:lang w:val="en-US"/>
        </w:rPr>
        <w:t>Iqbal Lahore 95</w:t>
      </w:r>
    </w:p>
    <w:p>
      <w:pPr>
        <w:pStyle w:val="BookText"/>
        <w:bidi w:val="0"/>
        <w:jc w:val="both"/>
        <w:rPr/>
      </w:pPr>
      <w:r>
        <w:rPr>
          <w:rFonts w:eastAsia="Times New Roman" w:cs="Times New Roman" w:ascii="Times New Roman" w:hAnsi="Times New Roman"/>
          <w:color w:val="111111"/>
          <w:sz w:val="28"/>
          <w:szCs w:val="28"/>
          <w:lang w:val="en-US"/>
        </w:rPr>
        <w:t>Isa Al-Masih 88, 257</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]a’far Barmaki 91</w:t>
      </w:r>
    </w:p>
    <w:p>
      <w:pPr>
        <w:pStyle w:val="BookText"/>
        <w:bidi w:val="0"/>
        <w:jc w:val="both"/>
        <w:rPr/>
      </w:pPr>
      <w:r>
        <w:rPr>
          <w:rFonts w:eastAsia="Times New Roman" w:cs="Times New Roman" w:ascii="Times New Roman" w:hAnsi="Times New Roman"/>
          <w:color w:val="111111"/>
          <w:sz w:val="28"/>
          <w:szCs w:val="28"/>
          <w:lang w:val="en-US"/>
        </w:rPr>
        <w:t>Iohn Locke 82, 169 Iustifikasi 34, 76, 87, 204, 209 Juwaini 123</w:t>
      </w:r>
    </w:p>
    <w:p>
      <w:pPr>
        <w:pStyle w:val="BookText"/>
        <w:bidi w:val="0"/>
        <w:jc w:val="both"/>
        <w:rPr/>
      </w:pPr>
      <w:r>
        <w:rPr>
          <w:rFonts w:eastAsia="Times New Roman" w:cs="Times New Roman" w:ascii="Times New Roman" w:hAnsi="Times New Roman"/>
          <w:color w:val="111111"/>
          <w:sz w:val="28"/>
          <w:szCs w:val="28"/>
          <w:lang w:val="en-US"/>
        </w:rPr>
        <w:t>Kaum pesalik 230 Khabariyah 126, 140 Khawarij 120 Khirqoh 201, 209 Kriterium 63, 171</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Leibnitz 28</w:t>
      </w:r>
    </w:p>
    <w:p>
      <w:pPr>
        <w:pStyle w:val="BookText"/>
        <w:bidi w:val="0"/>
        <w:jc w:val="both"/>
        <w:rPr/>
      </w:pPr>
      <w:r>
        <w:rPr>
          <w:rFonts w:eastAsia="Times New Roman" w:cs="Times New Roman" w:ascii="Times New Roman" w:hAnsi="Times New Roman"/>
          <w:color w:val="111111"/>
          <w:sz w:val="28"/>
          <w:szCs w:val="28"/>
          <w:lang w:val="en-US"/>
        </w:rPr>
        <w:t>Literalisme 28, 34, 101, 119, 120, 122, 134, 135, 137, 149, 150, 151</w:t>
      </w:r>
    </w:p>
    <w:p>
      <w:pPr>
        <w:pStyle w:val="BookText"/>
        <w:bidi w:val="0"/>
        <w:jc w:val="both"/>
        <w:rPr/>
      </w:pPr>
      <w:r>
        <w:rPr>
          <w:rFonts w:eastAsia="Times New Roman" w:cs="Times New Roman" w:ascii="Times New Roman" w:hAnsi="Times New Roman"/>
          <w:color w:val="111111"/>
          <w:sz w:val="28"/>
          <w:szCs w:val="28"/>
          <w:lang w:val="en-US"/>
        </w:rPr>
        <w:t>Literalisme 115, 133, 153, 158, 167</w:t>
      </w:r>
    </w:p>
    <w:p>
      <w:pPr>
        <w:pStyle w:val="BookText"/>
        <w:bidi w:val="0"/>
        <w:jc w:val="both"/>
        <w:rPr/>
      </w:pPr>
      <w:r>
        <w:rPr>
          <w:rFonts w:eastAsia="Times New Roman" w:cs="Times New Roman" w:ascii="Times New Roman" w:hAnsi="Times New Roman"/>
          <w:color w:val="111111"/>
          <w:sz w:val="28"/>
          <w:szCs w:val="28"/>
          <w:lang w:val="en-US"/>
        </w:rPr>
        <w:t>Literalisme Radikal 122, 137</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Ma’syuq Thusi 210</w:t>
      </w:r>
    </w:p>
    <w:p>
      <w:pPr>
        <w:pStyle w:val="BookText"/>
        <w:bidi w:val="0"/>
        <w:jc w:val="both"/>
        <w:rPr/>
      </w:pPr>
      <w:r>
        <w:rPr>
          <w:rFonts w:eastAsia="Times New Roman" w:cs="Times New Roman" w:ascii="Times New Roman" w:hAnsi="Times New Roman"/>
          <w:color w:val="111111"/>
          <w:sz w:val="28"/>
          <w:szCs w:val="28"/>
          <w:lang w:val="en-US"/>
        </w:rPr>
        <w:t>Majelis Nisyabur 41</w:t>
      </w:r>
    </w:p>
    <w:p>
      <w:pPr>
        <w:pStyle w:val="BookText"/>
        <w:bidi w:val="0"/>
        <w:jc w:val="both"/>
        <w:rPr/>
      </w:pPr>
      <w:r>
        <w:rPr>
          <w:rFonts w:eastAsia="Times New Roman" w:cs="Times New Roman" w:ascii="Times New Roman" w:hAnsi="Times New Roman"/>
          <w:color w:val="111111"/>
          <w:sz w:val="28"/>
          <w:szCs w:val="28"/>
          <w:lang w:val="en-US"/>
        </w:rPr>
        <w:t>Malik bin Anas 121, 122, 141, 152</w:t>
      </w:r>
    </w:p>
    <w:p>
      <w:pPr>
        <w:pStyle w:val="BookText"/>
        <w:bidi w:val="0"/>
        <w:jc w:val="both"/>
        <w:rPr/>
      </w:pPr>
      <w:r>
        <w:rPr>
          <w:rFonts w:eastAsia="Times New Roman" w:cs="Times New Roman" w:ascii="Times New Roman" w:hAnsi="Times New Roman"/>
          <w:color w:val="111111"/>
          <w:sz w:val="28"/>
          <w:szCs w:val="28"/>
          <w:lang w:val="en-US"/>
        </w:rPr>
        <w:t>Martin Luther 26, 33 metodo-</w:t>
      </w:r>
    </w:p>
    <w:p>
      <w:pPr>
        <w:pStyle w:val="BookText"/>
        <w:bidi w:val="0"/>
        <w:jc w:val="both"/>
        <w:rPr/>
      </w:pPr>
      <w:r>
        <w:rPr>
          <w:rFonts w:eastAsia="Times New Roman" w:cs="Times New Roman" w:ascii="Times New Roman" w:hAnsi="Times New Roman"/>
          <w:color w:val="111111"/>
          <w:sz w:val="28"/>
          <w:szCs w:val="28"/>
          <w:lang w:val="en-US"/>
        </w:rPr>
        <w:t>logis 2</w:t>
      </w:r>
    </w:p>
    <w:p>
      <w:pPr>
        <w:pStyle w:val="BookText"/>
        <w:bidi w:val="0"/>
        <w:jc w:val="both"/>
        <w:rPr/>
      </w:pPr>
      <w:r>
        <w:rPr>
          <w:rFonts w:eastAsia="Times New Roman" w:cs="Times New Roman" w:ascii="Times New Roman" w:hAnsi="Times New Roman"/>
          <w:color w:val="111111"/>
          <w:sz w:val="28"/>
          <w:szCs w:val="28"/>
          <w:lang w:val="en-US"/>
        </w:rPr>
        <w:t>Mirah Naisyaburi 224</w:t>
      </w:r>
    </w:p>
    <w:p>
      <w:pPr>
        <w:pStyle w:val="BookText"/>
        <w:bidi w:val="0"/>
        <w:jc w:val="both"/>
        <w:rPr/>
      </w:pPr>
      <w:r>
        <w:rPr>
          <w:rFonts w:eastAsia="Times New Roman" w:cs="Times New Roman" w:ascii="Times New Roman" w:hAnsi="Times New Roman"/>
          <w:color w:val="111111"/>
          <w:sz w:val="28"/>
          <w:szCs w:val="28"/>
          <w:lang w:val="en-US"/>
        </w:rPr>
        <w:t>Mirza Muhammad Astarabadi 164, 165</w:t>
      </w:r>
    </w:p>
    <w:p>
      <w:pPr>
        <w:pStyle w:val="BookText"/>
        <w:bidi w:val="0"/>
        <w:jc w:val="both"/>
        <w:rPr/>
      </w:pPr>
      <w:r>
        <w:rPr>
          <w:rFonts w:eastAsia="Times New Roman" w:cs="Times New Roman" w:ascii="Times New Roman" w:hAnsi="Times New Roman"/>
          <w:color w:val="111111"/>
          <w:sz w:val="28"/>
          <w:szCs w:val="28"/>
          <w:lang w:val="en-US"/>
        </w:rPr>
        <w:t>Muhammad Amin Astarabadi 164</w:t>
      </w:r>
    </w:p>
    <w:p>
      <w:pPr>
        <w:pStyle w:val="BookText"/>
        <w:bidi w:val="0"/>
        <w:jc w:val="both"/>
        <w:rPr/>
      </w:pPr>
      <w:r>
        <w:rPr>
          <w:rFonts w:eastAsia="Times New Roman" w:cs="Times New Roman" w:ascii="Times New Roman" w:hAnsi="Times New Roman"/>
          <w:color w:val="111111"/>
          <w:sz w:val="28"/>
          <w:szCs w:val="28"/>
          <w:lang w:val="en-US"/>
        </w:rPr>
        <w:t>Muhammad Bagir Majlisi 167</w:t>
      </w:r>
    </w:p>
    <w:p>
      <w:pPr>
        <w:pStyle w:val="BookText"/>
        <w:bidi w:val="0"/>
        <w:jc w:val="both"/>
        <w:rPr/>
      </w:pPr>
      <w:r>
        <w:rPr>
          <w:rFonts w:eastAsia="Times New Roman" w:cs="Times New Roman" w:ascii="Times New Roman" w:hAnsi="Times New Roman"/>
          <w:color w:val="111111"/>
          <w:sz w:val="28"/>
          <w:szCs w:val="28"/>
          <w:lang w:val="en-US"/>
        </w:rPr>
        <w:t>Muhammad bin Abdul Wahhab 143, 148, 149, 279</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bin Idris Syafi'i 121 </w:t>
      </w:r>
    </w:p>
    <w:p>
      <w:pPr>
        <w:pStyle w:val="BookText"/>
        <w:bidi w:val="0"/>
        <w:rPr/>
      </w:pPr>
      <w:r>
        <w:rPr>
          <w:rFonts w:eastAsia="Times New Roman" w:cs="Times New Roman" w:ascii="Times New Roman" w:hAnsi="Times New Roman"/>
          <w:color w:val="111111"/>
          <w:sz w:val="28"/>
          <w:szCs w:val="28"/>
          <w:lang w:val="en-US"/>
        </w:rPr>
        <w:t>Akal dan Wahyu</w:t>
      </w:r>
    </w:p>
    <w:p>
      <w:pPr>
        <w:pStyle w:val="BookText"/>
        <w:bidi w:val="0"/>
        <w:jc w:val="both"/>
        <w:rPr/>
      </w:pPr>
      <w:r>
        <w:rPr>
          <w:rFonts w:eastAsia="Times New Roman" w:cs="Times New Roman" w:ascii="Times New Roman" w:hAnsi="Times New Roman"/>
          <w:color w:val="111111"/>
          <w:sz w:val="28"/>
          <w:szCs w:val="28"/>
          <w:lang w:val="en-US"/>
        </w:rPr>
        <w:t>Muhammad bin Karam Sejistani 101</w:t>
      </w:r>
    </w:p>
    <w:p>
      <w:pPr>
        <w:pStyle w:val="BookText"/>
        <w:bidi w:val="0"/>
        <w:jc w:val="both"/>
        <w:rPr/>
      </w:pPr>
      <w:r>
        <w:rPr>
          <w:rFonts w:eastAsia="Times New Roman" w:cs="Times New Roman" w:ascii="Times New Roman" w:hAnsi="Times New Roman"/>
          <w:color w:val="111111"/>
          <w:sz w:val="28"/>
          <w:szCs w:val="28"/>
          <w:lang w:val="en-US"/>
        </w:rPr>
        <w:t>Muhammad bin Muslim 159 Muhammad bin Saud 149 Muhammad Syirazi 49 Muhammad Taqi Majlisi 166 Muhaqqiq Awwal 191 Muhaqqiqﬁ al-nazdar min al- lmamiy-yah 164</w:t>
      </w:r>
    </w:p>
    <w:p>
      <w:pPr>
        <w:pStyle w:val="BookText"/>
        <w:bidi w:val="0"/>
        <w:jc w:val="both"/>
        <w:rPr/>
      </w:pPr>
      <w:r>
        <w:rPr>
          <w:rFonts w:eastAsia="Times New Roman" w:cs="Times New Roman" w:ascii="Times New Roman" w:hAnsi="Times New Roman"/>
          <w:color w:val="111111"/>
          <w:sz w:val="28"/>
          <w:szCs w:val="28"/>
          <w:lang w:val="en-US"/>
        </w:rPr>
        <w:t>Muhsin Faidh Kasyani 166, 184 Mukmin Taq 159, 161 Muqarrob 188</w:t>
      </w:r>
    </w:p>
    <w:p>
      <w:pPr>
        <w:pStyle w:val="BookText"/>
        <w:bidi w:val="0"/>
        <w:jc w:val="both"/>
        <w:rPr/>
      </w:pPr>
      <w:r>
        <w:rPr>
          <w:rFonts w:eastAsia="Times New Roman" w:cs="Times New Roman" w:ascii="Times New Roman" w:hAnsi="Times New Roman"/>
          <w:color w:val="111111"/>
          <w:sz w:val="28"/>
          <w:szCs w:val="28"/>
          <w:lang w:val="en-US"/>
        </w:rPr>
        <w:t>Mutakallimi al-Syi’-ah 163</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Nadi’A1iy 213</w:t>
      </w:r>
    </w:p>
    <w:p>
      <w:pPr>
        <w:pStyle w:val="BookText"/>
        <w:bidi w:val="0"/>
        <w:jc w:val="both"/>
        <w:rPr/>
      </w:pPr>
      <w:r>
        <w:rPr>
          <w:rFonts w:eastAsia="Times New Roman" w:cs="Times New Roman" w:ascii="Times New Roman" w:hAnsi="Times New Roman"/>
          <w:color w:val="111111"/>
          <w:sz w:val="28"/>
          <w:szCs w:val="28"/>
          <w:lang w:val="en-US"/>
        </w:rPr>
        <w:t>Najmuddin Razi 223</w:t>
      </w:r>
    </w:p>
    <w:p>
      <w:pPr>
        <w:pStyle w:val="BookText"/>
        <w:bidi w:val="0"/>
        <w:jc w:val="both"/>
        <w:rPr/>
      </w:pPr>
      <w:r>
        <w:rPr>
          <w:rFonts w:eastAsia="Times New Roman" w:cs="Times New Roman" w:ascii="Times New Roman" w:hAnsi="Times New Roman"/>
          <w:color w:val="111111"/>
          <w:sz w:val="28"/>
          <w:szCs w:val="28"/>
          <w:lang w:val="en-US"/>
        </w:rPr>
        <w:t>Naqalat al-akhbar 163 Naubakh 161</w:t>
      </w:r>
    </w:p>
    <w:p>
      <w:pPr>
        <w:pStyle w:val="BookText"/>
        <w:bidi w:val="0"/>
        <w:jc w:val="both"/>
        <w:rPr/>
      </w:pPr>
      <w:r>
        <w:rPr>
          <w:rFonts w:eastAsia="Times New Roman" w:cs="Times New Roman" w:ascii="Times New Roman" w:hAnsi="Times New Roman"/>
          <w:color w:val="111111"/>
          <w:sz w:val="28"/>
          <w:szCs w:val="28"/>
          <w:lang w:val="en-US"/>
        </w:rPr>
        <w:t>Nazdam Muktazili 87, 91 Nuqqad al-atsar 163</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Paradigma 63, 240, 301 Paradigma 35, 73, 76, 91, 111,</w:t>
      </w:r>
    </w:p>
    <w:p>
      <w:pPr>
        <w:pStyle w:val="BookText"/>
        <w:bidi w:val="0"/>
        <w:jc w:val="both"/>
        <w:rPr/>
      </w:pPr>
      <w:r>
        <w:rPr>
          <w:rFonts w:eastAsia="Times New Roman" w:cs="Times New Roman" w:ascii="Times New Roman" w:hAnsi="Times New Roman"/>
          <w:color w:val="111111"/>
          <w:sz w:val="28"/>
          <w:szCs w:val="28"/>
          <w:lang w:val="en-US"/>
        </w:rPr>
        <w:t>161, 172, 186 Pasca-Renaisans 6 Plato 4 Prasasti 63</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Qadhi Abdul Jabbar Muktazili 96, 288</w:t>
      </w:r>
    </w:p>
    <w:p>
      <w:pPr>
        <w:pStyle w:val="BookText"/>
        <w:bidi w:val="0"/>
        <w:jc w:val="both"/>
        <w:rPr/>
      </w:pPr>
      <w:r>
        <w:rPr>
          <w:rFonts w:eastAsia="Times New Roman" w:cs="Times New Roman" w:ascii="Times New Roman" w:hAnsi="Times New Roman"/>
          <w:color w:val="111111"/>
          <w:sz w:val="28"/>
          <w:szCs w:val="28"/>
          <w:lang w:val="en-US"/>
        </w:rPr>
        <w:t>Qiyas 121, 132, 178 Qusyairi 129, 205, 214, 217, 220, 227, 238, 288</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Radhi Billah 128 Rasional- isme 6, 22, 27, 28, 29, 32, 81, 83, 84, 94, 98, 132, 135 Reformasi 64 Ruwwét al-hadis wa al-atsar</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Sayid Murtadha 162, 270, 274</w:t>
      </w:r>
    </w:p>
    <w:p>
      <w:pPr>
        <w:pStyle w:val="BookText"/>
        <w:bidi w:val="0"/>
        <w:jc w:val="both"/>
        <w:rPr/>
      </w:pPr>
      <w:r>
        <w:rPr>
          <w:rFonts w:eastAsia="Times New Roman" w:cs="Times New Roman" w:ascii="Times New Roman" w:hAnsi="Times New Roman"/>
          <w:color w:val="111111"/>
          <w:sz w:val="28"/>
          <w:szCs w:val="28"/>
          <w:lang w:val="en-US"/>
        </w:rPr>
        <w:t>Sayyid Nikmatullah Jazairi 167, 187</w:t>
      </w:r>
    </w:p>
    <w:p>
      <w:pPr>
        <w:pStyle w:val="BookText"/>
        <w:bidi w:val="0"/>
        <w:jc w:val="both"/>
        <w:rPr/>
      </w:pPr>
      <w:r>
        <w:rPr>
          <w:rFonts w:eastAsia="Times New Roman" w:cs="Times New Roman" w:ascii="Times New Roman" w:hAnsi="Times New Roman"/>
          <w:color w:val="111111"/>
          <w:sz w:val="28"/>
          <w:szCs w:val="28"/>
          <w:lang w:val="en-US"/>
        </w:rPr>
        <w:t>Shadrian 5</w:t>
      </w:r>
    </w:p>
    <w:p>
      <w:pPr>
        <w:pStyle w:val="BookText"/>
        <w:bidi w:val="0"/>
        <w:jc w:val="both"/>
        <w:rPr/>
      </w:pPr>
      <w:r>
        <w:rPr>
          <w:rFonts w:eastAsia="Times New Roman" w:cs="Times New Roman" w:ascii="Times New Roman" w:hAnsi="Times New Roman"/>
          <w:color w:val="111111"/>
          <w:sz w:val="28"/>
          <w:szCs w:val="28"/>
          <w:lang w:val="en-US"/>
        </w:rPr>
        <w:t>Shadrul Muta’allihin Syirazi 10, 39</w:t>
      </w:r>
    </w:p>
    <w:p>
      <w:pPr>
        <w:pStyle w:val="BookText"/>
        <w:bidi w:val="0"/>
        <w:jc w:val="both"/>
        <w:rPr/>
      </w:pPr>
      <w:r>
        <w:rPr>
          <w:rFonts w:eastAsia="Times New Roman" w:cs="Times New Roman" w:ascii="Times New Roman" w:hAnsi="Times New Roman"/>
          <w:color w:val="111111"/>
          <w:sz w:val="28"/>
          <w:szCs w:val="28"/>
          <w:lang w:val="en-US"/>
        </w:rPr>
        <w:t>Shaduqi 90</w:t>
      </w:r>
    </w:p>
    <w:p>
      <w:pPr>
        <w:pStyle w:val="BookText"/>
        <w:bidi w:val="0"/>
        <w:jc w:val="both"/>
        <w:rPr/>
      </w:pPr>
      <w:r>
        <w:rPr>
          <w:rFonts w:eastAsia="Times New Roman" w:cs="Times New Roman" w:ascii="Times New Roman" w:hAnsi="Times New Roman"/>
          <w:color w:val="111111"/>
          <w:sz w:val="28"/>
          <w:szCs w:val="28"/>
          <w:lang w:val="en-US"/>
        </w:rPr>
        <w:t>Simurg 32</w:t>
      </w:r>
    </w:p>
    <w:p>
      <w:pPr>
        <w:pStyle w:val="BookText"/>
        <w:bidi w:val="0"/>
        <w:jc w:val="both"/>
        <w:rPr/>
      </w:pPr>
      <w:r>
        <w:rPr>
          <w:rFonts w:eastAsia="Times New Roman" w:cs="Times New Roman" w:ascii="Times New Roman" w:hAnsi="Times New Roman"/>
          <w:color w:val="111111"/>
          <w:sz w:val="28"/>
          <w:szCs w:val="28"/>
          <w:lang w:val="en-US"/>
        </w:rPr>
        <w:t>Skeptis 63, 70, 71, 77 Speku- latif 75</w:t>
      </w:r>
    </w:p>
    <w:p>
      <w:pPr>
        <w:pStyle w:val="BookText"/>
        <w:bidi w:val="0"/>
        <w:jc w:val="both"/>
        <w:rPr/>
      </w:pPr>
      <w:r>
        <w:rPr>
          <w:rFonts w:eastAsia="Times New Roman" w:cs="Times New Roman" w:ascii="Times New Roman" w:hAnsi="Times New Roman"/>
          <w:color w:val="111111"/>
          <w:sz w:val="28"/>
          <w:szCs w:val="28"/>
          <w:lang w:val="en-US"/>
        </w:rPr>
        <w:t>Spinoza 28</w:t>
      </w:r>
    </w:p>
    <w:p>
      <w:pPr>
        <w:pStyle w:val="BookText"/>
        <w:bidi w:val="0"/>
        <w:jc w:val="both"/>
        <w:rPr/>
      </w:pPr>
      <w:r>
        <w:rPr>
          <w:rFonts w:eastAsia="Times New Roman" w:cs="Times New Roman" w:ascii="Times New Roman" w:hAnsi="Times New Roman"/>
          <w:color w:val="111111"/>
          <w:sz w:val="28"/>
          <w:szCs w:val="28"/>
          <w:lang w:val="en-US"/>
        </w:rPr>
        <w:t>Sufyan Tsauri 121</w:t>
      </w:r>
    </w:p>
    <w:p>
      <w:pPr>
        <w:pStyle w:val="BookText"/>
        <w:bidi w:val="0"/>
        <w:jc w:val="both"/>
        <w:rPr/>
      </w:pPr>
      <w:r>
        <w:rPr>
          <w:rFonts w:eastAsia="Times New Roman" w:cs="Times New Roman" w:ascii="Times New Roman" w:hAnsi="Times New Roman"/>
          <w:color w:val="111111"/>
          <w:sz w:val="28"/>
          <w:szCs w:val="28"/>
          <w:lang w:val="en-US"/>
        </w:rPr>
        <w:t>Swakon tradiksi 194 Syahid Baqir Shadr 169 Syahid Muthahari 40, 169</w:t>
      </w:r>
    </w:p>
    <w:p>
      <w:pPr>
        <w:pStyle w:val="BookText"/>
        <w:bidi w:val="0"/>
        <w:jc w:val="both"/>
        <w:rPr/>
      </w:pPr>
      <w:r>
        <w:rPr>
          <w:rFonts w:eastAsia="Times New Roman" w:cs="Times New Roman" w:ascii="Times New Roman" w:hAnsi="Times New Roman"/>
          <w:color w:val="111111"/>
          <w:sz w:val="28"/>
          <w:szCs w:val="28"/>
          <w:lang w:val="en-US"/>
        </w:rPr>
        <w:t>Syahristani 25, 84, 94, 98, 121, 123, 164, 290</w:t>
      </w:r>
    </w:p>
    <w:p>
      <w:pPr>
        <w:pStyle w:val="BookText"/>
        <w:bidi w:val="0"/>
        <w:jc w:val="both"/>
        <w:rPr/>
      </w:pPr>
      <w:r>
        <w:rPr>
          <w:rFonts w:eastAsia="Times New Roman" w:cs="Times New Roman" w:ascii="Times New Roman" w:hAnsi="Times New Roman"/>
          <w:color w:val="111111"/>
          <w:sz w:val="28"/>
          <w:szCs w:val="28"/>
          <w:lang w:val="en-US"/>
        </w:rPr>
        <w:t>Syamsuddin Aﬂaki 201, 213, 214, 216, 218, 220, 222</w:t>
      </w:r>
    </w:p>
    <w:p>
      <w:pPr>
        <w:pStyle w:val="BookText"/>
        <w:bidi w:val="0"/>
        <w:jc w:val="both"/>
        <w:rPr/>
      </w:pPr>
      <w:r>
        <w:rPr>
          <w:rFonts w:eastAsia="Times New Roman" w:cs="Times New Roman" w:ascii="Times New Roman" w:hAnsi="Times New Roman"/>
          <w:color w:val="111111"/>
          <w:sz w:val="28"/>
          <w:szCs w:val="28"/>
          <w:lang w:val="en-US"/>
        </w:rPr>
        <w:t>Syamsuddin Muhammad Dzahabi 147</w:t>
      </w:r>
    </w:p>
    <w:p>
      <w:pPr>
        <w:pStyle w:val="BookText"/>
        <w:bidi w:val="0"/>
        <w:jc w:val="both"/>
        <w:rPr/>
      </w:pPr>
      <w:r>
        <w:rPr>
          <w:rFonts w:eastAsia="Times New Roman" w:cs="Times New Roman" w:ascii="Times New Roman" w:hAnsi="Times New Roman"/>
          <w:color w:val="111111"/>
          <w:sz w:val="28"/>
          <w:szCs w:val="28"/>
          <w:lang w:val="en-US"/>
        </w:rPr>
        <w:t>Syeikh Abu Sa’id 41</w:t>
      </w:r>
    </w:p>
    <w:p>
      <w:pPr>
        <w:pStyle w:val="BookText"/>
        <w:bidi w:val="0"/>
        <w:jc w:val="both"/>
        <w:rPr/>
      </w:pPr>
      <w:r>
        <w:rPr>
          <w:rFonts w:eastAsia="Times New Roman" w:cs="Times New Roman" w:ascii="Times New Roman" w:hAnsi="Times New Roman"/>
          <w:color w:val="111111"/>
          <w:sz w:val="28"/>
          <w:szCs w:val="28"/>
          <w:lang w:val="en-US"/>
        </w:rPr>
        <w:t>Syeikh Anshari 263</w:t>
      </w:r>
    </w:p>
    <w:p>
      <w:pPr>
        <w:pStyle w:val="BookText"/>
        <w:bidi w:val="0"/>
        <w:jc w:val="both"/>
        <w:rPr/>
      </w:pPr>
      <w:r>
        <w:rPr>
          <w:rFonts w:eastAsia="Times New Roman" w:cs="Times New Roman" w:ascii="Times New Roman" w:hAnsi="Times New Roman"/>
          <w:color w:val="111111"/>
          <w:sz w:val="28"/>
          <w:szCs w:val="28"/>
          <w:lang w:val="en-US"/>
        </w:rPr>
        <w:t>Syeikh Hurr Amili 166, 186</w:t>
      </w:r>
    </w:p>
    <w:p>
      <w:pPr>
        <w:pStyle w:val="BookText"/>
        <w:bidi w:val="0"/>
        <w:jc w:val="both"/>
        <w:rPr/>
      </w:pPr>
      <w:r>
        <w:rPr>
          <w:rFonts w:eastAsia="Times New Roman" w:cs="Times New Roman" w:ascii="Times New Roman" w:hAnsi="Times New Roman"/>
          <w:color w:val="111111"/>
          <w:sz w:val="28"/>
          <w:szCs w:val="28"/>
          <w:lang w:val="en-US"/>
        </w:rPr>
        <w:t>Syeikh Lahiji 208</w:t>
      </w:r>
    </w:p>
    <w:p>
      <w:pPr>
        <w:pStyle w:val="BookText"/>
        <w:bidi w:val="0"/>
        <w:jc w:val="both"/>
        <w:rPr/>
      </w:pPr>
      <w:r>
        <w:rPr>
          <w:rFonts w:eastAsia="Times New Roman" w:cs="Times New Roman" w:ascii="Times New Roman" w:hAnsi="Times New Roman"/>
          <w:color w:val="111111"/>
          <w:sz w:val="28"/>
          <w:szCs w:val="28"/>
          <w:lang w:val="en-US"/>
        </w:rPr>
        <w:t>Syeikh Mufid 162, 163, 164, 172</w:t>
      </w:r>
    </w:p>
    <w:p>
      <w:pPr>
        <w:pStyle w:val="BookText"/>
        <w:bidi w:val="0"/>
        <w:jc w:val="both"/>
        <w:rPr/>
      </w:pPr>
      <w:r>
        <w:rPr>
          <w:rFonts w:eastAsia="Times New Roman" w:cs="Times New Roman" w:ascii="Times New Roman" w:hAnsi="Times New Roman"/>
          <w:color w:val="111111"/>
          <w:sz w:val="28"/>
          <w:szCs w:val="28"/>
          <w:lang w:val="en-US"/>
        </w:rPr>
        <w:t>Syeikh Muhammad Lahiji 207, 225, 231</w:t>
      </w:r>
    </w:p>
    <w:p>
      <w:pPr>
        <w:pStyle w:val="BookText"/>
        <w:bidi w:val="0"/>
        <w:jc w:val="both"/>
        <w:rPr/>
      </w:pPr>
      <w:r>
        <w:rPr>
          <w:rFonts w:eastAsia="Times New Roman" w:cs="Times New Roman" w:ascii="Times New Roman" w:hAnsi="Times New Roman"/>
          <w:color w:val="111111"/>
          <w:sz w:val="28"/>
          <w:szCs w:val="28"/>
          <w:lang w:val="en-US"/>
        </w:rPr>
        <w:t>Syeikh Thusi 159, 160, 161, 162, 172, 232, 291</w:t>
      </w:r>
    </w:p>
    <w:p>
      <w:pPr>
        <w:pStyle w:val="BookText"/>
        <w:bidi w:val="0"/>
        <w:jc w:val="both"/>
        <w:rPr/>
      </w:pPr>
      <w:r>
        <w:rPr>
          <w:rFonts w:eastAsia="Times New Roman" w:cs="Times New Roman" w:ascii="Times New Roman" w:hAnsi="Times New Roman"/>
          <w:color w:val="111111"/>
          <w:sz w:val="28"/>
          <w:szCs w:val="28"/>
          <w:lang w:val="en-US"/>
        </w:rPr>
        <w:t>Syeikh Yusuf Bahrani 167, 187, 192</w:t>
      </w:r>
    </w:p>
    <w:p>
      <w:pPr>
        <w:pStyle w:val="BookText"/>
        <w:bidi w:val="0"/>
        <w:jc w:val="both"/>
        <w:rPr/>
      </w:pPr>
      <w:r>
        <w:rPr>
          <w:rFonts w:eastAsia="Times New Roman" w:cs="Times New Roman" w:ascii="Times New Roman" w:hAnsi="Times New Roman"/>
          <w:color w:val="111111"/>
          <w:sz w:val="28"/>
          <w:szCs w:val="28"/>
          <w:lang w:val="en-US"/>
        </w:rPr>
        <w:t>Syekh Isyraq Syihabuddin Suhrawardi 224</w:t>
      </w:r>
    </w:p>
    <w:p>
      <w:pPr>
        <w:pStyle w:val="BookText"/>
        <w:bidi w:val="0"/>
        <w:jc w:val="both"/>
        <w:rPr/>
      </w:pPr>
      <w:r>
        <w:rPr>
          <w:rFonts w:eastAsia="Times New Roman" w:cs="Times New Roman" w:ascii="Times New Roman" w:hAnsi="Times New Roman"/>
          <w:color w:val="111111"/>
          <w:sz w:val="28"/>
          <w:szCs w:val="28"/>
          <w:lang w:val="en-US"/>
        </w:rPr>
        <w:t>Syi'ah 259</w:t>
      </w:r>
    </w:p>
    <w:p>
      <w:pPr>
        <w:pStyle w:val="BookText"/>
        <w:bidi w:val="0"/>
        <w:jc w:val="both"/>
        <w:rPr/>
      </w:pPr>
      <w:r>
        <w:rPr>
          <w:rFonts w:eastAsia="Times New Roman" w:cs="Times New Roman" w:ascii="Times New Roman" w:hAnsi="Times New Roman"/>
          <w:color w:val="111111"/>
          <w:sz w:val="28"/>
          <w:szCs w:val="28"/>
          <w:lang w:val="en-US"/>
        </w:rPr>
        <w:t>Syihabudin Suhrawardi 39</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Tafri‘ 160 Taqaddum al-syay‘ ’alé nafsihi</w:t>
      </w:r>
    </w:p>
    <w:p>
      <w:pPr>
        <w:pStyle w:val="BookText"/>
        <w:bidi w:val="0"/>
        <w:jc w:val="both"/>
        <w:rPr/>
      </w:pPr>
      <w:r>
        <w:rPr>
          <w:rFonts w:eastAsia="Times New Roman" w:cs="Times New Roman" w:ascii="Times New Roman" w:hAnsi="Times New Roman"/>
          <w:color w:val="111111"/>
          <w:sz w:val="28"/>
          <w:szCs w:val="28"/>
          <w:lang w:val="en-US"/>
        </w:rPr>
        <w:t>196 Tertullian 26, 32, 33, 34 Thabari 126 Thaha Husain 67, 70, 71 Thomas Aquinas 20</w:t>
      </w:r>
    </w:p>
    <w:p>
      <w:pPr>
        <w:pStyle w:val="BookText"/>
        <w:bidi w:val="0"/>
        <w:jc w:val="both"/>
        <w:rPr/>
      </w:pPr>
      <w:r>
        <w:rPr>
          <w:rFonts w:eastAsia="Times New Roman" w:cs="Times New Roman" w:ascii="Times New Roman" w:hAnsi="Times New Roman"/>
          <w:color w:val="111111"/>
          <w:sz w:val="28"/>
          <w:szCs w:val="28"/>
          <w:lang w:val="en-US"/>
        </w:rPr>
        <w:t>Trinitas 6, 26, 82 Tsabit bin Qurah 86 Tunanetra 5, 15</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Ulamé' al-Syi’ah 163 Ushul Fikih 158, 162, 164, 171, 173, 204</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Vice versa 262</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Wahid Behbahani 168 Washil bin ’Atha 84 Wishél 214, 216 Wittgenstein 76</w:t>
      </w:r>
    </w:p>
    <w:p>
      <w:pPr>
        <w:pStyle w:val="BookText"/>
        <w:bidi w:val="0"/>
        <w:jc w:val="both"/>
        <w:rPr/>
      </w:pPr>
      <w:r>
        <w:rPr>
          <w:rFonts w:eastAsia="Times New Roman" w:cs="Times New Roman" w:ascii="Times New Roman" w:hAnsi="Times New Roman"/>
          <w:color w:val="111111"/>
          <w:sz w:val="28"/>
          <w:szCs w:val="28"/>
          <w:lang w:val="en-US"/>
        </w:rPr>
        <w:t>Y Yunus bin Abdurahman 159, 160, 174 Z</w:t>
      </w:r>
    </w:p>
    <w:p>
      <w:pPr>
        <w:pStyle w:val="BookText"/>
        <w:bidi w:val="0"/>
        <w:jc w:val="both"/>
        <w:rPr/>
      </w:pPr>
      <w:r>
        <w:rPr>
          <w:rFonts w:eastAsia="Times New Roman" w:cs="Times New Roman" w:ascii="Times New Roman" w:hAnsi="Times New Roman"/>
          <w:color w:val="111111"/>
          <w:sz w:val="28"/>
          <w:szCs w:val="28"/>
          <w:lang w:val="en-US"/>
        </w:rPr>
        <w:t>Zakariya Razi 105, 106 Zhahiriyah 101, 120, 129, 130, 131, 132, 175</w:t>
      </w:r>
    </w:p>
    <w:p>
      <w:pPr>
        <w:pStyle w:val="BookText"/>
        <w:bidi w:val="0"/>
        <w:jc w:val="both"/>
        <w:rPr/>
      </w:pPr>
      <w:r>
        <w:rPr>
          <w:rFonts w:eastAsia="Times New Roman" w:cs="Times New Roman" w:ascii="Times New Roman" w:hAnsi="Times New Roman"/>
          <w:color w:val="111111"/>
          <w:sz w:val="28"/>
          <w:szCs w:val="28"/>
          <w:lang w:val="en-US"/>
        </w:rPr>
        <w:t>Zindiq 124</w:t>
      </w:r>
    </w:p>
    <w:p>
      <w:pPr>
        <w:pStyle w:val="BookText"/>
        <w:bidi w:val="0"/>
        <w:jc w:val="both"/>
        <w:rPr/>
      </w:pPr>
      <w:r>
        <w:rPr>
          <w:rFonts w:eastAsia="Times New Roman" w:cs="Times New Roman" w:ascii="Times New Roman" w:hAnsi="Times New Roman"/>
          <w:color w:val="111111"/>
          <w:sz w:val="28"/>
          <w:szCs w:val="28"/>
          <w:lang w:val="en-US"/>
        </w:rPr>
        <w:t>Zindiq 145, 210, 238</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Zurarah bin A’yan 159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80" w:name="pg5378_50933"/>
      <w:bookmarkStart w:id="481" w:name="pg5378_50933"/>
      <w:bookmarkEnd w:id="48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482" w:name="pg5378_50933"/>
      <w:bookmarkStart w:id="483" w:name="__RefHeading___Toc1351392_581953129"/>
      <w:bookmarkStart w:id="484" w:name="_Toc175"/>
      <w:bookmarkEnd w:id="482"/>
      <w:bookmarkEnd w:id="483"/>
      <w:r>
        <w:rPr/>
        <w:t>LAMPIRAN</w:t>
      </w:r>
      <w:bookmarkEnd w:id="484"/>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Kulaini: Al-Kafi, jilid. 1, “Kitab al-'Aql wa al-Jahl", hadis ke-12, hlm. 60.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Ibnu Qayim Jauzi: Miftéh Dar Al-Sa‘édah, hlm. 189.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Afdhaluddin K. Syirwani: Divon-e Khogoni, hlm. 156.</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M. Hafizd Syirazi: Divon-e Asy'or, ghazal (lirik) ke-121.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Hadis Nabi Saw, “Siapa saja dari kalian yang lebih kuat akalnya, niscaya takutnya kepada Allah lebih dahsyat.” (M. Faidh Kasyani: Al-Mahajjah Al-Baydhé' fi Tahdzib Al-Ihy&amp;’, jld. 1, hlm. 172).</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R. Rerneaux &amp; J. Wahl: Padidorsyenosi va FalsafehO-ye Hast Budan,hlm. 129.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Barbour: ‘Elm va Din, hlm. 77.</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 Ibid., hlm. 83-84.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Dikenal dengan nama Mulla Shadra—penj.</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Shadrul Mutaalihin Syirazi: Syarh Ushdi Al-Kafi, jld. 1, hlm. 222-227.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P. Foulquie: Falsafeh-e ‘Umumi yo Mo Ba'da Al-Thabi'eh, hlm, 79 — 82.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Abdulkarim Soroush: Darsho-i dar Falsafeh-e Elm-e Ejtemo'’, hlm. 211; H. R. Azghadi: 'Aqloniyat (Bahsi dar Maboni-e Jomi'ehsyenosi-e Tavsi‘eh), hlm. 63.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Sekilas, digunakannya istilah “akal” dalam konteks yang luas ini terbilang tak wajar. Akan tetapi, penggunaan ini dalam pelbagai karya tulis kalangan ilmuwan Timur dan Barat bukan tak beralasan.Umpama, Ibnu Thufail (w. 581 H) dalam narasinya tentang Hay bin Yaqdzan. Usai menjelaskan bahwa Hay memperoleh pengetahuan tinggi perihal awal penciptaan dan kebangkitan setelah berpikir,</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Jalaluddin M. Balkhi: Matsnavi-e Ma‘navi, daftar ke-5, bait 570 &amp; 569.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Shadrul Muta‘allihin: Al-Hikmah Al-Muta Sliyah fT AL-Asfar Al-‘Aqliyyah Al-Arba’ah, jld. 3, hlm. 419: Ahmad bin Taimiyah: Dar’ Ta’érudh Al-‘Aq! wa Al-Naq], jId. 1, hlm. 89.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M.T. Mishbah Yazdi: Rahnamosyenosi, hlm. 11.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Allamah Thabathaba'i dalam uraian seputar tidak adanya medium antara Allah Swt dan rasul-Nya pada level tertinggi dari tiga tingkatan wahyu sehingga mustahil terjadi kekeliruan, menegaskan bahwa sudah barang tentu wahyu yang turun pertama kali ke setiap nabi merupakan wahyu pada level ini. Lihat M.H. Thabathaba'i: Al-Mizan fi Tafsir Al-Qur’an, jld. 14, hlm. 138-139; juga jild. 18, hlm. 73—74, dan jld. 3, hlm. 182.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Baqir Majlisi: Bihar Al-Anwér, jId. 11, hlm. 56.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Pada tahap pertama. ciri khas kedua dari wahyu ini memberikan dailil-dalil rasional atas kemaksuman para nabi saat menerima wahyu. (Lih., A.H. Sharifi &amp; H. Yusufian: Pazhuhesyi dar Esmat-e Ma’sumon, hlm. 101-108). Adapun tentang bagaimana pembuktian atas keterhindaran dari kekeliruan itu, dapat dijelaskan bahwa pencerapan wahyu bersifat huduri atau pasti berakhir pada Ilmu Huduri.</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Stanley L. Jackie: “Elm va Din’, dalam Dinpezhuhi, Bagian II, hlm. 429.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Abdulkarim Soroush: Qabdh va Bastf-e Teorik-e Syari‘at, hlm. 97.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A. Jawadi Amul: Falsafeh-e Huquq-e Basyar, hlm. 40.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lbnu Rusyd: Fash! Al-Maqél fi ma bain Al-Syariah wa Al-Hikmah min Al-ittishal, hlm. 17.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Baha'uddin Amili: Kulliyot-e Asy‘or-e Forsi, Musy va Gurbeh, hlm. 18-19 (Matsnavi-e Nun va Halvo).</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Collin Brown: Falsafeh va Emon-e Masihi, hlm. 25.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Anne Farmantie: ‘Ashr-e E'teqod, hlm. 167-168.</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Will Durant: Torikh-e Tamaddun, jld. 4, hlm. 1289.</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Sebuah kota di Asia Minor. Bangsa Yunani yang ingin merebut kota itu membuat kuda kayu yang sangat besar dan meletakkanya di pintu gerbang kota. Penduduk Troy terheran-heran saat menyaksikan kuda itu. Mereka lantas menariknya ke dalam kota. Tengah malam, prajurit yang bersembunyi di dalam</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Ibid., hlm. 1322-1323.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Secara umum, istilah filsafat dapat dikategorikan dalam dua pengertian. Pertama, filsafat teoretis yang mencakup ilmu alam semesta (kosmologi), ilmu bilangan (matematika), dan ilmu ketuhanan (teologi). Kedua, filsafat praktis yang mencakup etika, ekonomi, dan politik.</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Ibid., hlm. 1292.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WO. Chadwick: “Religion and Science”, dalam Dictionary of the History of Ideas, hlm. 106.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Lih. Imam Khomeini: Syarh-e Hadits-e Junid-e ‘Aql va Jahi, hlm. 89; S. Taftazani: Syarh Al-‘Aqaid Al-Nasafiyyah, hlm. 82; M. Faidh Kasyani: ‘lim Al-Yaqin fi Ushul Al-Din, jld. |, hlm. 6; M. Syahristani:Nihdyah Al-Aqdam fi ‘lim Al-Kalam, hlm. 472; A. Jawadi Amuli: Tabyin-e Barohin-e Etsbot-e Khudo, hlm. 117-120; Allamah Hilli: Manahij Al-Yaqin fi Ushul Al-Din, hlm. 367; A. Jawadi Amuli: Shenokhtsyenosidar Qur'on, hlm. 324; Z. Syahid Tsani: Haqa ‘iq Al-imén (Ma‘a Risdlatay Al-Iqtishéd wa Al-‘Adalah), hlm. 53-54.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Jamaluddin M. Khanshari: Syarh Al-Ghurar wa Al-Durar, jld. 6, hlm. 159.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Ibid., hlm. 70.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Collin Brown: Falsafeh wa Imon-e Masihi, hlm. 165.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Jonathan Z. Smith: The Harper Collins Dictionary of Religion, hlm. 355.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Anne Farmantle: ‘Ashr-e E‘teqod, hlm. 182.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Geddes MacGregor: Dictionary of Religion and Philosophy, hlm. 241.</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Will Durant: Torikh-e Tamadaun, jld. 6, hlm. 447.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Michael Scriven: “The Presumption of Atheisme”, dalam Philosophy of Religion, hlm. 365.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Gaddes MacGregor: Dictionary of Religion and Philosophy, hlm. 241.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Ibid., hlm. 524; Abdulmun‘im Hanafi: A-Mujam Al-Falsaf, jld. 2, hlm. 90-91.</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Lib. Mitalinus”, dalam Naqd va Nazhar, vol. 2, 1374 HS, hlm. 195-200.</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 Peterson et a/.: Reason and Religious Belief, hlm. 33.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Yang dimaksud Athena adalah filsafat dan rasionalisme Yunani, sedangkan yang dimaksud Jerusalem adalah agama Kristen.</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E. Gilson: “Aql va Vahy dar Qurin-e Vusto, hlm. 4-5.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M. Peterson et al.: Reason and Religious Belief.</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Colin Brown: Falsafeh va Imon-e Masihi, hlm. 37.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B. Pascal: Andisyeho va Resolat, Andisyeh 277, hlm. 358.</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M. Malakian: Kalom-e Jadid: lmon va Ta‘aqqul (diktat), hlm. 10.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Ja'far Subhani: Buhdts ff Al-Milal wa Al-Nihal, jld. 1, hlm. 160-166.</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A.J. Arberry: “Aq! va Vahy az Nazhar-e Mutafakkeron-e Eslomi, hlm. 6.</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M.F. Esykavari: Ma’refatsyenosi-e Dini, hlm. 120.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Lih., Y Bahrani: Al-Hada iq Al-Nadhirah, jl. 1, hlm. 131-133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Pola pertama dari empat pola silogisme dalam logika Aristotelian. Pola ini paling dasar, paling badihi, swabukti, aksiom (penj.)</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MF. Esykavari: Ma‘refatsyenosi-e Dini, hlm. 124.</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Istilah mustaqillat ‘aqliyyah dalam Usul Fikih bisa dipadankan dengan akal yang berperan sebagai sumber pengetahuan. Kendati demikian, akal sebagai sarana tidak terbatas pada ghair mustaqillat ‘agliyyah ‘prinsip-prinsip rasional yang non-independen’, bahkan bukti-bukti yang menurut istilah ilmu usul di-sebut dalil syar'i, ditopang oleh akal sebagai sarana.</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S.M. Mardiha: “Yeki bar Sare Shokh va Bun Miburid (seorang berdiri di atas cabang pohon dan sedang memotong pokoknya),” dalam majalah Kayhon-e Farhangi, tahun 6, vol. 11, Bahman 1368 HS, hlm. 13.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lbnu Sina: Al-isyérat wa Al-Tanbihat, jld. 4, hlm. 47.</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Hafidz Syirazi: Divon-e Asy’or, lirik ke-48.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Quthbuddin Syirazi: Syarh Hikmat Al-Isyréq, hlm. 16.</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Shadrul Muta‘allihin: Al-Hikmat Al-Muta‘éliyah ff Al-Asfér Al-‘Aqliyyah Al-Arba‘ah, jid. 1, hlm. 8,</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M. Muthahari: Khadamot-e Mutaqobel-e Esiom va Iron, hlm. 524.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Hafidz Syirazi: Divon-e Asy’or, lirik ke-121.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Jalaluddin M. Balkhi: Matsnavi-e Ma‘navi, daftar I, bait ke-1401 dan 1502.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Muhammad bin Munawar: Asrar Al-Tawhid ff Maqaémat Al-Syaikh Abi Sa‘id, bab 2, pasal 2, hlm. 209-210. Perlu diketahui, riwayat pertemuan ini juga termaktub dalam buku Halat va Sokhanan-e Abu Sa‘id Abul Khoir yang ditulis berapa saat sebelum buku Asraar Al-Tawhid dan keduanya tergolong</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Lih. S.M. Damadi: Abu Sa'id Nomeh, hlm. 40-42.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ML.H. Thabathaba’i: Ushul-e Falsafeh va Ravesy-e Re ‘olism, jld. 5, hlm. 10.</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Jalaluddin M. Balkhi: Matsnavi-e Ma‘navi, Daftar |, bait ke- 1984.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Imam Khomeini: Divon-e Emom Khomeini, hlm. 170.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H. Amuli: Jami’ Al-Asrér wa Manba’ Al-Anwar, hlm. 491, dengan sedikit perubahan redaksi.</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Sadrul Muta‘allihin: Syarh Ushdl Al-KAfi, “Kitab al-Hujjah”, bab innal ardho 18 yakhid min hujjah, hadis ke-2, hlm. 479; Sadrul Muta‘allihin: Tafsir Alquran Al-Karim, jld. 7, hlm. 10.</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Shadrul Muta‘allihin: Resoleh-e Seh Ashi, hlm. 59.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W.T. Stace: Mysticism And Philosophy, hlm. 262.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Ibid., hlm. 276.</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Shainudin Ali bin Turkah: Tamhid Al-Qowé'id, hlm. 248-249.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Shadrul Muta‘allihin: Al-Hikmah Al-Muta’éliyah fi Al-Asfér Al-'Aqliyyah Al-'Arba’ah, jld. 2, hlm. 322-323; Shadrul Muta‘allihin: Al-Rosd'il (Risdlah fi Saroyn Al-Wujud), hlm. 138.</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Lih., Jalaluddin Huma’i: Maulavinomeh, jld. 1, hlm. 460-537.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M.T. Ja'fari: Tafsir va Naqd va Tahlil-e Matsnavi-e Jaloluddin Muhammad Maulavi, jld. 7, hlm 213.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Jalaluddin M. Balkhi: Matsnavi-e Ma'navi, daftar ke-4, bait ke-1986</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Di sebagian naskah Matsnavi, bait ini lanjutan dari bait pertama di atas.</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Ibid., Daftar |, bait ke-3283 dan 3285.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Ibid., Daftar IV, bait ke-1960, 1961, dan 1964-1965.</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B. Furuzanfar: Syarh-e Matsnavi-e Syarif, jld. 2, hlm. 565.</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Jalaluddin Huma’‘i: Maulavinomeh, jid. 1, hlm. 466-467.</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Jalaluddin M. Balkhi: Matsnavi-e Ma‘navi, Daftar Ill, bait ke-1558.</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Ibid., Daftar IV, bait ke-1258.</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Ibid., Daftar |, bait ke-2052.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Ibid., Daftar IV, bait ke-2178.</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Bait ini dialamatkan pada bait Maulawi yang mengatakan: Dalam topik ini pabila akal jadi petunjuk Tentu Fakhru Razi layak jadi penyimpan rahasia agama. (Lih., ibid., daftar V, bait ke-4144).</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M.B. Mirdamad: Divon-e Asy‘or, hlm. 20 -21.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H.H Amuli: Qur'on va Erfon va Burhon az ham Judo Nadorand, hlm. 85-86.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Maksud agama dalam pembahasan ini adalah agama wahyuni dan samawi.</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QS Al-lsra’ [17]: 94.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QS Al-Qomar [54]: 24,</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QS Al-Mu’minun [23]: 24, “Maka pemuka-pemuka orang yang kafir di antara kaumnya menjawab, ‘Orang ini tidak lain hanyalah manusia seperti kamu, yang bermaksud hendak menjadi seorang yang lebih tinggi dari kamu. Dan kalau Allah menghendaki, tentu Dia mengutus beberapa malaikat.””</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Jalaluddin M. Balkhi: Matsnavi-e Ma‘navi, daftar 1, bait ke-265 — 266.</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Ibid, bait ke-268 — 271.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QSAl-Jum‘ah [62]: 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QSAI-An‘am (6): 124.</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M. Syahristani: A/-Milal wa Al-Nihal, jld. 2, hlm. 258-260; ‘Allamah Hilli: Kasyf Al-Murd fi Syarh Tajrid Al-I'tiqad, hlm. 348; Ja‘far Subhani: Al-ilahiyét, jkd. 3, hlm. 59-64; “Brahmana” dalam The Encyclopedia of Isiam, hlm. 1031.</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F. Copleston: Fayiasufon-e Englisi az Hobbes to Hume, hlm. 179.</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W.T. Marvin: Seyr-e Falsafeh dar Urupo, jid. 6, hlm. 240; W. Rowe: “Deism’, dalam Routledge Encyclopedia of Philosophy, hlm. 854.</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A.W. Wood: “Deism”, dalam The Encyclopedia of Religion, hlm. 252-264.</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Ibid., hlm. 854.</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Bandingkan penafsiran di atas dengan F. Copleston: Failasufon-e Inglisi az Hobbes to Hume, hlm. 178-179</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Lih. M.M. Syarif: Torikh-e Falsafeh dar Esiom, jid. 1, hlm. 627-629; Anne Fremantle: ‘Asr-e E'teqod, hlm. 135; G.H.1. Dinani: Mojaro-ye Fekr-e Falsafi dar Jahon-e Esilom, jld. 2, hlm. 94-96.</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Muhammad bin Zakaria Razi: Rosé'‘il Falsafiyyah, “Kitab Al-Tibb Al-Ruhani", hlm. 18; M.M. Syarif: Torikh-e Falsafeh dar Eslom, hlm. 619.</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Hamidudin Kirmani: Al-Aqwal Al-Dzahabiyyah, hlm. 9.</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Abu Hatim Razi: Alam Al-Nubuwwah, hlm. 3-8.</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Abu Raihan Biruni: Fehrest-e Ketobho-ye Rozi va Nomho-ye Ketobha-ye Biruni, hlm. 2-3. Anehnya, saat menghitung buku-buku Razi, Abu Raihan menyebut nama lain dari karyanya seputar penolakan terhadap kalangan yang menggugat kenabian.</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Ibid., hlm. 17.</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N.K. Qubadiyani: Jami’ Al-Hikmatain, no. 139, hlm. 137.</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Ibnu Hazm: Al-Fadhi fi Al-Milal wa Al-Ahwa‘i wa Al-Nibal, jld. 1, hlm. 90; S. Taghlibi Andalusi: Thabaqat Al-Umam, hlm. 43; Musa bin Maimun: Dildlah Al-Ha'irin, jid. 3, hlm. 3, cat. kaki no. 12, hlm.</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Ibnu Abi Ushaibaah: ‘Uydn Al-Anba’ fi Thobaqat Al-Athibba’, hlm. 539.</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A. Nikmat: Falasifat Al-Syi‘ah, hlm. 476-477; M. Muthahari: Khadamot-e Mutaqobel-e Eslom va Iron, hlm. 534-538.</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Ibnu Nadim: Al-Fihrist, hlm. 359.</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Ibid., hlm. 358.</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Ibnu Abi Ushaibaah: ‘Uydn Al-Anbé’ fi Thabagat Al-Athibbé', hlm. 359.</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Konfirmasi ini disebut lemah dalam Mahdi Muhaqiq: Filosuf-e Rei-Mu-hammad bin Zakariya-e Razi, hlm. 14-15.</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M. Syahristani: Al-Milal wa Al-Nihal, jld. 1, hlm. 172.</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Mengingat orang-orang seperti lbnu Maimun Yahudi, Ibnu Hazm Dzahiri, termasuk Abu Raihan Biruni melakukan gugatan terhadap Zakaria Razi, maka tidak benar jika seluruh penggugat pandangan Razi bermazhab Ismailiyah. Lain hainya jika dikatakan bahwa mereka semua terpengaruh suasana</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R. Robinson: “Religion and Reason’, dalam Critiques of God, hlm. 116.</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Ibid., hlm. 124.</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Menurut pembahasan yang terkait dengan aliran ini, evidence, argument, dan reason digunakan dalam makna yang sama. Misalnya dalam K.J. Clark: Return to Reason, hlm.3.</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Ernst Cassirer: Falsafe-ye Roushangan, hlm. 211.</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K.J. Clark: Return to Reason, hlm. 3.</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W.K. Clifford: “The Ethics of Belief’, dalam Philosophy of Religion, hlm. 405, “It is wrong always, everywhere, and for anyone. to believe anything upon insufficient evidence.”</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Keith M. Persons: God and the Burden of Proof, hlm. 19.</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W.K. Clifford: “The Ethics of Belief, dalam Philosophy of Religion,hlm. 400.</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Ibid., hlm. 401.</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John Mackie: The Miracle of Theism, hlm. 253.</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M. Scriven: “The Presumption of Atheism’, dalam Philosophy of Religion, hlm. 22.</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Untuk lebih jauh mengenal! riwayat hidup dan sifat-sifat Abul'ala Ma’arri, silahkan merujuk Mikhail Mas'ud: Udaba' Al-Falasifah, hlm. 211-243; Umar Farrukh: Aqayed-e Falsafi-e Abul'ala; Thaha Husain: Goft va Shundd-e Falsafi dar Zendon-e Abul'ala Ma‘arn, Abdullah ‘Ala’i: Al-Ma‘arri Dzalika Al-Majhdl:</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N.K. Qubadiani: Safarnomeh, hlm. 14 -15.</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Abul Ala’ Ma‘arri: Luzimu ma [a Yaizam, jld. 1, hlm. 308.</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Abul Ala’ Ma‘arri: Rosé'il Abi Al-'Ala’ Al-Ma‘arri, hlm. 81-83.</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Besar kemungkinan, yang dimaksud Abul Ala’ dengan agama hanif adalah Islam; sebagaimana dalam berbagai ayat dan hadis, istilah hanif sering digunakan untuk agama Islam.</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Abul Ala’ Ma'am: Luzumu mé la Yalzam, jld. 3, hlm. 1269.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—Ibid., jld. 2, hlm. 61. Menurut buku ini, yang dimaksud Abul Ala’ dengan imam nathiq (imam yang berbicara] adalah Imam Mahdi Al-Muntazhar.)</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Ibid. jId. 1, hlm. 200.</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Abul Ala’ Ma‘arri, Siqt Al-Zand, hlm. 92.</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Ibid., hlm. 93.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Abul Ala’ Ma’arri, Rosa ‘il Abi Al-‘Al&amp;’ Al-Ma‘arri, hlm. 67, 100, dan 109.</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ibid hal. 162</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Hanya adakalanya Abul Ala’ juga menemukan jalan keluar dari keterom-bang-ambingan itu seraya</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Thaha Husain: Goft va Shunud-e Falsafi dar Zendon-e Abul‘ala Ma‘ar, hlm. 38-58.</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Abul Ala’ Ma’arri: Luzdmu mé ié Yaizam, jd. 2, hlm. 737.</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A. Muhyidin: Shakhsiyyat-e Adabi-e Sayyed Murtadha, hlm. 74.</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K.J. Clark: Return to Reason, hlm. 6.</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M. Peterson, et al.: Reason and Religious Belief, hlm. 35.</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Ibid.</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Sejumlah penulis cenderung menghindari label fideisme lantaran, dalam beberapa diskursus dan forum, mengandung kesan negatif. Mereka lebih memilin Reformed Epistemology. Lih., K.J. Clark, Retum to Reason, hlm. 7.</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Ibid. hlm. 156.</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M. Peterson. et al.: Reason and Religious Belief, hlm. 37.</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Alvin Plantinga, filsuf kontemporer Amerika, meyakini keimanan kepada Tuhan termasuk kepercayaan dasar (basic beliefs) yang tidak perlu pembuktian. Dia bahkan memperhatikan sanggahan ini dan berusaha menjawabnya. Selain itu. dia menggugat tolok ukur versi logika aristotelian untuk memilah-milah mana kepercayaan dasar dan mana kepercayaan nondasar (infered beliefs). Untuk</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M. Peterson, et al.: Reason and Religious Belief, hlm. 36-37.</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A. Jawadi Amuli: Syari‘at dar Oyineh-e Ma’refat, hlm. 276.</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Untuk keterangan lebih jauh, lihat, Allamah Hilli: Kasyf Al-Muraéd ff Syarh Tajrid Al-I'tiqgad, hlm. 346-348; Ja‘far Subhani: Al-ahiyat, jld. 3, hlm. 23-58; S. Suhrawardi: Majmu'eh-e Mushannafot-e Syeikh-e Eshroq, jld. 1 [Al-Talwihét Al-Lauhiyyah wa Al-Arsyiyyah], hlm. 95-96; Ibnu Sina: Al-lléhiyyat min Kitéb</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M.T. Mishbah Yazdi: Ma’‘oref-e Qur‘on, [jld. 4-5, Roh va Rahnamosyenosi, hlm. 9-30.</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Sudah tentu, keniscayaan kenabian dibahas setelah membuktikan wujud Tuhan dan mengenal tindakan-tindakan dan sifat-sifat llahi. Karena itu, beberapa hal yang diperilukan dalam premis-premis ini harus sudah dibuktikan dalam kajian ketuhanan. Dan evaluasi terhadapnya sangat dibutuhkan untuk</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M.T. Mishbah Yazdi: Ma‘oref-e Qur‘on, [{jld. 1-3: Khudosyenosi, Kayhonsye-nosi, Ensonsyenosi], hlm. 501-512.</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Jalaluddin M. Balkhi: Matsnavi-e Ma‘navi, daftar IV, bait 1622-1623.</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Abdulkarim Soroush: Mudara va Modiriyyat, hlm. 400.</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Perlu dicatat, sebagian pemikir Kristen juga memiliki penjelasan yang sebangun dengan pembuktian di atas mengenai keharusan wahyu dan bimbingan samawi. Lih. Richard Swinburne: Revelation, hlm. 70-74.</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Lih. M.M. Syanf: Torikh-e Falsafeh dar Esiom, jld. 1, hlm. 315-316; Henry Corbin: Torikh-e Falsafeh-e Eslomi az Oghoz to Darguzasyt-e lbn Rushd, hlm. 169-170; John B. Naas: Torikh Jome-e Adyon, hlm. 750.</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G.H.I. Dinani: Mojaro-ye Fekr-e Falsafi dar Jahon-e Esiom, jld. 2, hlm. 75-76.</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Lih., Ahmad Amin: Dhuha Al-isiém, jld. 3, hlm. 207.</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Ibid. jid. 3.</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M. Rasyid Ridha: Tafsir Al-Manér, jkd. 9, hlm. 227, tafsir Al-A'raf (7]: 156.</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Ahmad Murtacha: Thabaq&amp;t Al-Mu'tazilah, hlm. 5-15.</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M. Syahristani: Al-Milal wa Al-Nibal, jld. 1, hlm. 52.</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A. Mu'taq: Al-Mu'tazilah wa Ushdluhum Al-Khamsah wa Mauqif Ahi Al-Sunnah minha, hlm. 34.</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Ibid., hlm. 35.</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ibid., hlm. 37.</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Jafar Subhani: Al-Ilahiyyat, jld. 3 hlm. 103, dinuki dari Ahmad bin Ali Maqrizi: Al-Khuthath Al-Maqriziyah.</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H. Fakhuri dan K. Jarr: Torikh-e Falsafeh dar Jahon-e Esiomi, hlm. 117.</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A.A. Magnizi: Al-Khuthath Al-Magqriziyyah, jld. 3, hlm. 371; Anthonius Najib: Mujam Al-Léhut Al-Kitabi, hlm. 605; Master Hawks: Qomids Ketob-e Muqaddas, hlm. 652, dan Mausd’ah Al-Kit&amp;b Al-Muqaddas, hlm. 232.</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Ahmad Amin: Fajr Al-Islam, hlm. 289; M. Abu Zuhrah: Tarikh Al-Mazahib Al-lslamiyyah, hlm. 119. Konon, setelah diterbitkannya buku Fajr Al-Islam pada kali pertama, si penulis lantas mengubah pandangannya.</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Ahmad Murtadha: Thabagét Al-Mu tazilah, hlm. 50.</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Rasa'il Al-Jahizd (diteliti dan dikomentari A.M. Harun), jid. 3, hlm. 303-351.</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M.Abu Zuhrah: Tarikh Al-Mazéhib Al-Islamiyyah, hlm. 149.</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Kulaini: Al-K&amp;fi, jld. 1, hlm. 155 (Kitab Al-Tauhid, bab al-Jabr wa al-Qadr, hadis ke-1).</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A. Badawi: Tonkh-e Andisyeho-ye Kalomi dar Esiom, jid. 1, hlm. 131-132.</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A. Murtadha: Thabagét Al-Mu'tazilah, hlm. 11. Dalam buku ini dinyatakan bahwa khalifah pertama (Abu Bakar), khalifah ketiga (Usman bin Affan), Abdullah bin Mas‘ud, Abdullah bin Umar, Ibnu Abbas, dan Ubay bin Ka’ab juga ikut menukilnya. Secara terbuka, mereka membela prinsip kebebasan dan</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H. Fakhuri &amp; K. Jarr: Torikh-e Falsafeh dar Jahon-e Esiom, hlm. 770.</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A. Murtadh: Thabagat Al-Mu'tazilah, hlm. 34.</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A. Maqrizi: Al-Khuthath Al-Maqriziyyah, jld. 3, hlm. 371.</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John B. Naas: Torikh Jome-e Adyon, hlm. 549-550.</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Master Hawks: Qomus Ketob-e Muqaddas, hlm. 653.</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Ibid., hlm. 552.</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A. Mu'taq: Al-Mutazilah wa Ushdluhum Al-Khamsah wa Mauaif Ahi Al-Sunnah minha, hlm. 50.</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Ja'far Subhani: Buhits fi Al-Milal wa Al-Nihal, jld. 3, hlm. 152.</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Ahmad. Murtadha: Thabagat Al-Mu tazilah, hlm. 50.</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Ibnu Abil Hadid: Syarh Nahj Al-Balghah, jld. 1, hlm. 17</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Imam Ali bin Musa Ridha menyatakan, “Mereka bermaksud menyifati Allah dengan keadilan-Nya; malah menihilkan-Nya dari kemampuan dan kekuasaan-Nya.” Lih. M. Baqir Majlisi: Binar Al-Anwér, jld. 5, hlm. 54.</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M. Syahristani: Al~MilaI wa AI-Niﬂal. jld. 1. hlm. 48.</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Lih. Abduljabbar Muktazili: Syara Ushal Al-Khamsah. hlm. 88; MI. Zulamiz Falsafal AI-Syan"ah. hlm. 275-277; Fatimah M. Ismail: Alquran wa Al-Nazhar Al-‘Aqli. hlm. 257.</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A. Murtadha: Thabaqéml-Mutazilah. hlm. 94-95.</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Iqbal Lahore: Ehyo-e Fekr-e Dini dar Eslom, makalah tentang makrifat dan pengalaman spiritual (religious experience). hlm. 7-8.</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Abduljabbar Muktazilli Syarn Ushﬁl Al-Khamsah. hlm. 732. 37 Ibid.. hlm. 268-270: Ahmad Amin: Fajr Al-Islam. jld. 3. hlm. 86.</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M. Zamakhsyari: Al-Kasysyél, jld. 2. hlm. 98, tafsir Al-A'raf [7]: 27.</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Henry Corbin: Torikhe Falsafeh-e Eslomi az Oghoz la Darguzasyt-e Ibn Rusyd. hlm. 169-170.</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Ahmad Amin: Fajr Al-Islam, jld. 3. hlm. 88-89.</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Ja'far Subhani: Bunms fi Al-Milal wa AI-Niﬂal. jld. 3. hlm. 402-403.</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Lihal. M. Syahristani: AI-Milal wa Al-Ninal. jld. 1. hlm, 74. Sebagian Iiteralis kontemporer bahkan menuding lebih dan‘ itu. Secara umum. mereka menyatakan bahwa seluruh metode rasional tetah menyimpang dan’ peribadahan kepada Allah dan beralih sujud di hadapan akal. Lih. A. Mahmud: AI- lslém wa AI-‘Aql, hlm‘ 40.</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M. Mulhaharir Ta'Iim Va Tarbiyar dar Eslom. hlm. 312-313: B. Furuzanfan Syarﬁ-e Matsnavi-e Syaril. jld. 3, hlm. 865.</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Konsekuensi penarikan kesimpulan yang keliru dari ungkapan ‘harus atas Allah‘ (wujub ‘ale Allah) adalah salu contoh dari perspektif awam. hingga seolah-olah menerima ide substansialisme baik-buruk perbuatan manusia meniscayakan kekuasaan akal atas Allah.</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Ja'far Subhani: Buhﬁls ﬁ AI-Milal wa AI-Niﬁal. jld. 3. hlm. 404.</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Ahmad Amin: Fajr Al—lsIém, hlm. 301; Zuhdi Jamllahz Al—Mu’tazilah. hlm. 260.</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Zuhdi Jarullah: Al-Mu'tazilah, hlm. 261-262.</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Ibid.. hlm. 272. Sebagaimana telah disinggung sebelumnya. Muktazilah sendiri mengaku berulang pada pemikiran Imam Ali bin Abi Thalib. Fakta ini dangan sendirinya meiawan anggapan penulis tersebut bahwa Syiah mewarisi pemikiran Muktazilah. Namun Syiah sendiri secara langsung. Iebih dulu. dan secara kuantitatif maupun kualitatif. berada di atas Muktazilah. khususnya ditinjau dari segi akses terhadap sumber pengetahuan tersebut (Imam Ali).</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Ahmad Amin: Fajr Al-Islam, jid. 3. hlm. 207.</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Karya ini diterjemahkan dalam Persia oleh B. Farzanqar dengan judul Zendeh-e Bidor dan dicetak dengan imbuhan kisah Hay bin Yaqzdan dari ibnu Sina dan kisah Ghurbat Al-Gharibah dari Suhrawardi.</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Ibnu Thufail: Zendeh-e Bidor. hlm. 125.</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Ibid., hlm. 144-145. 53 Ibid. hlm. 45.</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Ibid., hlm‘ 146-147. 55 Ibid. hlm. 151-152. 56 Sebagai contoh. lih. A. Syamsuddin: AI-Fikr Al-Tarbawl‘ ‘inda Ibn Thufail.</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Saleh Madani: Ibn Thufail. Qadhayé wa Mawéqif. hlm, 136-138.</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A. Mahmud: Falsafah Ibn Thufail we Risélstuhu Hayy bin Yaqzdén. hlm. 32.</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G.H.I. Dinani: Mojaro-ye Fekr-e Falsaﬁ dar Jahon-e Eslom. Jld. 2. hlm. 111.</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H. Fakhuri 8. K. Jam Torikh-9 Falsafeh dar Jahon-e Eslomi, hlm. 634‘</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Lih. M. Malakiyanz Maso'eI-e Jadid-9 Kalomi. Elm-Din. hlm. 41-42: Shams Lnaﬁ: ‘Ibn Thufayl, Abu Bakr Muhammad’. dalam Routledge Encyclopedia of Philosophy. hlm. 657-658.</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G.H.|. Dinani: Mojaro-ye Fekr-9 Falsaﬁ dar Jahon-e Eslom. jld. 2. hlm. 112.</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Ibid.. hlm. 113-114.</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Ibnu Thufail: Zendeh-9 Bidor. hlm. 146.</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Nahj Al-Balaghoh. pidato ke-1. hlm. 3.</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M. Mulhahariz Khadamot—e MotaqobeI—e Eslom va Iron. hlm. 562.</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Rincian seputar pandangan—pandangan mazhab Averroisme ini dapat dirujuk ke E. Gilsonz 'AqI va Vaay dar Qurﬁn-e Vusro. hlm. 29-45. as lbid..hIm.30.</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M. Malakiyanz op, cit. hlm. 41-42,.</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Anne Fremantlez ‘Ashr-e E‘reqod. hlm. 167-168</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'Sesungguhnya orang itu telah melakukan kesalahan dalam (memahami) syariat. sebagaimana juga dalam (memahami) hikmah." Ibnu Rusyd: Tahafut Al-Tahafut, hlm. 587.</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Ibid.. hlm. 108 dan 454.</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Sebagai contoh. lihat ibid., hlm. 182. 184. 252, 302, dan 500.</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Ibid.. hlm. 255.</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Ibid.. hlm. 503.</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Ibid., hlm. 361-363 &amp; 463.</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Ibid., hlm. 428-430 8: 492</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Ibnu Rusyd: Fashl Al-Maqél fi ma bain Al-hikmah wa Al-Syarrah min AI-Ittishal, hlm. 11-13.</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Sebagimana AI-Nahl [16]: 125. ‘serulah (manusia) kepada jalan Tuhanmu dengan hikmah dan pelajaran yang baik dan bantahlah mereka dengan cara yang baik.“</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Ibnu Rusyd: Fashl Al-Maqal fi ma baina Al-hikmah wa Al-Syari'ah min Al-Ittishal. hlm. 17.</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Ibid.. hlm. 18</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Ibid.. hlm. 26-27.</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Ibid.. hlm. 28-33.</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lbnu Rusyd: Al-Kasyf ‘an Manéhij AI-Adillah fi ‘Aqé ‘id Al—MiIIah, hlm. 80. Buku ini dicelak jadi satu dengan Fashl AI—Maqa‘I fr‘ mé baina AI-ﬂikmah wa AI-Syarrah min AI-mishél, hlm. 43-151.</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Ibid., hlm. 81.</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‘Adapun orang-orang yang dalam hatinya condong kepada kesesatan. maka mereka mengikuli sebahagian ayat-ayat yang mutasyaabihaat daripadanya untuk menimbulkan ﬁtnah unluk mencari-cari ta‘wilnya"(QSAl lmran [3]: 7).</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Ibid.. hlm. 89.</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Lih. Anne Fremantlez ‘Ashr—e Eteqod. hlm. 167; 'Mafhom al-Tanwir ﬂ Fikr Ibn Rusyd' dalam Ibn Rusyd we Al-Tanwif. hlm. 109; “al-ﬂaqiqah al—Diniyyah wa al-ﬂaqiqah al-Falsaﬁyyah laday Ibn Rusyd' dalam Ibn Rusyd Mufakkir ‘Arabiy. hlm. 104; dan Atsar Ibn Rusyd Ii Falsafah AI-'Ushul Al-Wusthé, hlm.131.</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Will Durant: Tori'khe Tamaddun. jld. 4, hlm. 1289.</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Ibid..jId. 4. hlm. 1291.</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Lih. E. Gilson: "Aql va Vahy dar Qunin-e Wusto. hlm. 37</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'Sesungguhnya tujuan ulama pengetahuan yang menjadi hak masyarakat hanyalah pengamalan: apa saja yang Iebih berguna dalam pengamalan adalah yang lerbalk. Adapun tujuan utama pengetahuan bagi kaum elite ulama mencakup dua hal sekaligusz pengetahuan dan pengamaIan.' Ibnu Rusyd: Al-Kasyf ‘an Manéhi/‘ Al-Adillah hlm. 89.</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Qiyas dalam pemakaian umum alau kebahasaan diartikan sebagai seliap matode ijtihad yang dipakai untuk ‘penggalian dasar hukum’ (istinbath). Namun arti khusus darinya [seperti halnya dalam istilah ﬂkih] adalah memeriksa 'faktor' (‘illah) yang melatari hukum wajib atau haram suatu obyek parsial (Juz'i) yang telah ditetapkan oleh syariat. Ketika itu. suatu hukum yang dikarenakan keberadaan ‘faktor' tadi kemudian dilerapkan kepada obyek hukum Iain yang belum dikelahui penyebabnya. Para pakar ﬁkih Syiah, misalnya, tidak memandang legalltas (hujiiyyah) qiyas bentuk ini, melainkan dengan cara mengetahui secara pasti berdasarkan dalil syariat tentang keberadaan faktor utama hukum wajib atau haramnya sualu obyek.</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Tentu sebagian mereka seperti Dawud Isfahani secara mutlak telah meng-anggap qiyas sebagai hal yang ilegal.</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Dikatakan bahwa sebagian orang seperti Asy'ari dalam kitab 'Maqalat Al-Islamiyyin‘ mengidentikkan Ahli Hadis dengan Ahli Sunah.</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M. Syahristani: Al-Milal we Al-Nihal. jld. 1. hlm. 187-188.</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Ibid. hlm. 96. Sebagaimana salah seorang dari tokoh mereka mengalakan. ‘Maafkan aku [bersikap diam] tentang kemaluan dan jenggot. tetapi tanyakan kepadaku selain dua hal tadi."</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Ibid. hlm. 85: Ibnu Taimiyah: Majmu'ah Al-Fatéwé. jld. 6. hlm. 240.</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M. Syahrislani: AI-Milal we Al—Nihal. jld. 1, hlm. 95.</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Ibnu Jauzi: Talbis Iblis. Bab V, hlm. 95.</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Ibid. hlm. 84-85.</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Ruj. A‘ Zarinkub: Dar Qalamrﬁ-9 Vujdon, hlm. 268.</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Sebagian orang beranggapan bahwa, masuknya Ahmad bin Hambal dalam ranah teologi mempakan jenjang barunya dalam msniti tingkatan keilmuannya. dan berkaitan dengan fase akhir dan‘ hidupnya (Ruj, A. Sili: Al-‘Aqfdah Al-Salaﬁyyah baina Ibn Hanbal wa AI-Imam Ibn Taimiyyah. hlm. 221. footnote 3).</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Ibid. hlm. 219-220.</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Ahmad Murtadha: Thabaqat-Mu‘taziIah. hlm. 125.</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Sebagai contoh. pada tahun 1906 Masehi di Universitas Al-Azhar. Mesir. sensus para pengikut Hanbaliyah dari sekian banyak mahasiswa dan dosen di universitas tersebut hanya 0.3 % saja. (Rujuk: Ahmad bin Hanbal: Sirah Al-Ma'én' Al-Islémiyyah. jld. 1, hlm. 495.)</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Abdurrahman bin Khaldun: Tarikh Ibn Khalddun. jld. 1. bab ke-6. pasal ke-7, hlm. 479.</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Yang dimaksud dengan Sifat Khabariyah adalah sekumpulan sifat-sifal Allah Swt yang. kalau saja teks ayat atau riwayat tidak dirujuk, kita tidak memiliki argumen untuk menetapkannya.</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Ibnu Atsir: Al kamil fi Al-Térikh. jld. 6, hlm. 170-171.</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Ruj. M. Abu Zuhrah: Ibn tianbal. tiayatuhu we ‘Ashmhu-Ara 'uhu wa Fiqhuhu, hlm. 35-36.</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Redaksi selengkapnya dapat dirujuk ke Ja'far Subhani: Buhust fi Al-Milal wa Al-Nihal, jld, 1, hlm.</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Ibid.. hlm. 165.</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M. Abu Zuhrah: lbn Hanbal Hayatuhu wa ‘Ashruhu-Ara'uhu wa Fiqhuhu. hlm. 133.</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Sebagal contoh. lbnu Alsir mencatat kitab Al-Shifat sebagai karya Abu Ya'la Hanbali (380458 H). dan di dalamnya ia menunjukkan kecenderungannya pada tasybih dan tajsim Tuhan. (Ruj.. Ibnu Atsir Al-Kémil ﬁ Al-Térikh. jld. 8, hlm. 104.) 23 lbid. jld. 8. hlm. 72.</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Ibid. jld. 5. hlm. 243</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Ibnu Asakir: Tabyrn Kidzb AI-Muﬂari, hlm. 300-301.</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S. Dzahabi: Siyar A‘lém Al~NubaI.'. jld. 13, hlm. 102-103; Ibnu Katsir: Al-Bidéyah wa Al-Nihéyah. jld. 10, hlm. 276: Ahmad bin Khalqanz WafayétAl-A‘yén, jld. 2. hlm. 255.</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Ruj. M. Muqaddasi: Ahsan Al-Taqésim ff Ma'n'1ah AI-Aqalim. hlm. 50.</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Khatib Baghdadi: Térikh Baghdad. jld. 8. hlm. 374.</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Rasé ‘it Ibn Hazm Al-Andalasi. dilelili I. Abbas. jld. 3, dalam Risalah Al-Tauﬁq ‘alé Syan"Al-Najah hlm. 131.</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Ibid.. hlm. 191.</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Ibid. hlm. 193.</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M. Baqir Majlisi Bihaarul Anwar. jld. 89. bab 8. hlm. 78406.</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Dalam mengingkari posisi Ahlul Bait Nabi sebagai pemilik ilmu batin. Ibnu Taimiyah memmuskan argumentasinya dengan riwayat dan’ Imam Ali bin Abi Thalib as. yang terdapat dalam Shahih Al-Bukhari dan Shahih; Muslim. Ia menganggap riwayat itu sahih dan tidak mungkin dapat dipungkiri. Disebutkan di dalamnya sebuah penanyaan. ‘Apakah Nabi diberi sesuatu yang tidak diketahui oleh masyarakat?. lantas Imam Ali menjawab, 'tidak. kecuali pemahaman (khusus) dari kitab yang Allah berikan kepada hamba-Nya (Ahmad bin Taimiyah: Bughyat Al-Murtad. hlm. 322), Apakah riwayat ini menguntungkan Ibnu Taimiyah dan Ibnu Hazm atau justru kontraproduktif. sebuah persoalan yang. penilaian sepenuhnya. terbuka bagi sidang pembaca.</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Ibnu Hazm: Al-Fashl ﬁ Al-Milal wa Al-Ahwa' wa Al-Nihal. jld. 2, hlm. 116.</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Para pakar ﬁkih dan usul ﬁkih Syiah juga menentang pengunaan qiyas dalam hukum syariat. Namun berbeda dan bahkan berlawanan dari apa yang dlkemukakan oleh para pakar ﬂkih mazhab Zhahiriyah. Mereka (Syiah) tidak pemah. dengan alasan menentang qiyas. terpaku Jumud pada makna harﬁah dari sebuah teks. tidak juga mengabaikan akal sehat dan metodologi rasional-praktis (‘uqala'i) yang mengacu pada indikasi literal dan kontekstual teks.</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Ahmad Amin: Dhuha Al-Islam. jld. 2. hlm. 156.</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Khatib Baghdadi: Térikh Baghdéd. jld. 3, hlm. 374.</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M.Abu Zuhrah: lbn Hanbal. Hayatuhu wa Asruhu-Ara'uhu wa Fiqhuhu. hlm. 358-362.</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Ibnu Hazm: AI-Fashl Fi Al-Milal we Al-Ahwé’ wa Al-Nihal. Jld. 2. hlm. 122.</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Ibid jld. 2. hlm. 133.</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Jika di semua tempat Ibnu Hazm konsisten dengan metode dasar usul ﬁkih ini. niscaya ajaran Iiteralisnya tidak akan jauh beda dengan ajaran rasionalis moderat.</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lbnu Hazm: Al-Muhalla bi Al-Atsar jld. 1, hlm. 145.</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Ibid. hlm. 142. ‘Kitab al-Thaharah'. masalah ke-136.</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Ibid. hlm. 145.</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Ibnu Taimiyah mengeritik tajam metode Ibnu Hazm dalam menangani sifat-sifat llahi, ‘Dia telah mencampurkan pendapat kalangan ﬁlosof dan kaum Muktazilah dalam masalah silat-sifat Allah hingga menentang apa yang menjadi kesepakatan Ahli Hadis dalam menjelaskan mazhab mereka. Akibat-nya. dia hanya sepakat dengan Muktazilah dalam lafal, dan dengan Ahli Hadis dalam makna." (Ahmad bin Taimiyah: Majmu'ah Al-Fatéwa, jld. 4. hlm. 17).</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Secara urut. OS Al-Fath [48]: 10. 'Tangan Allah di atas tangan mereka". QS Shad [38]: 75, "Yang telah Kuciptakan dengan kadua tangan-Ku". QS Yasin [36]: 71. ‘Dan’ apa yang telah Kami ciptakan dengan tangan-tangan Kami”.</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Dengan dalil surah Taha [20]: 39. “Dan agar kamu diasuh di bawah mata-Ku’. dan Al-Thur [52]: 48. ‘Sesungguhnya kamu berada dalam mata—mata Kami'.</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Ibnu Hazm: Al-Muhallé bi Al-Altsér, jld. 1. hlm. 55.</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Mungkin yang dimaksud oleh Ibnu Hazm adalah yang dipahami oleh Asy'ari dengan 'tangan-tangan' adalah ‘dua tangan'. dengan membandingkan jumlah tangan yang dimiliki manusia. ini tidak lain adalah bentuk nyata dari penyerupaan Tuhan (antropomorphisme).</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Firman Allah Swt, Maka kemanapun kamu menghadap di situlah wajah Allah“. "(Q5 Al-Baqarah [2]: 115) dimana makna dari ayat ini adalah di sana Allah bersama ilmu dan kedatangan-Nya bagi orang yang memiliki perhatian (tawajjuh) kepada—Nya.</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Ibnu Hazm: Al—Fashl Fi Al-Milal wa Al-Ahwé' wa Al-Nihal, jld. 2, hlm. 167. Dikalakan bahwa penafsiran semacam ini juga lerdapat dalam riwayat para Imam Ahlul Bait (Kulaini: AI-Kéﬁ, jld. 1 hlm. 134). Berdasarkan riwayat lain. problem yang ada dalam hadis Nabi ini terletak pada aspek panukilannya yang dilakukan secara lak utuh. Karena. Nabi Saw menyalakan hadis itu dalam konteks ejekan seseorang terhadap temannya. “Semoga Allah menjelekkan mukamu dan muka (shurah) siapa saja yang mirip denganmu'. Lantas beliau menegumya. 'Wahai hamba Allah, janganlah berkata demikian lerhadap saudaramu! Karena Allah telah mendptakan muka Adam sebagaimana muka-Nya' (M. Baqir Majlisi: Bihaar Al-Anwar. jld. 4, hlm. 11). Atas dasar ini. kata ganti terikat ‘nya' dalam ungkapan ‘muka-nya' (shurati-hi) kembali kepada orang yang diejek; bukan kepada Allah.)</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Ahmad bin Taimiyah: Dar’ Ta’arudh Al-"Aql wa Al-Naql, jld. 1. hlm. 147.</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Ahmad bin Taimiyah: Bughyah Al-Murtéd. hlm. 183-184: Dar‘ Ta‘arudh Al-”Aql wa Al-Naql. jld. 1. hlm 179: jld. 2, hlm. 15; jld. 3. hlm. 256: dan jld. 8, hlm. 59.</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Ahmad bin Taimiyah: Dar‘ Ta'arudh Al-“Aql we Al-Naql. jld. 8, hlm. 126: Majmuu‘ah al-Fatéwé. jld. 4, hlm. 96.</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Ahmad bin Taimiyah: Majmuu‘ah al-Fatéwé. jld. 4. hlm. 38 &amp; jld. 3, hlm. 210.</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ibid . jld. 5. hlm. 22; Dar’ Ta ‘arudh Al-'Aql wa An-Naql. jld. 1. hlm. 144.</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Ibid. jld. 1. hlm. 28/ jld. 8, hlm. 36. Majmuu‘ah al-Fatéwé. jld. 6. hlm. 315.</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Ibid. jld. 1. hlm. 255. Majmuu‘ah al-Fatéwé. jld. 5. hlm. 256-258. jld. 17. hlm. 167.</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Karya ini sudah dicetak dalam 11 jilid.</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Ibid. jld. 1. hlm. 174.</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Ibid. jld. 5. hlm. 386. Dari sebagian lulisan para pakar bobliografi sebelum Ibnu Taimiyah. dapat disimpulkan bahwa riwayat yang berkaitan dengan keutamaan akal itu tidak sahah karena pergaualan perawinya. yakni Dawud bin Muhabbiir. dengan kaum rasionalis Muktazilah (Ruj.. Khatib Baghdadi:Tarikh Baghdad. jld. 8, hlm. 360).</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Ahmad bin Taimiyah: Bughyat Al-Murtad. hlm. 171-172.</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Ahmad bin Taimiyah: Majmu'ah Al-Fatwa. jld. 8. hlm. 255-259/ jld. 17. hlm. 110.</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Ibid, jld. B, hlm. 256.</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Ibid.</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Ibid. jld. 5. hlm. 248.</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Ibid. jil. 5. hlm, 27 dan 66.</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Ahmad bin Taimiyah: Dar' Ta'arudh Al-'Aql wa Al-Naql, Jld. 1. hlm. 115.</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Ahmad bin Taimiyah: Majmu'ah Al-Fatawa. jld. 13. hlm. 164-165.</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Ibid. jld. 4. hlm. 9.</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Rihlat Ibn Batutah. jld. 1. hlm. 57. Perlu dijelaskan bahwa salah satu penulis kontemporer meragukan Iaporan Ibnu Batutah ini. Ruj. Kadhim M. Bujnurdi: Da'iratul Ma’orif Buzurg-e Eslomi. jld. 3. hlm. 178.</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Ahmad bin Taimiyah: Dar' Ta'arudh Al-'Aql wa Al-Naql jld. 5. hlm. 222.</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Shahih Muslim, jld. 5. hlm. 333 (kitab Shifat AI-Qiyémah wa Al-Jannah wa Al-Nér); Shahih Al- Bukhari‘. jld. 5-6. hlm. 497 (kitab tafsir. surah Al-Zumar).</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Menurul Muhammad bin Abdul Wahhab. senyum dan rasa takjub Nabi bermula dari keluasan pengetahuan tokoh rohaniawan Yahudi tadi. (Abdur-rahman bin Hasan: Qurrat 'Uyun Al-Muwahhidin. hlm. 291.)</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Ahmad bin Taimiyah: Majmu'ah Al-Fatawa, jld. 16, hlm. 242.</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Kitab ini sekarang dicetak menjadi satu bersama Majmu'ah Al-Fatawa, jld. 9, hlm. 1-170.</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lbid. jld. 4. hlm. 96.</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Ibid. jld. 9, hlm. 93.</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Dalam menjelaskan ungkapan lersebul. Ibnu Qayyim tidak menyebulkan sumbemya secara jelas. Dia hanya menukll dari Abu Hayyan Tauhidi (kira—kira hidup lahun 310-414 HQ). ltu karena pemyataan semacam ini termuat. meski sedikit berbeda redaksi. dalam ‘Al-Imtina' wa Al-Mu'anasah'. karya Abu Hayyan Tauhidi ilu and. 2. hlm. 6-10).</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Ibnu Qayyim: Mukhtashar Al-Shawa‘iq Al-Mursalah ‘ala Al—Jahmiyyah wa Al-Muhththilah. hlm. 112 (beserta ringkasannya).</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Ahmad bin Taimiyah: Majmu'ah Al-Fatawa, jld. 9. hlm. 60-62 I hlm. 95.</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Sahih Al-Bukhari‘. Jld. 2 dan 1, hlm. 511 (kitab Fadhl al-Shalah. hadis ke-1107); Sunan Muslim. Jld. 3. hlm. 133, (kilab Al-Hujaj. bab-95).</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Perlu dicalat di sini bahwa Ibnu Taimiyah membenarkan perjalanan menuju masjid Nabi unluk melakukan salat, bukan untuk berziarah ke makam beliau. Karena masjid Nabi adalah satu dari tiga masjid tersabut dalam hadis tadi.</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Ahmad bin Taimiyah: Majma‘ah Al-Fatawa. jld. 1. hlm. 170 dan 213 / jld. 17. hlm. 250 dan 253.</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Ja'far Subhani: Buhust Fi Al-Nilal wal Mihal jld. 4. hlm. 54.</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Yang menarik, manakala perbuatan-perbuatan ini dianggap syirik oleh Ibnu Taimiyah, pada acara pemakaman jenazahnya. hal-hal lersebut justru diamalkan. Dalam catatan Ibnu Kalsir, "Masyarakat menyerbu untuk melihat jenazahnya dan manciuminya untuk mendapatkan berkah (tabarruk). Bahkan sebagian dari mereka mengambil air bekas pemandian jenazahnya' (Ibnu Katsir: Al—Bidéyah we Al-Nihéyah, jld. 14. hlm. 156-157).</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Ahmad bin Taimiyah: Majmu'ah AI—Fatéwé'. jld. 1. hlm. 80 Ijld. 24. hlm, 183. Detail argumentasi Ibnu Taimiyah beserla kritik terhadapnya dapat di—rujuk ke Ja'far Subhani: Buhust Fi Al-Nilal wal Mihal. jld. 4.</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Ibnu Katsir: Al-Bidayah we Al-Nihayah. jld. 14.</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S. Dzahabi: ’Tadzkirat Al-Huffadz’. jld. 4, hlm. 1496-1497.</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A. Amini: Al-Ghadir, jld. 5, hlm. 87-89, dinukil dari Takmilah Al-Sayf Al-Shaiqal. hlm. 190.</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Sebagai conloh, walaupun kerap memandang negalif terhadap Syiah. Ibnu Taimiyah tidak pemah secara terang-terangan mengkaflrkan mereka. Bahkan dia pernah menyatakan, 'Kami tidak pemah mengkaﬁrkan seorang pun dari Ahli Kiblat (Muslim).' (Ahmad bin Taimiyah: Dar’ Taﬁrudh AI-"AqI we AI-Naql. jld. 1. hlm‘ 95). Lain halnya Muhammad bin Abdul Wahhab menyatakan Syiah sebagai sumber syirik dan penyembahan tarhadap kuburan para wali. Ini sebagai bagian dari rangkaian penegasannya alas statemen orang bahwa Syiah telah keluar dari tujuh puluh dua kelompok pecahan umat Muhammad (Abdurrahman bin Hasan: Qurrat ‘Uyun Al-Muwahhidin. hlm. 130.)</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Ali A. Faqihi: Wahhabiyan. hlm. 74-87.</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Ja'far Subhani: Buhust Fi Al-Nilal wal Mihal. jld. 4, hlm. 401 -406.</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Khalaf lawan dari salaf. Lih. M.A. Jami: AI-Shifat Al-Ilahiyyah Fi Al-Kitéb wa Al-Sunnat Al- Nabawiyyah, hlm. 59.</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Ibid. hlm. 58-61; A. Sili: Al-Aqidah Al-Salaﬁyah baina AI-Imam Ibn Hanbal wa Al-Imam Ibn Taimiyyah. hlm. 102.</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M.B. Baabdullah Wasatiyyah Ahl Sunnah bain Al-Firaq, hlm. 71-72.</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M. Utsaimin: Majmu‘ Fatawa wa Rasa'il. jld. 8. htm 62.</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Yaitu menyerahkan makna sifat-sifat tersebut kepada Tuhan. karena siapa-pun tidak mungkin dapat memahaminya.</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A-bdul Aziz bin Abdullah bin Baz: Majmu'ah Al-Fatawa, jld. 1. hlm. 297.</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Ja'far Subhani: Buhust Fi Al-Nilal wal Mihal. jld. 2, hlm. 96~97.</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Sa'di: Guleston. hlm. 63.</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Ahmad bin Taimiyah: Majmu'ah AI-Fatawa. jld. 6, hlm. 218‘</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M. Utsaimin: Syarh Lum‘ah Al-I'tiqad li Ibn Qudémah, hlm. 7.</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Abdul Aziz bin Baz: Ma/ma‘ Fatawa (Fatéwé AI-‘Aqr‘dah). jld. 1. hlm. 310.</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Ahmad bin Taimiyah: Majmu'ah Al-Fatawa. jld. 5. hlm. 248.</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M. Zamakhsyaﬁ: AI-Kasyaf. jld. 2. hlm. 156.</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M.H. Thabathaba'i: Al-Mizan ﬁ Tafsir Al—Our'an. jld. 14. hlm. 130; All Rubbani Gulpaiganiz Firaq va Madzohib-e Kalomi, hlm. 30-32.</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Kekuatiran Imam Husain as terhadap antropomorpisme yang menggejala di tengah masyarakat dl zamannya, hingga mengingatkan agar masyarakat tidak mengikutinya. merupakan bukti adanya paham ini di tengah Muslimin di masa awal Islam. (Ruj. H. Harrani: Tuhaful Uqul. hlm. 175).</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Nahjul—Balaghah, pidato 49, hlm. 43.</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Ja‘far Khalili: Mausu'ah Al-’Atabat Al-Muqaddasah. jld. 7. hlm. 65: M. Mu-thahari: Ta‘lim va Tarbiyat dar Eslom, hlm. 306.</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Ahmad Shadr at al.: “Akhbariyan", dalam Dairalul Ma'anrif Tasyayyu‘, jld. 2. hlm. 7.</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Syeikh Thusi: Iktiyar Ma'rifat Al-Rijal, hlm. 136. komentar ke-216.</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Imam Khomeini: Al-Ijtihad we Al-Taqlid. hlm, 128.</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Al-Istibshar. jld. 1. bab 45 (Mengusap Pembalut). hadis ke-3</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M. Baqir Majlisi: BiﬂHar Al-Anwar. jld. 2. hlm. 245, bab 29, hadis ke-53. Dalam sebagian riwayat. demikian dinukiikan. ‘Tugas kami hanyalah menyampaikan ushul (kaidah-kaidah) kepada kalian, dan tugas kalian adalah mengurai". (Ibid., hadis ke-54: jld. 108, hlm. 91).</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Syeikh Thusi: Ikhtiyar Ma'rifat Al-Rijal, hlm. 145, 229</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Syeikh Shaduq: Al-Tawhid. bab 6, jld. 1, hlmi 97; jld. 2, hlm. 97; jld. 4. hlm. 98: jld. 6. hlm. 99; jld. 7. hlm. 99; jld. 8, hlm. 100; jld. 20, hlm. 104; M. Baqir Majlisi Bihar Al-Anwar. jld. 3, bab 13: jld. 43. hlm. 305.</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M. Baqir Majlisi: Bihar Al-Anwar, jld. 3. bab 13; jld. 17, 38. 41, 42 8. 43.</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Ibid.. hlm. 292. bab 13. hadis ke-13.</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Ibid.. hlm. 307. bab 13. hadis ke—45. 12 Ahmad bin Ali Najasi: Al-Rijal. hIm. 338; Syeikh Thusi: AI—Fihrist, hlm. 175.</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Tentang tokoh Akhbariyah ini. Syeikh Thusl dalam Al-Fihrist menuliskan. ‘Dia berpendapat sebagaimana mazhab penganut makna literal (ahl al-zhahir) dalam bidang ﬁkih.“ (Al-Fihrist. hlm. 89).</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Syeikh Muﬁd: Al-Mushannafat, jld. 5. 'Tashih Al-I'tiqad“. hlm. 88.</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Ibid.. jld. 5. hlm. 88.</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Ibid‘. jld. 7; Al-Masa‘il Al-Sarawiyyah. hlm. 73.</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A. Najasyi: Al-Rijél. hlm. 31 ; A. Buzurg Tahrani: Al-Dzari'ah ila Tashnif Al-Syiah. jld. 21, hlm. 375. no. 5534.</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Syeikh Muﬂd: Al-Mushannafat, jld. 5. hlm. 64.</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Ibid.. hlm. 65.</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Ibid.. hlm. 70</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Ibid.</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Ibid.. hlm. 72.</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Ibid.. hlm. 74.</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Ibid.. hlm. 76.</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Ibid., hlm. 77.</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Ibid.</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Ibid.. hlm. 88.</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Ibid.. hlm. 94.</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Ibid.. jld. 9. hlm 25</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Ibid.. hlm. 17.</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Ibid.. hlm. 19.</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Ibid.. jld. 4 (Awa 'll Al-Maqalat). hlm. 75-77.79, dan 82</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Ibid., hlm. 64, 70, 72. 77, 83, dan 88,</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lbid.. hlm. 74.</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lbid., hlm. 82.</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M. Syahristani: Al-Milal wa An-Nihal. jld. 1. hlm. 154.</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Misalnya. peringalan Muhaqqiq Hilli (w. 676 H) kepada rnasyarakat agar tidak terjebak dalam pemikiran Akhbariyah, serta pandangannya lerhadap statemen-statemen mereka sebagai faktor hujatan terhadap ulama Syiah. mempakan bukti betapa pada masanya, sekte ini masih punya pengaruh dan dukungan. (AI-Mu‘tabar ﬂi Syarh Al-Mukhtashar, jld. 1. hlm. 21-29).</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M.B.M. Khunsari: Raudhat Al-Jannat. jld. 1, hlm. 120.</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M. Amin Astarabadi: Fawé'id Al-Madinah. hlm. 277-278.</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Dalam Al-Fawé’id Al-Madinah. hlm. 17. Mulla Astarabadi menulis tenlang gurunya demikian. 'Adapun guru terakhirku dalam bidang ﬁkih. hadis dan rijal adalah tuanku; 'aIlamah, muhaqqiq, ﬁlosof yang tajam pandangan. pakar hadis terbaik. ulama terakhir terunggul tentang seluk-beluk kualitas perawi. allm tevwarak, Mirza Muhammad Astarabadi. yang wafat di tanah suci Allah. yang dimakamkan di tanah Khadijah Kubra Dia menambahkan. ‘Di awal-awal tahun 1015 sampai 1025. aku menimba ilmu dari beliau, dan ke hadapannya aku paparkan gagasan-gagasanku dalam rangka menghidupkan kembali tradisi para pendahulu dan membuktikan kekeliruan aliran para mujtahid.”</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M.B.M. Khunsati: Raudhat Al-Jannah. jld. 1, hlm 120-121; Keykhoru I. Kayvan: Dabiston-e Madzohib. jld. 1, hlm. 249.</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lbid., jld. 1. hlm. 137.</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A. Guljiz Ton'kh-e Fiqh Va Fuqaho'. hlm. 236-238.</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M.B.M. Khunsari: op. cit, hlm. 137</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M. Faidh Kasyani: Al-Haqq Al-Mubin Fi Tahqiq Kaiﬁyyah Al-Tafaqquh fI‘ Al-Din. hlm. 12-13. buku ini dicetak bersama Al-Ushul Al-Ashliyyah.</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Hurr Amili: Wasa’il Al-Syi‘ah. jld. 20, hlm. 105.</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Shadr Muta'aIihin: Mafatih Al-Ghayb. hlm. 4.</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Shadr Muta'alihin: Syarh Ushul Al-Kafi. hlm. 387-388.</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Ibid.. hlm. 388.</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lbnu Abil Hadid: Syarh Nahjul Al-Balaghah. jld, 1, hlm. 17.</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M‘ Muthahari: Ta'lim va Tarbiyat dar Eslom. hlm‘ 311: M. Muthahari: Islom vs Muqtadhayote Zamon, jld. 1. hlm. 150.</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M. Baqir Shadr. Al-Majmu'ah Al-Kamilah li Mu’allafat AI-Sayyid Muhammad Ba‘qir Al-Shadr, jld. 3. 'Durus ﬂ ‘Ilm Al-Ushul”, hlm. 50.</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M. Muthahari: Ta'lim vs Tarbiyat dar Eslom, hlm. 310.</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Robert Audi (editor): The Cambridge Dictionary of Philosophy, hlm. 68. Cam-bridge University Press. 1999.</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M. Muthahari: Islam Va Muqtazayobe Zamon. jld. 1. hlm. 150.</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M. Amin Astarabadi: Fawa'id Al-Madinah. hlm. 129-131.</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M. Baqir Shadr: Al-Majmu‘ah Al-Kémilah li Muallalét AI-Sayyid Muhammad Baqir Al-Shodr, jld. 3. “Durus ﬂ llm Al-Ushul". hlm. 50-51.</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Ja'far Khalili: Mausu‘ah Al-Atabat Al-Muqaddasah. jld. 7. hlm. 6566.</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M. Amin Astarabadi: Fawa‘id Al-Madinah. hlm. 29. Ruj. RisoIeh—e Donesy-nomeh—e Quzbsyohi dalam Dabistan-e Madzohib. jld. 1. hlm. 248.</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Syeikh Thusi: Al-Fihrist. hlm. 134, no. 590. Malah ada sekelompok ulama yang menuduh Ibnu Junaid sebagai penganul Ahli Sunah hanya karena dia menggunakan qiyas. Ruj. H. Mudarrisi Thabathaba'i: Muqaddimeh-i bar Fiqh Syi‘ah, hlm. 41-43; Kazdim M. Bujnurdi: Dairoh Al-Ma'arif Buzurg-e Eslomi. jld. 2. ‘Ibnu Junaid Iskafi. Najasyi, ahli Rijal ternama. mengkategorikan kitab Kasyf Al-Tamwih wa Al-Ilbas ‘ala Ighmar Al—Syi‘ah ﬁ Amr Al—Qiyés sebagai salah satu karya Ibnu Junaid (A. Najasyi: Al- Rijél. hlm. 301).</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M. Amin Astarabadi. Fawé’id AI-Madinah, hlm. 56.</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Ibid.. hlm. 40.</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Ahmad Shadr et al.:. Da’iratul Al-Ma‘arif Tasyayyu', jld. 2 "Akhbari‘yah”, hlm. 7: Jalaluddin Suyulhi: Al-Wasé’il ila Ma'rifat Al-Awa‘il. hlm. 117. Di sana ia menuliskan, "Orang pertama yang mengarang buku seputar ushul ﬁkih ialah Imam Syaﬂ'i."</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Penjelasan selanjutnya silahkan dirujuk karya Sayyid Hasan Shadn Ta‘sis Al-Syi’ah li Ulam AI- Islam. hlm. 310-311.</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A Najasyi: Al-Rijal. hlm. 388.</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Najasyi menyebut buku ini dengan nama ‘Ilal Al-Hadis (Iih. lbid., hlm. 349).</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A. Buzurg Tehrani: AI-Dzari"ah ila Tashnif Al-Syi'ah. jld. 2. hlm.177. no. 651.</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Ibid.. hlm. 178. no. 655.</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Ali Dawwani: Wahid Behbahani. hlm. 73-74: M.B.M. Khunsari: Khunsari: Roudhor AI-Jannah, jld. 1, hlm 130. la manyatakan bahwa aliran ini berakar pada pemikiran Asy'ariyah.</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Nikmatullah Jazairi: Al-Anwar AI-Nu'maniyyah. jld. 3. hlm. 113-133; Hurr Amili: Al-Fawa'id Al- Thusiyyah. hlm. 350-355 &amp; 417-428: V. Bahrani; Al-Hada'iq Al-Nadhirah. j|d.1, hlm. 125-133: V. Bahrani: Al-Durar Al-Najaﬁyyah. hlm. 145-148; M. Amin Astarabadi: Fawa'id Al-Madinah. hlm. 29 8. 44—47.</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M. Baqir Majlisi: Bihar Al-Anwar.jld. 101, hlm. 405.</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Ibid.. jld. 2. bab 16. hlm. 118. hadis ke-24,</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Ibid.. hlm. 302. bab 34. hadis ke-35.</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Ibid.. hlm. 114, bah 16. hadis ke—6.</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Ibid. hlm. 299. bab 34. hadis ke-25.</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Ibid.. jld. 92. hlm. 114. bab 10. hadis ke—14.</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Ibid.. jld. 2. hlm 303. bab 34. hadis ke—41.</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Misalnya, dalam mengomentari hadis, “Janganlah berqiyas! Sesungguhnya yang pertama kali berqiyas adalah iblis—semoga laknat Allah atasnya!”. Allamah Majlisi menuliskan. “Maksudnya. metode akal kerap mengalami kekeliruan, karena itulah tidak dibenarkan bersandar padanya dalam perkara-perkara agama. akan tetapi dalam semua perkara itu wajib merujuk para penerus sang penghulu para rasul Saw. Ini sudah cukup jelas dari kebanyakan hadis dalam masalah ini. Jadi. maksud dari qiyas di sini ialah qiyas secara kebahasaan. [bukan qiyas dalam istilah ﬁkih].' Rujuk: M. Baqir Majlisiz Bihar Al- Anwar, jld. 2. hlm. 488. bab 34. di bawah hadis ke-5.</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Qiyas ﬁkih Ini identik dengan tamtsil ‘analogi' dalam logika. Pengertian istilah Ini dapat dirujuk ke catatan kaki di awal-awal bab 5 (penf).</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Ruj. M. BaqirMajIisi:Bihar Al-Anwar.jld. 2. bab 34, hlm. 286-296.</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Keterangan Iebih detail dapal dirujuk ke Jawadi Amuli Tasnim: Tafsir-e Qur'on-e Karim. jld. 1. hlm. 175—190.</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Ibid.. jld. 2. hlm. 314, dengan catatan kaki dari Allamah Thabathabai</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Jawadi Amuli Tasnim: Tafsir—e Our'on-e Karim, jld. 1. hlm. 178.</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Ibid., hlm. 189.</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Nikmatullah Jazairi dalam Manba‘ Al-Hayah dan Mulla R. Qazweini dalam Lisan Al-Khawashsh mencatat sekian poin perbedaan mendasar antara Akhbariyah dan Ushuliyah. Sementara A. Samahici Bahrani dalam Muniyah Al-Mumarisin. menyebutkan 40 poin. Mirza Muhammad Akhbari dalam Al-Thuhr AI-Fashil sebanyak 59 poin. dan Sayid M. Dezfuli dalam Faruq AI-Haqq sebagai 86 poin. Penelitian ini juga dilakukan oleh Syeikh Ja'far Kasyiful Ghitha' dalam AI-Haqq AI-Mubin. dan Hurr Amili dalam AI- Fawa'id AI-Thusiyyah. faidah ke~92. (Kazdim M. Bujnurdi: Dairotul Al-Ma'orif Buzurg-e Eslomi. jld. 7 "Akhboriyon', hlm. 162).</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Ibid‘. hlm.192. 87 M. Amin Astarabadi: Fawa‘id Al-Madinah, hlm. 17.</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Ibid.. hlm. 47-48.</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Ahmad Shadr at al.: Da'iratul Ma‘arif Tasyayyu. jld. 2. ‘Akhbariyah’. hlm. 11. nukilan dari Riyadh Al-Jinan.</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Ruj. Muhammad bin Idn's Hilliz Al-Saré'ir . jld. 1. hlm 50-51.</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Rasul Ja‘farian: Din va Siyasat dar Doure-ye Safaviyyeh. hlm. 261. dalam buku ini juga dinukil risalah Allamah Majlisi.</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M. Baqir Majlisi: Bihar Al-Anwar, jld. 2. hlm. 314.</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lbid. (catatan kaki dari Allamah Thabalhaba'i).</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M. Faidh Kasyani: Haqq Al-Mubin fi Tahqiq Kaiﬁyyah Al-Tafaqquh ﬁ Al-Din, hlm. 12-13. Buku ini dicetak dalam Al-Ushul Al-Ashliyyah.</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M. Faidh Kasyani: Al-'Ilm Al-Yaqin ﬁ Ushuluddin, jld. 1, hlm. 14.</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Hur’ Amili: Al-Fawé‘id Al-Thusiyyah. bab 79. hlm. 354.</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M. Baqir Majlisi: Biahar Al-Anwar. jld. 57. hlm. 306.</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Nikmatullah Jazairi: Al-Anwar Nu‘maniyyah. jld. 3, hlm 127.</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Ibid‘</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Kulaini: Al-Kafi. jld. 3. bab 3. hlm 117. riwayat ke-92.</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Ibid.. jld. 1. bab 17. ‘Ilmu”. hlm. 56, riwayal ke-11.</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Ibid riwayat ke-10.</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Ibid.. jld. 2. hlm 46. riwayat ke-1.</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Ibid,. jld. 1. ‘Kitab al-'Aql wa al-Jahl", hlm. 60. hadis ke-12.</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Ibid.. hadis ks-22.</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M. Baqir Majlisii Bihar Al-Anwar, jld. 75, hlm. 344.</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M.H. Thabathaba'i: Al Mizan fi Tafsir Alquran , jld. 5. hlm. 255.</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Y. Bahrani: Al-DurarAl-Najaﬁyyah. hlm. 147.</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M. Ridha Muzafar: Ushul Al-Fiqh. jld. 2, hlm 109-112.</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Muhammad bin Idris Hilliz AI-Sara'ir. jld. 1, hlm. 46.</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Ja'far Hilli: Al-Mu'tabar fi Syarh Al-Mukhtashar. jld. 1. hlm. 28-32.</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Maksudnya. sebuah kondisi berdasarkan komposisi rasional menunjukkan adanya panghapusan suatu kata dari sebuah kalimat tanpa memperhatikan aspek kata yang dihapuskan. Akibatnya. kebenaran kalimat itu sulit dipahami. Contoh. ‘Tanyakanlah kepada kota." Secara rasional, diketahui adanya warga kota yang tak disebutkan. atau ‘Telah datang Tuhanmu'. yakni telah datang perkara Tuhanmu.</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Yaitu implikasi kandungan ucapan itu sendiri. Contoh. 'Janganlah kamu mengatakan pada kedua orang tua ‘uffin' (ah)." (QS AI-|sra' [17]: 23) Kalimat ini secara proporsional mengindikasikan: apalagi memukul orang tua jelas-jelas tidak dibolehkan.</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Yaitu pemaharnan yang tidak relevan dengan kalimat verbal. Misal. pemahaman tentang syarat. tujuan. dan sajenisnya. Contoh. ‘Zakat berlaku pada kambing sebagai binatang ternak'. Lawan dari kalimat ini bermakna. pada kambing yang bukan binatang ternak. zakat tidak berlaku.</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Kendati patut disayangkan pembahasan ini tidak begitu serius dikupas di level tinggi Hauzah Ilmiyyah sekapasitas Al-Rosa'il atau Kifayat Al-Ushul. namun fokus generasi mutakhir Ushuliyah terhadapnya tampak Iebih besar.</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Y. Bahrani: Al-Hada'iq Al-Nadhirah. jld. 1, hlm. 40-41.</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 Nikmatullah Jazairi: Al-Anwar Nu'maniyyah, jld. 3.</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Ruj. Y. Bahrani: Al-Hadé'iq Al—Nadhirah. jil, 1. hlm. 128-129; Al—Durar Al-Najaﬁyyah, hlm. 147.</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M. Amin Astarabadi: Fawa’id Al-Madaiy‘aah, hlm. 129-131.</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M. Ridha Muzdaffar. Ushul Al-Fiqh. jld. 2, hlm. 112. 122 La tanaluhu yad al-ja‘l nafyan wa isbatan. Murtadha Anshari: Faraid Al-Ushul, hlm. 2.</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 Ibid. (catalan pinggir Rahmatullah).</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Jawadi Amuli "Kalam Jadid. dalam Kalame Jadid dar Guzareye Andisyeho. hlm. 27-28: Falsafeh-e Huqaq-e Basyar. hlm. 4041.</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 Sebagai contoh, lih. Y. Bahrani. Al-Hada'iq Al-Nadhilah. jld. 1. hlm. 132-133.</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QS Al-Rum [30]: 30.</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QS Ibrahlm [14]: 10.</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Ruj. M. Baqir Majlisi: Bihar Al-Anwar. jld. 4. hlm. 44. Abbas Qummi: Mafatih Al-Jinan. Doa Arafah.</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Untuk lebih mengenal kekhasan arif ilahi dan distingsinya dengan suﬁ konvensional, rujuk: Amid Zanjaniz Pezhuhasyi dar Peidoyasy wa Taﬁawulol-e Tashawuf va Erfon, hlrn. 456-471.</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Imam Khomeini: Ta 'liqat ‘ala Syarh Fushush Al-hikam we Misbah Al-uns, hlm. 201.</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Tentu, kalangan tasawuf sendiri mengakui bahrwa lidak semua suﬁ mampu memperoleh kedudukan tinggi irfan. Ini yang juga ditegaskan Khajeh Mudhaffar Nuqani dalam percakapannya dengan Abu Said Abul Khair (375-440 H). “Kita tidak mengalakan dia suﬁ: kita juga tidak rnengatakan dia darwish, tetapi kita mengatakan dia arif akan kesempumaan.' (Muhammad bin Munawwar. Asrar Al-Tauhid fi Maqamat Al-Syaikh Abi Sa'id. bab II. pasal 2, hlm. 289; Syamsuddin Aﬂaki: Manaqib Al-'Ariﬁn. jld. 1. hlm. 412). Kendati demikian, dua kala suﬁ dan arif ini tidak sekadar diperlakukan sama oleh banyak pakar, melainkan juga sering mempenukaralihkan satu sama lain. Bahkan menurut sebagian ahli. letak perbedaan antara keduanya hanya pada dua hal irfan Iebih merepresentasi dimensi kultur golongan: sedang tasawuf. dimensi sosialnya. (Lih: M. Muthahari: Osno'i bo Ulum-e Islomi. jld. 2. hlm. 84; M. Muthahari: Maj'mu‘eh Otsor, jld. 14. "Khadamol—e Mutaqobele Eslom va Iron". hlm. 548).</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Dalam prolognya untuk Nafahét Al-Uns, penahkik buku secara sepihak dan tidak adil menilai. dengan asumsi arabisme pemikiran Islam. bahwa pemikiran Iran telah diunggulkan oleh penulis buku di atas pemikiran Islam. Tanpa lagi peduli terhadap perbedaan antara irfan hakiki dengan irfan gadungan. dia menambahkan, 'Tasawuf islami-irani memiliki nilai otentitas yang khas. yakni tidak boleh hanya dipelajari dan ditelili dalam koridor Islam saja. karena prinsip-prinsip aliran tasawuf, dalam banyak perkara, bertenlangan dengan hukum-hukum jelas Islam Sepeni halnya pejuang Iran lelah berhasil menjaga kemerdekaan politis negara mereka melalui kekuatan otot dan pedang, para arif lerkemuka Iran juga dengan kekuatan ‘irfan transendental (malakuti) telah berhasil menjaga keutuhan ras. kemerdekaan ras dan wilayah pemikiran bangsa Iran di hadapan agama Islam yang serba-Arab.” (Muqaddimah Nafahat Al-Uns. hlm. 141).</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RE. Nicolson: Erfon va Orefon-e Mosalmon. hlm. 169.</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Shadrul Muta'allihin: Al-Hikmat Al-Muta'aliyah fi Al-Asfar Al-Aqliyyah Al-'arba'ah. jld. 7. hlm. 171-175</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Contoh populernya dalam kajian Ushul Fikih ialah tindakan keluar dari rumah hasil ghashab (memakai tanpa izin pemilik)". Berdasarkan pendapat membolehkan partemuan perintah dan larangan. seseorang yang telah mamasuki rumah orang lain tanpa izin. Ialu hendak melangkah keluar. maka setiap langkah kakinya haram terlarang sekaligus wajibl diperintahkan. Haram dan terlarang dari segi dia menggunakan hak orang lain: dan wajib/diperintahkan dari segi banyaknya kesempatan untuk segera meninggalkan rumah itu.</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Mulla Sabzawari menuliskan. 'Jika kamu katakan para syeikh itu konsisten untuk mengharmonikan kondisi syariat dan tarikat Iantas bagaimana perkara ini akan sesuai dengan syariat yang suci?!, akan kujelaskan bahwa mereka itu boleh jadi mendapat dispensasi hukum lantaran hakikat dan inti’ perkara [yang mereka singkap]. dan mereka mengakui penemuan antara perintah dan larangan seperli juga dilegitimasi oleh banyak pakar hukum [syariat] Jadi perkara itu adalah satu obyek yang dilarang sekaligus dituntut syariat dari dua sudut pandang." Lih. Shadrul Muta‘alihin: Al-Hikmat Al-Muta'aliyah fi Al-Asfar Al-Aqliyyah Al-'arba'ah, jld. 7. hlm. 174. catatan kaki Mulla Hadi Sabzawari.</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Shadrul Muta‘allihin: Kasr Ashnam Al-Jahiliyyah. hlm. 16-17; dan terjema-han Persia: Erfon va Orefnamoyon, hlm. 43.</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Muhammad Maksum Syirazi: Tharﬁ‘iq Al-haqaiq, jld. 1, hlm. 56; Abdul-karim Qusyairi: Al-Risalat Qusyairiyyah, hlm. 43.</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Jalaluddin M. Balkhi: Marstnavi-e Ma ‘navi. datar III, bait ke-1402.</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Ibid., hlm. 703.</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Ruj. Ibid.. hlm, 703</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Azizuddin Nasaﬁ: Al-Maqshad Al-Aqshé, dicetak bersama 'Asyi'ah Al-Lum‘ah, hlm‘ 214.</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Mahmud Syabeslari: Gulsyan-e Roz. hlm. 40-41.</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Muhammad Lahiji: Mafatih Al-Ijaz ﬁ Syara Gulsyan-e Roz. hlm. 297: llahi Ardabili: Syam-e Gulsyan-e Roz. hlm. 183.</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Sabda Nabi Saw ini dilujukan kepada Ali bin Abi Thalib di saat terjadi perang Khaibar (M. Baqir Majlisi. Bihar Al-Anwar, jld. 32. hlm‘ 448) atau kelika ia diutus ke Yaman (Multaqi Hindi: Kanz Al-'Ummal. jld. 13, hlm. 107).</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lni adalah hadis Nabi Saw yang diungkapkan yang dalam banyak kesempatan sebagai jawaban atas pertanyaan Aisyah. 'Kenapa engkau canggung segenap kesuliltn ini?" Pertanyaan ini terlontar saat dia melihat beliau selalu menangis dan beribadah di malam hari. tanpa kenal lelah. (M. Baqir Majlisi BiharAl-Anwar. jld 16. hlm. 264).</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Muhammad Lahiji. Mafatih Al-Ijaz fi Syarh Gulsyan-e Roz. hlm. 300-301.</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Hujwairi: Kasyf Al-Mahjub. hlm. 18/176/403 dan 499.</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Ibid. hlm. 543.</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F. Aththar Naisyaburi: Tadzkirat Al-Awliya’. hlm. 162.</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Ibid. hlm. 146.</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Abdurahman Jami: Nafahat Al-Uns. hlm. 13.</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Ibid.. hlm. 15.</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Ibid. hlm. 309.</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Sha‘inuddin Ali Turkah: Syarh-e Gulsyan-e Roz. hlm. 132.</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Mahmud Syabestari: Gulsyan-e Roz. hlm. 40-41.</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Q3 Al-Kahf [18]: 65-82.</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M.H. Thabathaba‘i: Al Mizan fi Tafsir Alquran. jld. 13, hlm. 350-352.</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Abdullah bin As'ad Yaﬁ'i: Rowdh Al-Royahin fi Hikayat Al-Shalihin, hlm. 554-555.</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F. Aththar Naisyaburi: Tadzkirat Al-Awliya', hlm. 146.</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“Buktosyiyeh". dalam Donesynomeh-e Jahon-e Eslom. abjad Ba’. jld 3. hlm. 653.</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Syamsuddin Aflaki: Manaqib Al-’Ari'ﬁn, jld. 1. hlm. 395.</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Muhammad bin Munawwar. Asrar Al-Tawhid Fi Maqamat Al-Syeikh Abi Sa‘d. hlm. 240.</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Abdulkarim Qusyairi: Risélah Qusyairiyyah, hlm. 94.</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F. Alhthar Naisaburi: Tadzkirat Al-Awliyé', hlm. 198; Abu Nu'aim lsfahani: ﬂilyah AI-Awliya’. jld. 10.hlm. 35-36.</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Kata-kata ini menyinggung kemalian anak Abul Hasan Kharqani yang masih muda, terjadi bersamaan dengan kedalangan Abu Sa'id.</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M. Munawar: Asrar Al-Tawhid fi Maqamat Al-Syaikh Abi Sa‘id. hlm. 150.</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Syamsuddin Aﬂaki: Manéqib Al-‘Ariﬂn. jid. 2. hlm. 578.</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Puasa wishél adaiah jenis puasa yang. kendati telah masuk waktu Maghrib. terus dilaksanakan hingga masuk hari berikulnya. bahkan berhari-hari.</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Hujwairi: Kasyf Al-Mahjub. hlm. 418.</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F. Aththar Naisaburi: Tadzkirat Al-Awliya'. hlm. 180; Abdukarim Qusyairi: Risélal Al-Qusyairiyyah. hlm. 151.</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RJ Necolsonz Erfan va orefon—e Mosalmon. hlm. 136.</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Dalam menjelaskan kepedihan dan kesengsaraan kaum penghuni neraka, Alquran juga menukil ungkapan mereka, ‘Andai saja dulu mendengarkan atau memikirkan, tentu kita tidak berada dalam golongan neraka Sa'ir!"(QS A!-Mulk [67]: 10) Kata nasma‘ (dalam ayat: mendengarkan) ini dipakai oleh sabagian orang sebagai alasan untuk menghalalkan sima‘. padahal makna asli dan konvensional kata itu hanyalah mendengarkan.</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Sebagai contoh. ruj., lzzuddin M. Kasyani: Mishbéh Al-Hidéyah wa Miftéh Al-Kifayah. hlm. 189.</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Ibid. hlm. 201. Abdul Qahir Suhrawardi: ‘Awa'if Al-Ma'arif. hlm. 205.</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Syamsuddin Aﬂaki: Manéqib Al-'Arifin, hlm. 559.</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Abdullah Yaﬁ'i: Rowdh Al-Rayaahin fi Hikayat Al-Shalihin, hlm. 552</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Hujwairi: Kasyf Al-Manjab, hlm. 541.</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ibid. hlm. 542.</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Muhammad bin Munawwan Asra‘r Al- Tawhid fl‘ Maqémat Al-Syaikh Abi Sa‘I‘d. hlm. 223.</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Sa‘di: Kulliyat. bagian “Mawa'izd'. hlm. 796.</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Ruj.. Abdulkarim Qusyairi: Risalar Qusyairiyyah. hlm, 23/184.</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Syamsuddin Aﬂaki: Manéqib Al-‘Ariﬁn. jld. 2, hlm. 630.</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Ibid. jld 1. hlm. 439.</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Abdurrahman Jami menuliskan. “Syeikh Syamsuddin Tabrizi bertanya kepada Awhaduddin Kirmani. ‘Apa yang sedang engkau alami?' Dia menjawab, “Aku sedang melihat rembulan di bejana air.‘ Lalu Syeikh Syamsuddin berkala. 'Jika engkau tidak menemukannya di belakang. kenapa engkau tidak melihatnya di langit?' (Nafahat Al-Uns. hlm. 590).</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Ibid.. hlm. 591.</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F. Alhthar Naisaburi: Tadzkiral Al-Awliya‘, hlm. 349.</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Syamsuddin Aﬂaki: Manéqib AI-‘Ariﬁn. jld. 1. hlm. 439-440.</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Syah Mahmud Ra'i Syirazi: Nasayim Golsyan. hlm. 337-338.</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Najmuddin Razi: Mirshad Al-‘Ibad, hlm. 261.</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Sebagai contoh. Hujwairi: Kasyf Al-Mahjub. hlm. 73; Abdurrahrnan Jami. Nafahat Al-Uns, hlm. 15.</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Abdul Wahhab Sya'rani: Al-Tabaqat Al-Kubra. jld. 2, hlm. 122.</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Abdurrahman Jami: Nafahat Al-Uns, hlm. 264.</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Nama syeikh Isyraq. yakni Syihabuddin Suhrawardi. juga disandang seorang syeikh tasawuf penulis 'Awarif Al-Ma‘arif (w. 632 H). (Zainauddin Kiyainejad: Sayr Erfon dar Eslom. hlm. 227).</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Yaﬁ‘i: Rawdh Al-Rayahin ﬁ Hikayat Al-Shalihin, hlm. 481-482. kisah 443; Abdurrahman Jami:Nafahat Al-Uns, hlm. 581.</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Hujwairi: Kasyf Al-Mahjub. hlm‘ 76.</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Muhammad Lahiji: Mafétih Al-I'jaz ﬁ Syarh Gulsyan Roz. Mm. 299; Ilahi Ardabili: Syarh-e GuIsyan-e Roz, hlm. 133.</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Mahmud Syabestari Gulsyan-e Roz. hlm.72: Syah Mahmud Ra‘i Syirazi: Nasayim Gulsyan. hlm. 308-3-9.</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Abu Nuaim lsfahani: Hilyatul-Awliya'. jld. 10, hlm. 367.</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Ruj. Abdurahman Jami: Nafafahat Al-Uns. hlm. 180.</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Hujwairi: Kasyf Al-Mahjub. hlm. 287-288; Abdullah bin Sa'ad Yaﬁ'i: Rawdh Al-Rayahin fi Hikayat Al-Shalinin. hlm. 553.</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Abu Nashr Sarraj Thusi: Al-Luma' Fi Al-Tasawwuf. hlm. 400.</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F. Aththar Naisyaburi: Tadzkirat Al-Awliyé’. hlm. 468-469: Abdulkarim Ousyairi: Al-Risalat Qusyairiyyah, hlm. 35.</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Qadhi Nurullah Syustari: Majélis Al-Mu'mini'n, jld. 2. hlm. 5.</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Ruj: Necolson: Erfon va 0refon—e Mosalmon. hlm. 170.</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Shadrul Mula‘allihin: Erfon wa Arif Namayan. hlm. 86-87: Kasr Ashnam Al-Jahiliyah. hlm. 54.</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M. Mulhahari: Maqalot-e Falsafi, jld. 2. hlm. 148-149.</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Klaim ini dibubuhkan dalam prolog Daftar V dari koleksium pultikus Malsnavi-e Ma'nawi sebagaimana telah dinukil sebelum ini.</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M.T. Ja'fari: Tafsir va Naqd Va Taﬂlil-e Matsnavi-e Jaloluddin Muhammad Maulawi. jld. 11. hlm. 118-119.</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M. Muthahari:Maqolot-e Falsafi. jld. 2. hlm. 149.</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M. Bagir Majlisi Bihar Al-Anwar. jld. 67. hlm. 235.</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Muhammad Lahiji: Mafatih Al-Ijaz ﬁ Syarh Gulsyan-e Roz. hlm. 303.</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M. Bagir Majlisi: Bihar Al-Anwar. 10. hlm. 40.</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Sebagai contoh. ruj.. Mahmud Alusi: R05 AI-Ma‘anf, jld. 14, hlm. 79-80; Fakhr Razi: Al-Tafsir Al- Kabir. jld‘ 19. hlm. 171-172; Zamakhsyari: Al-Kasysyéf. jld. 2. hlm. 592; Thabarsi: Majma‘Al-Bayan, jld. 5-6, hlm. 534; Syeikh Thusi: Al-Tibyén. jld. 6, hlm. 356.</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M.H. Thabathaba'i: Al-Mizan fi Tafsir Al-Qur'én, jld. 12. hlm. 195-196.</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Abbas Hasan: Al-Nahw Al-Waﬁ. jld. 2, hlm. 446-447.</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Ruj.. F. Alhthar Naisyaburi: Tadzkirat Al-Awliyai hlm. 599; Hujwairi: Kasyf Al-Mahjub, hlm. 446: Badkhasyi: Tsamarat Al-Quds min Syajarat Al-Uns. hlm. 98/188 dan 653.</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Abdullah bin As'ad Yaﬁ‘i: Raudh Al-Rayahin fi Hikayat As-Shalihin n. hlm. 554-555.</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MH. Thabathaba'i: AI-Mizén fi Tafsir Al-Quran. jld. 13, hlm. 352.</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'Izzuddin M. Kasyani: Mishbah Al-Hidayah wa Miftah Al-Kifayah. hlm. 262-263.</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Shadrul Muta'allihin: Erfon wa Orefnamoyon. hlm. 57; Shadrul Muta'allihin: Kasr Ashném Al-Jahiliyyah, hlm. 27.</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Dalam kajian ini. kata karamah diartikan dengan makna yang luas hingga mencakup setiap perbuatan (kekuatan) yang luar biasa (khariqah li al-’adah). Padahal. pemakaian sebenamya kata tersebut tidak membuka kemungkinan perbuatan itu terpisah dari syariat. Untuk lebih lanjut. perbedaan antara mukjizat, karamah dan sihir. silahkan rujuk M. Baqir Majlisi: Bihar Al-Anwar. jld. 60. hlm. 28-42.</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AA. Mushallai 8. SJ. Mudarrisi: Naqdi bar Matsnavi. hlm. 142-143; Agha Ali Kermansyahi: Khairotiyyah, Jld. 1. hlm. 465473; Jawad Tehrani: Oref va Shufi Che Miguyand?, hlm. 80-82.</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Ruj: M.H. Thabathaba'i: Al-Mizan Fi Tafsir Al-Qur’an, jld. 1, hlm. 233-245. tafsir Al-Baqarah [2]: 102.</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Ruj.. Muhaqqiq Karaki: Jami‘Al-Maqashid, jld. 4. hlm. 28-31: syeikh Muhammad Hasan Najaﬁ: Jawahir Al-Kalam. jld. 22, hlm. 75-89.</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Sebagai contoh. ruj.,Abdul Qahir Baghdadi: ‘Awarif Al-Ma'an'i. hlm. 184.</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Abdurrahman Jami: Nafahat Al-Uns, hlm. 26.</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Abdulkarim Ousyairi: Al-Risalat Qusyairiyyah. hlm. 14.</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Ibnu Rusyd: Fashl Al-Maqal fi ma baina Al-Syari'ah, hlm. 17.</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Kulaini: Al-Kaﬁ, ‘Kitab Al-"Aql wa Al—Jahl'. hadis ke-12. jld. 1. hlm. 60</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Jalaluddin M. Balkhi: Matsnavi—e Ma'nawi,</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M. Baqir Majlisi Bihar Al—Anwar. jld. 1. hlm. 94. hadis ke-28.</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Ibid.. hadis ke—29.</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Ibid., hlm. 96, hadis ke—41.</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Kulaini Al-Kaﬁ, jld. 1. hlm. 54-55 &amp;j|d. 7. hlm. 8.</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Muhammad Ridha Muhammad Ali Hakimi: Al-Hayah. jld. 1 hlm. 45.</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Ibid., hlm. 46.</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Ibid</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Nahjul Balaghah. hikmah 54.</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Kulaini: Al-Kaﬁ. “Kitab Al-'Aql wa Al-Jahl', hadis ke- 2, jld. 1, hlm. 53.</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Ibid.. hlm. 54.</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Lih.. M. Mulhahari: Oshno-i ba Qur’on, jld. 1-2. hlm. 49-50.</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Argumentasi rasional dalam ayat ini dimmuskan para ﬁlosof dan kalangan mufasir dengan pelbagai pola dan penalaahan seputamya. Rujuk: M.H. Thabathaba'i: Ushul-e Falsafeh va Ravesy-e Reblism. jld. 5, hlm, 153-156; M.T. Mishbah Yazdi: Ma'aref-e Qur'on, jld. 1-3. hlm, 68-76.</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Ahmad bin Taimiyah: Majmu'ah Al-Fatawa, jld. 9. hlm. 60; Fathimah LM. Ismail: Al-Qur'an wa Al-Nadzar Al-'Aqly‘. hlm. 135-153.</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Tauhid dalam tindakan Tuhan ialah prinsip yang menyatakan. La muatstsir Fi‘ al-wujud Illallah: lidak ada kekualan: tidak ada pengaruh di alam eksistensi kecuali Allah (penj).</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Lih.. M.T. Mishbah Yazdi: Ma'aref-e Qur'an. jld. 1-3, hlml 116-133.</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QS Al—Baqarah [2]: 179</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Topik ini rangkuman dari beberapa referensi: Muhammad Taqi Misbah Yazdi: Akhlaq dar Quran. hlm. 261-273; M. Muthahari: Oshno'i bo Qur‘an. jld 1 8. 2. hlm. 55-57; jld. 3. hlm. 16-17; Dah Guftor. hlm. 47-52: Moqaddemeh-i bar Jahonbini Eslorni (Enson va Irnon). hlm. 54-57: Eslom va Muqtadhayol-e Zamon.jld. 1. hlm. 106-109.</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M.H. Thabathaba'i: Al-Mizan fi Tafsir Al-Qur'an. jld. 7. hlm. 330-331.</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Ibid.. jld. 13, hlm. 92-93. 23 Jalaluddin M. Balkhi; Matsnavi-e Ma'navi. Daﬁar I. bait ke-2126.</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Ibid.. Daftar ll. bait ke—564.</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Sa‘di: Buston. hlm. 289.</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Nahj Al-Balaghah, hikmah ke-219.</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Jalaluddin M. Balkhi Matsnavi—e Ma 'navi. Daﬂar ll. bait ke—570 &amp; ke-580.</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Kulaini: Al-Kafi, jld. 1. hlm. 93; Hurr’ Amili: Wasa'il Al-syiah, jld. 16. “Kitab al-amr bi al-ma'ruf. abwab aI-amr wa al-nahy'. bab 23. hlm. 195.</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Jalaluddin M. Balkhi: Ma!snavi-e Ma ’navi. daftar III. bait ke-3651.</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Nahj Al-Balaghah. khotbah ke-1, hlm. 3.</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Jalaluddin M. Balkhiz Matsnavi—e Ma 'navi. daftar IV. bait ke-1295-1296.</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M. Fana‘i Eskavari: Mafrefat syenosi-e Din. hlm. 126.</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Jalaluddin M. Balkhi: Matsnavi-e Ma'navi. Daftar IV, bait 3318-3323.</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Ibnu Taimiyah: Dar Ta'rudh Aql wa Al-Naql.jld. 1. hlm. 138.</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Lih.. A. Jawadi Amuli Syari'at dar Oyineh-e Ma‘refat. hlm. 204-208.</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Lih., M. Muthahari: Eslom va Muqtadhayot—e Zamon, jld. 1. hlm. 127-135.</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A. Amini: Al-Ghadir, jld. 5, hlm. 292-293.</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Jalaluddin M. Balkhi: op. cit. bail syair ke-3505.</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M. Ridha Mudzafar: Ushul Al-Fiqh, jld. 1, hlm. 199; M, Kazdim Khurasani: Syarh Fara'id Al-Ushul. hlm. 330.</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Ayat-ayat semacam ini menerangkan bahwa sekalipun perintah atau keterangan dari Allah belum diturunkan. akal manusia sudah mampu menilai suatu perbuatan sebagai keadilan dan kebajikan. semampu itu pula menentukan nilai buruknya sebagian perbuatan. Untuk menyingkap nilai-nilai itu pada sebagian perbuatan. akal tidak harus dahulu menunggu perintah dan keterangan Allah.</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Sirajuddin Armawi: Al-Tahshil min Al-Mahsul, jld. 1. hlm. 180; M. Fakhruddin Razi: Al-Mahshul fi‘ Ushul ﬁ Al-Fiqh, jld. 1. hlm. 123; Ali A. Maghribi: Dirasat ’Aqliyyah wa Ruhiyyah ﬁ Al-Falsafat Al-lslamiyyah. hlm. 257-258: Abu Hamid M. Ghazali: Al-Iqtishad Fi Al-Itiqad, hlm. 186-197.</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Jalaluddin M. Balkhiz Matsnavi—e Ma 'navi. Daﬂar lll. bait ke-1373.</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Ibid.. Daftar VI. bait ke-618</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Ja'far Subhani: Al-llahiyyat. jld. 1. hlm. 257-309; Husn we Qubh ‘Aqli. hlm. 111-122.</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Ja'far Subhani Husn wa Qubh ‘Aqli. hlm. 121 &amp; 259.</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Mustafa Ibrahim llzami Falsafa Al-Syari'ah. hlm. 292-293.</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Abul Qasim Kalantari: Matarih Al—Anzdar. hlm. 230.</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Sebagian ulama Ushull menempuh jalan lain dalam membuktikan identitas prinsip baik-buruk rasional dan kaidah korelasi. Untuk elaborasi lebih lanjut,silakan merujuk: Muhammad Ridha Muzafar: Ushul Fiqh, jld. 1 hlm. 217-218.</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M.K. Mustafawi: Al-Qawa‘id. hlm. 265-266.</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M. Kazdimi Khurasani: Fawa'id Al—Ushul min Ifadat Al-Na'ini. jld. 3 hlm. 59.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png"/><Relationship Id="rId16" Type="http://schemas.openxmlformats.org/officeDocument/2006/relationships/image" Target="media/image3.png"/><Relationship Id="rId17" Type="http://schemas.openxmlformats.org/officeDocument/2006/relationships/footer" Target="footer10.xml"/><Relationship Id="rId18" Type="http://schemas.openxmlformats.org/officeDocument/2006/relationships/image" Target="media/image4.png"/><Relationship Id="rId19" Type="http://schemas.openxmlformats.org/officeDocument/2006/relationships/image" Target="media/image4.png"/><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image" Target="media/image2.jpeg"/><Relationship Id="rId324" Type="http://schemas.openxmlformats.org/officeDocument/2006/relationships/image" Target="media/image2.jpeg"/><Relationship Id="rId325" Type="http://schemas.openxmlformats.org/officeDocument/2006/relationships/footer" Target="footer314.xml"/><Relationship Id="rId326" Type="http://schemas.openxmlformats.org/officeDocument/2006/relationships/footnotes" Target="footnotes.xml"/><Relationship Id="rId327" Type="http://schemas.openxmlformats.org/officeDocument/2006/relationships/numbering" Target="numbering.xml"/><Relationship Id="rId328" Type="http://schemas.openxmlformats.org/officeDocument/2006/relationships/fontTable" Target="fontTable.xml"/><Relationship Id="rId329" Type="http://schemas.openxmlformats.org/officeDocument/2006/relationships/settings" Target="settings.xml"/><Relationship Id="rId3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324</Pages>
  <Words>60895</Words>
  <Characters>388695</Characters>
  <CharactersWithSpaces>445356</CharactersWithSpaces>
  <Paragraphs>4242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2026-08-19T01:34:33Z</dcterms:created>
  <dc:creator>ghaemiyeh.com</dc:creator>
  <dc:description/>
  <dc:language>en-US</dc:language>
  <cp:lastModifiedBy/>
  <dcterms:modified xsi:type="dcterms:W3CDTF">2026-08-19T05:04:43Z</dcterms:modified>
  <cp:revision>1</cp:revision>
  <dc:subject/>
  <dc:title>Akal Dan Wahyu</dc:title>
</cp:coreProperties>
</file>

<file path=docProps/custom.xml><?xml version="1.0" encoding="utf-8"?>
<Properties xmlns="http://schemas.openxmlformats.org/officeDocument/2006/custom-properties" xmlns:vt="http://schemas.openxmlformats.org/officeDocument/2006/docPropsVTypes"/>
</file>