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از دیدگاه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861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3861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38617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138619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138621_581953129">
            <w:r>
              <w:rPr>
                <w:webHidden/>
                <w:rStyle w:val="IndexLink"/>
                <w:rtl w:val="true"/>
              </w:rPr>
              <w:t>ائمّۀ دوازده گانه جوهرۀ مفهوم مهدویّت</w:t>
            </w:r>
            <w:r>
              <w:rPr>
                <w:rStyle w:val="IndexLink"/>
                <w:rtl w:val="true"/>
              </w:rPr>
              <w:tab/>
            </w:r>
            <w:r>
              <w:rPr>
                <w:rStyle w:val="IndexLink"/>
              </w:rPr>
              <w:t>18</w:t>
            </w:r>
          </w:hyperlink>
        </w:p>
        <w:p>
          <w:pPr>
            <w:pStyle w:val="Contents2"/>
            <w:tabs>
              <w:tab w:val="clear" w:pos="8743"/>
              <w:tab w:val="right" w:pos="9026" w:leader="dot"/>
            </w:tabs>
            <w:rPr/>
          </w:pPr>
          <w:hyperlink w:anchor="__RefHeading___Toc1138623_581953129">
            <w:r>
              <w:rPr>
                <w:webHidden/>
                <w:rStyle w:val="IndexLink"/>
                <w:rtl w:val="true"/>
              </w:rPr>
              <w:t>فصل اوّل</w:t>
            </w:r>
            <w:r>
              <w:rPr>
                <w:rStyle w:val="IndexLink"/>
                <w:rtl w:val="true"/>
              </w:rPr>
              <w:t xml:space="preserve">: </w:t>
            </w:r>
            <w:r>
              <w:rPr>
                <w:rStyle w:val="IndexLink"/>
                <w:rtl w:val="true"/>
              </w:rPr>
              <w:t>اثبات عقیدتی مفهوم مهدویّت از دیدگاه اهل بیت</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138625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38627_581953129">
            <w:r>
              <w:rPr>
                <w:webHidden/>
                <w:rStyle w:val="IndexLink"/>
                <w:rtl w:val="true"/>
              </w:rPr>
              <w:t>سرگردانی پیروان خلفا در تفسیر حدیث</w:t>
            </w:r>
            <w:r>
              <w:rPr>
                <w:rStyle w:val="IndexLink"/>
                <w:rtl w:val="true"/>
              </w:rPr>
              <w:t>!</w:t>
              <w:tab/>
            </w:r>
            <w:r>
              <w:rPr>
                <w:rStyle w:val="IndexLink"/>
              </w:rPr>
              <w:t>28</w:t>
            </w:r>
          </w:hyperlink>
        </w:p>
        <w:p>
          <w:pPr>
            <w:pStyle w:val="Contents2"/>
            <w:tabs>
              <w:tab w:val="clear" w:pos="8743"/>
              <w:tab w:val="right" w:pos="9026" w:leader="dot"/>
            </w:tabs>
            <w:rPr/>
          </w:pPr>
          <w:hyperlink w:anchor="__RefHeading___Toc1138629_581953129">
            <w:r>
              <w:rPr>
                <w:webHidden/>
                <w:rStyle w:val="IndexLink"/>
                <w:rtl w:val="true"/>
              </w:rPr>
              <w:t>فصل دوم</w:t>
            </w:r>
            <w:r>
              <w:rPr>
                <w:rStyle w:val="IndexLink"/>
                <w:rtl w:val="true"/>
              </w:rPr>
              <w:t xml:space="preserve">: </w:t>
            </w:r>
            <w:r>
              <w:rPr>
                <w:rStyle w:val="IndexLink"/>
                <w:rtl w:val="true"/>
              </w:rPr>
              <w:t>ویژگیهای مفهوم مهدویّت از دیدگاه اهل بیت</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138631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138633_581953129">
            <w:r>
              <w:rPr>
                <w:webHidden/>
                <w:rStyle w:val="IndexLink"/>
                <w:rtl w:val="true"/>
              </w:rPr>
              <w:t>ویژگی اوّل</w:t>
            </w:r>
            <w:r>
              <w:rPr>
                <w:rStyle w:val="IndexLink"/>
                <w:rtl w:val="true"/>
              </w:rPr>
              <w:t xml:space="preserve">: </w:t>
            </w:r>
            <w:r>
              <w:rPr>
                <w:rStyle w:val="IndexLink"/>
                <w:rtl w:val="true"/>
              </w:rPr>
              <w:t>ولادت مخفیانۀ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که مورد عنایت بوده و گریزی از آن وجود نداشته است</w:t>
            </w:r>
            <w:r>
              <w:rPr>
                <w:rStyle w:val="IndexLink"/>
                <w:rtl w:val="true"/>
              </w:rPr>
              <w:tab/>
            </w:r>
            <w:r>
              <w:rPr>
                <w:rStyle w:val="IndexLink"/>
              </w:rPr>
              <w:t>40</w:t>
            </w:r>
          </w:hyperlink>
        </w:p>
        <w:p>
          <w:pPr>
            <w:pStyle w:val="Contents4"/>
            <w:tabs>
              <w:tab w:val="clear" w:pos="8176"/>
              <w:tab w:val="right" w:pos="9026" w:leader="dot"/>
            </w:tabs>
            <w:rPr/>
          </w:pPr>
          <w:hyperlink w:anchor="__RefHeading___Toc1138635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138637_581953129">
            <w:r>
              <w:rPr>
                <w:webHidden/>
                <w:rStyle w:val="IndexLink"/>
                <w:rtl w:val="true"/>
              </w:rPr>
              <w:t>شواهد تاریخی بر وجود امام مهدی</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1138639_581953129">
            <w:r>
              <w:rPr>
                <w:webHidden/>
                <w:rStyle w:val="IndexLink"/>
              </w:rPr>
              <w:t>1</w:t>
            </w:r>
            <w:r>
              <w:rPr>
                <w:rStyle w:val="IndexLink"/>
                <w:rtl w:val="true"/>
              </w:rPr>
              <w:t xml:space="preserve">- </w:t>
            </w:r>
            <w:r>
              <w:rPr>
                <w:rStyle w:val="IndexLink"/>
                <w:rtl w:val="true"/>
              </w:rPr>
              <w:t>شهادت امام‌حسن عسکری</w:t>
            </w:r>
            <w:r>
              <w:rPr>
                <w:rStyle w:val="IndexLink"/>
                <w:rtl w:val="true"/>
              </w:rPr>
              <w:t>(</w:t>
            </w:r>
            <w:r>
              <w:rPr>
                <w:rStyle w:val="IndexLink"/>
                <w:rtl w:val="true"/>
              </w:rPr>
              <w:t>علیهم السلام</w:t>
            </w:r>
            <w:r>
              <w:rPr>
                <w:rStyle w:val="IndexLink"/>
                <w:rtl w:val="true"/>
              </w:rPr>
              <w:t xml:space="preserve">) </w:t>
            </w:r>
            <w:r>
              <w:rPr>
                <w:rStyle w:val="IndexLink"/>
                <w:rtl w:val="true"/>
              </w:rPr>
              <w:t>به ولادت پسرش امام‌مهدی</w:t>
            </w:r>
            <w:r>
              <w:rPr>
                <w:rStyle w:val="IndexLink"/>
                <w:rtl w:val="true"/>
              </w:rPr>
              <w:t>(</w:t>
            </w:r>
            <w:r>
              <w:rPr>
                <w:rStyle w:val="IndexLink"/>
                <w:rtl w:val="true"/>
              </w:rPr>
              <w:t>عجل الله تعالی فرجه الشریف</w:t>
            </w:r>
            <w:r>
              <w:rPr>
                <w:rStyle w:val="IndexLink"/>
                <w:rtl w:val="true"/>
              </w:rPr>
              <w:t>)</w:t>
              <w:tab/>
            </w:r>
            <w:r>
              <w:rPr>
                <w:rStyle w:val="IndexLink"/>
              </w:rPr>
              <w:t>42</w:t>
            </w:r>
          </w:hyperlink>
        </w:p>
        <w:p>
          <w:pPr>
            <w:pStyle w:val="Contents5"/>
            <w:tabs>
              <w:tab w:val="clear" w:pos="7892"/>
              <w:tab w:val="right" w:pos="9026" w:leader="dot"/>
            </w:tabs>
            <w:rPr/>
          </w:pPr>
          <w:hyperlink w:anchor="__RefHeading___Toc1138641_581953129">
            <w:r>
              <w:rPr>
                <w:webHidden/>
                <w:rStyle w:val="IndexLink"/>
              </w:rPr>
              <w:t>2</w:t>
            </w:r>
            <w:r>
              <w:rPr>
                <w:rStyle w:val="IndexLink"/>
                <w:rtl w:val="true"/>
              </w:rPr>
              <w:t xml:space="preserve">- </w:t>
            </w:r>
            <w:r>
              <w:rPr>
                <w:rStyle w:val="IndexLink"/>
                <w:rtl w:val="true"/>
              </w:rPr>
              <w:t>شهادت قابله</w:t>
            </w:r>
            <w:r>
              <w:rPr>
                <w:rStyle w:val="IndexLink"/>
                <w:rtl w:val="true"/>
              </w:rPr>
              <w:tab/>
            </w:r>
            <w:r>
              <w:rPr>
                <w:rStyle w:val="IndexLink"/>
              </w:rPr>
              <w:t>43</w:t>
            </w:r>
          </w:hyperlink>
        </w:p>
        <w:p>
          <w:pPr>
            <w:pStyle w:val="Contents5"/>
            <w:tabs>
              <w:tab w:val="clear" w:pos="7892"/>
              <w:tab w:val="right" w:pos="9026" w:leader="dot"/>
            </w:tabs>
            <w:rPr/>
          </w:pPr>
          <w:hyperlink w:anchor="__RefHeading___Toc1138643_581953129">
            <w:r>
              <w:rPr>
                <w:webHidden/>
                <w:rStyle w:val="IndexLink"/>
              </w:rPr>
              <w:t>3</w:t>
            </w:r>
            <w:r>
              <w:rPr>
                <w:rStyle w:val="IndexLink"/>
                <w:rtl w:val="true"/>
              </w:rPr>
              <w:t xml:space="preserve">- </w:t>
            </w:r>
            <w:r>
              <w:rPr>
                <w:rStyle w:val="IndexLink"/>
                <w:rtl w:val="true"/>
              </w:rPr>
              <w:t>شهادت دیگران بر دیدن امام مهدی</w:t>
            </w:r>
            <w:r>
              <w:rPr>
                <w:rStyle w:val="IndexLink"/>
                <w:rtl w:val="true"/>
              </w:rPr>
              <w:t>(</w:t>
            </w:r>
            <w:r>
              <w:rPr>
                <w:rStyle w:val="IndexLink"/>
                <w:rtl w:val="true"/>
              </w:rPr>
              <w:t>عجل الله تعالی فرجه الشریف</w:t>
            </w:r>
            <w:r>
              <w:rPr>
                <w:rStyle w:val="IndexLink"/>
                <w:rtl w:val="true"/>
              </w:rPr>
              <w:t>)</w:t>
              <w:tab/>
            </w:r>
            <w:r>
              <w:rPr>
                <w:rStyle w:val="IndexLink"/>
              </w:rPr>
              <w:t>44</w:t>
            </w:r>
          </w:hyperlink>
        </w:p>
        <w:p>
          <w:pPr>
            <w:pStyle w:val="Contents5"/>
            <w:tabs>
              <w:tab w:val="clear" w:pos="7892"/>
              <w:tab w:val="right" w:pos="9026" w:leader="dot"/>
            </w:tabs>
            <w:rPr/>
          </w:pPr>
          <w:hyperlink w:anchor="__RefHeading___Toc1138645_581953129">
            <w:r>
              <w:rPr>
                <w:webHidden/>
                <w:rStyle w:val="IndexLink"/>
              </w:rPr>
              <w:t>4</w:t>
            </w:r>
            <w:r>
              <w:rPr>
                <w:rStyle w:val="IndexLink"/>
                <w:rtl w:val="true"/>
              </w:rPr>
              <w:t xml:space="preserve">- </w:t>
            </w:r>
            <w:r>
              <w:rPr>
                <w:rStyle w:val="IndexLink"/>
                <w:rtl w:val="true"/>
              </w:rPr>
              <w:t>برخورد سلطنت عبّاسیان با این حادثه</w:t>
            </w:r>
            <w:r>
              <w:rPr>
                <w:rStyle w:val="IndexLink"/>
                <w:rtl w:val="true"/>
              </w:rPr>
              <w:tab/>
            </w:r>
            <w:r>
              <w:rPr>
                <w:rStyle w:val="IndexLink"/>
              </w:rPr>
              <w:t>46</w:t>
            </w:r>
          </w:hyperlink>
        </w:p>
        <w:p>
          <w:pPr>
            <w:pStyle w:val="Contents5"/>
            <w:tabs>
              <w:tab w:val="clear" w:pos="7892"/>
              <w:tab w:val="right" w:pos="9026" w:leader="dot"/>
            </w:tabs>
            <w:rPr/>
          </w:pPr>
          <w:hyperlink w:anchor="__RefHeading___Toc1138647_581953129">
            <w:r>
              <w:rPr>
                <w:webHidden/>
                <w:rStyle w:val="IndexLink"/>
              </w:rPr>
              <w:t>5</w:t>
            </w:r>
            <w:r>
              <w:rPr>
                <w:rStyle w:val="IndexLink"/>
                <w:rtl w:val="true"/>
              </w:rPr>
              <w:t xml:space="preserve">- </w:t>
            </w:r>
            <w:r>
              <w:rPr>
                <w:rStyle w:val="IndexLink"/>
                <w:rtl w:val="true"/>
              </w:rPr>
              <w:t>اعترافات علمای اهل تسنّن به ولادت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50</w:t>
            </w:r>
          </w:hyperlink>
        </w:p>
        <w:p>
          <w:pPr>
            <w:pStyle w:val="Contents4"/>
            <w:tabs>
              <w:tab w:val="clear" w:pos="8176"/>
              <w:tab w:val="right" w:pos="9026" w:leader="dot"/>
            </w:tabs>
            <w:rPr/>
          </w:pPr>
          <w:hyperlink w:anchor="__RefHeading___Toc1138649_581953129">
            <w:r>
              <w:rPr>
                <w:webHidden/>
                <w:rStyle w:val="IndexLink"/>
                <w:rtl w:val="true"/>
              </w:rPr>
              <w:t>منکران ولادت امام مهدی</w:t>
            </w:r>
            <w:r>
              <w:rPr>
                <w:rStyle w:val="IndexLink"/>
                <w:rtl w:val="true"/>
              </w:rPr>
              <w:t>(</w:t>
            </w:r>
            <w:r>
              <w:rPr>
                <w:rStyle w:val="IndexLink"/>
                <w:rtl w:val="true"/>
              </w:rPr>
              <w:t>عجل الله تعالی فرجه الشریف</w:t>
            </w:r>
            <w:r>
              <w:rPr>
                <w:rStyle w:val="IndexLink"/>
                <w:rtl w:val="true"/>
              </w:rPr>
              <w:t>)</w:t>
              <w:tab/>
            </w:r>
            <w:r>
              <w:rPr>
                <w:rStyle w:val="IndexLink"/>
              </w:rPr>
              <w:t>52</w:t>
            </w:r>
          </w:hyperlink>
        </w:p>
        <w:p>
          <w:pPr>
            <w:pStyle w:val="Contents4"/>
            <w:tabs>
              <w:tab w:val="clear" w:pos="8176"/>
              <w:tab w:val="right" w:pos="9026" w:leader="dot"/>
            </w:tabs>
            <w:rPr/>
          </w:pPr>
          <w:hyperlink w:anchor="__RefHeading___Toc1138651_581953129">
            <w:r>
              <w:rPr>
                <w:webHidden/>
                <w:rStyle w:val="IndexLink"/>
                <w:rtl w:val="true"/>
              </w:rPr>
              <w:t>ویژگی دوّم</w:t>
            </w:r>
            <w:r>
              <w:rPr>
                <w:rStyle w:val="IndexLink"/>
                <w:rtl w:val="true"/>
              </w:rPr>
              <w:t xml:space="preserve">: </w:t>
            </w:r>
            <w:r>
              <w:rPr>
                <w:rStyle w:val="IndexLink"/>
                <w:rtl w:val="true"/>
              </w:rPr>
              <w:t>امامت در دوران طفولیّت</w:t>
            </w:r>
            <w:r>
              <w:rPr>
                <w:rStyle w:val="IndexLink"/>
                <w:rtl w:val="true"/>
              </w:rPr>
              <w:tab/>
            </w:r>
            <w:r>
              <w:rPr>
                <w:rStyle w:val="IndexLink"/>
              </w:rPr>
              <w:t>53</w:t>
            </w:r>
          </w:hyperlink>
        </w:p>
        <w:p>
          <w:pPr>
            <w:pStyle w:val="Contents4"/>
            <w:tabs>
              <w:tab w:val="clear" w:pos="8176"/>
              <w:tab w:val="right" w:pos="9026" w:leader="dot"/>
            </w:tabs>
            <w:rPr/>
          </w:pPr>
          <w:hyperlink w:anchor="__RefHeading___Toc1138653_581953129">
            <w:r>
              <w:rPr>
                <w:webHidden/>
                <w:rStyle w:val="IndexLink"/>
                <w:rtl w:val="true"/>
              </w:rPr>
              <w:t>ویژگی سوّم</w:t>
            </w:r>
            <w:r>
              <w:rPr>
                <w:rStyle w:val="IndexLink"/>
                <w:rtl w:val="true"/>
              </w:rPr>
              <w:t xml:space="preserve">: </w:t>
            </w:r>
            <w:r>
              <w:rPr>
                <w:rStyle w:val="IndexLink"/>
                <w:rtl w:val="true"/>
              </w:rPr>
              <w:t>غیبت و عمر طولانی</w:t>
            </w:r>
            <w:r>
              <w:rPr>
                <w:rStyle w:val="IndexLink"/>
                <w:rtl w:val="true"/>
              </w:rPr>
              <w:tab/>
            </w:r>
            <w:r>
              <w:rPr>
                <w:rStyle w:val="IndexLink"/>
              </w:rPr>
              <w:t>62</w:t>
            </w:r>
          </w:hyperlink>
        </w:p>
        <w:p>
          <w:pPr>
            <w:pStyle w:val="Contents5"/>
            <w:tabs>
              <w:tab w:val="clear" w:pos="7892"/>
              <w:tab w:val="right" w:pos="9026" w:leader="dot"/>
            </w:tabs>
            <w:rPr/>
          </w:pPr>
          <w:hyperlink w:anchor="__RefHeading___Toc1138655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138657_581953129">
            <w:r>
              <w:rPr>
                <w:webHidden/>
                <w:rStyle w:val="IndexLink"/>
              </w:rPr>
              <w:t>1</w:t>
            </w:r>
            <w:r>
              <w:rPr>
                <w:rStyle w:val="IndexLink"/>
                <w:rtl w:val="true"/>
              </w:rPr>
              <w:t xml:space="preserve">- </w:t>
            </w:r>
            <w:r>
              <w:rPr>
                <w:rStyle w:val="IndexLink"/>
                <w:rtl w:val="true"/>
              </w:rPr>
              <w:t>اثبات ممکن بودن عمر طولانی</w:t>
            </w:r>
            <w:r>
              <w:rPr>
                <w:rStyle w:val="IndexLink"/>
                <w:rtl w:val="true"/>
              </w:rPr>
              <w:tab/>
            </w:r>
            <w:r>
              <w:rPr>
                <w:rStyle w:val="IndexLink"/>
              </w:rPr>
              <w:t>62</w:t>
            </w:r>
          </w:hyperlink>
        </w:p>
        <w:p>
          <w:pPr>
            <w:pStyle w:val="Contents5"/>
            <w:tabs>
              <w:tab w:val="clear" w:pos="7892"/>
              <w:tab w:val="right" w:pos="9026" w:leader="dot"/>
            </w:tabs>
            <w:rPr/>
          </w:pPr>
          <w:hyperlink w:anchor="__RefHeading___Toc1138659_581953129">
            <w:r>
              <w:rPr>
                <w:webHidden/>
                <w:rStyle w:val="IndexLink"/>
              </w:rPr>
              <w:t>2</w:t>
            </w:r>
            <w:r>
              <w:rPr>
                <w:rStyle w:val="IndexLink"/>
                <w:rtl w:val="true"/>
              </w:rPr>
              <w:t xml:space="preserve">- </w:t>
            </w:r>
            <w:r>
              <w:rPr>
                <w:rStyle w:val="IndexLink"/>
                <w:rtl w:val="true"/>
              </w:rPr>
              <w:t>اثبات محقّق شدن عمر طولانی برای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65</w:t>
            </w:r>
          </w:hyperlink>
        </w:p>
        <w:p>
          <w:pPr>
            <w:pStyle w:val="Contents6"/>
            <w:tabs>
              <w:tab w:val="clear" w:pos="7609"/>
              <w:tab w:val="right" w:pos="9026" w:leader="dot"/>
            </w:tabs>
            <w:rPr/>
          </w:pPr>
          <w:hyperlink w:anchor="__RefHeading___Toc1138661_58195312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138663_581953129">
            <w:r>
              <w:rPr>
                <w:webHidden/>
                <w:rStyle w:val="IndexLink"/>
                <w:rtl w:val="true"/>
              </w:rPr>
              <w:t>الف</w:t>
            </w:r>
            <w:r>
              <w:rPr>
                <w:rStyle w:val="IndexLink"/>
                <w:rtl w:val="true"/>
              </w:rPr>
              <w:t xml:space="preserve">: </w:t>
            </w:r>
            <w:r>
              <w:rPr>
                <w:rStyle w:val="IndexLink"/>
                <w:rtl w:val="true"/>
              </w:rPr>
              <w:t>طریق عقایدی</w:t>
            </w:r>
            <w:r>
              <w:rPr>
                <w:rStyle w:val="IndexLink"/>
                <w:rtl w:val="true"/>
              </w:rPr>
              <w:tab/>
            </w:r>
            <w:r>
              <w:rPr>
                <w:rStyle w:val="IndexLink"/>
              </w:rPr>
              <w:t>66</w:t>
            </w:r>
          </w:hyperlink>
        </w:p>
        <w:p>
          <w:pPr>
            <w:pStyle w:val="Contents6"/>
            <w:tabs>
              <w:tab w:val="clear" w:pos="7609"/>
              <w:tab w:val="right" w:pos="9026" w:leader="dot"/>
            </w:tabs>
            <w:rPr/>
          </w:pPr>
          <w:hyperlink w:anchor="__RefHeading___Toc1138665_581953129">
            <w:r>
              <w:rPr>
                <w:webHidden/>
                <w:rStyle w:val="IndexLink"/>
                <w:rtl w:val="true"/>
              </w:rPr>
              <w:t>ب</w:t>
            </w:r>
            <w:r>
              <w:rPr>
                <w:rStyle w:val="IndexLink"/>
                <w:rtl w:val="true"/>
              </w:rPr>
              <w:t xml:space="preserve">: </w:t>
            </w:r>
            <w:r>
              <w:rPr>
                <w:rStyle w:val="IndexLink"/>
                <w:rtl w:val="true"/>
              </w:rPr>
              <w:t>روش تاریخی</w:t>
            </w:r>
            <w:r>
              <w:rPr>
                <w:rStyle w:val="IndexLink"/>
                <w:rtl w:val="true"/>
              </w:rPr>
              <w:tab/>
            </w:r>
            <w:r>
              <w:rPr>
                <w:rStyle w:val="IndexLink"/>
              </w:rPr>
              <w:t>75</w:t>
            </w:r>
          </w:hyperlink>
        </w:p>
        <w:p>
          <w:pPr>
            <w:pStyle w:val="Contents2"/>
            <w:tabs>
              <w:tab w:val="clear" w:pos="8743"/>
              <w:tab w:val="right" w:pos="9026" w:leader="dot"/>
            </w:tabs>
            <w:rPr/>
          </w:pPr>
          <w:hyperlink w:anchor="__RefHeading___Toc1138667_581953129">
            <w:r>
              <w:rPr>
                <w:webHidden/>
                <w:rStyle w:val="IndexLink"/>
                <w:rtl w:val="true"/>
              </w:rPr>
              <w:t>فصل سوّم</w:t>
            </w:r>
            <w:r>
              <w:rPr>
                <w:rStyle w:val="IndexLink"/>
                <w:rtl w:val="true"/>
              </w:rPr>
              <w:t xml:space="preserve">: </w:t>
            </w:r>
            <w:r>
              <w:rPr>
                <w:rStyle w:val="IndexLink"/>
                <w:rtl w:val="true"/>
              </w:rPr>
              <w:t>ارزش عقیدتی مفهوم مهدویّت در مکتب اهل بیت</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1138669_581953129">
            <w:r>
              <w:rPr>
                <w:webHidden/>
                <w:rStyle w:val="IndexLink"/>
                <w:rtl w:val="true"/>
              </w:rPr>
              <w:t>چکیدۀ بحث</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8_45756"/>
      <w:bookmarkStart w:id="1" w:name="pg5348_45756"/>
      <w:bookmarkEnd w:id="1"/>
    </w:p>
    <w:p>
      <w:pPr>
        <w:pStyle w:val="Heading2"/>
        <w:numPr>
          <w:ilvl w:val="1"/>
          <w:numId w:val="1"/>
        </w:numPr>
        <w:rPr/>
      </w:pPr>
      <w:bookmarkStart w:id="2" w:name="pg5348_45756"/>
      <w:bookmarkStart w:id="3" w:name="__RefHeading___Toc113861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المهدویه عند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از دیدگاه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۳۶۷۳۰۷۳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861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مهدویت از دیدگاه اهل بیت علیهم‌السلام</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348_45764"/>
    </w:p>
    <w:p>
      <w:pPr>
        <w:pStyle w:val="Heading2"/>
        <w:numPr>
          <w:ilvl w:val="1"/>
          <w:numId w:val="1"/>
        </w:numPr>
        <w:rPr/>
      </w:pPr>
      <w:bookmarkStart w:id="8" w:name="__RefHeading___Toc1138617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48_45768"/>
    </w:p>
    <w:p>
      <w:pPr>
        <w:pStyle w:val="Heading2"/>
        <w:numPr>
          <w:ilvl w:val="1"/>
          <w:numId w:val="1"/>
        </w:numPr>
        <w:rPr/>
      </w:pPr>
      <w:bookmarkStart w:id="11" w:name="__RefHeading___Toc1138619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48_45776"/>
    </w:p>
    <w:p>
      <w:pPr>
        <w:pStyle w:val="Heading2"/>
        <w:numPr>
          <w:ilvl w:val="1"/>
          <w:numId w:val="1"/>
        </w:numPr>
        <w:rPr/>
      </w:pPr>
      <w:bookmarkStart w:id="14" w:name="__RefHeading___Toc1138621_581953129"/>
      <w:bookmarkStart w:id="15" w:name="_Toc5"/>
      <w:bookmarkEnd w:id="13"/>
      <w:bookmarkEnd w:id="14"/>
      <w:r>
        <w:rPr>
          <w:rtl w:val="true"/>
        </w:rPr>
        <w:t>ائمّۀ دوازده گانه جوهرۀ مفهوم مهدویّت</w:t>
      </w:r>
      <w:bookmarkEnd w:id="15"/>
    </w:p>
    <w:p>
      <w:pPr>
        <w:pStyle w:val="BookText"/>
        <w:rPr/>
      </w:pPr>
      <w:r>
        <w:rPr>
          <w:rFonts w:ascii="IRNazanin" w:hAnsi="IRNazanin" w:eastAsia="IRNazanin"/>
          <w:color w:val="111111"/>
          <w:sz w:val="28"/>
          <w:sz w:val="28"/>
          <w:szCs w:val="28"/>
          <w:rtl w:val="true"/>
          <w:lang w:bidi="fa-IR"/>
        </w:rPr>
        <w:t xml:space="preserve">اعتقاد به ظهور منجی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جوهرۀ اندیشۀ مهدویّت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باور فراگیر بشری است که به دین، یا مذهب معیّنی اختصاص ندارد و این حقیقت، قابلیّت آن را دارد که همزمان چهار شبهۀ وارده به مسألۀ مهدویّت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مهدویّت را خاصّ شیعه می‌داند، به ویژه آن که اجماع مسلمانان بر این مسأله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تخیّلات ساخته شده است؛ زیرا افسانه، خیالات ساده‌ای است که از واقعیّتی قبیله‌ای، قومی، یا گروهی ساخته شده است و افسانه‌ای که تمام ادیان آسمانی و غیرآسمانی آن را به گونه‌ای قبول داشته باشند و خبر از ضمیر ناخودآگاه بشریّت بدهد و مورد پذیرش دانشمندان و اندیشمندان و فلاسفه باشد،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ایجاد اندیشۀ مهدویّت،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اندیشۀ مهدویّت در تمام ادیان آسمانی و غیرآسمانی وجود دارد، پس چرا وجود آن را در اسلام بر نمی‌تابیم؟ در صورتی که مقتضای عقل و منطق این است که به</w:t>
      </w:r>
    </w:p>
    <w:p>
      <w:pPr>
        <w:pStyle w:val="BookText"/>
        <w:rPr/>
      </w:pPr>
      <w:r>
        <w:rPr>
          <w:rFonts w:ascii="IRNazanin" w:hAnsi="IRNazanin" w:eastAsia="IRNazanin"/>
          <w:color w:val="111111"/>
          <w:sz w:val="28"/>
          <w:sz w:val="28"/>
          <w:szCs w:val="28"/>
          <w:rtl w:val="true"/>
          <w:lang w:bidi="fa-IR"/>
        </w:rPr>
        <w:t>صورت واضح‌تر و کاملتری این اندیشه را در برداشته باشد؛ چنان که اندیشۀ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نشانه‌های کمال دین اسلام و به خصوص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دارای اندیشۀ مهدویّت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ادیان آسمانی، در بسیاری از عقاید و شرایع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روزه،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مشترک نیستند؟ و در این صورت، آیا تصریح یهودیّت، یا دین دیگری به این حقایق، باعث می‌شود که اسلام از آن دور باشد؟ یا این که اقتضا می‌کند اسلام آنها را به صورت کاملتر و پیشرفته‌تر در بر داشته باشد؟ پس این شبهه بیانگر وجود نقص و عیب در صاحبانش و کمال در اسلام و به خصوص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زاییدۀ فشارهای سیاسی و اجتماعی است که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سر می‌برده‌اند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فشاری بیش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بودند، امّا چنین عقیده‌ای نداشتند و اگر فشار و اختناق باعث بروز چنین اندیشه‌ای می‌شد، هر آینه می‌بایست که بسیاری از مظلومین و رنج دیدگان، دارای چنین اندیشه‌ای باشند،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کسانی که تحت هیچ‌گونه رنج و فشاری نبوده‌اند، امّا به مهدویّت ایمان داشته‌اند و اگر مهدویّت، زاییدۀ فشار و اختناق باشد، بایستی به هنگام رفع فشار و رنج، این اندیشه زایل</w:t>
      </w:r>
    </w:p>
    <w:p>
      <w:pPr>
        <w:pStyle w:val="BookText"/>
        <w:rPr/>
      </w:pPr>
      <w:r>
        <w:rPr>
          <w:rFonts w:ascii="IRNazanin" w:hAnsi="IRNazanin" w:eastAsia="IRNazanin"/>
          <w:color w:val="111111"/>
          <w:sz w:val="28"/>
          <w:sz w:val="28"/>
          <w:szCs w:val="28"/>
          <w:rtl w:val="true"/>
          <w:lang w:bidi="fa-IR"/>
        </w:rPr>
        <w:t>شود، امّا برعکس، می‌بینیم که در نسلهای بعدی که مواجه با رنج و فشار نبوده‌اند، این اندیشه بیشتر رشد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می‌توان ادّعا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و اجتماعی، باعث گرایش بیشتر به اندیشۀ مهدویّت می‌گردد، نه این که اصل و اساس آن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تعبیری کاملتر از حقایق انسانی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کاملتری از حقایق دینی و مدرسۀ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کاملتر از حقایق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ادیان به اندیشۀ ظهور منجی بشریّت تصریح می‌کنند، در واقع به یک خواست درونی و فطری بشر اشاره می‌کنند و وقتی که اسلام آن را به صورت کاملتر و جدیدتر از ادیان سابق، بیان می‌کند، علاوه بر تأکید به یک حقیقت غیبی، به این خواست فطری بشر تأکید می ورزد و هنگامی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تأکید بیشتری به مهدویّت می‌پردازند، در واقع به صورت کاملتر و واضح‌تر به این حقیقت اسلامی اشاره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خلفا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به صورت محدودتر و دیگری آن را به صورت وسیع‌تر و کاملتری بیان می‌کند و در این حال، برخی گمان می‌کنند که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غلوّ و تندروی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سرّ اشتهار تشیّع به مهدویّت، این پندار که مهدویّت، اندیشۀ اختصاص تشیّع است ومورد پذیرش همۀ مسلمانان نمی باشد، این</w:t>
      </w:r>
    </w:p>
    <w:p>
      <w:pPr>
        <w:pStyle w:val="BookText"/>
        <w:rPr/>
      </w:pPr>
      <w:r>
        <w:rPr>
          <w:rFonts w:ascii="IRNazanin" w:hAnsi="IRNazanin" w:eastAsia="IRNazanin"/>
          <w:color w:val="111111"/>
          <w:sz w:val="28"/>
          <w:sz w:val="28"/>
          <w:szCs w:val="28"/>
          <w:rtl w:val="true"/>
          <w:lang w:bidi="fa-IR"/>
        </w:rPr>
        <w:t>است که آن را در حدّ کمال بیان می‌دارند و این اندیشه نزد ایشان ویژگیهای منحصر به فردی دارد که بیانگر حقیقت آرمانی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ویژگیها از یک محور سرچشمه می‌گیرند و آن این است که مهدویّت، در نگاه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آینده‌نگری صرف و پیشگویی از سعادت بشر در پایان جهان نیست؛ چنان که مکتب خلفا آن را چنین می‌بیند بلکه جزئی انفکاک‌ناپذیر از عقیدۀ امامیّۀ اثنی عشریّه است که از طرف خدای متعال معیّن شده است و این عقیده بلافاصله بعد از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آخرالزمان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امامت دوازدهمین امام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و تا الان ادامه یافته و این امامت، تا ظهور دوازدهمین امام در آخرالزمان ادامه می‌یابد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مسألۀ مهدویّت را از نگاه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باید به این محور عقیدتی توجّه داشته باشیم و از یک سو، با دلیل و برهان در صدد اثبات آن باشیم و از سوی دیگر، ویژگیهای مترتّب بر آن را بررسی نماییم و از سوی دیگر، ارزش عقیدتی مترتّب بر این اندیشه را بازگو نماییم، پس در این تحقیق، سه مرحله خواهیم داشت که هر کدام را جداگانه مورد بحث و بررسی قرار می‌دهیم</w:t>
      </w:r>
      <w:r>
        <w:rPr>
          <w:rFonts w:eastAsia="IRNazanin" w:cs="IRNazanin"/>
          <w:color w:val="111111"/>
          <w:sz w:val="28"/>
          <w:szCs w:val="28"/>
          <w:rtl w:val="true"/>
          <w:lang w:bidi="fa-IR"/>
        </w:rPr>
        <w:t>.</w:t>
      </w:r>
      <w:bookmarkStart w:id="16" w:name="pg5348_45780"/>
    </w:p>
    <w:p>
      <w:pPr>
        <w:pStyle w:val="Heading2"/>
        <w:numPr>
          <w:ilvl w:val="1"/>
          <w:numId w:val="1"/>
        </w:numPr>
        <w:rPr/>
      </w:pPr>
      <w:bookmarkStart w:id="17" w:name="__RefHeading___Toc1138623_581953129"/>
      <w:bookmarkStart w:id="18" w:name="_Toc6"/>
      <w:bookmarkEnd w:id="16"/>
      <w:bookmarkEnd w:id="17"/>
      <w:r>
        <w:rPr>
          <w:rtl w:val="true"/>
        </w:rPr>
        <w:t>فصل اوّل</w:t>
      </w:r>
      <w:r>
        <w:rPr>
          <w:rtl w:val="true"/>
        </w:rPr>
        <w:t xml:space="preserve">: </w:t>
      </w:r>
      <w:r>
        <w:rPr>
          <w:rtl w:val="true"/>
        </w:rPr>
        <w:t>اثبات عقیدتی مفهوم مهدویّت از دیدگاه اهل بیت</w:t>
      </w:r>
      <w:r>
        <w:rPr>
          <w:rtl w:val="true"/>
        </w:rPr>
        <w:t>(</w:t>
      </w:r>
      <w:r>
        <w:rPr>
          <w:rtl w:val="true"/>
        </w:rPr>
        <w:t>علیهم السلام</w:t>
      </w:r>
      <w:r>
        <w:rPr>
          <w:rtl w:val="true"/>
        </w:rPr>
        <w:t>)</w:t>
      </w:r>
      <w:bookmarkEnd w:id="18"/>
    </w:p>
    <w:p>
      <w:pPr>
        <w:pStyle w:val="Heading3"/>
        <w:numPr>
          <w:ilvl w:val="2"/>
          <w:numId w:val="1"/>
        </w:numPr>
        <w:rPr/>
      </w:pPr>
      <w:bookmarkStart w:id="19" w:name="__RefHeading___Toc1138625_581953129"/>
      <w:bookmarkStart w:id="20" w:name="_Toc7"/>
      <w:bookmarkEnd w:id="19"/>
      <w:r>
        <w:rPr>
          <w:rtl w:val="true"/>
        </w:rPr>
        <w:t>اشاره</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عقیدتی این اندیشه در صدها روایتی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Style w:val="FootnoteAnchor"/>
          <w:rtl w:val="true"/>
        </w:rPr>
        <w:footnoteReference w:id="11"/>
      </w:r>
      <w:r>
        <w:rPr>
          <w:rFonts w:ascii="IRNazanin" w:hAnsi="IRNazanin" w:eastAsia="IRNazanin"/>
          <w:color w:val="111111"/>
          <w:sz w:val="28"/>
          <w:sz w:val="28"/>
          <w:szCs w:val="28"/>
          <w:rtl w:val="true"/>
          <w:lang w:bidi="fa-IR"/>
        </w:rPr>
        <w:t>متبلور است که بر تعیین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نهمین فرزند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جانشینان آن حضرت، دوازده نفر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پنج دسته از روایات متظافر، در صدد تبیین مفهوم مهدویّت و تشخیص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کسی که در آنها دقّت کند، در می‌یابد که به تدریج، تخصیص بیشتری یافته‌اند تا این که در شخص معیّنی 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روایات،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به درجۀ بالایی از کثرت و انتشار رسیده‌اند، در حالی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و تقیّه را در سطح عمومی رعایت می‌کردند تا آن وجود عزیز، در معرض تعرّض و دشمنی قرار نگیرد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باید اضافه کرد که تنها کثرت روایات، معیار قبول آنان نیست بلکه علاوه بر آن، دلایل و نشانه‌های دیگری وجود دارد که صحّت آنها را مستدل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حدیث شریف نبوی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بعد از آن حضرت، دوازده امام، یا خلیفه، یا امیر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اختلافی که در متن حدیث در طرق مختلف وجود دارد، در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w:t>
      </w:r>
      <w:r>
        <w:rPr>
          <w:rStyle w:val="FootnoteAnchor"/>
          <w:rtl w:val="true"/>
        </w:rPr>
        <w:footnoteReference w:id="17"/>
      </w:r>
      <w:r>
        <w:rPr>
          <w:rFonts w:ascii="IRNazanin" w:hAnsi="IRNazanin" w:eastAsia="IRNazanin"/>
          <w:color w:val="111111"/>
          <w:sz w:val="28"/>
          <w:sz w:val="28"/>
          <w:szCs w:val="28"/>
          <w:rtl w:val="true"/>
          <w:lang w:bidi="fa-IR"/>
        </w:rPr>
        <w:t>که در مشهورترین</w:t>
      </w:r>
    </w:p>
    <w:p>
      <w:pPr>
        <w:pStyle w:val="BookText"/>
        <w:rPr/>
      </w:pPr>
      <w:r>
        <w:rPr>
          <w:rFonts w:ascii="IRNazanin" w:hAnsi="IRNazanin" w:eastAsia="IRNazanin"/>
          <w:color w:val="111111"/>
          <w:sz w:val="28"/>
          <w:sz w:val="28"/>
          <w:szCs w:val="28"/>
          <w:rtl w:val="true"/>
          <w:lang w:bidi="fa-IR"/>
        </w:rPr>
        <w:t xml:space="preserve">کتابهای شیعه و سنّی آمده است و از جمله در صحیح بخاری، </w:t>
      </w:r>
      <w:r>
        <w:rPr>
          <w:rStyle w:val="FootnoteAnchor"/>
          <w:rtl w:val="true"/>
        </w:rPr>
        <w:footnoteReference w:id="18"/>
      </w:r>
      <w:r>
        <w:rPr>
          <w:rFonts w:ascii="IRNazanin" w:hAnsi="IRNazanin" w:eastAsia="IRNazanin"/>
          <w:color w:val="111111"/>
          <w:sz w:val="28"/>
          <w:sz w:val="28"/>
          <w:szCs w:val="28"/>
          <w:rtl w:val="true"/>
          <w:lang w:bidi="fa-IR"/>
        </w:rPr>
        <w:t xml:space="preserve">مسلم </w:t>
      </w:r>
      <w:r>
        <w:rPr>
          <w:rStyle w:val="FootnoteAnchor"/>
          <w:rtl w:val="true"/>
        </w:rPr>
        <w:footnoteReference w:id="19"/>
      </w:r>
      <w:r>
        <w:rPr>
          <w:rFonts w:ascii="IRNazanin" w:hAnsi="IRNazanin" w:eastAsia="IRNazanin"/>
          <w:color w:val="111111"/>
          <w:sz w:val="28"/>
          <w:sz w:val="28"/>
          <w:szCs w:val="28"/>
          <w:rtl w:val="true"/>
          <w:lang w:bidi="fa-IR"/>
        </w:rPr>
        <w:t xml:space="preserve">، ترمذی، ابوداوود، مسند احمد </w:t>
      </w:r>
      <w:r>
        <w:rPr>
          <w:rStyle w:val="FootnoteAnchor"/>
          <w:rtl w:val="true"/>
        </w:rPr>
        <w:footnoteReference w:id="20"/>
      </w:r>
      <w:r>
        <w:rPr>
          <w:rFonts w:ascii="IRNazanin" w:hAnsi="IRNazanin" w:eastAsia="IRNazanin"/>
          <w:color w:val="111111"/>
          <w:sz w:val="28"/>
          <w:sz w:val="28"/>
          <w:szCs w:val="28"/>
          <w:rtl w:val="true"/>
          <w:lang w:bidi="fa-IR"/>
        </w:rPr>
        <w:t xml:space="preserve">و مستدرک علی الصحیحین </w:t>
      </w:r>
      <w:r>
        <w:rPr>
          <w:rStyle w:val="FootnoteAnchor"/>
          <w:rtl w:val="true"/>
        </w:rPr>
        <w:footnoteReference w:id="2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این حدیث را نقل کرده است، معاصر امام جواد،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بسیار معنا دارد؛ زیرا ثابت می‌کند که این حدیث، زمانی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کتابها نوشته شده است که هنوز تمام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بالفعل به امامت نرسیده بودند و این جای شک و تردیدی نمی‌گذارد که نقل حدیث، بیانگر واقعیّتی بوده است که بعدها در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می‌شود؛ چرا که احادیث دروغین که به پیامبر نسبت داده شده برای توجیه حوادثی است که در دوره های بعد رخ داده ولذا در متون حدیثی ثبت نشده اند، پس حدیث ائمّۀ دوازده‌گانه، نقل واقعیّتی خارجی</w:t>
      </w:r>
    </w:p>
    <w:p>
      <w:pPr>
        <w:pStyle w:val="BookText"/>
        <w:rPr/>
      </w:pPr>
      <w:r>
        <w:rPr>
          <w:rFonts w:ascii="IRNazanin" w:hAnsi="IRNazanin" w:eastAsia="IRNazanin"/>
          <w:color w:val="111111"/>
          <w:sz w:val="28"/>
          <w:sz w:val="28"/>
          <w:szCs w:val="28"/>
          <w:rtl w:val="true"/>
          <w:lang w:bidi="fa-IR"/>
        </w:rPr>
        <w:t>نبوده است بلکه تعبیری از حقیقتی الهی بوده است که از زبان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نمی‌گوید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خارج شده است و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بَعدی اثنا عَشَر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دوازده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ائمّه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شدند و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یافتند و همین تنها تطبیق معقول </w:t>
      </w:r>
      <w:r>
        <w:rPr>
          <w:rStyle w:val="FootnoteAnchor"/>
          <w:rtl w:val="true"/>
        </w:rPr>
        <w:footnoteReference w:id="24"/>
      </w:r>
      <w:r>
        <w:rPr>
          <w:rFonts w:ascii="IRNazanin" w:hAnsi="IRNazanin" w:eastAsia="IRNazanin"/>
          <w:color w:val="111111"/>
          <w:sz w:val="28"/>
          <w:sz w:val="28"/>
          <w:szCs w:val="28"/>
          <w:rtl w:val="true"/>
          <w:lang w:bidi="fa-IR"/>
        </w:rPr>
        <w:t>برای این حدیث شریف نبوی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مسلم در صحیح خود از طریق قتیبة بن سعید، از جابر بن سمره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به دیدار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لا ینقضی حتی یمضی فیهم اثنا عشر خلیفة ؛ این امر تمام نمی‌شود تا دوازده</w:t>
      </w:r>
    </w:p>
    <w:p>
      <w:pPr>
        <w:pStyle w:val="BookText"/>
        <w:rPr/>
      </w:pPr>
      <w:r>
        <w:rPr>
          <w:rFonts w:ascii="IRNazanin" w:hAnsi="IRNazanin" w:eastAsia="IRNazanin"/>
          <w:color w:val="111111"/>
          <w:sz w:val="28"/>
          <w:sz w:val="28"/>
          <w:szCs w:val="28"/>
          <w:rtl w:val="true"/>
          <w:lang w:bidi="fa-IR"/>
        </w:rPr>
        <w:t>جانشین به خلافت برسند، سپس سخن دیگری را آهسته‌تر گفت که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 ؛ همگی از قریش هستند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از ابن عمر، از جابر بن سمره و از طریق هداب بن خالد، نصر بن علی جهضمی و محمّد بن رافع، از جابر بن سمره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دو طریق از ابی‌بکر بن ابی شیبه، از جابر و به دو طریق از قتیبة بن سعید، از جابر نقل کرده است؛ چنان که می‌بینیم تنها در صحیح مسلم این روایت از نُه طریق ذکر شده است و اگر به کتابهای شیعه و سنّی مراجعه کنیم، خواهیم دید که از طرق بسیاری، نقل شده است</w:t>
      </w:r>
      <w:r>
        <w:rPr>
          <w:rFonts w:eastAsia="IRNazanin" w:cs="IRNazanin"/>
          <w:color w:val="111111"/>
          <w:sz w:val="28"/>
          <w:szCs w:val="28"/>
          <w:rtl w:val="true"/>
          <w:lang w:bidi="fa-IR"/>
        </w:rPr>
        <w:t xml:space="preserve">. </w:t>
      </w:r>
      <w:r>
        <w:rPr>
          <w:rStyle w:val="FootnoteAnchor"/>
          <w:rtl w:val="true"/>
        </w:rPr>
        <w:footnoteReference w:id="27"/>
      </w:r>
      <w:bookmarkStart w:id="21" w:name="pg5348_45786"/>
    </w:p>
    <w:p>
      <w:pPr>
        <w:pStyle w:val="Heading3"/>
        <w:numPr>
          <w:ilvl w:val="2"/>
          <w:numId w:val="1"/>
        </w:numPr>
        <w:rPr/>
      </w:pPr>
      <w:bookmarkStart w:id="22" w:name="__RefHeading___Toc1138627_581953129"/>
      <w:bookmarkStart w:id="23" w:name="_Toc8"/>
      <w:bookmarkEnd w:id="21"/>
      <w:bookmarkEnd w:id="22"/>
      <w:r>
        <w:rPr>
          <w:rtl w:val="true"/>
        </w:rPr>
        <w:t>سرگردانی پیروان خلفا در تفسیر حدیث</w:t>
      </w:r>
      <w:r>
        <w:rPr>
          <w:rtl w:val="true"/>
        </w:rPr>
        <w:t>!</w:t>
      </w:r>
      <w:bookmarkEnd w:id="23"/>
    </w:p>
    <w:p>
      <w:pPr>
        <w:pStyle w:val="BookText"/>
        <w:rPr/>
      </w:pPr>
      <w:r>
        <w:rPr>
          <w:rFonts w:ascii="IRNazanin" w:hAnsi="IRNazanin" w:eastAsia="IRNazanin"/>
          <w:color w:val="111111"/>
          <w:sz w:val="28"/>
          <w:sz w:val="28"/>
          <w:szCs w:val="28"/>
          <w:rtl w:val="true"/>
          <w:lang w:bidi="fa-IR"/>
        </w:rPr>
        <w:t>سؤالی که در مورد حدیث مطرح می‌شود، این است که این جانشینان دوازده‌گانه چه کسانی هستند؟</w:t>
      </w:r>
    </w:p>
    <w:p>
      <w:pPr>
        <w:pStyle w:val="BookText"/>
        <w:rPr/>
      </w:pPr>
      <w:r>
        <w:rPr>
          <w:rFonts w:ascii="IRNazanin" w:hAnsi="IRNazanin" w:eastAsia="IRNazanin"/>
          <w:color w:val="111111"/>
          <w:sz w:val="28"/>
          <w:sz w:val="28"/>
          <w:szCs w:val="28"/>
          <w:rtl w:val="true"/>
          <w:lang w:bidi="fa-IR"/>
        </w:rPr>
        <w:t>قبل از آن که جواب این سؤال را بدهیم، احتمالات متصوّر در مورد جواب آن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جا دو احتمال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 سیاسی جامعه باشد که بعد از وی اتّفاق خواهد افتاد؛ چنان که پیشگوییهای بسیاری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حوادث دیگری صادر شده بود و این هم یکی از پیشگوییهای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آیندۀ سیاسی امّت اسلامی بوده است که می‌توانیم اسم این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بیانیّه‌ای برای تعیین ائمّه و جانشینان دوازده‌گانۀ بعد از خود باشد و مفاد این حدیث، مفاد انشا و نصب بر طبق اقتضای شریعت اسلامی بوده</w:t>
      </w:r>
    </w:p>
    <w:p>
      <w:pPr>
        <w:pStyle w:val="BookText"/>
        <w:rPr/>
      </w:pPr>
      <w:r>
        <w:rPr>
          <w:rFonts w:ascii="IRNazanin" w:hAnsi="IRNazanin" w:eastAsia="IRNazanin"/>
          <w:color w:val="111111"/>
          <w:sz w:val="28"/>
          <w:sz w:val="28"/>
          <w:szCs w:val="28"/>
          <w:rtl w:val="true"/>
          <w:lang w:bidi="fa-IR"/>
        </w:rPr>
        <w:t xml:space="preserve">است، نه فقط خبردادن از آیندۀ سیاسی امّت اسلامی که می‌توانیم این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علمی، چنین اقتضا می‌کند که هر دو احتمال را بررسی کنیم و هر کدام را که مورد تأیید شواهد، ادلّه و براهین عقلی و نقلی قرار گرفت، اختیار کنیم، امّا از آن جا که پیروان خلفا از همان ابتدا به شرعیّت نظام خلافت ملتزم شده‌اند، نظریّۀ تعیین و نصب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نظام کلامی و فقهی خویش را بنیان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جلوه خود فقط یک احتمال را دیده‌اند که راه فراری از آن نداشته‌اند، لذا به تأویل و توجیه احتمالات دیگر پرداخته‌اند، اگر چه این توجیهات، ضعیف و به دور از عقل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می‌بایست با نگاهی عالمانه و به دور از هر گونه قضاوت قبلی، به بررسی حدیث می‌پرداختند تا خود به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آنان سؤال می‌شود که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پیشگویی و بیان واقعیّاتی که اتّفاق می‌افتد، بوده است، چه انگیزه‌ای داشته است که تعداد خلفا را در دوازده نفر محدود کند، در حالی که در آینده بیش از این تعداد به حکومت رسیده‌اند؟ و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صحیحی که مطابق با موازین شرعی باشد، اشاره داشته است، پیروان خلفا بر شرعیّت و صحّت</w:t>
      </w:r>
    </w:p>
    <w:p>
      <w:pPr>
        <w:pStyle w:val="BookText"/>
        <w:rPr/>
      </w:pPr>
      <w:r>
        <w:rPr>
          <w:rFonts w:ascii="IRNazanin" w:hAnsi="IRNazanin" w:eastAsia="IRNazanin"/>
          <w:color w:val="111111"/>
          <w:sz w:val="28"/>
          <w:sz w:val="28"/>
          <w:szCs w:val="28"/>
          <w:rtl w:val="true"/>
          <w:lang w:bidi="fa-IR"/>
        </w:rPr>
        <w:t>حکومت هیچ کدام از خلفا غیر از خلفای چهارگانه اجماع و اتّفاق نظر پیدا نکرده‌اند؛ از این رو، در تشخیص و تعیین خلفای دوازده‌گانه دچار حیرت و سرگردانی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خلفای دوازده‌گانه در نظر ابن کثیر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 عمربن عبدالعزیز، بعضی از بنی‌عبّاس و گفته است که ظاهراً مهدی نیز از این افراد می‌باشد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قاضی دمشقی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دوازده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معاویه، یزید بن معاویه، عبدالملک بن مروان و فرزندان چهارگانه‌اش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سلیمان، یزید و هشام و آخرین آنان عمر بن عبدالعزیز بوده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به نظر ولی‌الله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قرة العینین گفته و در عون المعبود از آن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عبدالملک بن مروان، فرزندان چهارگانه‌اش، عمربن عبدالعزیز و ولیدبن یزید بن عبدالملک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مالک بن انس نقل کرده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جمع داخل کرده است، امّا خودش سخن مالک را رد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و عثمان،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حکومت ابن زبیر یکی از مصیبتهای بزرگ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جمع داخل کرده‌اند، رد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فاسق و بدنام 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قیّم جوزیّه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جانشینان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و از جمله ابوحاتم و ابن حبان و غیره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عمر بن عبدالعزیز بوده است؛ به این ترکیب که خلفای چهارگانه، معاویه، یزید بن معاویه، معاویة بن یزید، مروان بن حکم، عبدالملک بن مروان، ولید بن عبدالملک، سلیمان بن عبدالملک و سپس عمربن عبدالعزیز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صدمین سال هجری از دنیا رفت و این قرن از بهترین قرنهای امّت اسلام و دین در این قرن، در نهایت عزّت و سربلندی بود و بعد از آن، مصیبتها و رنجها جهان اسلام را فرا گرفت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بشتی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حدیث و امثال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دوازده‌گانه بر کسانی که عادل‌بوده‌اند، حمل شود؛ زیرا تنها آنانند که مستحقّ خلافت واقعی هستند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او خلفای راشدین به اتمام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کدام از بنی‌امیّه را داخل این دوازده نفر نکرده و تصریح کرده است که خلافت 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و پادشاهی ظالمانه تبدیل شد و در آن، انواع مشکلات و سختیها بر مردم تحمیل گردید؛ چنان که هیچ کدام از بنی‌عبّاس را جزء این دوازده نفر ندانسته و تصریح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ایشان، اتّحاد اسلام از هم متلاشی شد و اسم عربها از دیوان حذف و اسم ترکها ثبت شد و دیلمیان و سپس ترکها بر ممالک اسلامی حاکم شدند و دولتهای بزرگ تشکیل دادند و سرزمین پهناور اسلامی تقسیم شد و هر کس گوشه‌ای از آن را زیر سلطۀ خود گرفته و با زور چماق بر آنان حکومت می‌کرد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با این اوضاع مشاهده می‌شود که پیروان خلفا در تفسیر این حدیث تا چه میزان دچار اضطراب و اختلاف شده‌اند و در باتلاقهایی افتاده‌اند که خروج از آن برایشان ممکن نبوده و این بدان خاطر بوده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دوازده خلیفه شناخته نشده‌اند که تمام امّت اسلام بر آنان اتّفاق نظر داشته باشند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مورد قبول بود، هر آینه صحابۀ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بدان ایمان می‌آوردند و آثار آن بلافاصله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خلفا ظاهر می‌گشت و اوّلی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خلیفۀ دوازده‌گانه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دوازدهمی، این را اعلام می‌کردند و این ادّعا را افتخاری برای خود و شاهدی برای اثبات شرعیّت خلافت خود می‌پنداشتند، در حالی که تاریخ، هیچ گونه ادّعایی را از افرادی که در سلسلۀ فرضی خلفای دوازده‌گانه آمده‌اند، ثبت نکرده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دلالت می‌کند که زمان خلافت این خلفای دوازده‌گانه تمام طول تاریخ را در بر می‌گیرد و</w:t>
      </w:r>
    </w:p>
    <w:p>
      <w:pPr>
        <w:pStyle w:val="BookText"/>
        <w:rPr/>
      </w:pPr>
      <w:r>
        <w:rPr>
          <w:rFonts w:ascii="IRNazanin" w:hAnsi="IRNazanin" w:eastAsia="IRNazanin"/>
          <w:color w:val="111111"/>
          <w:sz w:val="28"/>
          <w:sz w:val="28"/>
          <w:szCs w:val="28"/>
          <w:rtl w:val="true"/>
          <w:lang w:bidi="fa-IR"/>
        </w:rPr>
        <w:t>در نهایت خلافت آنان، زمین، اهل خود را فرو می‌برد و می‌بلعد؛ چنان که اهل سنّت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تا زمانی پابرجا می‌ماند که دوازده نفر از قریش بر آن حکومت کنند، پس از آن که همگی از دنیا رفتند، زمین اهل خودش را فرو می‌برد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در حالی است که پس از مرگ عمربن‌عبدالعزیز، زمین اهل خودش را فرود نبرد بلکه انتشار علوم دینی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حدیث، تفسیر در قرنهای سوّم و چهارم گسترش یافت و پس از مرگ خلفای دوازه‌گانه در نظر پیروان خلفا علوم دینی، گسترش و شمول بیشتری یافت، در حالی که فرض بر این بوده است که پس از مرگ این دوازده نفر، زمین ساکنان خود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بن سمره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امّت همچنان پابرجا است و بر دشمن خود غلبه پیدا می‌کنند تا دوازده خلیفه که همگی از قریش هستند، خلافت کنند، پس از آن، هرج و مرج عالم را فرا می‌گیرد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و اختناق است، امّت اسلام نیرنگی را عظیم‌تر از فتنۀ معاویه و خروج او علیه خلیفۀ مسلمین</w:t>
      </w:r>
    </w:p>
    <w:p>
      <w:pPr>
        <w:pStyle w:val="BookText"/>
        <w:rPr/>
      </w:pP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می‌کند که منظور از هرج و مرج، فتنۀ بزرگتری است و شاید که منظور، کنارگذاشتن دین به طور کلّی باشد و این اتّفاق نمی‌افتد، مگر در نزدیکیهای قیامت که در آن هنگامه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پس از حوادث و جریاناتی، به شهادت می‌رسد و به رفیق اعلی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پیروان خلفا پرسید که وارد کردن پادشاهان در فهرست خلیفه‌های دوازده‌گانۀ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اهل سنّت از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عشرۀ مبشّره و از اعضای شورایی است که عمر بن خطِّاب آنان را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وی بر معاویه وارد شد، در حالی که از بیعت با او خودداری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نمی‌توانستی بگویی؟ شما مؤمن هستید و من امیر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صورتی که ما تو را امیر خود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دیگری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 امّا تو را امیر خود قرار ندادیم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ادّعای خلافت معاویه را انکار می‌کرد؛ چنان که ابن عباس و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صلح آن را انکار می‌کردند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به اتّفاق نظر از بغات و طغیانگران بوده است؛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طغیانگر به شهادت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نمی‌دانیم که چه‌طور عدّه‌ای، فردی طغیانگر را خلیفۀ شرعی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پرسید که معنای بر شمردن یزید در فهرست خلفای دوازده‌گانه چیست؟ مگر او فاجر، فاسق و شرابخوار علنی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مسلمان می‌تواند، متجاهر به فسقی را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به شهادت رسانید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نفر از مردم مدینه را قتل عام کرد و هیچ یک از بدریّون را باقی نگذاشت،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p>
    <w:p>
      <w:pPr>
        <w:pStyle w:val="BookText"/>
        <w:rPr/>
      </w:pPr>
      <w:r>
        <w:rPr>
          <w:rFonts w:ascii="IRNazanin" w:hAnsi="IRNazanin" w:eastAsia="IRNazanin"/>
          <w:color w:val="111111"/>
          <w:sz w:val="28"/>
          <w:sz w:val="28"/>
          <w:szCs w:val="28"/>
          <w:rtl w:val="true"/>
          <w:lang w:bidi="fa-IR"/>
        </w:rPr>
        <w:t>همین سؤال در مورد شجرۀ ملعونۀ بنی‌امیّه مطرح می‌شود که قرآن به آنان تصریح 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رؤیای صادقه مشاهده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همانند میمون بر منبرش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اکثر مفسّران اهل سنّت در ذیل آیۀ شصت از سورۀ إسراء بدان اشاره کرده‌اند و نیازی به نقل قول یکایک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می‌توان سه نتیجه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تفسیر حدیث خلفای دوازده‌گانۀ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قولی مردود و ادّعایی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سیاسی باعث شده است که پیروان خلفا به این تفسیر روی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 تنها در 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می‌باشد که قایل به انشایی بودن حدیث و دلالت آن بر انتصابی بودن دوازده جانشین از سوی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به وسیلۀ ادلّۀ عقلی و نقلی از قرآن و روایت، مورد تأیید است و به طور مبسوط در علم تفسیر و حدیث و کلام و تاریخ، مطرح گردیده و بر صحّت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معلوم شده است که ائمّۀ دوازده‌گانه از اهل بیت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کس حتّی در مقام ادّعا با آنان منازعه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زمینه روایات بسیاری وارد شده است و در این جا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شافعی در فرائد السمطین، از ابن عبّاس،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سیّد الأنبیاء هستم و علی‌ابن ابی طالب، سیّد الوصیّین است و جانشینان من دوازده نفر هستند که اوّلین آنان علی ابن ابی طالب و آخرین 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همین روایات، بعضی از محقّقان </w:t>
      </w:r>
      <w:r>
        <w:rPr>
          <w:rStyle w:val="FootnoteAnchor"/>
          <w:rtl w:val="true"/>
        </w:rPr>
        <w:footnoteReference w:id="39"/>
      </w:r>
      <w:r>
        <w:rPr>
          <w:rFonts w:ascii="IRNazanin" w:hAnsi="IRNazanin" w:eastAsia="IRNazanin"/>
          <w:color w:val="111111"/>
          <w:sz w:val="28"/>
          <w:sz w:val="28"/>
          <w:szCs w:val="28"/>
          <w:rtl w:val="true"/>
          <w:lang w:bidi="fa-IR"/>
        </w:rPr>
        <w:t>احتمال داده‌اند که آنچه کتابهای روایی نقل کرده‌اند، مبنی بر این که بعضی از سخنان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جابربن سمره مخفی ماند و او از پدرش دربارۀ آن سؤال کرد و پدرش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تحریف واقع شده است؛ زیرا روایات، دلیل مخفی ماندن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شلوغ کردن مردم و فریادکشیدن آنان و ضجّه و ناله‌کردن مردم و تکبیر گفتن ایشان و از جای برخاستن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در حالی که این تعلیلها با عبارتی که جابربن سمره آن را نشنیده است، هیچ تناسبی ندارد؛ زیرا قراردادن خلافت در قریش، امری بوده است که آنان را خوشحال می‌کرد و باعث داد و فریاد و به هم ریختن جلسه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متناسب با این حالت می‌باشد، این است که امامت و خلافت را در گروه خاصّی غیر از قریش قرار داده باشد و این، همان چیزی است که قندوزی در ینابیع المودّه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عبارتی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از بنی هاشم هستند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خلیفه‌های دوازده‌گانه از سویی ثابت شد و از سوی دیگر، حقّانیّت</w:t>
      </w:r>
    </w:p>
    <w:p>
      <w:pPr>
        <w:pStyle w:val="BookText"/>
        <w:rPr/>
      </w:pPr>
      <w:r>
        <w:rPr>
          <w:rFonts w:ascii="IRNazanin" w:hAnsi="IRNazanin" w:eastAsia="IRNazanin"/>
          <w:color w:val="111111"/>
          <w:sz w:val="28"/>
          <w:sz w:val="28"/>
          <w:szCs w:val="28"/>
          <w:rtl w:val="true"/>
          <w:lang w:bidi="fa-IR"/>
        </w:rPr>
        <w:t>تفسیر عقایدی به اثبات رسید و همچنین معلوم شد که اسم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سلسلۀ دوازده‌گانه است که خدا به وسیلۀ او زمین را پس از آن که پر از ظلم و جور شده است، اصلاح می‌کند و پر از عدل و داد می‌نماید، دیگر مجالی برای شک در ثبوت مفهوم عقایدی برای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عمیق مسألۀ مهدویّت با مسألۀ خلافت ائمّۀ دوازده‌گانه باعث می‌شود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جانشینان دوازده‌گانه تناسب ندارد و مسائل سیاسی باعث شده است که پیروان خلفا به این تفسیر روی بیاورند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و جانشینی را منصوص می‌داند، کناره‌گیری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حدیث را بیانگر خبر از آینده قرار داده‌اند تا بتوانند مسألۀ سقیفه و شرعیّت خلافت خلفای سه‌گانه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مجبور شده‌اند که مسألۀ مهدویّت را نیز به عنوان خبر از آینده و یک پیشگویی صرف، تلقّی کنند تا بدین ترتیب از قبول امامت ائمّۀ دوازده‌گانه طفره بروند؛ چون قبول حقّانیّت و صحّت تفسیر عقایدی در مورد حدیث خلفای دوازده‌گانه، ثبوت حقّانیّت مفهوم عقایدی برای مسألۀ مهدویّت را به دنبال دارد و این چیزی است که می‌خواهند از آن فرار کنند</w:t>
      </w:r>
      <w:r>
        <w:rPr>
          <w:rFonts w:eastAsia="IRNazanin" w:cs="IRNazanin"/>
          <w:color w:val="111111"/>
          <w:sz w:val="28"/>
          <w:szCs w:val="28"/>
          <w:rtl w:val="true"/>
          <w:lang w:bidi="fa-IR"/>
        </w:rPr>
        <w:t>.</w:t>
      </w:r>
      <w:bookmarkStart w:id="24" w:name="pg5348_45798"/>
    </w:p>
    <w:p>
      <w:pPr>
        <w:pStyle w:val="Heading2"/>
        <w:numPr>
          <w:ilvl w:val="1"/>
          <w:numId w:val="1"/>
        </w:numPr>
        <w:rPr/>
      </w:pPr>
      <w:bookmarkStart w:id="25" w:name="__RefHeading___Toc1138629_581953129"/>
      <w:bookmarkStart w:id="26" w:name="_Toc9"/>
      <w:bookmarkEnd w:id="24"/>
      <w:bookmarkEnd w:id="25"/>
      <w:r>
        <w:rPr>
          <w:rtl w:val="true"/>
        </w:rPr>
        <w:t>فصل دوم</w:t>
      </w:r>
      <w:r>
        <w:rPr>
          <w:rtl w:val="true"/>
        </w:rPr>
        <w:t xml:space="preserve">: </w:t>
      </w:r>
      <w:r>
        <w:rPr>
          <w:rtl w:val="true"/>
        </w:rPr>
        <w:t>ویژگیهای مفهوم مهدویّت از دیدگاه اهل بیت</w:t>
      </w:r>
      <w:r>
        <w:rPr>
          <w:rtl w:val="true"/>
        </w:rPr>
        <w:t>(</w:t>
      </w:r>
      <w:r>
        <w:rPr>
          <w:rtl w:val="true"/>
        </w:rPr>
        <w:t>علیهم السلام</w:t>
      </w:r>
      <w:r>
        <w:rPr>
          <w:rtl w:val="true"/>
        </w:rPr>
        <w:t>)</w:t>
      </w:r>
      <w:bookmarkEnd w:id="26"/>
    </w:p>
    <w:p>
      <w:pPr>
        <w:pStyle w:val="Heading3"/>
        <w:numPr>
          <w:ilvl w:val="2"/>
          <w:numId w:val="1"/>
        </w:numPr>
        <w:rPr/>
      </w:pPr>
      <w:bookmarkStart w:id="27" w:name="__RefHeading___Toc1138631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مسألۀ مهدویّت 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وارد مرحلۀ جدید می‌شویم و آن بحث در مورد ویژگیهای مترتّب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ثابت کنیم که این ویژگیها واقعی هستند و تحقّق شرعی و تاریخی دارند و اعتقاد به آنها باعث خدشه‌ای در عقاید و جداشدن از تاریخ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بدین شرح است</w:t>
      </w:r>
      <w:r>
        <w:rPr>
          <w:rFonts w:eastAsia="IRNazanin" w:cs="IRNazanin"/>
          <w:color w:val="111111"/>
          <w:sz w:val="28"/>
          <w:szCs w:val="28"/>
          <w:rtl w:val="true"/>
          <w:lang w:bidi="fa-IR"/>
        </w:rPr>
        <w:t>.</w:t>
      </w:r>
    </w:p>
    <w:p>
      <w:pPr>
        <w:pStyle w:val="Heading3"/>
        <w:numPr>
          <w:ilvl w:val="2"/>
          <w:numId w:val="1"/>
        </w:numPr>
        <w:rPr/>
      </w:pPr>
      <w:bookmarkStart w:id="29" w:name="__RefHeading___Toc1138633_581953129"/>
      <w:bookmarkStart w:id="30" w:name="_Toc11"/>
      <w:bookmarkEnd w:id="29"/>
      <w:r>
        <w:rPr>
          <w:rtl w:val="true"/>
        </w:rPr>
        <w:t>ویژگی اوّل</w:t>
      </w:r>
      <w:r>
        <w:rPr>
          <w:rtl w:val="true"/>
        </w:rPr>
        <w:t xml:space="preserve">: </w:t>
      </w:r>
      <w:r>
        <w:rPr>
          <w:rtl w:val="true"/>
        </w:rPr>
        <w:t>ولادت مخفیانۀ حضرت مهدی</w:t>
      </w:r>
      <w:r>
        <w:rPr>
          <w:rtl w:val="true"/>
        </w:rPr>
        <w:t>(</w:t>
      </w:r>
      <w:r>
        <w:rPr>
          <w:rtl w:val="true"/>
        </w:rPr>
        <w:t>عجل الله تعالی فرجه الشریف</w:t>
      </w:r>
      <w:r>
        <w:rPr>
          <w:rtl w:val="true"/>
        </w:rPr>
        <w:t xml:space="preserve">) </w:t>
      </w:r>
      <w:r>
        <w:rPr>
          <w:rtl w:val="true"/>
        </w:rPr>
        <w:t>که مورد عنایت بوده و گریزی از آن وجود نداشته است</w:t>
      </w:r>
      <w:bookmarkEnd w:id="30"/>
    </w:p>
    <w:p>
      <w:pPr>
        <w:pStyle w:val="Heading4"/>
        <w:numPr>
          <w:ilvl w:val="3"/>
          <w:numId w:val="1"/>
        </w:numPr>
        <w:rPr/>
      </w:pPr>
      <w:bookmarkStart w:id="31" w:name="__RefHeading___Toc1138635_581953129"/>
      <w:bookmarkStart w:id="32" w:name="_Toc12"/>
      <w:bookmarkEnd w:id="31"/>
      <w:r>
        <w:rPr>
          <w:rtl w:val="true"/>
        </w:rPr>
        <w:t>اشاره</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ثبوت مفهوم مهدویّت از دیدگاه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بارزترین مقتضیات این مفهوم، آن است که ولادت امام دوازدهم مخفیانه و سرّی باشد تا بعد از آن غیبت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از نظرها و رفتن به جای امنی که خدا آن را اختیار کرده است، به این اعتبار می‌باشد که او آخرین ستارۀ آسمان امامت است و تا هنگامی که خدا بخواهد در پردۀ غیبت می‌ماند و لازمۀ این حکمت الهی، آن است</w:t>
      </w:r>
    </w:p>
    <w:p>
      <w:pPr>
        <w:pStyle w:val="BookText"/>
        <w:rPr/>
      </w:pPr>
      <w:r>
        <w:rPr>
          <w:rFonts w:ascii="IRNazanin" w:hAnsi="IRNazanin" w:eastAsia="IRNazanin"/>
          <w:color w:val="111111"/>
          <w:sz w:val="28"/>
          <w:sz w:val="28"/>
          <w:szCs w:val="28"/>
          <w:rtl w:val="true"/>
          <w:lang w:bidi="fa-IR"/>
        </w:rPr>
        <w:t>که وی زندگی مخفیانه، عمری طولانی و ولادتی سرّی داشته باشد تا بدین ترتیب دوازدهمین حجّت خدا در زمین باقی باشد، اگر چه از نظرها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مناسبت ندارد 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ولادت امام مخفیانه صورت پذیرفته است؟ و چرا وجود او بعد از پدرش برای همه معلوم و مشهود نبوده است تا بتوانیم به راحتی او را تصدیق کنیم؟ زیرا اگر چنین بود، غیبت و مخفی شدن از نظرها ممکن نبود و می‌بایست که تعداد ائمّه از این بیشتر باشد و این با احادیث نبویّه‌ای که نقل شد، موافقت ندارد، پس ولادت مخفیانه از مستلزمات و مقتضیات طبیعی ادلّه‌ای می‌باشد که از روایات نبوی فهمیده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روشن می‌کند که اثبات خارجی قضیّه‌ای همانند قضیّۀ ولادت حضرت مهدی و وجود و زندگی‌اش، با بحثهای تاریخی صرف، امکان ندارد، به خصوص که این قضیّه از همان اوّل کاملاً مخفیانه و سرّی بوده است بلکه این بحثی عقایدی و تاریخی است که عقیده در آن نقش اصلی را ایفا می‌کند و بحثهای تاریخی آن را تا حدّی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گونه‌ای بوده است که جز عدّه‌ای از شیعیان خاص، از آن آگاهی نداشته‌اند، لذا اگر از دیگران در این باره سؤال می‌شد، اظهار بی اطّلاعی می‌کردند و یا آن را انکار می‌نمودند</w:t>
      </w:r>
      <w:r>
        <w:rPr>
          <w:rFonts w:eastAsia="IRNazanin" w:cs="IRNazanin"/>
          <w:color w:val="111111"/>
          <w:sz w:val="28"/>
          <w:szCs w:val="28"/>
          <w:rtl w:val="true"/>
          <w:lang w:bidi="fa-IR"/>
        </w:rPr>
        <w:t>.</w:t>
      </w:r>
      <w:bookmarkStart w:id="33" w:name="pg5348_45800"/>
    </w:p>
    <w:p>
      <w:pPr>
        <w:pStyle w:val="BookText"/>
        <w:rPr/>
      </w:pPr>
      <w:bookmarkEnd w:id="33"/>
      <w:r>
        <w:rPr>
          <w:rFonts w:ascii="IRNazanin" w:hAnsi="IRNazanin" w:eastAsia="IRNazanin"/>
          <w:color w:val="111111"/>
          <w:sz w:val="28"/>
          <w:sz w:val="28"/>
          <w:szCs w:val="28"/>
          <w:rtl w:val="true"/>
          <w:lang w:bidi="fa-IR"/>
        </w:rPr>
        <w:t>باید توجّه داشت که ما در مورد حادثه‌ای محسوس صحبت نمی‌کنیم که تاریخ تمام زوایای آن را ثبت کرده‌باشد و ما بخواهیم اثبات یا انکار آن را بر اساس نقل قولهای تاریخی قرار دهیم بلکه دربارۀ یکی از عقاید حقّه‌ای بحث می‌کنیم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با علم غیب دربارۀ آن خبر داده‌اند و از ناحیۀ بحثهای تاریخی فقط می‌توان به شواهدی که آن را اثبات می‌کند اکتفا کرد؛ چنان که برخی افراد برگزیده در مورد ولادت آن حضرت یا غیبت صغری و کبری گواهی وشهادت داده اند و در این جا به بعضی از این شواهد اشاره‌می‌شود</w:t>
      </w:r>
      <w:r>
        <w:rPr>
          <w:rFonts w:eastAsia="IRNazanin" w:cs="IRNazanin"/>
          <w:color w:val="111111"/>
          <w:sz w:val="28"/>
          <w:szCs w:val="28"/>
          <w:rtl w:val="true"/>
          <w:lang w:bidi="fa-IR"/>
        </w:rPr>
        <w:t>.</w:t>
      </w:r>
    </w:p>
    <w:p>
      <w:pPr>
        <w:pStyle w:val="Heading4"/>
        <w:numPr>
          <w:ilvl w:val="3"/>
          <w:numId w:val="1"/>
        </w:numPr>
        <w:rPr/>
      </w:pPr>
      <w:bookmarkStart w:id="34" w:name="__RefHeading___Toc1138637_581953129"/>
      <w:bookmarkStart w:id="35" w:name="_Toc13"/>
      <w:bookmarkEnd w:id="34"/>
      <w:r>
        <w:rPr>
          <w:rtl w:val="true"/>
        </w:rPr>
        <w:t>شواهد تاریخی بر وجود امام مهدی</w:t>
      </w:r>
      <w:r>
        <w:rPr>
          <w:rtl w:val="true"/>
        </w:rPr>
        <w:t>(</w:t>
      </w:r>
      <w:r>
        <w:rPr>
          <w:rtl w:val="true"/>
        </w:rPr>
        <w:t>علیهم السلام</w:t>
      </w:r>
      <w:r>
        <w:rPr>
          <w:rtl w:val="true"/>
        </w:rPr>
        <w:t>)</w:t>
      </w:r>
      <w:bookmarkEnd w:id="35"/>
    </w:p>
    <w:p>
      <w:pPr>
        <w:pStyle w:val="Heading5"/>
        <w:numPr>
          <w:ilvl w:val="4"/>
          <w:numId w:val="1"/>
        </w:numPr>
        <w:rPr/>
      </w:pPr>
      <w:bookmarkStart w:id="36" w:name="__RefHeading___Toc1138639_581953129"/>
      <w:bookmarkStart w:id="37" w:name="_Toc14"/>
      <w:bookmarkEnd w:id="36"/>
      <w:r>
        <w:rPr/>
        <w:t>1</w:t>
      </w:r>
      <w:r>
        <w:rPr>
          <w:rtl w:val="true"/>
        </w:rPr>
        <w:t xml:space="preserve">- </w:t>
      </w:r>
      <w:r>
        <w:rPr>
          <w:rtl w:val="true"/>
        </w:rPr>
        <w:t>شهادت امام‌حسن عسکری</w:t>
      </w:r>
      <w:r>
        <w:rPr>
          <w:rtl w:val="true"/>
        </w:rPr>
        <w:t>(</w:t>
      </w:r>
      <w:r>
        <w:rPr>
          <w:rtl w:val="true"/>
        </w:rPr>
        <w:t>علیهم السلام</w:t>
      </w:r>
      <w:r>
        <w:rPr>
          <w:rtl w:val="true"/>
        </w:rPr>
        <w:t xml:space="preserve">) </w:t>
      </w:r>
      <w:r>
        <w:rPr>
          <w:rtl w:val="true"/>
        </w:rPr>
        <w:t>به ولادت پسرش امام‌مهدی</w:t>
      </w:r>
      <w:r>
        <w:rPr>
          <w:rtl w:val="true"/>
        </w:rPr>
        <w:t>(</w:t>
      </w:r>
      <w:r>
        <w:rPr>
          <w:rtl w:val="true"/>
        </w:rPr>
        <w:t>عجل الله تعالی فرجه الشریف</w:t>
      </w:r>
      <w:r>
        <w:rPr>
          <w:rtl w:val="true"/>
        </w:rPr>
        <w:t>)</w:t>
      </w:r>
      <w:bookmarkEnd w:id="37"/>
    </w:p>
    <w:p>
      <w:pPr>
        <w:pStyle w:val="BookText"/>
        <w:rPr/>
      </w:pPr>
      <w:r>
        <w:rPr>
          <w:rFonts w:ascii="IRNazanin" w:hAnsi="IRNazanin" w:eastAsia="IRNazanin"/>
          <w:color w:val="111111"/>
          <w:sz w:val="28"/>
          <w:sz w:val="28"/>
          <w:szCs w:val="28"/>
          <w:rtl w:val="true"/>
          <w:lang w:bidi="fa-IR"/>
        </w:rPr>
        <w:t>محمّد بن یحیی، از احمد بن اسحاق، از ابوهاشم جعفری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بزرگواری شما باعث می‌شود که نتوانم از شما سؤال کنم، آیا اجازه دارم از شما سؤالی کنم؟</w:t>
      </w:r>
      <w:bookmarkStart w:id="38" w:name="pg5348_45801"/>
    </w:p>
    <w:p>
      <w:pPr>
        <w:pStyle w:val="BookText"/>
        <w:rPr/>
      </w:pPr>
      <w:bookmarkEnd w:id="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حدیث، از جهت سند و دلالت، کامل و بی نقص است و محمّد بن یحیی ابو جعفر عطارقمی از بزرگانی است که هنوز قبر شریفش زیارت می‌شود و کتابهای رجال، به عظمت و جلالت احمد بن اسحاق بن عبدالله بن سعد بن مالک بن احوص اشعری، ابوعلی قمی در پیشگاه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و همچنین به منزلت داوود بن قاسم بن اسحاق بن عبدالله بن جعفر ابن ابی طالب ابوهاشم جعفری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واسطه‌های بسیار کم این حدیث باید توجّه کرد که قُرب‌الاسناد است و این یکی از شواهد برای تأیید صحّت حدیث است</w:t>
      </w:r>
      <w:r>
        <w:rPr>
          <w:rFonts w:eastAsia="IRNazanin" w:cs="IRNazanin"/>
          <w:color w:val="111111"/>
          <w:sz w:val="28"/>
          <w:szCs w:val="28"/>
          <w:rtl w:val="true"/>
          <w:lang w:bidi="fa-IR"/>
        </w:rPr>
        <w:t>.</w:t>
      </w:r>
    </w:p>
    <w:p>
      <w:pPr>
        <w:pStyle w:val="Heading5"/>
        <w:numPr>
          <w:ilvl w:val="4"/>
          <w:numId w:val="1"/>
        </w:numPr>
        <w:rPr/>
      </w:pPr>
      <w:bookmarkStart w:id="39" w:name="__RefHeading___Toc1138641_581953129"/>
      <w:bookmarkStart w:id="40" w:name="_Toc15"/>
      <w:bookmarkEnd w:id="39"/>
      <w:r>
        <w:rPr/>
        <w:t>2</w:t>
      </w:r>
      <w:r>
        <w:rPr>
          <w:rtl w:val="true"/>
        </w:rPr>
        <w:t xml:space="preserve">- </w:t>
      </w:r>
      <w:r>
        <w:rPr>
          <w:rtl w:val="true"/>
        </w:rPr>
        <w:t>شهادت قابله</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خواهر امام و عمّۀ امام و دختر امام و علویّۀ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خواهر امام هادی و عمّۀ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او</w:t>
      </w:r>
      <w:bookmarkStart w:id="41" w:name="pg5348_45802"/>
    </w:p>
    <w:p>
      <w:pPr>
        <w:pStyle w:val="BookText"/>
        <w:rPr/>
      </w:pPr>
      <w:bookmarkEnd w:id="41"/>
      <w:r>
        <w:rPr>
          <w:rFonts w:ascii="IRNazanin" w:hAnsi="IRNazanin" w:eastAsia="IRNazanin"/>
          <w:color w:val="111111"/>
          <w:sz w:val="28"/>
          <w:sz w:val="28"/>
          <w:szCs w:val="28"/>
          <w:rtl w:val="true"/>
          <w:lang w:bidi="fa-IR"/>
        </w:rPr>
        <w:t>کسی بوده است که با اجازۀ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قابلۀ نرجس در شب میلاد بوده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42" w:name="__RefHeading___Toc1138643_581953129"/>
      <w:bookmarkStart w:id="43" w:name="_Toc16"/>
      <w:bookmarkEnd w:id="42"/>
      <w:r>
        <w:rPr/>
        <w:t>3</w:t>
      </w:r>
      <w:r>
        <w:rPr>
          <w:rtl w:val="true"/>
        </w:rPr>
        <w:t xml:space="preserve">- </w:t>
      </w:r>
      <w:r>
        <w:rPr>
          <w:rtl w:val="true"/>
        </w:rPr>
        <w:t>شهادت دیگران بر دیدن امام مهدی</w:t>
      </w:r>
      <w:r>
        <w:rPr>
          <w:rtl w:val="true"/>
        </w:rPr>
        <w:t>(</w:t>
      </w:r>
      <w:r>
        <w:rPr>
          <w:rtl w:val="true"/>
        </w:rPr>
        <w:t>عجل الله تعالی فرجه الشریف</w:t>
      </w:r>
      <w:r>
        <w:rPr>
          <w:rtl w:val="true"/>
        </w:rPr>
        <w:t>)</w:t>
      </w:r>
      <w:bookmarkEnd w:id="43"/>
    </w:p>
    <w:p>
      <w:pPr>
        <w:pStyle w:val="BookText"/>
        <w:rPr/>
      </w:pPr>
      <w:r>
        <w:rPr>
          <w:rFonts w:ascii="IRNazanin" w:hAnsi="IRNazanin" w:eastAsia="IRNazanin"/>
          <w:color w:val="111111"/>
          <w:sz w:val="28"/>
          <w:sz w:val="28"/>
          <w:szCs w:val="28"/>
          <w:rtl w:val="true"/>
          <w:lang w:bidi="fa-IR"/>
        </w:rPr>
        <w:t>منابع تاریخی لیست مفصّلی از اسامی کسانی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محقّقان، این اسامی را در کتابهای خاصّی جمع‌آوری کرده‌اند، مثل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هاشم بحرانی که در آن اسامی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آورده است که به دیدن امام در طفولیّت، یا ایّام غیبت صغری شهادت داده‌اند و اسم منابعی را که بدانها اعتماد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ابوطالب تجلیل تبریزی، اسامی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را که امام را دیده‌اند و شهادت داده‌اند، ذکر کرده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 است که امام را دیده‌اند و بسیاری از آنان از وکلای امام در شهرهای مختلف بوده‌اند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جمله وکلایی که امام را دیده‌اند،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بلالی، عثمان بن سعید عمری، محمّد بن عثمان بن سعید عمری و عطار؛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بسامی، محمّد بن ابی‌عبدالله کوفی اسدی و محمّد بن صالح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غیر از وکلایی که امام را دیده‌اند،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باشاذاله؛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حصینی؛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اسحاق کاتب؛ از بنی نوبخت، ابوعبدالله خیبری، ابوعبدالله بن فروخ، ابوعبدالله کندی، ابوالقاسم بن ابی حلیس، ابوالقاسم بن دبیس، مسرور طبّاخ آزاد کردۀ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نیلی و هارون فزاری؛ از 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اخی الحسن بن هارون و عمویش حسن بن هارون؛ از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رفا، علی بن محمّد، قاسم بن موسی، ابن القاسم بن موسی، ابومحمّد بن هارون و محمّد بن محمّد کلینی؛ از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احمد و مرداس؛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حسین بن یعقوب، علی بن محمّد بن اسحاق، محمّد بن اسحاق و محمّد بن محمّد؛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ابورجا؛ از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وجنای نصیبی؛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همدان، محمّد بن کشمرد و محمّد بن هارون؛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اعجمی، جعفری، حسن بن فضل بن یزید، پدرش فضل بن یزید و شمشاطی</w:t>
      </w:r>
      <w:r>
        <w:rPr>
          <w:rFonts w:eastAsia="IRNazanin" w:cs="IRNazanin"/>
          <w:color w:val="111111"/>
          <w:sz w:val="28"/>
          <w:szCs w:val="28"/>
          <w:rtl w:val="true"/>
          <w:lang w:bidi="fa-IR"/>
        </w:rPr>
        <w:t>.</w:t>
      </w:r>
      <w:bookmarkStart w:id="44" w:name="pg5348_45804"/>
    </w:p>
    <w:p>
      <w:pPr>
        <w:pStyle w:val="BookText"/>
        <w:rPr/>
      </w:pPr>
      <w:bookmarkEnd w:id="44"/>
      <w:r>
        <w:rPr>
          <w:rFonts w:ascii="IRNazanin" w:hAnsi="IRNazanin" w:eastAsia="IRNazanin"/>
          <w:color w:val="111111"/>
          <w:sz w:val="28"/>
          <w:sz w:val="28"/>
          <w:szCs w:val="28"/>
          <w:rtl w:val="true"/>
          <w:lang w:bidi="fa-IR"/>
        </w:rPr>
        <w:t>همچنین از اهالی شهر زور، صیمره، فارس، قابوس و مرو نقل شده است که او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آیا توافق این افراد از شهرهای مختلف و توطئه برای دروغگویی، معقول به نظر می‌رسد؟ در حالی که بین آنان افراد ثقه و صادقی هستند که کتابهای رجالی به ثقه بودن ایشان گواهی داده‌اند</w:t>
      </w:r>
      <w:r>
        <w:rPr>
          <w:rFonts w:eastAsia="IRNazanin" w:cs="IRNazanin"/>
          <w:color w:val="111111"/>
          <w:sz w:val="28"/>
          <w:szCs w:val="28"/>
          <w:rtl w:val="true"/>
          <w:lang w:bidi="fa-IR"/>
        </w:rPr>
        <w:t>.</w:t>
      </w:r>
    </w:p>
    <w:p>
      <w:pPr>
        <w:pStyle w:val="Heading5"/>
        <w:numPr>
          <w:ilvl w:val="4"/>
          <w:numId w:val="1"/>
        </w:numPr>
        <w:rPr/>
      </w:pPr>
      <w:bookmarkStart w:id="45" w:name="__RefHeading___Toc1138645_581953129"/>
      <w:bookmarkStart w:id="46" w:name="_Toc17"/>
      <w:bookmarkEnd w:id="45"/>
      <w:r>
        <w:rPr/>
        <w:t>4</w:t>
      </w:r>
      <w:r>
        <w:rPr>
          <w:rtl w:val="true"/>
        </w:rPr>
        <w:t xml:space="preserve">- </w:t>
      </w:r>
      <w:r>
        <w:rPr>
          <w:rtl w:val="true"/>
        </w:rPr>
        <w:t>برخورد سلطنت عبّاسیان با این حادثه</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ظالم عبّاسی آن چنان رفتاری با خانواده‌اش داشت که نشان می‌داد از مولودی که تولّدش بر آنان مخفی مانده است، بسیار ترسیده‌اند، برای همین، با تمام امکانات به جستجو پرداختند تا بلکه او را بیابند و حتّی معتمد عبّاسی که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هلاک شد، به نیروهایش دستور داد که خانۀ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مورد بررسی و تفتیش قرار دهند تا شاید امام را بیابند و دستور داد که کنیزهای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نمایند و زنان وی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جعفر کذّاب، برادر امام با ایشان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خاندان و بازماندگان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w:t>
      </w:r>
    </w:p>
    <w:p>
      <w:pPr>
        <w:pStyle w:val="BookText"/>
        <w:rPr/>
      </w:pPr>
      <w:r>
        <w:rPr>
          <w:rFonts w:ascii="IRNazanin" w:hAnsi="IRNazanin" w:eastAsia="IRNazanin"/>
          <w:color w:val="111111"/>
          <w:sz w:val="28"/>
          <w:sz w:val="28"/>
          <w:szCs w:val="28"/>
          <w:rtl w:val="true"/>
          <w:lang w:bidi="fa-IR"/>
        </w:rPr>
        <w:t>گرفتاری بزرگی مبتلا گردیده و عدّه‌ای اسیر و عدّه‌ای محبوس و عدّه‌ای تبعید شدند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همۀ اینها در زمانی است که امام‌مهدی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امّا برای معتمد عبّاسی عمر امام مهم نبود بلکه وی فهمیده بود که این مولود، کسی است که تاج و تخت سلطنت طاغوتیان را متلاشی خواهد کرد؛ زیرا این خبر، منتشر و شایع شده بود که دوازدهمین امام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عدل و قسط پرخواهد کرد، پس از آن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موضعگیری معتمد نسبت به امام همانند موضعگیری فرعون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مادرش او را از ترس فرعون، در دریای نیل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معتمد عبّاسی تنها پادشاهی نبود که این مطلب را فهمیده بود بلکه پادشاهان قبل از وی، از قبیل معتز و مهتدی نیز این را فهیمده بودند و برای همین،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مراقبت را به عمل می‌آورد تا خبر ولادت حضرت‌مهدی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نشود و تنها خواص از آن اطّلاع داشته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بنی عبّاس فهمیده بودند که حدیث جابربن سمره نه بر ایشان و نه بر پادشاهان بنی امیّه مطابقت دارد بلکه تنها مصداق 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همین از دوازدهمین امام، بسیار</w:t>
      </w:r>
    </w:p>
    <w:p>
      <w:pPr>
        <w:pStyle w:val="BookText"/>
        <w:rPr/>
      </w:pPr>
      <w:r>
        <w:rPr>
          <w:rFonts w:ascii="IRNazanin" w:hAnsi="IRNazanin" w:eastAsia="IRNazanin"/>
          <w:color w:val="111111"/>
          <w:sz w:val="28"/>
          <w:sz w:val="28"/>
          <w:szCs w:val="28"/>
          <w:rtl w:val="true"/>
          <w:lang w:bidi="fa-IR"/>
        </w:rPr>
        <w:t>می‌ترسیدند و در غیر این صورت عاقلانه نبود که از طفلی پنج ساله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 بودند که این طفل،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متواتر به آمدن او مژده داده‌اند؛ از این رو، کنیزان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کردند و قابله‌هایی فرستادند تا آنان را مورد بررسی قرار دهند تا مبادا حامله باشند و حتّی بعضی از کنیزان را به مدّت دو سال تحت مراقبت گرفتند و این در حالی بود که دائماً منزل امام را مورد تفتیش قرار می‌دادند و جاسوسانی اعزام می‌کردند تا اخبار منزل امام را جمع‌آوری و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می‌شود که چرا سلطۀ حاکم، قول جعفر کذّاب را نپذیرفت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مرده و هیچ فرزندی از خود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آنان این امکان وجود نداشت که ارث را به جعفر واگذار کنند و دست از این ظلمها و تفتیشهای دردآور بردارند؟</w:t>
      </w:r>
    </w:p>
    <w:p>
      <w:pPr>
        <w:pStyle w:val="BookText"/>
        <w:rPr/>
      </w:pPr>
      <w:r>
        <w:rPr>
          <w:rFonts w:ascii="IRNazanin" w:hAnsi="IRNazanin" w:eastAsia="IRNazanin"/>
          <w:color w:val="111111"/>
          <w:sz w:val="28"/>
          <w:sz w:val="28"/>
          <w:szCs w:val="28"/>
          <w:rtl w:val="true"/>
          <w:lang w:bidi="fa-IR"/>
        </w:rPr>
        <w:t>شاید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پی آن بود که حقّ افراد دیگر را از میراث بپردازد و بدین جهت در صدد یافتن وارثان دیگر امام بود تا جعفر کذّاب به تنهایی، با شهادت خود، وارث همۀ میراث نگردد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یک حکومت به دور بود که چنین تصرّفات و جستجوهای مضحکی را به راه بیندازد بلکه وظیفۀ عبّاسی</w:t>
      </w:r>
    </w:p>
    <w:p>
      <w:pPr>
        <w:pStyle w:val="BookText"/>
        <w:rPr/>
      </w:pPr>
      <w:r>
        <w:rPr>
          <w:rFonts w:ascii="IRNazanin" w:hAnsi="IRNazanin" w:eastAsia="IRNazanin"/>
          <w:color w:val="111111"/>
          <w:sz w:val="28"/>
          <w:sz w:val="28"/>
          <w:szCs w:val="28"/>
          <w:rtl w:val="true"/>
          <w:lang w:bidi="fa-IR"/>
        </w:rPr>
        <w:t>اقتضا می‌کرد که ادّعای جعفر کذّاب را به یک دادگاه ارجاع دهد تا قاضی دربارۀ ارث و میراث حکم صادر کند؛ زیرا در چنین موضوعی، قاضی می‌توانست که شهودی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مادر و کنیزان امام و خویشاوندان وی از بنی هاشم را احضار کند و سخنان مدّعی و منکر را بشنود و سپس حکم خود را صادر کرده و به قضیّه خاتمه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سریع این قضیّه به بالاترین مقام سلطنتی، قبل از آن که امام دفن شود و خروج قضیّه از دایرۀ قضاوت و داوری و تفتیش و تصرّفات بی‌رحمانۀ حکومت ظالمانه نشان می‌دهد که کارگزاران سلطنت عبّاسی، یقین کرده بودند که مهدی موعود، آخرین حلقه از حلقه‌های دوازده‌گانۀ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خصوص که این روایت به صورت متواتر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نمی‌شوند تا در حوض بر من وارد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عدم ولادت مهدی، یا عدم استمرار حیاتش، انقراض عترت است و این چیزی است که هیچ کدام از پادشاهان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خلیفه مسلمین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قایل نبودند</w:t>
      </w:r>
      <w:r>
        <w:rPr>
          <w:rFonts w:eastAsia="IRNazanin" w:cs="IRNazanin"/>
          <w:color w:val="111111"/>
          <w:sz w:val="28"/>
          <w:szCs w:val="28"/>
          <w:rtl w:val="true"/>
          <w:lang w:bidi="fa-IR"/>
        </w:rPr>
        <w:t xml:space="preserve">. </w:t>
      </w:r>
      <w:r>
        <w:rPr>
          <w:rStyle w:val="FootnoteAnchor"/>
          <w:rtl w:val="true"/>
        </w:rPr>
        <w:footnoteReference w:id="47"/>
      </w:r>
      <w:bookmarkStart w:id="47" w:name="pg5348_45808"/>
    </w:p>
    <w:p>
      <w:pPr>
        <w:pStyle w:val="Heading5"/>
        <w:numPr>
          <w:ilvl w:val="4"/>
          <w:numId w:val="1"/>
        </w:numPr>
        <w:rPr/>
      </w:pPr>
      <w:bookmarkStart w:id="48" w:name="__RefHeading___Toc1138647_581953129"/>
      <w:bookmarkStart w:id="49" w:name="_Toc18"/>
      <w:bookmarkEnd w:id="47"/>
      <w:bookmarkEnd w:id="48"/>
      <w:r>
        <w:rPr/>
        <w:t>5</w:t>
      </w:r>
      <w:r>
        <w:rPr>
          <w:rtl w:val="true"/>
        </w:rPr>
        <w:t xml:space="preserve">- </w:t>
      </w:r>
      <w:r>
        <w:rPr>
          <w:rtl w:val="true"/>
        </w:rPr>
        <w:t>اعترافات علمای اهل تسنّن به ولادت حضرت مهدی</w:t>
      </w:r>
      <w:r>
        <w:rPr>
          <w:rtl w:val="true"/>
        </w:rPr>
        <w:t>(</w:t>
      </w:r>
      <w:r>
        <w:rPr>
          <w:rtl w:val="true"/>
        </w:rPr>
        <w:t>عجل الله تعالی فرجه الشریف</w:t>
      </w:r>
      <w:r>
        <w:rPr>
          <w:rtl w:val="true"/>
        </w:rPr>
        <w:t>)</w:t>
      </w:r>
      <w:bookmarkEnd w:id="49"/>
    </w:p>
    <w:p>
      <w:pPr>
        <w:pStyle w:val="BookText"/>
        <w:rPr/>
      </w:pPr>
      <w:r>
        <w:rPr>
          <w:rFonts w:ascii="IRNazanin" w:hAnsi="IRNazanin" w:eastAsia="IRNazanin"/>
          <w:color w:val="111111"/>
          <w:sz w:val="28"/>
          <w:sz w:val="28"/>
          <w:szCs w:val="28"/>
          <w:rtl w:val="true"/>
          <w:lang w:bidi="fa-IR"/>
        </w:rPr>
        <w:t xml:space="preserve">اگر کسی به کتاب إلزام الناصب مراجعه کند، سخنان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را نقل کرده است که به بیش از صد صفحه می‌رسد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شاید جامع‌ترین کتاب شیعی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وسیلۀ مهدی فقیه ایمانی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اسامی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آورده است که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در حالی است که وی اسامی نزدیک به سی نفر از علمای اهل‌سنّت را ذکر نکرده است و دیگران این اسامی را در کتابهای خود آورده‌اند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ثامر عمیدی، این اعترافات را به حسب زمان مرتّب نموده است تا تواتر و اجماع علمای اهل سنّت را بیشتر آشکار سازد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سپس اسم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اهل‌سنّت را ذکر کرده است که در مصنّفات خود،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الثانی عشر من ائمة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افراد، کسانی بوده‌اند که در عصر میلاد و غیبت صغرای آن حضرت، حضور داشته‌اند و روشن است که شهادت و گواهی اینان ارزش فوق‌العادۀ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رویانی،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بن علی الکندی، از شاگردان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ثلج، ابوبکر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موالید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ضمن کتاب الفصول العشرة فی الغیبه، تألیف شیخ مفید، به چاپ رسیده و بار دیگر با کتاب نوادر قطب راوندی،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اشرف به چاپ رسیده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کسانی که نزدیک به عهد غیبت صغری می‌زیسته و از علمای بزرگ به شمار می‌رفته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کتاب مفاتیح العلوم، 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bookmarkStart w:id="50" w:name="pg5348_45810"/>
    </w:p>
    <w:p>
      <w:pPr>
        <w:pStyle w:val="Heading4"/>
        <w:numPr>
          <w:ilvl w:val="3"/>
          <w:numId w:val="1"/>
        </w:numPr>
        <w:rPr/>
      </w:pPr>
      <w:bookmarkStart w:id="51" w:name="__RefHeading___Toc1138649_581953129"/>
      <w:bookmarkStart w:id="52" w:name="_Toc19"/>
      <w:bookmarkEnd w:id="50"/>
      <w:bookmarkEnd w:id="51"/>
      <w:r>
        <w:rPr>
          <w:rtl w:val="true"/>
        </w:rPr>
        <w:t>منکران ولادت امام مهدی</w:t>
      </w:r>
      <w:r>
        <w:rPr>
          <w:rtl w:val="true"/>
        </w:rPr>
        <w:t>(</w:t>
      </w:r>
      <w:r>
        <w:rPr>
          <w:rtl w:val="true"/>
        </w:rPr>
        <w:t>عجل الله تعالی فرجه الشریف</w:t>
      </w:r>
      <w:r>
        <w:rPr>
          <w:rtl w:val="true"/>
        </w:rPr>
        <w:t>)</w:t>
      </w:r>
      <w:bookmarkEnd w:id="52"/>
    </w:p>
    <w:p>
      <w:pPr>
        <w:pStyle w:val="BookText"/>
        <w:rPr/>
      </w:pPr>
      <w:r>
        <w:rPr>
          <w:rFonts w:ascii="IRNazanin" w:hAnsi="IRNazanin" w:eastAsia="IRNazanin"/>
          <w:color w:val="111111"/>
          <w:sz w:val="28"/>
          <w:sz w:val="28"/>
          <w:szCs w:val="28"/>
          <w:rtl w:val="true"/>
          <w:lang w:bidi="fa-IR"/>
        </w:rPr>
        <w:t>از جمله مسائلی که منکران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تمسّک جسته‌اند، اختلاف شیعه در تاریخ ولادت آن حضرت و اسم وی و گواهی جعفر کذّاب، عموی آن حضرت است بر این که برادرش از دنیا رفت، در حالی که فرزندی از خود باقی نگذاشت، بوده‌است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عدّه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تاریخی برای اثبات، یا نفی موضوعی که جنبۀ عقایدی و غیبی دارد، صلاحیّت ندارد و تنها می تواند به عنوان مؤیّد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قبلاً توضیح داده شد، اصل بر مخفیانه و سرّی بودن ولادت حضرت بوده است تا مورد تعرّض قرار نگیرد، از این رو، مخفی ماندن سال تولّد، یا نام مادر امام، طبیعی خواهد بود؛ چرا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مخفی داشتن این واقعه حتّی از نزدیکترین افراد به خود بود تا مبادا خبر به دربار عبّاسی برسد، بدین جهت، ادّعای جعفر کذّاب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وفرزندی نداشته است، می تواند مصداقی از همین موضوع باشد وحتّی بر فرض این که وی فردی صادق و راستگویی بوده است، این ادّعای او قابل توجیه است، چه</w:t>
      </w:r>
      <w:bookmarkStart w:id="53" w:name="pg5348_45811"/>
    </w:p>
    <w:p>
      <w:pPr>
        <w:pStyle w:val="BookText"/>
        <w:rPr/>
      </w:pPr>
      <w:bookmarkEnd w:id="53"/>
      <w:r>
        <w:rPr>
          <w:rFonts w:ascii="IRNazanin" w:hAnsi="IRNazanin" w:eastAsia="IRNazanin"/>
          <w:color w:val="111111"/>
          <w:sz w:val="28"/>
          <w:sz w:val="28"/>
          <w:szCs w:val="28"/>
          <w:rtl w:val="true"/>
          <w:lang w:bidi="fa-IR"/>
        </w:rPr>
        <w:t>رسد به این که وی به فسق و دروغگویی مشهور بوده است و چگونه گواهی او می‌تواند مورد استناد قرار گیرد؟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54" w:name="__RefHeading___Toc1138651_581953129"/>
      <w:bookmarkStart w:id="55" w:name="_Toc20"/>
      <w:bookmarkEnd w:id="54"/>
      <w:r>
        <w:rPr>
          <w:rtl w:val="true"/>
        </w:rPr>
        <w:t>ویژگی دوّم</w:t>
      </w:r>
      <w:r>
        <w:rPr>
          <w:rtl w:val="true"/>
        </w:rPr>
        <w:t xml:space="preserve">: </w:t>
      </w:r>
      <w:r>
        <w:rPr>
          <w:rtl w:val="true"/>
        </w:rPr>
        <w:t>امامت در دوران طفولیّت</w:t>
      </w:r>
      <w:bookmarkEnd w:id="55"/>
    </w:p>
    <w:p>
      <w:pPr>
        <w:pStyle w:val="BookText"/>
        <w:rPr/>
      </w:pPr>
      <w:r>
        <w:rPr>
          <w:rFonts w:ascii="IRNazanin" w:hAnsi="IRNazanin" w:eastAsia="IRNazanin"/>
          <w:color w:val="111111"/>
          <w:sz w:val="28"/>
          <w:sz w:val="28"/>
          <w:szCs w:val="28"/>
          <w:rtl w:val="true"/>
          <w:lang w:bidi="fa-IR"/>
        </w:rPr>
        <w:t xml:space="preserve">از دیگر ویژگیهای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مقام امامت در دوران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زاویۀ اسلامی به این ویژگی می‌نگریم و در صدد دفع شبهاتی هستیم که بر آن وارد می‌شود و گاهی از زاویۀ واقعیّت بدان می‌نگریم و می‌خواهیم بررسی کنیم که آیا این امامت، امامتی واقعی است که زمینه‌های لازم را برای امامت امّت در بر دارد؟ و یا این که امامتی فرضی و ادّعایی است؟</w:t>
      </w:r>
    </w:p>
    <w:p>
      <w:pPr>
        <w:pStyle w:val="BookText"/>
        <w:rPr/>
      </w:pPr>
      <w:r>
        <w:rPr>
          <w:rFonts w:ascii="IRNazanin" w:hAnsi="IRNazanin" w:eastAsia="IRNazanin"/>
          <w:color w:val="111111"/>
          <w:sz w:val="28"/>
          <w:sz w:val="28"/>
          <w:szCs w:val="28"/>
          <w:rtl w:val="true"/>
          <w:lang w:bidi="fa-IR"/>
        </w:rPr>
        <w:t xml:space="preserve">اگر از زاویۀ اسلامی به این مسأله بنگریم، ابتدا باید روشن کنیم که آیا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مسأله‌ای عقایدی، یا مسأله‌ای تشریعی است؟ اگر مسأله‌ای عقایدی است؛ چنان که شیعه بدان معتقد است، می‌بینیم که در قرآن به نبوّت یک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 ای عقایدی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و خدای متعال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یَحْیَی خُذِ الْکِتَبَ بِقُوَّة وَآتَیْنَاهُ الْحُکْمَ صَبِیّاً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 قوّت بگیر و ما در کودکی، حکم پیامبری را به وی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امامت، مسأله‌ای تشریعی باشد، در این صورت طفل از جمله محجورین است که ولایت بر خود نداشته و احتیاج به قیّم دارد و اگر کسی بر خودش ولایت ندارد، چگونه می‌تواند بر دیگران ولایت داشته باشد؟ پس در این فرض، امامت برای طفل، مشروع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مسأله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چهارگانۀ اهل‌سنّت، خلافت، امامت و ولایت را از مسائل تشریعی و از اعمال مکلّفین می‌دانند، در حالی که در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مسائل اعتقادی و از جملۀ اصول دین می‌دانند که از شؤون خدای متعال می‌باشد و جزء اعمال مکلّفین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در مکتب اهل‌بیت، به امامت در زمان طفولیّت برای عدّه‌ای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هستند و این اعتقاد با اصول عقاید ایشان هماهنگ و مطابق است و هیچ ایرادی بر آن وارد نیست، مادامی که قرآن به نبوّت یحیی در کودکی تصریح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تشریعی هم ایرادی بر آن وارد نیست، مادامی که از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خارج از محدودۀ تشریع است و در محدودۀ اصول عقاید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ولایت بر محجورین، بر</w:t>
      </w:r>
    </w:p>
    <w:p>
      <w:pPr>
        <w:pStyle w:val="BookText"/>
        <w:rPr/>
      </w:pPr>
      <w:r>
        <w:rPr>
          <w:rFonts w:ascii="IRNazanin" w:hAnsi="IRNazanin" w:eastAsia="IRNazanin"/>
          <w:color w:val="111111"/>
          <w:sz w:val="28"/>
          <w:sz w:val="28"/>
          <w:szCs w:val="28"/>
          <w:rtl w:val="true"/>
          <w:lang w:bidi="fa-IR"/>
        </w:rPr>
        <w:t>مکلّفین منطبق است و بر خدای متعال منطبق نمی‌شود؛ زیرا شریعت، همان دستورات الهی است که متوجّه مکلّفین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استشهاد به پیامبری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برای بیان این مطلب است که امامت، همانند نبوّت، مسأله‌ای اعتقادی می‌باشد و مسائل اعتقادی، تابع معیارهای مردمی و حتّی معیارهای شریعتی که برای تنظیم امور مکلّفین است، قرار نمی‌گیرد و نمی‌توان معیارهای تشریعی را بر خدای متعال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نبوّت یحیی در کودکی به ما می‌فهماند که قوام مسائل اعتقادی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دلیلی بر امامت طفلی اقامه شد، باید آن را قبول کرد؛ چنان که پیامبری یک طفل را با دلیل، قبول کردیم و در این صورت، جای آن نیست که عدّه‌ای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به نبوّت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تصریح شده است و به مسألۀ مهدویّت، هیچ اشاره نشده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روشن می‌شود که اعتراض ابن حجر هیتمی و امثال او بر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نامناسب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مطهّر مقرّر شده است که ولایت صغیر، صحیح نیست و در این صورت چگونه عدّه‌ای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فردی را پذیرفته‌اند که تنها پنج سال از عمرش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از منظر تاریخی به مسأله نگاه کنیم، می‌بینیم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درپنج سالگی امامت را بعد از وفات پدرش برعهده می‌گیرد و این بدان معناست که او تمام شرایط روحی، علمی و جسمی را برای پذیرش این وظیفۀ سنگین در دوران کودکی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این مورد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دوران کودکی از مسائلی است که در بعضی از پدران بزرگوارش سابقه داشته است؛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هشت سالگی بر عهده گرفت </w:t>
      </w:r>
      <w:r>
        <w:rPr>
          <w:rStyle w:val="FootnoteAnchor"/>
          <w:rtl w:val="true"/>
        </w:rPr>
        <w:footnoteReference w:id="55"/>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سالگی </w:t>
      </w:r>
      <w:r>
        <w:rPr>
          <w:rStyle w:val="FootnoteAnchor"/>
          <w:rtl w:val="true"/>
        </w:rPr>
        <w:footnoteReference w:id="56"/>
      </w:r>
      <w:r>
        <w:rPr>
          <w:rFonts w:ascii="IRNazanin" w:hAnsi="IRNazanin" w:eastAsia="IRNazanin"/>
          <w:color w:val="111111"/>
          <w:sz w:val="28"/>
          <w:sz w:val="28"/>
          <w:szCs w:val="28"/>
          <w:rtl w:val="true"/>
          <w:lang w:bidi="fa-IR"/>
        </w:rPr>
        <w:t>امامت را بر عهده گرفت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می‌گذشت، عهده‌دار مسؤولیّت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می‌شود، پدیدۀ امامت در دوران طفولیّت، در زمان ائمّۀ دیگر تجربه شده است</w:t>
      </w:r>
    </w:p>
    <w:p>
      <w:pPr>
        <w:pStyle w:val="BookText"/>
        <w:rPr/>
      </w:pPr>
      <w:r>
        <w:rPr>
          <w:rFonts w:ascii="IRNazanin" w:hAnsi="IRNazanin" w:eastAsia="IRNazanin"/>
          <w:color w:val="111111"/>
          <w:sz w:val="28"/>
          <w:sz w:val="28"/>
          <w:szCs w:val="28"/>
          <w:rtl w:val="true"/>
          <w:lang w:bidi="fa-IR"/>
        </w:rPr>
        <w:t>و مردم بدان عادت کرده‌اند و همین تجربه، مهمترین دلیل برای اثبات پدیده‌ای می‌باشد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جا باید به این مسأله در ضمن نکاتی، توجّه بیشتری مبذول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همانند سلطنت نمی‌باشد که از پدر به پسر به ارث برسد، همانند امامت خلفای فاطمی و خلفای بنی‌عبّاس بلکه امام باید دارای ویژگیهای روحی، معنوی و علمی خاصّی باشد تا بتواند رهبری امّت اسلامی را از جهت روحی و فکری بر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از زمان ظهور اسلام بنیانگذاری شد و در زمان امامت حضرت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توسعۀ بیشتری یافت و جریان فکری بزرگی توسّط این دو امام، ایجاد و راهنمایی شد به گونه‌ای که صدها فقیه، متکلم، مفسّر و صاحبان اندیشه در زمینه‌های علوم بشری و معرفتی، به جامعۀ اسلامی در آن زمان تحویل داده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وشا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مسجد کوفه شدم در آن زمان نهصد شیخ را دیدم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 ما چنین روایت 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معیّن کرده، شروط بسیار سختی است که هر کسی نمی‌تواند دارای آن شروط باشد و اگر کسی این شروط را داشت، می‌توانست امام باشد و از جمله شروط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اعلم علمای عصر خودش باشد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اصرار و پافشاری بر افکار و اندیشه‌های خود، تلفات جانی و مالی فراوانی را متحمّل می‌شدند؛ زیرا</w:t>
      </w:r>
    </w:p>
    <w:p>
      <w:pPr>
        <w:pStyle w:val="BookText"/>
        <w:rPr/>
      </w:pPr>
      <w:r>
        <w:rPr>
          <w:rFonts w:ascii="IRNazanin" w:hAnsi="IRNazanin" w:eastAsia="IRNazanin"/>
          <w:color w:val="111111"/>
          <w:sz w:val="28"/>
          <w:sz w:val="28"/>
          <w:szCs w:val="28"/>
          <w:rtl w:val="true"/>
          <w:lang w:bidi="fa-IR"/>
        </w:rPr>
        <w:t>نظامهای سلطه ایشان را حدّ اقل از جهت فکری، دشمن خود می‌دانستند؛ از این رو، برخی را به قتل رساندند و برخی را به زندان افکندند وصدها نفر از ایشان در سیاهچالها جان باختند؛ بنابراین،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اعتقادشان همواره بهای گزافی را پرداخته اند؛ </w:t>
      </w:r>
      <w:r>
        <w:rPr>
          <w:rStyle w:val="FootnoteAnchor"/>
          <w:rtl w:val="true"/>
        </w:rPr>
        <w:footnoteReference w:id="60"/>
      </w:r>
      <w:r>
        <w:rPr>
          <w:rFonts w:ascii="IRNazanin" w:hAnsi="IRNazanin" w:eastAsia="IRNazanin"/>
          <w:color w:val="111111"/>
          <w:sz w:val="28"/>
          <w:sz w:val="28"/>
          <w:szCs w:val="28"/>
          <w:rtl w:val="true"/>
          <w:lang w:bidi="fa-IR"/>
        </w:rPr>
        <w:t>امّا از آن جا که این عقیده را بر حق می‌دانستند، پای آن ایستادگی می‌کردند و برای تقرّب به درگاه خدا، شهادت و شکنجه را با آغوشی باز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که دارای شرایط ویژه بودند، در کنار مردم زندگی می‌کردند و از آنان کناره نمی‌گرفتند، مگر این که سلطۀ حاکم آنان را تبعید، یا زندانی و رابطۀ مردم را با ایشان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خلال هزاران روایتی که علما و مردم عادی از ائمّه نقل کرده‌اند و نیز مکاتبات ائمّه با دیگران فهمیده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با سفرهای خود و با ارسال نمایندگان با مردم رابطه برقرار می‌کرد و به شیعیان توصیه کرده بود که پس از انجام مناسک حج به مدینه بروند </w:t>
      </w:r>
      <w:r>
        <w:rPr>
          <w:rStyle w:val="FootnoteAnchor"/>
          <w:rtl w:val="true"/>
        </w:rPr>
        <w:footnoteReference w:id="61"/>
      </w:r>
      <w:r>
        <w:rPr>
          <w:rFonts w:ascii="IRNazanin" w:hAnsi="IRNazanin" w:eastAsia="IRNazanin"/>
          <w:color w:val="111111"/>
          <w:sz w:val="28"/>
          <w:sz w:val="28"/>
          <w:szCs w:val="28"/>
          <w:rtl w:val="true"/>
          <w:lang w:bidi="fa-IR"/>
        </w:rPr>
        <w:t>تا امام زمان خویش را ملاقات نموده و</w:t>
      </w:r>
    </w:p>
    <w:p>
      <w:pPr>
        <w:pStyle w:val="BookText"/>
        <w:rPr/>
      </w:pPr>
      <w:r>
        <w:rPr>
          <w:rFonts w:ascii="IRNazanin" w:hAnsi="IRNazanin" w:eastAsia="IRNazanin"/>
          <w:color w:val="111111"/>
          <w:sz w:val="28"/>
          <w:sz w:val="28"/>
          <w:szCs w:val="28"/>
          <w:rtl w:val="true"/>
          <w:lang w:bidi="fa-IR"/>
        </w:rPr>
        <w:t>سؤالهای خود را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نشانۀ رابطۀ عمیق امام با امّت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حاکم، رهبری معنوی ائمّه را خطری برای خود می‌دانستند؛ از این رو، تلاش می‌کردند تا این زعامت و رهبری را خدشه‌دار نموده و آن را از هر طریق ممکن، بشکنند و در این مسیر، گاهی قساوت و خون‌آشامی عجیبی از خود بروز می‌دادند </w:t>
      </w:r>
      <w:r>
        <w:rPr>
          <w:rStyle w:val="FootnoteAnchor"/>
          <w:rtl w:val="true"/>
        </w:rPr>
        <w:footnoteReference w:id="62"/>
      </w:r>
      <w:r>
        <w:rPr>
          <w:rFonts w:ascii="IRNazanin" w:hAnsi="IRNazanin" w:eastAsia="IRNazanin"/>
          <w:color w:val="111111"/>
          <w:sz w:val="28"/>
          <w:sz w:val="28"/>
          <w:szCs w:val="28"/>
          <w:rtl w:val="true"/>
          <w:lang w:bidi="fa-IR"/>
        </w:rPr>
        <w:t>و این در حالی بود که مسلمانان از این اعمال وحشیانۀ نظام حاکم، بیزار بودند و آن را نمی‌پسندیدند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نکات مذکور، شکّی باقی نمی‌ماند که امامت در طفولیّت، امری حقیقی و واقعی بوده است؛ زیرا یکی از شرایط بسیار مهمّ امام، افضلیّت در علم است و نظامهای حاکم می‌توانستند که با تشکیل مناظره‌ها و دعوت از علمای بزرگ، آبروی ائمّه را ببرند و بدون آن که احتیاج به برخوردهای شدید و قهرآمیز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باعث محبوبیّت بیشتر ائمّه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طریق علمی، مفتضح و رسوا سازند تا شیعیان نیز به دنبال کار خود بروند، امّا مشاهده می‌شود که آنان هیچ گاه از این طریق، وارد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دلیل سکوت نظامهای سلطه در مقابل فضیلت علمی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کودکی، یقین به افضلیّت علمی آنان بوده است و از این رو، با توسّل به زور و چماق می‌خواستند که ائمّه و پیروانشان را تار و مار کنند و هیچ گاه به مناظرۀ علمی، تن در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فهمیده می‌شود که مقام امامت، انتصابی است که خدا آن را به هر کس بخواهد اعطا می‌کند و یک طفل، هر چه باهوش و نابغه باشد، نمی‌تواند به مناظره با بزرگان علمی یک امپراتوری بپردازد و آنان را محکوم کند و این مقام امامت، در طفولیّت، همانند مقام نبوّت است که در طفولیّت به حضرت یحیی اعطا شد؛ چنان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یَحْیَی خُذِ الْکِتَبَ بِقُوَّة وَآتَیْنَاهُ الْحُکْمَ صَبِیّاً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ثابت شد، امامت و نبوّت در زمان طفولیّت برای پیامبر و امام واقع شده است، در این صورت، جایی برای اعتراض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طفولیّت باقی نمی‌ماند</w:t>
      </w:r>
      <w:r>
        <w:rPr>
          <w:rFonts w:eastAsia="IRNazanin" w:cs="IRNazanin"/>
          <w:color w:val="111111"/>
          <w:sz w:val="28"/>
          <w:szCs w:val="28"/>
          <w:rtl w:val="true"/>
          <w:lang w:bidi="fa-IR"/>
        </w:rPr>
        <w:t xml:space="preserve">. </w:t>
      </w:r>
      <w:r>
        <w:rPr>
          <w:rStyle w:val="FootnoteAnchor"/>
          <w:rtl w:val="true"/>
        </w:rPr>
        <w:footnoteReference w:id="65"/>
      </w:r>
      <w:bookmarkStart w:id="56" w:name="pg5348_45820"/>
    </w:p>
    <w:p>
      <w:pPr>
        <w:pStyle w:val="Heading4"/>
        <w:numPr>
          <w:ilvl w:val="3"/>
          <w:numId w:val="1"/>
        </w:numPr>
        <w:rPr/>
      </w:pPr>
      <w:bookmarkStart w:id="57" w:name="__RefHeading___Toc1138653_581953129"/>
      <w:bookmarkStart w:id="58" w:name="_Toc21"/>
      <w:bookmarkEnd w:id="56"/>
      <w:bookmarkEnd w:id="57"/>
      <w:r>
        <w:rPr>
          <w:rtl w:val="true"/>
        </w:rPr>
        <w:t>ویژگی سوّم</w:t>
      </w:r>
      <w:r>
        <w:rPr>
          <w:rtl w:val="true"/>
        </w:rPr>
        <w:t xml:space="preserve">: </w:t>
      </w:r>
      <w:r>
        <w:rPr>
          <w:rtl w:val="true"/>
        </w:rPr>
        <w:t>غیبت و عمر طولانی</w:t>
      </w:r>
      <w:bookmarkEnd w:id="58"/>
    </w:p>
    <w:p>
      <w:pPr>
        <w:pStyle w:val="Heading5"/>
        <w:numPr>
          <w:ilvl w:val="4"/>
          <w:numId w:val="1"/>
        </w:numPr>
        <w:rPr/>
      </w:pPr>
      <w:bookmarkStart w:id="59" w:name="__RefHeading___Toc1138655_581953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از جمله مقتضیات و خصوصیّات مهدویّت در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از نظرها غایب می‌شود تا زمانی که خدا به وی اذن ظهور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امام در زمان غیبت، باید از دو جهت مورد بررسی قرار گیرد</w:t>
      </w:r>
      <w:r>
        <w:rPr>
          <w:rFonts w:eastAsia="IRNazanin" w:cs="IRNazanin"/>
          <w:color w:val="111111"/>
          <w:sz w:val="28"/>
          <w:szCs w:val="28"/>
          <w:rtl w:val="true"/>
          <w:lang w:bidi="fa-IR"/>
        </w:rPr>
        <w:t>:</w:t>
      </w:r>
    </w:p>
    <w:p>
      <w:pPr>
        <w:pStyle w:val="Heading5"/>
        <w:numPr>
          <w:ilvl w:val="4"/>
          <w:numId w:val="1"/>
        </w:numPr>
        <w:rPr/>
      </w:pPr>
      <w:bookmarkStart w:id="61" w:name="__RefHeading___Toc1138657_581953129"/>
      <w:bookmarkStart w:id="62" w:name="_Toc23"/>
      <w:bookmarkEnd w:id="61"/>
      <w:r>
        <w:rPr/>
        <w:t>1</w:t>
      </w:r>
      <w:r>
        <w:rPr>
          <w:rtl w:val="true"/>
        </w:rPr>
        <w:t xml:space="preserve">- </w:t>
      </w:r>
      <w:r>
        <w:rPr>
          <w:rtl w:val="true"/>
        </w:rPr>
        <w:t>اثبات ممکن بودن عمر طولانی</w:t>
      </w:r>
      <w:bookmarkEnd w:id="62"/>
    </w:p>
    <w:p>
      <w:pPr>
        <w:pStyle w:val="BookText"/>
        <w:rPr/>
      </w:pPr>
      <w:r>
        <w:rPr>
          <w:rFonts w:ascii="IRNazanin" w:hAnsi="IRNazanin" w:eastAsia="IRNazanin"/>
          <w:color w:val="111111"/>
          <w:sz w:val="28"/>
          <w:sz w:val="28"/>
          <w:szCs w:val="28"/>
          <w:rtl w:val="true"/>
          <w:lang w:bidi="fa-IR"/>
        </w:rPr>
        <w:t>شهید صدر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فردی قرنهای متمادی ادامۀ حیات دهد؛ چنان که 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می‌شود و در حال حاضر عمر او از هزار سال گذشته است؟</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منطقی یا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برای بشر، انجام آن ممکن باشد، همانند سفر به کرۀ ماه و سفر به اعماق اقیانوسها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حاضر، ممکن است که بعضی از کارها با توجّه به امکانات فعلی، امکان عملی نداشته باشند؛ همانند سفر به کرۀ مرّیخ، امّا از جهت علمی، هیچ منعی</w:t>
      </w:r>
    </w:p>
    <w:p>
      <w:pPr>
        <w:pStyle w:val="BookText"/>
        <w:rPr/>
      </w:pPr>
      <w:r>
        <w:rPr>
          <w:rFonts w:ascii="IRNazanin" w:hAnsi="IRNazanin" w:eastAsia="IRNazanin"/>
          <w:color w:val="111111"/>
          <w:sz w:val="28"/>
          <w:sz w:val="28"/>
          <w:szCs w:val="28"/>
          <w:rtl w:val="true"/>
          <w:lang w:bidi="fa-IR"/>
        </w:rPr>
        <w:t>برای انجام آن وجود ندارد و علم، انجام آن را با فراهم شدن امکانات لازم، ممکن و قابل دسترسی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صعود به کرۀ خورشید را ناممکن می‌داند؛ زیرا علم، ساختن وسیله‌ای که میلیونها درجه حرارت را تحمّل کند، غیرممکن می‌داند و از این رو، نزدیک شدن به کرۀ خورشید، به ذهن انسان خطور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منطقی یا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توجّه به قوانینی که پیش از تجربه به آنها ایمان دارد، وقوع چیزی را محال نمی‌داند و آن را در ظرف امکان، قرار می‌دهد؛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سه پرتقال به دو قسمت مساوی را بدون نصف کردن یکی از پرتقالها محال منطقی می‌داند؛ چون سه، فرد است و تقسیم مساوی آن امکان منطقی ندارد، امّا ورود انسان به آتش و نسوختن، امکان عقلی دارد؛ چون ممکن است حرارت از جسم گرم‌تر به جسم سردتر منتقل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نتیجه گرفته می‌شود که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در این نیست که امتداد عمر انسان تا هزاران سال، امکان منطقی دارد؛ زیرا چنین رویدادی از نظر عقل تجریدی، محال نیست</w:t>
      </w:r>
    </w:p>
    <w:p>
      <w:pPr>
        <w:pStyle w:val="BookText"/>
        <w:rPr/>
      </w:pPr>
      <w:r>
        <w:rPr>
          <w:rFonts w:ascii="IRNazanin" w:hAnsi="IRNazanin" w:eastAsia="IRNazanin"/>
          <w:color w:val="111111"/>
          <w:sz w:val="28"/>
          <w:sz w:val="28"/>
          <w:szCs w:val="28"/>
          <w:rtl w:val="true"/>
          <w:lang w:bidi="fa-IR"/>
        </w:rPr>
        <w:t>و هیچ تناقضی در فرض چنین پدیده‌ای به وجود نمی‌آید؛ زیرا حیات، مفهومی است که لازمه‌اش مرگ سریع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هیچ شکّی در این نیست که عمر طولانی، امکان عملی ندارد؛ زیرا هنوز وسایل و امکان لازم برای ایجاد عمر طولانی ساخته و فراهم نشده است و تاکنون بشر نتوانسته است عمر چند صد ساله را در عصر حاضر تجربه کند و امّا از نظر علمی، عمر طولانی کاملاً امکان دارد و از این رو محقّقان درصدد آن هستند که با کشف رمز و رازهای وجود انسان، عمر او را طولانی‌تر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پیری، ضعیف شدن و از کار افتادن بافتها و سلولهای بدن بر اثر تماس با عوامل خارجی است و اگر بتوانیم با فراهم کردن زمینه‌هایی، از ضعیف شدن بافتها جلوگیری کنیم، پیری را به تأخیر انداخته‌ایم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طولانی از جهت علمی و فلسفی، ممکن است، اگر چه از نظر عملی، هنوز ممکن نیست و شاید که در آینده ممکن شود؛ بنابراین، عجیب نیست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داشته باشد؛ زیرا ممکن است او به علوم و امکاناتی دسترسی داشته باشد که بشر هنوز به این امکانات دست نیافته است؛ برای مثال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که در یک شب از مسجدالحرام به مسجدالاقصی برود و این کار از جهت عملی برای او ممکن شود و بشر پس از هزار سال، با دسترسی به امکانات، امکان عملی این کار برای او فراهم شده است و می‌تواند در</w:t>
      </w:r>
      <w:bookmarkStart w:id="63" w:name="pg5348_45823"/>
    </w:p>
    <w:p>
      <w:pPr>
        <w:pStyle w:val="BookText"/>
        <w:rPr/>
      </w:pPr>
      <w:bookmarkEnd w:id="63"/>
      <w:r>
        <w:rPr>
          <w:rFonts w:ascii="IRNazanin" w:hAnsi="IRNazanin" w:eastAsia="IRNazanin"/>
          <w:color w:val="111111"/>
          <w:sz w:val="28"/>
          <w:sz w:val="28"/>
          <w:szCs w:val="28"/>
          <w:rtl w:val="true"/>
          <w:lang w:bidi="fa-IR"/>
        </w:rPr>
        <w:t>ظرف یک ساعت، هزاران کیلومتر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 طولانی هم، خداوند امکان عملی آن را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 و شاید که بشر پس از هزاران سال، به وسایل و امکانات طولانی کردن عمر،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عمر طولانی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بدان اشاره می‌کند،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طولانی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افراد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قرآن و احادیث نبوی ایمان ندارند که عمر نوح را حدود هزار سال می‌داند؟</w:t>
      </w:r>
    </w:p>
    <w:p>
      <w:pPr>
        <w:pStyle w:val="BookText"/>
        <w:rPr/>
      </w:pPr>
      <w:r>
        <w:rPr>
          <w:rFonts w:ascii="IRNazanin" w:hAnsi="IRNazanin" w:eastAsia="IRNazanin"/>
          <w:color w:val="111111"/>
          <w:sz w:val="28"/>
          <w:sz w:val="28"/>
          <w:szCs w:val="28"/>
          <w:rtl w:val="true"/>
          <w:lang w:bidi="fa-IR"/>
        </w:rPr>
        <w:t>جالب این است که نسوختن بدن به وسیلۀ آتش، امکان علمی و منطقی دارد، امّا امکان عملی ندارد و در قرآن به امکان عملی آن هم اشاره شده است، آن جا که خداوند به آتش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آن حضرت بدون آن که هیچ صدمه‌ای ببیند، از آتش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دریای نیل برای حضرت موسی شکافته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روشن شد که عمر طولانی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علمی و منطقی دارد</w:t>
      </w:r>
      <w:r>
        <w:rPr>
          <w:rFonts w:eastAsia="IRNazanin" w:cs="IRNazanin"/>
          <w:color w:val="111111"/>
          <w:sz w:val="28"/>
          <w:szCs w:val="28"/>
          <w:rtl w:val="true"/>
          <w:lang w:bidi="fa-IR"/>
        </w:rPr>
        <w:t>.</w:t>
      </w:r>
    </w:p>
    <w:p>
      <w:pPr>
        <w:pStyle w:val="Heading5"/>
        <w:numPr>
          <w:ilvl w:val="4"/>
          <w:numId w:val="1"/>
        </w:numPr>
        <w:rPr/>
      </w:pPr>
      <w:bookmarkStart w:id="64" w:name="__RefHeading___Toc1138659_581953129"/>
      <w:bookmarkStart w:id="65" w:name="_Toc24"/>
      <w:bookmarkEnd w:id="64"/>
      <w:r>
        <w:rPr/>
        <w:t>2</w:t>
      </w:r>
      <w:r>
        <w:rPr>
          <w:rtl w:val="true"/>
        </w:rPr>
        <w:t xml:space="preserve">- </w:t>
      </w:r>
      <w:r>
        <w:rPr>
          <w:rtl w:val="true"/>
        </w:rPr>
        <w:t>اثبات محقّق شدن عمر طولانی برای حضرت مهدی</w:t>
      </w:r>
      <w:r>
        <w:rPr>
          <w:rtl w:val="true"/>
        </w:rPr>
        <w:t>(</w:t>
      </w:r>
      <w:r>
        <w:rPr>
          <w:rtl w:val="true"/>
        </w:rPr>
        <w:t>عجل الله تعالی فرجه الشریف</w:t>
      </w:r>
      <w:r>
        <w:rPr>
          <w:rtl w:val="true"/>
        </w:rPr>
        <w:t>)</w:t>
      </w:r>
      <w:bookmarkEnd w:id="65"/>
    </w:p>
    <w:p>
      <w:pPr>
        <w:pStyle w:val="Heading6"/>
        <w:numPr>
          <w:ilvl w:val="5"/>
          <w:numId w:val="1"/>
        </w:numPr>
        <w:rPr/>
      </w:pPr>
      <w:bookmarkStart w:id="66" w:name="__RefHeading___Toc1138661_581953129"/>
      <w:bookmarkStart w:id="67" w:name="_Toc25"/>
      <w:bookmarkEnd w:id="66"/>
      <w:r>
        <w:rPr>
          <w:rtl w:val="true"/>
        </w:rPr>
        <w:t>اشاره</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دو طریق عقایدی و تاریخی، وارد بحث می‌شویم</w:t>
      </w:r>
      <w:r>
        <w:rPr>
          <w:rFonts w:eastAsia="IRNazanin" w:cs="IRNazanin"/>
          <w:color w:val="111111"/>
          <w:sz w:val="28"/>
          <w:szCs w:val="28"/>
          <w:rtl w:val="true"/>
          <w:lang w:bidi="fa-IR"/>
        </w:rPr>
        <w:t>:</w:t>
      </w:r>
      <w:bookmarkStart w:id="68" w:name="pg5348_45824"/>
    </w:p>
    <w:p>
      <w:pPr>
        <w:pStyle w:val="Heading6"/>
        <w:numPr>
          <w:ilvl w:val="5"/>
          <w:numId w:val="1"/>
        </w:numPr>
        <w:rPr/>
      </w:pPr>
      <w:bookmarkStart w:id="69" w:name="__RefHeading___Toc1138663_581953129"/>
      <w:bookmarkStart w:id="70" w:name="_Toc26"/>
      <w:bookmarkEnd w:id="68"/>
      <w:bookmarkEnd w:id="69"/>
      <w:r>
        <w:rPr>
          <w:rtl w:val="true"/>
        </w:rPr>
        <w:t>الف</w:t>
      </w:r>
      <w:r>
        <w:rPr>
          <w:rtl w:val="true"/>
        </w:rPr>
        <w:t xml:space="preserve">: </w:t>
      </w:r>
      <w:r>
        <w:rPr>
          <w:rtl w:val="true"/>
        </w:rPr>
        <w:t>طریق عقایدی</w:t>
      </w:r>
      <w:bookmarkEnd w:id="70"/>
    </w:p>
    <w:p>
      <w:pPr>
        <w:pStyle w:val="BookText"/>
        <w:rPr/>
      </w:pPr>
      <w:r>
        <w:rPr>
          <w:rFonts w:ascii="IRNazanin" w:hAnsi="IRNazanin" w:eastAsia="IRNazanin"/>
          <w:color w:val="111111"/>
          <w:sz w:val="28"/>
          <w:sz w:val="28"/>
          <w:szCs w:val="28"/>
          <w:rtl w:val="true"/>
          <w:lang w:bidi="fa-IR"/>
        </w:rPr>
        <w:t>این مطلب را به سه شیوه می‌توان تقریر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از خصوصیّات ذاتی مفهوم مهدویّت در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خصوصیّت با برهان قطعی ثابت شد و طبیعتاً ما را به غیبت امام دوازدهم معتقد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ائمّه دوازده نفر باشند و با اتمام آنان، جهان به پایان برسد و وقتی که دوازده امام از سوی خدا منصوب شده‌اند و مردم هیچ اختیاری در انتخاب، یا عزل آنان ندارند، باید بپذیریم که عمر امام دوازدهم، استمرار می‌یابد و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طبیعی است و پس از مدّتی، وفات کرده است و هنگام ظهور، دوباره زنده می‌شود،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فرض، زمین از حجّت خدا خالی می‌ماند و این مخالف با مفاد حدیث ثقلین است که دلالت بر تلازم کتاب و عترت تا روز قیامت دارد و همچنین لازم می‌آید که به رجعت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معتقد شویم که هیج مسلمانی قایل به این نشده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از صفات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بدان توصیف شده است و بعضی از منابع اهل‌سنّت از قبیل ینابیع المودّه و فرائد السمطین بدان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ینابیع المودّه به نقل از فرائد السمطین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تکون له غیبة اذا ظهر، 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که دارای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ظهور کند، زمین را پس از آن‌که از ظلم و جور پر شده است، از عدل و قسط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از سعید بن جبیر، از ابن عبّاس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وصیّی و من ولده القائم المنتظر المهدی الذی یملأ الأرض قسطاً و عدلاً کما ملئت ظلماً و جوراً، و الذی بعثنی بالحقّ بشیراً و نذیراً أنَّ الثابتین علی القول بإمامته فی زمان غیبته لأعزّ من الکبریت الأحمر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وصی من است و حضرت قائم منتظر، از فرزندان او است که زمین را پس از آن که از ظلم و جور پر شده است، پر از قسط و عدل می‌کند و قسم به کسی که مرا به حق به عنوان بشیر و نذیر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زمان غیبتش، بر امامت او ثابت قدم می‌مانند، از کبریت احمر نایاب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جابر برخاست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قائم که از فرزندان شماست، غیبتی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رَبّی لیمحص اللّهُ الذین آمنوا و یمحق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کسانی را که ایمان آورده‌اند برمی‌گزیند و کافران را نابود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من أمر اللّهِ و سرٌ من سرِّا للّه فإیاکَ و الشک فإنَّ الشَّکَ فی أمراللّه عزّوجلّ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امری از امور الهی و سرّی از اسرار الهی است و مبادا در آن شک کنی که شک در امر الهی،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صفحه از حسن بن خالد نقل کرده است که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الرابع من وُلدی ابن سیّدة الإماء یطهّر اللّهُ به الأرضَ من کُلّ جور و ظلم و هو الذی یشک الناسُ فی ولادته و هو صاحب الغیبة فاذا خرج أشرقت الأرض بنور رِّبها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از فرزندان من که پسر سیّدۀ کنیزان است، متولّد می‌شود و خداوند به وسیلۀ او زمین را از هر ظلم و جوری پاک می‌گرداند و او کسی است که مردم در ولادتش شک می‌کنند و اوست صاحب غیبت طولانی که وقتی خروج می‌کند، زمین به نور پروردگارش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از احمد بن زیاد، از دعبل بن علی خزاعی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تا این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 بعدی، ابنی محمّد و بعد محمّد، ابنه علی و بعدَ علی، ابنه الحسن و بعد الحسن ابنه الحجّة القائم و هو المنتظر فی غیبته و المطاع فی ظهوره و یملأ الأرض قسطاً و عدلاً کما ملئت جوراً و ظلماً و أمّا متی یقوم؟ فقد حدّثنی أبی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الساعةِ لا تاتیکم الا بَغتَةً</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محمّد بن علی، علی بن محمّد، حسن بن علی و بعد از او پسرش حجّت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است و در انتظار ظهور به سر می‌برد و پس از ظهور، اطاعت می‌شود و زمین را پس از آن که از ظلم و جور پر شده است، از قسط و عدل پر می‌کند و امّا این که چه وقت ظهور می‌کند، پدرم از پدرانش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ظهور او همانند وقوع قیامت است که ناگهان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از غایة المرام، از فرائد السمطین، از جابر بن عبداللّه به صورت مرفوع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 کنیته کنیتی، أشبه الناسِ بی خُلقاً و خَلقا تکون له غیبة و حیرة تضلّ فیها الأُمم یقبل کالشهاب الثاقب یملأها عدلاً و قسطاً کما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که همنام و هم کنیۀ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از جهت خُلْق و خَلق به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دارد که در این مدّت امّتها به گمراهی کشیده می‌شوند و ناگهان همانند شهابی ظهور می‌کند و زمین را پس از آن که از ظلم و جور پر شده است، از قسط و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فرائد السمطین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تکون له غیبة و حیرة تضلّ فیها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که غیبتی دارد و در این مدّت امّتها حیران و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ظهور، زمین را که پر از ظلم و جور شده است،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مناقب، از ابوجعفر محمّد بن علی الباقر نقل کرده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أدرکَ قائم أهل بیتی و هو یأتم به فی غیبته قبل قیامه و یتولی أولیاءه و یعادی أعداءه ذلک من رفقائی و ذوی مودتی و أکرم امّتی علی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قائم اهل‌بیت مرا درک کند و در زمان غیبت و قبل از ظهورش او را به عنوان امام خویش انتخاب کند و دوستانش را دوست بدارد و با دشمنانش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رفقا و دوستداران من و از بهترین افراد امّتم در روز قیامت در نظر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امیر المؤمنین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 کنیته کنیتی و هو أشبه الناس بی خَلفا و خُلقا، تکون له غیبة و حیرةٌ فی الأُمم حتّی یضلّ الخلق عن أدیانهم، فعند ذلک یقبل کالشهاب الثاقب، فیملأ الأرض قسطاً و عدلاً کما ملئت ظلماً و جوراً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که همنام و هم کنیۀ من می‌باشد و شبیه‌ترین فرد از جهت خلق و خوی به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غیبتی</w:t>
      </w:r>
    </w:p>
    <w:p>
      <w:pPr>
        <w:pStyle w:val="BookText"/>
        <w:rPr/>
      </w:pPr>
      <w:r>
        <w:rPr>
          <w:rFonts w:ascii="IRNazanin" w:hAnsi="IRNazanin" w:eastAsia="IRNazanin"/>
          <w:color w:val="111111"/>
          <w:sz w:val="28"/>
          <w:sz w:val="28"/>
          <w:szCs w:val="28"/>
          <w:rtl w:val="true"/>
          <w:lang w:bidi="fa-IR"/>
        </w:rPr>
        <w:t>است که در آن، مردم از ادیان خود گمراه می‌شوند و در این هنگام، ناگهان همانند شهابی ظهور می‌کند و زمین را پس از آن که از ظلم و جور پر شده، از قسط و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حدیثی شبیه این ذکر شده با این تفاوت که در آخر آن آمده است که حضرتفرمود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یقبل کالشهاب الثاقب یأتی بذخیرة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همانند شهابی ظاهر می‌شود، در حالی که میراث انبیا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المودّه، صفحۀ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از جابر بن یزید جعفی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أوصیائی و أئمّة المسلمین من بعدی، أوّلهم علی، ثمّ الحسن، ثمّ الحسین، ثمّ علیّ بن الحسین، ثم محمّد بن علی المعروف بالباقر، ستدرکه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لقیته فاقرأه منّی السلام، ثمّ جعفر بن محمّد، ثمّ موسی بن جعفر، ثمّ علیّ بن موسی، ثمّ محمّد بن علی، ثمّ علیّ بن محمّد، ثمّ الحسن بن علی، ثمّ القائم، اسمه اسمی و کنیته کنیتی، ابن الحسن بن</w:t>
      </w:r>
    </w:p>
    <w:p>
      <w:pPr>
        <w:pStyle w:val="BookText"/>
        <w:rPr/>
      </w:pPr>
      <w:r>
        <w:rPr>
          <w:rFonts w:ascii="IRNazanin" w:hAnsi="IRNazanin" w:eastAsia="IRNazanin"/>
          <w:color w:val="111111"/>
          <w:sz w:val="28"/>
          <w:sz w:val="28"/>
          <w:szCs w:val="28"/>
          <w:rtl w:val="true"/>
          <w:lang w:bidi="fa-IR"/>
        </w:rPr>
        <w:t>علی؛ ذلک الذی یفتح اللّه تبارک و تعالی علی یدیه مشارق الأرض و مغاربها؛ ذلک الذی یغیبُ عن أولیائه غیبة لا یثبت علی القول بإمامته إلا من امتحن اللّهُ قلبَهُ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و ائمّۀ مسلمانان بعد از من بدین 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است، سپس حسن بن علی، حسین بن علی، علی بن حسین و محمّد بن علی که تو او را خواهی دید، سلام مرا به او برسان، سپس جعفر بن محمّد، موسی بن جعفر، علی بن موسی، محمّد بن علی، علی بن محمّد، حسن بن علی و سپس حضرت قائم که همنام و هم کنیۀ من است؛ او فرزند حسن بن علی است که خداوند به دست او شرق و 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به غیبت می‌رود و از نظر اولیای خدا غایب می‌شود و کسی بر امامت او ثابت قدم و پایدار باقی نمی‌ماند، مگر این که خداوند قلب او را با ایمان امتحان کرده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موعود، امام معصوم نباشد و بلکه مردی عادی همانند دیگر مسلمانان باشد، آنگاه هیچ تناسبی بین او 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در حالی که مسیح از پیامبران اولوالعزم است که مهدی را تأیید و مسیحیان را به سوی اسلام دعوت می‌کند، پس مهدی موعود بایستی حتماً معصوم باشد و از آن جا که امام معصوم بودن، امری شخصی و ادّعایی نیست بلکه احتیاج به نصب و تعیین الهی دارد که نصوص نبوی بر آن دلالت و آن را روشن می کند و این امر الهی در غیر ائمّۀ دوازده‌گانه حتّی در حدّ ادّعا هم مطرح</w:t>
      </w:r>
    </w:p>
    <w:p>
      <w:pPr>
        <w:pStyle w:val="BookText"/>
        <w:rPr/>
      </w:pPr>
      <w:r>
        <w:rPr>
          <w:rFonts w:ascii="IRNazanin" w:hAnsi="IRNazanin" w:eastAsia="IRNazanin"/>
          <w:color w:val="111111"/>
          <w:sz w:val="28"/>
          <w:sz w:val="28"/>
          <w:szCs w:val="28"/>
          <w:rtl w:val="true"/>
          <w:lang w:bidi="fa-IR"/>
        </w:rPr>
        <w:t>نشده است تا چه رسد به آوردن دلیل و برهان بر ادّعای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ثابت شد که تمام یازده امام معصوم از دنیا رفته‌اند و جنازه‌هایشان در مکانهای معلوم دفن شده است و تنها امام دوازدهم باقی مانده است که تاکنون وفات وی اعلام و ثابت نشده است، پس باید به استمرار زندگانی وی از زمان ولادت تا ظهورش در آخرالزمان معتقد باشیم و تنها در این صورت است که شایستگی آن را دارد که مورد تأیید مسیح قرار گیرد و امام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سامی بدری می‌نوسید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اهل سنّت دربارۀ مهدی تصوّر می‌کنند، او را چنان می‌کند که هرگز قادر نخواهد بود بر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کند و حتّی قادر نخواهد بود که طوایف مسلمان را دور خود جمع کند و بر آنان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به امامت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مسیح، پیامبر و فرستادۀ خدا و معصومی است که مؤیّد به معجزات الهی بوده است و امکان ندارد که انسانی امامت او را بر عهده بگیرد که با معجزات و عصمت و علم تام، تأیید نشده باشد و هرگز بدون تأیید الهی به وسیلۀ معجزه، عصمت و علم تام، قادر نخواهد بود که تمام مردم مسلمان را دعوت کند و آنان را زیر پرچم خود گرد آورد</w:t>
      </w:r>
      <w:r>
        <w:rPr>
          <w:rFonts w:eastAsia="IRNazanin" w:cs="IRNazanin"/>
          <w:color w:val="111111"/>
          <w:sz w:val="28"/>
          <w:szCs w:val="28"/>
          <w:rtl w:val="true"/>
          <w:lang w:bidi="fa-IR"/>
        </w:rPr>
        <w:t xml:space="preserve">». </w:t>
      </w:r>
      <w:r>
        <w:rPr>
          <w:rStyle w:val="FootnoteAnchor"/>
          <w:rtl w:val="true"/>
        </w:rPr>
        <w:footnoteReference w:id="72"/>
      </w:r>
      <w:bookmarkStart w:id="71" w:name="pg5348_45833"/>
    </w:p>
    <w:p>
      <w:pPr>
        <w:pStyle w:val="Heading6"/>
        <w:numPr>
          <w:ilvl w:val="5"/>
          <w:numId w:val="1"/>
        </w:numPr>
        <w:rPr/>
      </w:pPr>
      <w:bookmarkStart w:id="72" w:name="__RefHeading___Toc1138665_581953129"/>
      <w:bookmarkStart w:id="73" w:name="_Toc27"/>
      <w:bookmarkEnd w:id="71"/>
      <w:bookmarkEnd w:id="72"/>
      <w:r>
        <w:rPr>
          <w:rtl w:val="true"/>
        </w:rPr>
        <w:t>ب</w:t>
      </w:r>
      <w:r>
        <w:rPr>
          <w:rtl w:val="true"/>
        </w:rPr>
        <w:t xml:space="preserve">: </w:t>
      </w:r>
      <w:r>
        <w:rPr>
          <w:rtl w:val="true"/>
        </w:rPr>
        <w:t>روش تاریخی</w:t>
      </w:r>
      <w:bookmarkEnd w:id="73"/>
    </w:p>
    <w:p>
      <w:pPr>
        <w:pStyle w:val="BookText"/>
        <w:rPr/>
      </w:pPr>
      <w:r>
        <w:rPr>
          <w:rFonts w:ascii="IRNazanin" w:hAnsi="IRNazanin" w:eastAsia="IRNazanin"/>
          <w:color w:val="111111"/>
          <w:sz w:val="28"/>
          <w:sz w:val="28"/>
          <w:szCs w:val="28"/>
          <w:rtl w:val="true"/>
          <w:lang w:bidi="fa-IR"/>
        </w:rPr>
        <w:t>این مطلب را می‌توان به سه شیوه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و خبری از وفات او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می‌کند که زندگی وی ادامه دارد و از آن جا که شخص معیّنی را به عنوان مهدی،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 پس او زندگی مخفیانه و دور از چشم مردم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داده است که در زمان غیبت، مشاهدات عینی مکرّری نسب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در این موضوع، کتابی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 به وسیلۀ سیّد هاشم بحرانی نوشته شده‌است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ابوطالب تجلیل تبریزی در کتابش </w:t>
      </w:r>
      <w:r>
        <w:rPr>
          <w:rStyle w:val="FootnoteAnchor"/>
        </w:rPr>
        <w:footnoteReference w:id="73"/>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نام می‌برد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صغری دیده‌اند و حکایت اکثر آنان را ذکر کرده است و فصل جداگانه‌ای را به کسانی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کبری دیده‌اند، اختصاص داده است و بیست کتاب را نام برده است که در آنها اخبار و حکایتهای دیدار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قصّه‌ای را که سیّد صدرالدین صدر در کتاب المهدی از شیخ عبدالوهّاب شعرانی در کتاب طبقات العرفاء، در احوالات شیخ حسن عراقی نقل کرده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ابوالعبّاس حریثی پیش 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داستان خودم را از آغاز تا امروز برای تو بازگو کنم آن گونه که گویی از کودکی همراه و رفیق من بوده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جوانان دمشق بودم که در کارگاهی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جوانان دیگر در روز جمعه دور هم جمع می‌شدیم و به لهو و لعب و شرابخواری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خود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کار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جلسۀ لهو و لعب را ترک کردم و از پیش آنان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دنبالم آمدند، ولی مرا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جامع بنی‌امیّه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دیدم که شخصی بر منبری نشسته و در مورد حضرت مهدی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سجده‌ای نمی‌کردم، مگر این که از خدای متعال درخواست می‌کردم که زیارتش را نصیب من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پس از نماز مغرب، مشغول خواندن نمازهای استحبابی بودم که شخصی پشت سر من نشست و دستش را بر کتف من گذاشت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متعال درخواست تو را اجابت کرده است و چه کاری داری؟ من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به خانه می‌آیی؟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خلوتی را برای من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جای خلوتی را به او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هفت شبانه روز پیش من ماند و سپس رفت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شیخ علی بن عیسی اربلی در کشف الغمّه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قصّه‌ها و حکایتهایی را در مورد امور خارق العاده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شرح آن طولانی است و من از آن میان دو حکایت را که به زمان من نزدیک است و جمعی از برادران مورد اعتماد برای من نقل کرده‌اند،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دجله و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اسماعیل بن حسن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برای من نقل کردند که اسماعیل برای آنان چنین تعریف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ران چپم دُملی به اندازۀ یک مشت ایجاد شده بود که پزشکان حلّه از درمان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بغداد آمدم و پیش پزشکان فرنگی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رفتم تا امام</w:t>
      </w:r>
    </w:p>
    <w:p>
      <w:pPr>
        <w:pStyle w:val="BookText"/>
        <w:rPr/>
      </w:pPr>
      <w:r>
        <w:rPr>
          <w:rFonts w:ascii="IRNazanin" w:hAnsi="IRNazanin" w:eastAsia="IRNazanin"/>
          <w:color w:val="111111"/>
          <w:sz w:val="28"/>
          <w:sz w:val="28"/>
          <w:szCs w:val="28"/>
          <w:rtl w:val="true"/>
          <w:lang w:bidi="fa-IR"/>
        </w:rPr>
        <w:t>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سرداب مقدّس رفتم و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دجله رفتم و لباسهایم را شستم و آنها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چهار اسب سوار را دیدم که از دروازۀ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پیرمردی بود که نیزه‌ای در دست داشت و جوان دیگری بود که لباس رنگارنگی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نیزه در دست داشت، در سمت راست مسیر و دو جوان دیگر در سمت چپ مسیر و جوانی که لباس رنگارنگی داشت، در وسط مسیر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پیش خانواده‌ات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ببینم که از چه چیز رنج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 دُمل گذاشت و آن را فشار داد که بسیار دردم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اسب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نیزه‌ای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رستگار شدی 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حرکت کردند و من هم پشت سر آنان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شما جدا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بازگشت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هرگز از شما جدا نمی‌شوم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 امام، دو مرتبه به تو می‌گوید باز گرد و تو مخالفت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قدم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بغداد رسیدی، ابوجعفر؛ یعنی خلیفۀ عبّاسی المستنصر بالله تو را فرا می‌خواند، اگر پیش او رفتی و چیزی به تو داد، آن را از او نگیر و به فرزندمان رضا بگو که نامه‌ای به علی بن عوض بنویسد و من او را سفارش می‌کنم که هر چه می‌خواهی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حرکت کردند و من همین طور ایستاده بودم و آنان را نگاه می‌کردم تا از نظر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ناراحتی و گریه مدّتی در گوشه‌ای نشستم و بعد به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عدّه‌ای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رنگ چهره‌ات تغییر کرده؟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سوارانی را که از دروازه خارج شدند و به سوی ساحل رودخانه رفتند، شناختید؟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اشراف و گلّه‌داران بزرگ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لباس رنگارنگ به تن داشت، امام بود که دست بر زخم من گذاشت و آن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را در ران خودم به آنان نشان دادم و دیدند که اثری از زخم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سرم ریختند و لباسها را برای تبرّک، پاره پاره کردند و مرا به خزانه بردند تا مردم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نمایندۀ خلیفه به خزانه آمد</w:t>
      </w:r>
    </w:p>
    <w:p>
      <w:pPr>
        <w:pStyle w:val="BookText"/>
        <w:rPr/>
      </w:pPr>
      <w:r>
        <w:rPr>
          <w:rFonts w:ascii="IRNazanin" w:hAnsi="IRNazanin" w:eastAsia="IRNazanin"/>
          <w:color w:val="111111"/>
          <w:sz w:val="28"/>
          <w:sz w:val="28"/>
          <w:szCs w:val="28"/>
          <w:rtl w:val="true"/>
          <w:lang w:bidi="fa-IR"/>
        </w:rPr>
        <w:t>و از اسم و نسب و محلّ زندگی و تاریخ خروج از بغداد و چیزهای دیگر سؤال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خزانه ماندم و نماز صبح را خواندم و همراه عدّه‌ای از مردم از شهر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مقداری مرا بدرقه کردند و 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حرکت کردم تا به جایی رسیدم که عدّه‌ای از مردم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دیدند و از اسم و نسب من آگاه شدند، لباسهایم را در آوردند، تکّه تکّه کردند و به عنوان تبرّک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خلیفه طی نامه‌ای، دربار و خلیفه را از جریان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سعید، رضی‌الدین را فرا خواند تا صحّت و سقم خبر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رفقای من و میزبان من قبل از خروج به سوی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رضی‌الدین و همراهانش مرا دیدند، از اسب پیاده شدند و من جای زخم را به او و همراهان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مدّتی بیهوش شد، سپس دست مرا گرفت و در حالی که گریه می‌کرد بر وزیر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و نزدیکترین فرد به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جریان سوال کرد و دستور داد که پزشکان معالج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 که چه وقت مریضی او را معاینه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جای زخم را به آنان نشان داد که در آن هیچ اثری از دُمل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فرنگی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بهتر می‌دانیم که این معجزۀ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مرا پیش خلیفه برد و خلیفه جریان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توضیح دادم و او دستور داد که هزار دینار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ذرّه‌ای از آن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می‌ترسی که آن را قبول نمی‌کنی؟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مرا شفا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چیزی را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شنیدن این سخن،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تعریف کردن این حکایت برای عدّه‌ای بودم که دیدم یکی از فرزندان اسماعیل به نام شمس‌الدین در میان جمع است و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من از فرزندان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زخم ران پدرت را هیچ گاه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جراحت ران وی، خیلی کوچک بودم، امّا این جریان را از پدرم، مادرم، خویشاوندان و همسایگان شنیدم و جای زخم را پس از آن که خوب شده و بر روی آن موی روییده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سیّد صفی‌الدین محمّد بن محمّد و نجم‌الدین حیدر بن أیسر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اسماعیل را در مریضی و پس از شفا یافتن دیده‌اید، جریان آن را برای من تعریف کنید و پسرش گفت که پدرم پس از</w:t>
      </w:r>
    </w:p>
    <w:p>
      <w:pPr>
        <w:pStyle w:val="BookText"/>
        <w:rPr/>
      </w:pPr>
      <w:r>
        <w:rPr>
          <w:rFonts w:ascii="IRNazanin" w:hAnsi="IRNazanin" w:eastAsia="IRNazanin"/>
          <w:color w:val="111111"/>
          <w:sz w:val="28"/>
          <w:sz w:val="28"/>
          <w:szCs w:val="28"/>
          <w:rtl w:val="true"/>
          <w:lang w:bidi="fa-IR"/>
        </w:rPr>
        <w:t>شفا یافتن، چهل مرتبه به سامرّا رفت به امید این که دوباره امام را ببیند، امّا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باقی‌بن عطوة علوی حسنی برایم نقل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عطوه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بیاید و مرا از این مریضی خلاص کند، قول شیعیان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این حرف را تکرار می‌کرد تا این که روزی هنگام نماز عشا جمع شده بودیم که پدرم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پیش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دریابید که همین الآن از پیش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شدیم، امّا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برگشتیم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و آمده‌ام که تو را شفا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بر ران من کشید وفشار داد و پای من شفا یافت وتیز وچالاک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از افرادی، غیر از پسرش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درستی آن اقرار کردند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رو، بعضی از بزرگان اهل‌سنّت به حیات و بقای امام اعتراف کرده‌اند و یا لازمۀ سخنانشان چنین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صدرالدین صدر به بعضی از آنها اشاره کرده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ایشان، محی‌الدین ابن عربی در کتاب فتوحات است که بنابر روایت شیخ عبدالوهّاب شعرانی در کتاب الیواقیت و الجواهر که در کتاب اسعاف الراغبین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فرزندش بلافاصله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آن حیات و بقای مهدی تا زمانی است که ظهور کند و یا این که بمیرد و خداوند با قدرت خویش در زمان ظهور، دوباره او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نمی‌رود که شیخ محی‌الدین ابن عربی بپذیرد که احتمال اخیر، یعنی رحلت و دوباره زنده شدن، به وی نسبت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عبدالوهّاب شعرانی در کتاب الیواقیت و الجواهر بنابر آنچه در اسعاف الراغبین آمده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بن حسن عسکری در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می‌ماند تا عیسی بن مریم به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حسن عراقی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کرده است هنگامی که به محضر او شرفیاب شده بود و مولای من علی الخواص نیز با او موافق بوده و او را تأیید می‌کرد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افراد دیگر، شیخ ابوعبدالله محمّد بن یوسف بن محمّد گنجی در کتاب البیان فی أخبار صاحب الزمان می‌باشد؛ چنان که إسعاف الراغبین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دلایلی که بر حیات طولانی آن حضرت دلالت می‌کند و یا حدّ اقل امکان آن را ثابت می کند، بقای حضرت عیسی بن مریم و حضرت خضر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بقای أعور دجّال و ابلیس لعین که از دشمنان خدا هستند واین همه به وسیلۀ کتاب و سنّت ثابت 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افراد، شیخ عارف فاضل خواجه محمّد پارسا در کتاب فصل الخطاب می‌باشد؛ چنان که در ینابیع المودّه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ذکر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حکمت را در کودکی به او عنایت کرد؛ چنان که بر عیسی و یحیی منّت گذاشت و حکمت و نبوّت را در کودکی به آنان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عمر او را طولانی قرار داد؛ چنان که عمر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کرد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ایشان، شیخ صدرالدین قونوی در بعضی از وصیّتهایش می‌باشد؛ چنان که در ینابیع المودّه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 خود به شاگردانش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حکمت و فلسفۀ مرا بفروشید و پول آن را به فقرا صدقه بدهید و امّا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احادیث و تصوّف را در کتابخانه نگه‌داری و حفظ کنید و کلمۀ توحید؛ یعنی لااله الاالله را هر شب، هزار مرتبه تکرار و سلام مرا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ایشان، شیخ سعدالدین حموی می‌باشد، بنابر آنچه در ینابیع المودّه به نقل از کتاب شیخ عزیز بن محمّد نسفی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بر شمردن اولیای دوازده‌گانه‌ای که از اهل‌بیت هستند و خداوند آنان را جانشین پیامبر بزرگوار اسلام قرار داده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جانشین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دوازدهمین ولی خدا است، مهدی صاحب الزمان می‌باشد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ایشان، شیخ شهاب‌الدین هندی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هدایة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کتاب الدرر الموسویه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 شمردن ائمّۀ دوازده‌گانه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غیبت می‌رود و عمری طولانی می‌یابد؛ چنان که حضرت عیسی و الیاس و خضر در میان مؤمنین و دجّال و سامری در میان کافرین، عمری طولانی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کتاب ینابیع المودّه و کتابهای دیگر آمده است، عدّۀ بسیاری از فضلا و عرفا چنان که از اشعار عربی و فارسی آنان بر می آید، قایل به استمرار حیات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را صاحب مقام ولایت و امامت و جانشینی پیامبر و واسطۀ فیض الهی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بیانگر حضور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ناگهانی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سهمگینی بر شیعه وارد می‌کرد؛ زیرا شیعه همواره در رابطه و تعامل با ائمّۀ خود بودند؛ از این رو، غیبت صغری پیش آمد تا مردم برای غیبت طولانی امام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نوّاب اربعه به مراجعات و سؤالات مردم رسیدگی نموده و پس از دریافت جواب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مردم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به ترتیب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چهار نفر در کتاب الغیبة الصغری آمده است و هر کدام ازاینان نایب بعدی را به شیعیان معرّفی می‌کرد تا این که علی بن محمّد سمری، اعلام کرد که او آخرین نایب خاص است و بعد از وفات او دوران غیبت کبری آغاز می‌شود و در این مدّت، نایبان عام که همان مجتهدان عادل و آگاه باشند، وظیفۀ هدایت مردم را بر عهده می‌گیرند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غیبت صغری، زمینه‌ای برای آشنا کردن مردم با دوران غیبت کبری و ارجاع دادن آنان به نایبان عام بوده است و چنان که در توقیع شریف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دیدار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به شکل صریح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توافق و قبول تمام علمای امامیّه می‌باشد</w:t>
      </w:r>
      <w:r>
        <w:rPr>
          <w:rFonts w:eastAsia="IRNazanin" w:cs="IRNazanin"/>
          <w:color w:val="111111"/>
          <w:sz w:val="28"/>
          <w:szCs w:val="28"/>
          <w:rtl w:val="true"/>
          <w:lang w:bidi="fa-IR"/>
        </w:rPr>
        <w:t xml:space="preserve">. </w:t>
      </w:r>
      <w:r>
        <w:rPr>
          <w:rStyle w:val="FootnoteAnchor"/>
          <w:rtl w:val="true"/>
        </w:rPr>
        <w:footnoteReference w:id="81"/>
      </w:r>
      <w:bookmarkStart w:id="74" w:name="pg5348_45846"/>
    </w:p>
    <w:p>
      <w:pPr>
        <w:pStyle w:val="Heading2"/>
        <w:numPr>
          <w:ilvl w:val="1"/>
          <w:numId w:val="1"/>
        </w:numPr>
        <w:rPr/>
      </w:pPr>
      <w:bookmarkStart w:id="75" w:name="__RefHeading___Toc1138667_581953129"/>
      <w:bookmarkStart w:id="76" w:name="_Toc28"/>
      <w:bookmarkEnd w:id="74"/>
      <w:bookmarkEnd w:id="75"/>
      <w:r>
        <w:rPr>
          <w:rtl w:val="true"/>
        </w:rPr>
        <w:t>فصل سوّم</w:t>
      </w:r>
      <w:r>
        <w:rPr>
          <w:rtl w:val="true"/>
        </w:rPr>
        <w:t xml:space="preserve">: </w:t>
      </w:r>
      <w:r>
        <w:rPr>
          <w:rtl w:val="true"/>
        </w:rPr>
        <w:t>ارزش عقیدتی مفهوم مهدویّت در مکتب اهل بیت</w:t>
      </w:r>
      <w:r>
        <w:rPr>
          <w:rtl w:val="true"/>
        </w:rPr>
        <w:t>(</w:t>
      </w:r>
      <w:r>
        <w:rPr>
          <w:rtl w:val="true"/>
        </w:rPr>
        <w:t>علیهم السلام</w:t>
      </w:r>
      <w:r>
        <w:rPr>
          <w:rtl w:val="true"/>
        </w:rPr>
        <w:t>)</w:t>
      </w:r>
      <w:bookmarkEnd w:id="76"/>
    </w:p>
    <w:p>
      <w:pPr>
        <w:pStyle w:val="BookText"/>
        <w:rPr/>
      </w:pPr>
      <w:r>
        <w:rPr>
          <w:rFonts w:ascii="IRNazanin" w:hAnsi="IRNazanin" w:eastAsia="IRNazanin"/>
          <w:color w:val="111111"/>
          <w:sz w:val="28"/>
          <w:sz w:val="28"/>
          <w:szCs w:val="28"/>
          <w:rtl w:val="true"/>
          <w:lang w:bidi="fa-IR"/>
        </w:rPr>
        <w:t>عقاید زمینی که منشأ آن به انسان برمی‌گردد و عقاید آسمانی که منشأ آن به خدای متعال باز می‌گردد، بایستی یک مدلول انسانی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زمینی، ناشی از محیط و موقعیّتی که انسان در آن زندگی می‌کند و بیانگر تلاشها و پیگیریهایش برای رسیدن به زندگی برتر است و عقاید آسمانی، بیانگر لطف و رحمت خداوند بر بندگانش و حرص و ولع در کشاندن آنان به ساحل نجات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یک مؤمن در اصل عقیدۀ اسلامی، بدان یقین پیدا می‌کند؛ چه این که این مدلول انسانی، به صورت تفصیلی توضیح داده شود، یا به صورت مجمل باقی بماند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با عقاید از ناحیۀ دلیل و برهان برخورد می‌کند و گاهی از این جهت که اهدافی را برای او محقّق می‌کند، یا مشکلات روزانۀ زندگی‌اش را حل می‌کند، با آن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عقاید از ناحیۀ دلیل و برهان قوی باشند، اگر از جهت تأمین</w:t>
      </w:r>
    </w:p>
    <w:p>
      <w:pPr>
        <w:pStyle w:val="BookText"/>
        <w:rPr/>
      </w:pPr>
      <w:r>
        <w:rPr>
          <w:rFonts w:ascii="IRNazanin" w:hAnsi="IRNazanin" w:eastAsia="IRNazanin"/>
          <w:color w:val="111111"/>
          <w:sz w:val="28"/>
          <w:sz w:val="28"/>
          <w:szCs w:val="28"/>
          <w:rtl w:val="true"/>
          <w:lang w:bidi="fa-IR"/>
        </w:rPr>
        <w:t>منافع انسانی، غامض و ساکت باشند، مورد شک و تردید واقع شده و در قلبها رسوخ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اسلامی که عقایدی آسمانی است، به هر دو جهت عنایت داشته و در صدد تأمین سعادت دنیوی و اخروی بشر برآمده است؛ چنان که خداوند،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بررسی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برهان و دلیل در مذهب تشیّع، قوی‌تر از مذاهب چهارگانۀ دیگر است و با کتاب و سنّت سازگاری بیشتری دارد، امّا با این حال، عدّه‌ای در آن شک و تردید می‌کنند؛ چون از ناحیۀ دلیل و برهان به آن نمی‌نگرند و بلکه از جهت ثمره‌های انسانی بدان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دائماً سوال می‌کنند که ثمرۀ غیبت و عمر طولانی و امامت درکودکی چیست؟ و هنگامی که نمی‌توانند به جواب قانع‌کننده‌ای در زمینۀ ثمره‌های انسانی برسند، آن را به طور کلّی،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دلایل و برهانهای متعدّدی آن را اثبات کرده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مفهوم مهدویّتی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ارائه می‌دهند، دقّت کنیم، می‌فهمیم که این مفهوم از ناحیۀ انسانی بسیار کاملتر از</w:t>
      </w:r>
    </w:p>
    <w:p>
      <w:pPr>
        <w:pStyle w:val="BookText"/>
        <w:rPr/>
      </w:pPr>
      <w:r>
        <w:rPr>
          <w:rFonts w:ascii="IRNazanin" w:hAnsi="IRNazanin" w:eastAsia="IRNazanin"/>
          <w:color w:val="111111"/>
          <w:sz w:val="28"/>
          <w:sz w:val="28"/>
          <w:szCs w:val="28"/>
          <w:rtl w:val="true"/>
          <w:lang w:bidi="fa-IR"/>
        </w:rPr>
        <w:t>مفهومی است که پیروان خلفا ارائه می‌دهند؛ برای مثال، عمر طولانی برای حضرت حجّت، باعث می‌شود که در مدّتی طولانی، تمام حوادث عالم را ببیند و هنگامی که حکومت جهانی تشکیل می‌دهد، از تجربیّات هزار سالۀ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غیبت طولانی باعث می‌شود که جامعۀ بشری در علوم مادّی و انسانی، پیشرفت کند و انواع حکومتها را تجربه کند و سرانجام به این نتیجه برسد که برای برپایی و اقامۀ قسط و عدل، به یک حکومت الهی که فردی با تجربه و عالم بر آن حکومت کند،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مبتنی بر این عقیده است که خدا برای پیاده شدن قسط و عدل، از اسلوب خاصّی استفاده نمی‌کند، از مجاری علّت و معلول استفاده می‌شود و خداوند ابا دارد که مسائل جز از طریق مجرای عادی جریان یابد، البتّه این سنّت الهی، منافاتی با این ندارد که گاهی خدای متعال در امور مداخله کند و مؤمنان را یاری کند و در دل کفّار، ترس و وحشت ایجاد کند و یا ابراهیم را از آتش نجات بخشد و یا دست یهودی‌ای که شمشیر بالای سر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را بی‌حرکت نگاه دارد تا نتواند نقشۀ ترور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دیدگاه، در می‌یابیم که جریان تغییر اجتماعی، یک جریان آهسته و آرام است و احتیاج به محیط و شرایط خاصّی دارد</w:t>
      </w:r>
    </w:p>
    <w:p>
      <w:pPr>
        <w:pStyle w:val="BookText"/>
        <w:rPr/>
      </w:pPr>
      <w:r>
        <w:rPr>
          <w:rFonts w:ascii="IRNazanin" w:hAnsi="IRNazanin" w:eastAsia="IRNazanin"/>
          <w:color w:val="111111"/>
          <w:sz w:val="28"/>
          <w:sz w:val="28"/>
          <w:szCs w:val="28"/>
          <w:rtl w:val="true"/>
          <w:lang w:bidi="fa-IR"/>
        </w:rPr>
        <w:t>و برای این که تمام بشریّت از ظلمات و ظلم و جور خارج شوند و به سوی قسط، عدل، هدایت و نور، راهنمایی شوند، احتیاج به رهبری بی‌نظیر و محیطی خاص دارند؛ یعنی شرایط مادّی مناسب، بایستی فراهم شود تا پیام عدالت خواهی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گوش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این امکان نیز وجود دارد که به فواید مهدویّت در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دیگری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اعتقاد به مهدویّتی که از نظرها غایب است، امّا زنده و مؤثر در جریانی است که برای مؤمنین در جامعه رخ می‌دهد و از سوی دیگر، تمام ویژگیهای امامت از قبیل عصمت و کمال علمی و عملی را در بر دارد، در جامعه حالت معنوی خاصّی و روحیّه و نشاط بالایی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درک این نکته که حلقه‌ای، زمین را با آسمان پیوند می‌دهد، احساس خوبی پیدا می‌کند و بعد از آن که با عقل و منطق، مهدویّت را پذیرفته است، احساس آرامش و رضایت خاصّی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مهدویّت و این که دوازدهمین امام با ویژگیهای خاصّ امامت، از سوی خدا و رسولش منصوب شده است و حاضر و ناظر بر اعمال و رفتار تمام انسانها و جریانهای سیاسی و اجتماعی کرۀ زمین است، این اعتقاد را در قلبها ایجاد می‌کند که مافوق همۀ حاکمیّتها و جریانات، در زمینۀ اجتماعی و سیاسی، توحید و</w:t>
      </w:r>
    </w:p>
    <w:p>
      <w:pPr>
        <w:pStyle w:val="BookText"/>
        <w:rPr/>
      </w:pPr>
      <w:r>
        <w:rPr>
          <w:rFonts w:ascii="IRNazanin" w:hAnsi="IRNazanin" w:eastAsia="IRNazanin"/>
          <w:color w:val="111111"/>
          <w:sz w:val="28"/>
          <w:sz w:val="28"/>
          <w:szCs w:val="28"/>
          <w:rtl w:val="true"/>
          <w:lang w:bidi="fa-IR"/>
        </w:rPr>
        <w:t>حکومت الهی است و نمایندۀ خدا در روی زمین، تمام اعمال و رفتارها را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احساس روحی مثبت و امیدوارنه‌ای را در انسانهای مظلوم و منتظر،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ارتباط و اشتراک، وقتی شدیدتر می‌شود که مردم در زمان غیبت صغری با واسطۀ نوّاب اربعه با امام در ارتباط باشند و در زمان غیبت کبری با فقهای جامع‌الشرایط و به خصوص با مبسوط الید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جامع‌الشرایط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نایب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شرایط، انسان احساس می‌کند که امامت در صورت ولی‌فقیه خودنمایی کرده و در صدد احیا و اجرای احکام اسلام می‌باشد؛ بنابراین، مهدویّتی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ارائه می‌دهند، مهدویّتی متحرّک، مؤثّر و مثبت نسبت به وقایع بشری است، در حالی که مهدویّت پیروان خلفا تأثیری در وقایع بشری ندارد و تنها یک پیشگویی از آینده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است که انسانها را برای محقّق کردن زمینه‌های ظهور، تحریک و تشویق می‌کند و به آنان اطمینان می‌دهد که صاحبی دارند و او آنان را در نظر دارد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سکوت، شکست و درماندگی نیست بلکه به معنای حرکت، جوشش و تلاش برای فراهم کردن زمینه‌های مناسب برای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7" w:name="pg5348_45851"/>
    </w:p>
    <w:p>
      <w:pPr>
        <w:pStyle w:val="Heading2"/>
        <w:numPr>
          <w:ilvl w:val="1"/>
          <w:numId w:val="1"/>
        </w:numPr>
        <w:rPr/>
      </w:pPr>
      <w:bookmarkStart w:id="78" w:name="__RefHeading___Toc1138669_581953129"/>
      <w:bookmarkStart w:id="79" w:name="_Toc29"/>
      <w:bookmarkEnd w:id="77"/>
      <w:bookmarkEnd w:id="78"/>
      <w:r>
        <w:rPr>
          <w:rtl w:val="true"/>
        </w:rPr>
        <w:t>چکیدۀ بحث</w:t>
      </w:r>
      <w:bookmarkEnd w:id="79"/>
    </w:p>
    <w:p>
      <w:pPr>
        <w:pStyle w:val="BookText"/>
        <w:rPr/>
      </w:pPr>
      <w:r>
        <w:rPr>
          <w:rFonts w:ascii="IRNazanin" w:hAnsi="IRNazanin" w:eastAsia="IRNazanin"/>
          <w:color w:val="111111"/>
          <w:sz w:val="28"/>
          <w:sz w:val="28"/>
          <w:szCs w:val="28"/>
          <w:rtl w:val="true"/>
          <w:lang w:bidi="fa-IR"/>
        </w:rPr>
        <w:t>در پایان، می‌توان چکیدۀ بحث را در نکته‌های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تعبیر و تفسیر کاملتری از حقایق بشری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تعبیر کاملتر از حقایق دینی می‌باشد و تشیّع، کاملترین تعبیر از حقایق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مهدویّتی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معرّفی و ترویج می‌کنند، کاملترین تعبیر از اصل مهدویّت است که تمام مسلمانان در اعتقاد به اصل مهدویّت،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اصلی و ریشه‌ای بین مهدویّت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مهدویّتی که دیگر فرقه‌های اسلامی ارائه می‌دهند، به مسألۀ امامت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حالی که از نظر پیروان خلفا مهدویّت، یک پیشگویی از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مهدویّت در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دوازدهمین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بعد از او، امام و جانشین نیست، از همین رو،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سه گانۀ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مخفیانه و سرّی صورت گرفته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مقام امامت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غیبتش این است که عمر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با ثبوت اصل امامتِ دوازده امام معصوم، ثابت می‌شود و این علاوه بر ادلّۀ مفصّلی است که قبلاً ذکر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سه‌گانۀ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عقایدی، عقلی و تجربی ثابت شده است و اعتقاد به آنها هیچ گونه ایراد عقلی یا دینی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مهدویّت، مفهومی با ارزش و کمال آفرین است که فواید روحی و معنوی بسیاری برای بشر دارد و آنان را به حرکت و تلاش وادار می‌کند و یأس و نومیدی را ریشه کن کرده و با آموزه‌های دینی در حیات بشری، هماهنگی و انسجامی کامل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النبی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مسند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و نعیم بن حماد در الفتن 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ما اهل بیت می باشد که خداوند یک شبه کار او را اصلاح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الحاوی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ابن ابی شیبه و ابوداوود 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پیامبراکرم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دنیا تنها یک روز مانده باشد، خداوند از اهل بیت من کسی را مبعوث می کند که آن را پر از عدل و داد کند، پس از آن که پر از ظلم و جور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صحیح سنن المصطفی هم به این حدیث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معجم احادیث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احادیث بسیاری را از صحاح و مسانید در این موضوع جمع 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موسوعة الامام المهدی که به وسیله مهدی فقیه ایمانی تنظیم شده است،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جزء اوّل این موسوعه تصویر نقل قولهایی از دهها کتاب علمای اهل سنّت و محدّثان آنان در مورد مهدی و صفات آن حضرت جمع‌آوری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جزء، تصویر نسخه‌ای از سخنرانی شیخ عباد در مورد احادیث و آثاری که درباره مهدی نقل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مراجعه به روایتی که مهدی را نهمین فرزند از نسل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به این منابع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فرائد السمطین، جوینی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منتخب الاثر، شیخ لطف الله صافی گلپایگانی که روایات را از هر دو طریق جمع‌آوری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و ابن ماجه و طبرانی و حاکم از امّ سلمه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شنیدم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عترت من از فرزندان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صحیح سنن المصطفی،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ذریّة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معجم احادیث المهدی و در الاربعون حدیثاً، تألیف ابونعیم اصفهانی و در عقد الدرر مقدّسی شافعی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الاوسط آن را از المنار المنیف، تألیف ابن قیّم نقل کرده و در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المختصر، ابن حجر هیتمی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منتخب الاثر، شیخ لطف الله صافی گلپایگانی که روایات را از طریق شیعه نقل کرده مراجعه نمایید و به کتاب 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تألیف عمیدی مراجعه کنید که به دلایل ضعف روایتی را که مهدی را از فرزندان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اشاره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بعد از من دوازده نفر و همگی از قریش هستند،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دین تا زمانی که دوازده نفر که همگی از قریش هستند به ولایت برسند، پا برجاست، از روایات متواتری است که به طرقهای متعدّد در صحاح و مسانید با اختلاف کمی در الفاظ ذکر گردیده است، البتّه در تأویل و تفسیر آن اختلاف و اضطرابی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الاماره، باب الاستخلاف؛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الکبری ، محمّد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مسلم، بخاری و ترمذی روایت کرده‌اند و برای بررسی حدیث و طرق آن، به کتاب الامام المهدی تألیف علی محمّد علی دخیّل مراجعه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چاپ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تعقیب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مسلم، و بخاری و ترمذی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ابوداوود در کتاب المهدی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هَذَا الدینُ قَائِماً حَتّی یکُونُ عَلیکُم إثنی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خداوند در 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آن که علما و محدّثان بر صحّت این روایت اتّفاق نظر کرده‌اند، در تأویل و تطبیق آن دچار اختلاف شده و مصادیقی را ذکر کرده‌اند که قبول آن ممکن نیست و بلکه غیر معقول است؛ چنان که بعضی، یزید بن معاویه که شارب الخمر و متجاهر به فسق بوده است را جزء ائمّه دوازده‌گانه دانسته‌اند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تحقیق دکتر عبدالجبّار شراره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 باب الناس تبع لقریش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20534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السلوک فی دول الملوک،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الحافظ ابن قیّم الجوزیّة علی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العقیدة الطحاویه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الحاوی للفتاوی،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عون المعبود فی شرح سنن ابی داوود، عظیم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مشکاة المصابیح،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السلسلة الصحیحه، الالبانی، حدیث شماره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حدیث را محدّثان شیعه نقل کرده‌اند که از جمله صدوق در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متعدّد حدیث و روایات آن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القرآن‌الکریم،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دوازدهم از سوره مائده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العقیدة الطحاویّه، قاضی 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المهدی، چاپ دارالکتب الاسلامیّه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السلوک لمعرفة دول 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نجار، از انس نقل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و المعارضون، سیّد جعفر مرتضی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الحجّه، باب الاشاره و النص الی صاحب‌الدار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الحجّه، باب تسمیة من رأه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هو المهدی؟ ابوطالب تجلیل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 فی اثبات الحجّة الغائب، شیخ علی یزدی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المنتظر فی نهج‌البلاغه، شیخ مهدی فقیه ایمانی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الثانی عشر، سیّد محمّد سعید 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کتاب، اسامی سی نفر دیگر از علمای اهل‌سنّت را در حاشیه کتاب،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المهدی الموعود المنتظر عند اهل السنّة و الامامیّه، شیخ نجم‌الدین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کتاب الحج، باب مولد ابو محمّد الحسن بن علی؛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مصنف؛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اعلام الوری بأعلام الهدی، فضل بن حسن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شاهد القائم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دارالکتب العلمیّه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المهمّه، ابن صبّاغ 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التتمّة فی تواریخ الائمّه، سیّد تاج‌الدین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یازدهم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به گوشه‌ای از سیره و کرامات امام اشاره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مباحثۀ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اکثم در زمان مأمون عبّاسی را نقل کرده‌اند و باید پرسید که چگونه امام توانست در آن سنین کودکی، یحیی بن اکثم را با آن قدرت علمی، شکست بدهد؟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المجالس السنیّه، سیّد امین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آن قدر مشهور است که خاص و عام آن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می توان به صحاح الاخبار، از محمّد سراج‌الدین الرفاعی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 الامام الصادق و المذاهب الاربعه، اسدحیدر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زیادی از امام صادق نقل گردیده و بزرگانی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ابن جریح، مالک، سفیانین، ابوحنیفه، شعبه و ایّوب سختیانی</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عالم‌ترین فرد بودن امام در عصر خودش از مسلّمات شیعه است؛ چنان که علامه حلّی در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ائمّه دائماً مورد آزمایش قرار می گرفتند و از همۀ این آزمایشها سربلند بیرون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در مورد مناظرۀ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اکثم سخن گفته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 به ائمّه علیهم السلام مشکلات فراوانی برای پیروان ایشان به همراه داشت و در کتاب مقاتل الطالبیین، تألیف ابوالفرج اصفهانی به گوشه‌ای از این مشکلات اشاره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ائمّه علیهم السلام به شیعیان خود وصیّت می کردند که پس از اعمال حج، به زیارت ایشان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الحجّه، بابی با این عنوان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الواجبُ علی الناسِ بعد ما یقضون مناسکهم أنْ یأتوا الإمام فیسألونه عن معالم دینهم ویُعْلِمونه و لایتهم و مودّتهم 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ظلم و ستمهایی که به ائمّه علیهم السلام روا داشته شده است، می توان به این منابع زیر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ابن صبّاغ مالکی؛ مقاتل الطالبیین، ابوالفرج اصفهانی و الارشاد، شیخ مفید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به کتاب تبصرة الولی فیمن رأی القائم المهدی، بحرانی؛ 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ثامر عمیدی مراجعه نمایید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 شهید سیّد محمّد باقر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شبهات وردود، حلقه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هو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صدرالدین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18872</Words>
  <Characters>74294</Characters>
  <CharactersWithSpaces>92600</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2026-08-19T01:20:50Z</dcterms:created>
  <dc:creator>ghaemiyeh.com</dc:creator>
  <dc:description/>
  <dc:language>en-US</dc:language>
  <cp:lastModifiedBy/>
  <dcterms:modified xsi:type="dcterms:W3CDTF">2026-08-19T04:50:52Z</dcterms:modified>
  <cp:revision>1</cp:revision>
  <dc:subject/>
  <dc:title>مهدویت از دیدگاه اهل بیت علیهم السلام</dc:title>
</cp:coreProperties>
</file>

<file path=docProps/custom.xml><?xml version="1.0" encoding="utf-8"?>
<Properties xmlns="http://schemas.openxmlformats.org/officeDocument/2006/custom-properties" xmlns:vt="http://schemas.openxmlformats.org/officeDocument/2006/docPropsVTypes"/>
</file>