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104</w:t>
      </w:r>
      <w:r>
        <w:rPr>
          <w:rtl w:val="true"/>
        </w:rPr>
        <w:t xml:space="preserve"> </w:t>
      </w:r>
      <w:r>
        <w:rPr>
          <w:rtl w:val="true"/>
        </w:rPr>
        <w:t>تکفیر چیست و تکفیری کیست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9023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29025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29027_774463916">
            <w:r>
              <w:rPr>
                <w:webHidden/>
                <w:rStyle w:val="IndexLink"/>
                <w:rtl w:val="true"/>
              </w:rPr>
              <w:t>تکفیرچیست؟ تکفیری کیست؟</w:t>
            </w:r>
            <w:r>
              <w:rPr>
                <w:rStyle w:val="IndexLink"/>
                <w:rtl w:val="true"/>
              </w:rPr>
              <w:tab/>
            </w:r>
            <w:r>
              <w:rPr>
                <w:rStyle w:val="IndexLink"/>
              </w:rPr>
              <w:t>8</w:t>
            </w:r>
          </w:hyperlink>
        </w:p>
        <w:p>
          <w:pPr>
            <w:pStyle w:val="Contents2"/>
            <w:tabs>
              <w:tab w:val="clear" w:pos="8743"/>
              <w:tab w:val="right" w:pos="9026" w:leader="dot"/>
            </w:tabs>
            <w:rPr/>
          </w:pPr>
          <w:hyperlink w:anchor="__RefHeading___Toc1129029_774463916">
            <w:r>
              <w:rPr>
                <w:webHidden/>
                <w:rStyle w:val="IndexLink"/>
                <w:rtl w:val="true"/>
              </w:rPr>
              <w:t>دربچه</w:t>
            </w:r>
            <w:r>
              <w:rPr>
                <w:rStyle w:val="IndexLink"/>
                <w:rtl w:val="true"/>
              </w:rPr>
              <w:tab/>
            </w:r>
            <w:r>
              <w:rPr>
                <w:rStyle w:val="IndexLink"/>
              </w:rPr>
              <w:t>8</w:t>
            </w:r>
          </w:hyperlink>
        </w:p>
        <w:p>
          <w:pPr>
            <w:pStyle w:val="Contents2"/>
            <w:tabs>
              <w:tab w:val="clear" w:pos="8743"/>
              <w:tab w:val="right" w:pos="9026" w:leader="dot"/>
            </w:tabs>
            <w:rPr/>
          </w:pPr>
          <w:hyperlink w:anchor="__RefHeading___Toc1129031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1129033_774463916">
            <w:r>
              <w:rPr>
                <w:webHidden/>
                <w:rStyle w:val="IndexLink"/>
                <w:rtl w:val="true"/>
              </w:rPr>
              <w:t>فصل اول</w:t>
            </w:r>
            <w:r>
              <w:rPr>
                <w:rStyle w:val="IndexLink"/>
                <w:rtl w:val="true"/>
              </w:rPr>
              <w:t xml:space="preserve">: </w:t>
            </w:r>
            <w:r>
              <w:rPr>
                <w:rStyle w:val="IndexLink"/>
                <w:rtl w:val="true"/>
              </w:rPr>
              <w:t>معنای تکفیر</w:t>
            </w:r>
            <w:r>
              <w:rPr>
                <w:rStyle w:val="IndexLink"/>
                <w:rtl w:val="true"/>
              </w:rPr>
              <w:tab/>
            </w:r>
            <w:r>
              <w:rPr>
                <w:rStyle w:val="IndexLink"/>
              </w:rPr>
              <w:t>12</w:t>
            </w:r>
          </w:hyperlink>
        </w:p>
        <w:p>
          <w:pPr>
            <w:pStyle w:val="Contents3"/>
            <w:tabs>
              <w:tab w:val="clear" w:pos="8459"/>
              <w:tab w:val="right" w:pos="9026" w:leader="dot"/>
            </w:tabs>
            <w:rPr/>
          </w:pPr>
          <w:hyperlink w:anchor="__RefHeading___Toc1129035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29037_774463916">
            <w:r>
              <w:rPr>
                <w:webHidden/>
                <w:rStyle w:val="IndexLink"/>
              </w:rPr>
              <w:t>1</w:t>
            </w:r>
            <w:r>
              <w:rPr>
                <w:rStyle w:val="IndexLink"/>
                <w:rtl w:val="true"/>
              </w:rPr>
              <w:t>.</w:t>
            </w:r>
            <w:r>
              <w:rPr>
                <w:rStyle w:val="IndexLink"/>
                <w:rtl w:val="true"/>
              </w:rPr>
              <w:t>مفهوم تکفیر</w:t>
            </w:r>
            <w:r>
              <w:rPr>
                <w:rStyle w:val="IndexLink"/>
                <w:rtl w:val="true"/>
              </w:rPr>
              <w:tab/>
            </w:r>
            <w:r>
              <w:rPr>
                <w:rStyle w:val="IndexLink"/>
              </w:rPr>
              <w:t>14</w:t>
            </w:r>
          </w:hyperlink>
        </w:p>
        <w:p>
          <w:pPr>
            <w:pStyle w:val="Contents3"/>
            <w:tabs>
              <w:tab w:val="clear" w:pos="8459"/>
              <w:tab w:val="right" w:pos="9026" w:leader="dot"/>
            </w:tabs>
            <w:rPr/>
          </w:pPr>
          <w:hyperlink w:anchor="__RefHeading___Toc1129039_774463916">
            <w:r>
              <w:rPr>
                <w:webHidden/>
                <w:rStyle w:val="IndexLink"/>
              </w:rPr>
              <w:t>2</w:t>
            </w:r>
            <w:r>
              <w:rPr>
                <w:rStyle w:val="IndexLink"/>
                <w:rtl w:val="true"/>
              </w:rPr>
              <w:t>.</w:t>
            </w:r>
            <w:r>
              <w:rPr>
                <w:rStyle w:val="IndexLink"/>
                <w:rtl w:val="true"/>
              </w:rPr>
              <w:t>پیشینه</w:t>
            </w:r>
            <w:r>
              <w:rPr>
                <w:rStyle w:val="IndexLink"/>
                <w:rtl w:val="true"/>
              </w:rPr>
              <w:tab/>
            </w:r>
            <w:r>
              <w:rPr>
                <w:rStyle w:val="IndexLink"/>
              </w:rPr>
              <w:t>15</w:t>
            </w:r>
          </w:hyperlink>
        </w:p>
        <w:p>
          <w:pPr>
            <w:pStyle w:val="Contents4"/>
            <w:tabs>
              <w:tab w:val="clear" w:pos="8176"/>
              <w:tab w:val="right" w:pos="9026" w:leader="dot"/>
            </w:tabs>
            <w:rPr/>
          </w:pPr>
          <w:hyperlink w:anchor="__RefHeading___Toc1129041_77446391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129043_774463916">
            <w:r>
              <w:rPr>
                <w:webHidden/>
                <w:rStyle w:val="IndexLink"/>
                <w:rtl w:val="true"/>
              </w:rPr>
              <w:t>پنجره</w:t>
            </w:r>
            <w:r>
              <w:rPr>
                <w:rStyle w:val="IndexLink"/>
                <w:rtl w:val="true"/>
              </w:rPr>
              <w:t>:</w:t>
              <w:tab/>
            </w:r>
            <w:r>
              <w:rPr>
                <w:rStyle w:val="IndexLink"/>
              </w:rPr>
              <w:t>16</w:t>
            </w:r>
          </w:hyperlink>
        </w:p>
        <w:p>
          <w:pPr>
            <w:pStyle w:val="Contents3"/>
            <w:tabs>
              <w:tab w:val="clear" w:pos="8459"/>
              <w:tab w:val="right" w:pos="9026" w:leader="dot"/>
            </w:tabs>
            <w:rPr/>
          </w:pPr>
          <w:hyperlink w:anchor="__RefHeading___Toc1129045_774463916">
            <w:r>
              <w:rPr>
                <w:webHidden/>
                <w:rStyle w:val="IndexLink"/>
                <w:rtl w:val="true"/>
              </w:rPr>
              <w:t>خلاصه</w:t>
            </w:r>
            <w:r>
              <w:rPr>
                <w:rStyle w:val="IndexLink"/>
                <w:rtl w:val="true"/>
              </w:rPr>
              <w:t>:</w:t>
              <w:tab/>
            </w:r>
            <w:r>
              <w:rPr>
                <w:rStyle w:val="IndexLink"/>
              </w:rPr>
              <w:t>17</w:t>
            </w:r>
          </w:hyperlink>
        </w:p>
        <w:p>
          <w:pPr>
            <w:pStyle w:val="Contents2"/>
            <w:tabs>
              <w:tab w:val="clear" w:pos="8743"/>
              <w:tab w:val="right" w:pos="9026" w:leader="dot"/>
            </w:tabs>
            <w:rPr/>
          </w:pPr>
          <w:hyperlink w:anchor="__RefHeading___Toc1129047_774463916">
            <w:r>
              <w:rPr>
                <w:webHidden/>
                <w:rStyle w:val="IndexLink"/>
                <w:rtl w:val="true"/>
              </w:rPr>
              <w:t>فصل دوم</w:t>
            </w:r>
            <w:r>
              <w:rPr>
                <w:rStyle w:val="IndexLink"/>
                <w:rtl w:val="true"/>
              </w:rPr>
              <w:t xml:space="preserve">: </w:t>
            </w:r>
            <w:r>
              <w:rPr>
                <w:rStyle w:val="IndexLink"/>
                <w:rtl w:val="true"/>
              </w:rPr>
              <w:t>نفی تکفیر</w:t>
            </w:r>
            <w:r>
              <w:rPr>
                <w:rStyle w:val="IndexLink"/>
                <w:rtl w:val="true"/>
              </w:rPr>
              <w:tab/>
            </w:r>
            <w:r>
              <w:rPr>
                <w:rStyle w:val="IndexLink"/>
              </w:rPr>
              <w:t>18</w:t>
            </w:r>
          </w:hyperlink>
        </w:p>
        <w:p>
          <w:pPr>
            <w:pStyle w:val="Contents3"/>
            <w:tabs>
              <w:tab w:val="clear" w:pos="8459"/>
              <w:tab w:val="right" w:pos="9026" w:leader="dot"/>
            </w:tabs>
            <w:rPr/>
          </w:pPr>
          <w:hyperlink w:anchor="__RefHeading___Toc1129049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29051_774463916">
            <w:r>
              <w:rPr>
                <w:webHidden/>
                <w:rStyle w:val="IndexLink"/>
              </w:rPr>
              <w:t>1</w:t>
            </w:r>
            <w:r>
              <w:rPr>
                <w:rStyle w:val="IndexLink"/>
                <w:rtl w:val="true"/>
              </w:rPr>
              <w:t>.</w:t>
            </w:r>
            <w:r>
              <w:rPr>
                <w:rStyle w:val="IndexLink"/>
                <w:rtl w:val="true"/>
              </w:rPr>
              <w:t>تکفیر و فرهنگ قرآن</w:t>
            </w:r>
            <w:r>
              <w:rPr>
                <w:rStyle w:val="IndexLink"/>
                <w:rtl w:val="true"/>
              </w:rPr>
              <w:tab/>
            </w:r>
            <w:r>
              <w:rPr>
                <w:rStyle w:val="IndexLink"/>
              </w:rPr>
              <w:t>20</w:t>
            </w:r>
          </w:hyperlink>
        </w:p>
        <w:p>
          <w:pPr>
            <w:pStyle w:val="Contents3"/>
            <w:tabs>
              <w:tab w:val="clear" w:pos="8459"/>
              <w:tab w:val="right" w:pos="9026" w:leader="dot"/>
            </w:tabs>
            <w:rPr/>
          </w:pPr>
          <w:hyperlink w:anchor="__RefHeading___Toc1129053_774463916">
            <w:r>
              <w:rPr>
                <w:webHidden/>
                <w:rStyle w:val="IndexLink"/>
              </w:rPr>
              <w:t>2</w:t>
            </w:r>
            <w:r>
              <w:rPr>
                <w:rStyle w:val="IndexLink"/>
                <w:rtl w:val="true"/>
              </w:rPr>
              <w:t>.</w:t>
            </w:r>
            <w:r>
              <w:rPr>
                <w:rStyle w:val="IndexLink"/>
                <w:rtl w:val="true"/>
              </w:rPr>
              <w:t>تکفیر و سنت پیامبر</w:t>
            </w:r>
            <w:r>
              <w:rPr>
                <w:rStyle w:val="IndexLink"/>
                <w:rtl w:val="true"/>
              </w:rPr>
              <w:t></w:t>
              <w:tab/>
            </w:r>
            <w:r>
              <w:rPr>
                <w:rStyle w:val="IndexLink"/>
              </w:rPr>
              <w:t>25</w:t>
            </w:r>
          </w:hyperlink>
        </w:p>
        <w:p>
          <w:pPr>
            <w:pStyle w:val="Contents3"/>
            <w:tabs>
              <w:tab w:val="clear" w:pos="8459"/>
              <w:tab w:val="right" w:pos="9026" w:leader="dot"/>
            </w:tabs>
            <w:rPr/>
          </w:pPr>
          <w:hyperlink w:anchor="__RefHeading___Toc1129055_774463916">
            <w:r>
              <w:rPr>
                <w:webHidden/>
                <w:rStyle w:val="IndexLink"/>
                <w:rtl w:val="true"/>
              </w:rPr>
              <w:t>خلاصه</w:t>
            </w:r>
            <w:r>
              <w:rPr>
                <w:rStyle w:val="IndexLink"/>
                <w:rtl w:val="true"/>
              </w:rPr>
              <w:t>:</w:t>
              <w:tab/>
            </w:r>
            <w:r>
              <w:rPr>
                <w:rStyle w:val="IndexLink"/>
              </w:rPr>
              <w:t>27</w:t>
            </w:r>
          </w:hyperlink>
        </w:p>
        <w:p>
          <w:pPr>
            <w:pStyle w:val="Contents2"/>
            <w:tabs>
              <w:tab w:val="clear" w:pos="8743"/>
              <w:tab w:val="right" w:pos="9026" w:leader="dot"/>
            </w:tabs>
            <w:rPr/>
          </w:pPr>
          <w:hyperlink w:anchor="__RefHeading___Toc1129057_774463916">
            <w:r>
              <w:rPr>
                <w:webHidden/>
                <w:rStyle w:val="IndexLink"/>
                <w:rtl w:val="true"/>
              </w:rPr>
              <w:t>فصل سوم</w:t>
            </w:r>
            <w:r>
              <w:rPr>
                <w:rStyle w:val="IndexLink"/>
                <w:rtl w:val="true"/>
              </w:rPr>
              <w:t xml:space="preserve">: </w:t>
            </w:r>
            <w:r>
              <w:rPr>
                <w:rStyle w:val="IndexLink"/>
                <w:rtl w:val="true"/>
              </w:rPr>
              <w:t>ریشه‌های تکفیر</w:t>
            </w:r>
            <w:r>
              <w:rPr>
                <w:rStyle w:val="IndexLink"/>
                <w:rtl w:val="true"/>
              </w:rPr>
              <w:tab/>
            </w:r>
            <w:r>
              <w:rPr>
                <w:rStyle w:val="IndexLink"/>
              </w:rPr>
              <w:t>28</w:t>
            </w:r>
          </w:hyperlink>
        </w:p>
        <w:p>
          <w:pPr>
            <w:pStyle w:val="Contents3"/>
            <w:tabs>
              <w:tab w:val="clear" w:pos="8459"/>
              <w:tab w:val="right" w:pos="9026" w:leader="dot"/>
            </w:tabs>
            <w:rPr/>
          </w:pPr>
          <w:hyperlink w:anchor="__RefHeading___Toc1129059_77446391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29061_774463916">
            <w:r>
              <w:rPr>
                <w:webHidden/>
                <w:rStyle w:val="IndexLink"/>
              </w:rPr>
              <w:t>1</w:t>
            </w:r>
            <w:r>
              <w:rPr>
                <w:rStyle w:val="IndexLink"/>
                <w:rtl w:val="true"/>
              </w:rPr>
              <w:t>.</w:t>
            </w:r>
            <w:r>
              <w:rPr>
                <w:rStyle w:val="IndexLink"/>
                <w:rtl w:val="true"/>
              </w:rPr>
              <w:t>پی‌رنگ‌های فکری تکفیر</w:t>
            </w:r>
            <w:r>
              <w:rPr>
                <w:rStyle w:val="IndexLink"/>
                <w:rtl w:val="true"/>
              </w:rPr>
              <w:tab/>
            </w:r>
            <w:r>
              <w:rPr>
                <w:rStyle w:val="IndexLink"/>
              </w:rPr>
              <w:t>30</w:t>
            </w:r>
          </w:hyperlink>
        </w:p>
        <w:p>
          <w:pPr>
            <w:pStyle w:val="Contents3"/>
            <w:tabs>
              <w:tab w:val="clear" w:pos="8459"/>
              <w:tab w:val="right" w:pos="9026" w:leader="dot"/>
            </w:tabs>
            <w:rPr/>
          </w:pPr>
          <w:hyperlink w:anchor="__RefHeading___Toc1129063_774463916">
            <w:r>
              <w:rPr>
                <w:webHidden/>
                <w:rStyle w:val="IndexLink"/>
              </w:rPr>
              <w:t>2</w:t>
            </w:r>
            <w:r>
              <w:rPr>
                <w:rStyle w:val="IndexLink"/>
                <w:rtl w:val="true"/>
              </w:rPr>
              <w:t>.</w:t>
            </w:r>
            <w:r>
              <w:rPr>
                <w:rStyle w:val="IndexLink"/>
                <w:rtl w:val="true"/>
              </w:rPr>
              <w:t>تکفیر در دورۀ معاصر</w:t>
            </w:r>
            <w:r>
              <w:rPr>
                <w:rStyle w:val="IndexLink"/>
                <w:rtl w:val="true"/>
              </w:rPr>
              <w:tab/>
            </w:r>
            <w:r>
              <w:rPr>
                <w:rStyle w:val="IndexLink"/>
              </w:rPr>
              <w:t>31</w:t>
            </w:r>
          </w:hyperlink>
        </w:p>
        <w:p>
          <w:pPr>
            <w:pStyle w:val="Contents3"/>
            <w:tabs>
              <w:tab w:val="clear" w:pos="8459"/>
              <w:tab w:val="right" w:pos="9026" w:leader="dot"/>
            </w:tabs>
            <w:rPr/>
          </w:pPr>
          <w:hyperlink w:anchor="__RefHeading___Toc1129065_774463916">
            <w:r>
              <w:rPr>
                <w:webHidden/>
                <w:rStyle w:val="IndexLink"/>
              </w:rPr>
              <w:t>3</w:t>
            </w:r>
            <w:r>
              <w:rPr>
                <w:rStyle w:val="IndexLink"/>
                <w:rtl w:val="true"/>
              </w:rPr>
              <w:t>.</w:t>
            </w:r>
            <w:r>
              <w:rPr>
                <w:rStyle w:val="IndexLink"/>
                <w:rtl w:val="true"/>
              </w:rPr>
              <w:t>علل تکفیر</w:t>
            </w:r>
            <w:r>
              <w:rPr>
                <w:rStyle w:val="IndexLink"/>
                <w:rtl w:val="true"/>
              </w:rPr>
              <w:tab/>
            </w:r>
            <w:r>
              <w:rPr>
                <w:rStyle w:val="IndexLink"/>
              </w:rPr>
              <w:t>35</w:t>
            </w:r>
          </w:hyperlink>
        </w:p>
        <w:p>
          <w:pPr>
            <w:pStyle w:val="Contents4"/>
            <w:tabs>
              <w:tab w:val="clear" w:pos="8176"/>
              <w:tab w:val="right" w:pos="9026" w:leader="dot"/>
            </w:tabs>
            <w:rPr/>
          </w:pPr>
          <w:hyperlink w:anchor="__RefHeading___Toc1129067_77446391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129069_774463916">
            <w:r>
              <w:rPr>
                <w:webHidden/>
                <w:rStyle w:val="IndexLink"/>
                <w:rtl w:val="true"/>
              </w:rPr>
              <w:t>پنجره</w:t>
            </w:r>
            <w:r>
              <w:rPr>
                <w:rStyle w:val="IndexLink"/>
                <w:rtl w:val="true"/>
              </w:rPr>
              <w:t>:</w:t>
              <w:tab/>
            </w:r>
            <w:r>
              <w:rPr>
                <w:rStyle w:val="IndexLink"/>
              </w:rPr>
              <w:t>38</w:t>
            </w:r>
          </w:hyperlink>
        </w:p>
        <w:p>
          <w:pPr>
            <w:pStyle w:val="Contents3"/>
            <w:tabs>
              <w:tab w:val="clear" w:pos="8459"/>
              <w:tab w:val="right" w:pos="9026" w:leader="dot"/>
            </w:tabs>
            <w:rPr/>
          </w:pPr>
          <w:hyperlink w:anchor="__RefHeading___Toc1129071_774463916">
            <w:r>
              <w:rPr>
                <w:webHidden/>
                <w:rStyle w:val="IndexLink"/>
              </w:rPr>
              <w:t>4</w:t>
            </w:r>
            <w:r>
              <w:rPr>
                <w:rStyle w:val="IndexLink"/>
                <w:rtl w:val="true"/>
              </w:rPr>
              <w:t>.</w:t>
            </w:r>
            <w:r>
              <w:rPr>
                <w:rStyle w:val="IndexLink"/>
                <w:rtl w:val="true"/>
              </w:rPr>
              <w:t>جنایات تکفیری‌ها</w:t>
            </w:r>
            <w:r>
              <w:rPr>
                <w:rStyle w:val="IndexLink"/>
                <w:rtl w:val="true"/>
              </w:rPr>
              <w:tab/>
            </w:r>
            <w:r>
              <w:rPr>
                <w:rStyle w:val="IndexLink"/>
              </w:rPr>
              <w:t>40</w:t>
            </w:r>
          </w:hyperlink>
        </w:p>
        <w:p>
          <w:pPr>
            <w:pStyle w:val="Contents4"/>
            <w:tabs>
              <w:tab w:val="clear" w:pos="8176"/>
              <w:tab w:val="right" w:pos="9026" w:leader="dot"/>
            </w:tabs>
            <w:rPr/>
          </w:pPr>
          <w:hyperlink w:anchor="__RefHeading___Toc1129073_77446391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129075_774463916">
            <w:r>
              <w:rPr>
                <w:webHidden/>
                <w:rStyle w:val="IndexLink"/>
                <w:rtl w:val="true"/>
              </w:rPr>
              <w:t>خلاصه</w:t>
            </w:r>
            <w:r>
              <w:rPr>
                <w:rStyle w:val="IndexLink"/>
                <w:rtl w:val="true"/>
              </w:rPr>
              <w:t>:</w:t>
              <w:tab/>
            </w:r>
            <w:r>
              <w:rPr>
                <w:rStyle w:val="IndexLink"/>
              </w:rPr>
              <w:t>43</w:t>
            </w:r>
          </w:hyperlink>
        </w:p>
        <w:p>
          <w:pPr>
            <w:pStyle w:val="Contents2"/>
            <w:tabs>
              <w:tab w:val="clear" w:pos="8743"/>
              <w:tab w:val="right" w:pos="9026" w:leader="dot"/>
            </w:tabs>
            <w:rPr/>
          </w:pPr>
          <w:hyperlink w:anchor="__RefHeading___Toc1129077_774463916">
            <w:r>
              <w:rPr>
                <w:webHidden/>
                <w:rStyle w:val="IndexLink"/>
                <w:rtl w:val="true"/>
              </w:rPr>
              <w:t>فصل چهارم</w:t>
            </w:r>
            <w:r>
              <w:rPr>
                <w:rStyle w:val="IndexLink"/>
                <w:rtl w:val="true"/>
              </w:rPr>
              <w:t xml:space="preserve">: </w:t>
            </w:r>
            <w:r>
              <w:rPr>
                <w:rStyle w:val="IndexLink"/>
                <w:rtl w:val="true"/>
              </w:rPr>
              <w:t>نقد از درون</w:t>
            </w:r>
            <w:r>
              <w:rPr>
                <w:rStyle w:val="IndexLink"/>
                <w:rtl w:val="true"/>
              </w:rPr>
              <w:tab/>
            </w:r>
            <w:r>
              <w:rPr>
                <w:rStyle w:val="IndexLink"/>
              </w:rPr>
              <w:t>44</w:t>
            </w:r>
          </w:hyperlink>
        </w:p>
        <w:p>
          <w:pPr>
            <w:pStyle w:val="Contents3"/>
            <w:tabs>
              <w:tab w:val="clear" w:pos="8459"/>
              <w:tab w:val="right" w:pos="9026" w:leader="dot"/>
            </w:tabs>
            <w:rPr/>
          </w:pPr>
          <w:hyperlink w:anchor="__RefHeading___Toc1129079_77446391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129081_774463916">
            <w:r>
              <w:rPr>
                <w:webHidden/>
                <w:rStyle w:val="IndexLink"/>
                <w:rtl w:val="true"/>
              </w:rPr>
              <w:t>پنجره</w:t>
            </w:r>
            <w:r>
              <w:rPr>
                <w:rStyle w:val="IndexLink"/>
                <w:rtl w:val="true"/>
              </w:rPr>
              <w:t>:</w:t>
              <w:tab/>
            </w:r>
            <w:r>
              <w:rPr>
                <w:rStyle w:val="IndexLink"/>
              </w:rPr>
              <w:t>47</w:t>
            </w:r>
          </w:hyperlink>
        </w:p>
        <w:p>
          <w:pPr>
            <w:pStyle w:val="Contents3"/>
            <w:tabs>
              <w:tab w:val="clear" w:pos="8459"/>
              <w:tab w:val="right" w:pos="9026" w:leader="dot"/>
            </w:tabs>
            <w:rPr/>
          </w:pPr>
          <w:hyperlink w:anchor="__RefHeading___Toc1129083_774463916">
            <w:r>
              <w:rPr>
                <w:webHidden/>
                <w:rStyle w:val="IndexLink"/>
                <w:rtl w:val="true"/>
              </w:rPr>
              <w:t>خلاصه</w:t>
            </w:r>
            <w:r>
              <w:rPr>
                <w:rStyle w:val="IndexLink"/>
                <w:rtl w:val="true"/>
              </w:rPr>
              <w:t>:</w:t>
              <w:tab/>
            </w:r>
            <w:r>
              <w:rPr>
                <w:rStyle w:val="IndexLink"/>
              </w:rPr>
              <w:t>50</w:t>
            </w:r>
          </w:hyperlink>
        </w:p>
        <w:p>
          <w:pPr>
            <w:pStyle w:val="Contents2"/>
            <w:tabs>
              <w:tab w:val="clear" w:pos="8743"/>
              <w:tab w:val="right" w:pos="9026" w:leader="dot"/>
            </w:tabs>
            <w:rPr/>
          </w:pPr>
          <w:hyperlink w:anchor="__RefHeading___Toc1129085_774463916">
            <w:r>
              <w:rPr>
                <w:webHidden/>
                <w:rStyle w:val="IndexLink"/>
                <w:rtl w:val="true"/>
              </w:rPr>
              <w:t>سخن آخر</w:t>
            </w:r>
            <w:r>
              <w:rPr>
                <w:rStyle w:val="IndexLink"/>
                <w:rtl w:val="true"/>
              </w:rPr>
              <w:tab/>
            </w:r>
            <w:r>
              <w:rPr>
                <w:rStyle w:val="IndexLink"/>
              </w:rPr>
              <w:t>52</w:t>
            </w:r>
          </w:hyperlink>
        </w:p>
        <w:p>
          <w:pPr>
            <w:pStyle w:val="Contents2"/>
            <w:tabs>
              <w:tab w:val="clear" w:pos="8743"/>
              <w:tab w:val="right" w:pos="9026" w:leader="dot"/>
            </w:tabs>
            <w:rPr/>
          </w:pPr>
          <w:hyperlink w:anchor="__RefHeading___Toc1129087_774463916">
            <w:r>
              <w:rPr>
                <w:webHidden/>
                <w:rStyle w:val="IndexLink"/>
                <w:rtl w:val="true"/>
              </w:rPr>
              <w:t>بیشتر بخوانیم</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6_32504"/>
      <w:bookmarkStart w:id="1" w:name="pg5076_32504"/>
      <w:bookmarkEnd w:id="1"/>
    </w:p>
    <w:p>
      <w:pPr>
        <w:pStyle w:val="Heading2"/>
        <w:numPr>
          <w:ilvl w:val="1"/>
          <w:numId w:val="1"/>
        </w:numPr>
        <w:rPr/>
      </w:pPr>
      <w:bookmarkStart w:id="2" w:name="pg5076_32504"/>
      <w:bookmarkStart w:id="3" w:name="__RefHeading___Toc112902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2704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۴۷۲۳۵۷۱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چیست؟ تکفیری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 ؛ تهیه و تنظیم اداره پاسخ‌گویی به سوالات دینی آستان قدس رضوی ؛ ویراستار سیدحمید حیدری‌ثانی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Excommunication (Islamic law)</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محمدباقر،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Pouramini, Mohammad Bagher</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تکفیر چیست؟ تکفیری کیست؟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پورامینی</w:t>
      </w:r>
      <w:bookmarkStart w:id="5" w:name="pg5076_32505"/>
    </w:p>
    <w:p>
      <w:pPr>
        <w:pStyle w:val="Heading2"/>
        <w:numPr>
          <w:ilvl w:val="1"/>
          <w:numId w:val="1"/>
        </w:numPr>
        <w:rPr/>
      </w:pPr>
      <w:bookmarkStart w:id="6" w:name="__RefHeading___Toc1129025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076_32510"/>
    </w:p>
    <w:p>
      <w:pPr>
        <w:pStyle w:val="Heading2"/>
        <w:numPr>
          <w:ilvl w:val="1"/>
          <w:numId w:val="1"/>
        </w:numPr>
        <w:rPr/>
      </w:pPr>
      <w:bookmarkStart w:id="9" w:name="__RefHeading___Toc1129027_774463916"/>
      <w:bookmarkStart w:id="10" w:name="_Toc3"/>
      <w:bookmarkEnd w:id="8"/>
      <w:bookmarkEnd w:id="9"/>
      <w:r>
        <w:rPr>
          <w:rtl w:val="true"/>
        </w:rPr>
        <w:t>تکفیرچیست؟ تکفیری کیست؟</w:t>
      </w:r>
      <w:bookmarkEnd w:id="10"/>
    </w:p>
    <w:p>
      <w:pPr>
        <w:pStyle w:val="Heading2"/>
        <w:numPr>
          <w:ilvl w:val="1"/>
          <w:numId w:val="1"/>
        </w:numPr>
        <w:rPr/>
      </w:pPr>
      <w:bookmarkStart w:id="11" w:name="__RefHeading___Toc1129029_774463916"/>
      <w:bookmarkStart w:id="12" w:name="_Toc4"/>
      <w:bookmarkEnd w:id="11"/>
      <w:r>
        <w:rPr>
          <w:rtl w:val="true"/>
        </w:rPr>
        <w:t>دربچه</w:t>
      </w:r>
      <w:bookmarkEnd w:id="12"/>
    </w:p>
    <w:p>
      <w:pPr>
        <w:pStyle w:val="BookText"/>
        <w:rPr/>
      </w:pPr>
      <w:r>
        <w:rPr>
          <w:rFonts w:ascii="IRNazanin" w:hAnsi="IRNazanin" w:eastAsia="IRNazanin"/>
          <w:color w:val="111111"/>
          <w:sz w:val="28"/>
          <w:sz w:val="28"/>
          <w:szCs w:val="28"/>
          <w:rtl w:val="true"/>
          <w:lang w:bidi="fa-IR"/>
        </w:rPr>
        <w:t>در این نوشتار در پی پاسخ به این پرسش‌هاییم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و تکفیری به چه معناست؟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نگاه قرآن و سنت، می‌توان مسلمان را تکفیر کرد؟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تکفیری‌های امروز از کجا ریشه گرفته‌اند؟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سلفی‌های وهابی و تکفیری‌ها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دانشمندان اهل‌سنت در برابر مواضع و جنایت‌های تکفیری‌ها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3" w:name="pg5076_32512"/>
    </w:p>
    <w:p>
      <w:pPr>
        <w:pStyle w:val="Heading2"/>
        <w:numPr>
          <w:ilvl w:val="1"/>
          <w:numId w:val="1"/>
        </w:numPr>
        <w:rPr/>
      </w:pPr>
      <w:bookmarkStart w:id="14" w:name="__RefHeading___Toc1129031_774463916"/>
      <w:bookmarkStart w:id="15" w:name="_Toc5"/>
      <w:bookmarkEnd w:id="13"/>
      <w:bookmarkEnd w:id="14"/>
      <w:r>
        <w:rPr>
          <w:rtl w:val="true"/>
        </w:rPr>
        <w:t>درآمد</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سلفیان وهابی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تکفیری می‌گویند؛ چون کفر را به دیگر مسلمانان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شناخت این پدیده، نیازمند آشنایی با ریشه و تاریخچه و کاربرد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می‌خواهیم ببینیم جریان سلفیگری چه میزان انحراف دارد و چه اندازه از مفاهیم و اصطلاحات، سوءاستفاده می‌کند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5076_32514"/>
    </w:p>
    <w:p>
      <w:pPr>
        <w:pStyle w:val="Heading2"/>
        <w:numPr>
          <w:ilvl w:val="1"/>
          <w:numId w:val="1"/>
        </w:numPr>
        <w:rPr/>
      </w:pPr>
      <w:bookmarkStart w:id="17" w:name="__RefHeading___Toc1129033_774463916"/>
      <w:bookmarkStart w:id="18" w:name="_Toc6"/>
      <w:bookmarkEnd w:id="16"/>
      <w:bookmarkEnd w:id="17"/>
      <w:r>
        <w:rPr>
          <w:rtl w:val="true"/>
        </w:rPr>
        <w:t>فصل اول</w:t>
      </w:r>
      <w:r>
        <w:rPr>
          <w:rtl w:val="true"/>
        </w:rPr>
        <w:t xml:space="preserve">: </w:t>
      </w:r>
      <w:r>
        <w:rPr>
          <w:rtl w:val="true"/>
        </w:rPr>
        <w:t>معنای تکفیر</w:t>
      </w:r>
      <w:bookmarkEnd w:id="18"/>
    </w:p>
    <w:p>
      <w:pPr>
        <w:pStyle w:val="Heading3"/>
        <w:numPr>
          <w:ilvl w:val="2"/>
          <w:numId w:val="1"/>
        </w:numPr>
        <w:rPr/>
      </w:pPr>
      <w:bookmarkStart w:id="19" w:name="__RefHeading___Toc1129035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8" o:detectmouseclick="t"/>
                <v:stroke color="#3465a4" joinstyle="round" endcap="flat"/>
                <w10:wrap type="none"/>
              </v:shape>
            </w:pict>
          </mc:Fallback>
        </mc:AlternateContent>
      </w:r>
      <w:bookmarkStart w:id="21" w:name="pg5076_32516"/>
    </w:p>
    <w:p>
      <w:pPr>
        <w:pStyle w:val="Heading3"/>
        <w:numPr>
          <w:ilvl w:val="2"/>
          <w:numId w:val="1"/>
        </w:numPr>
        <w:rPr/>
      </w:pPr>
      <w:bookmarkStart w:id="22" w:name="__RefHeading___Toc1129037_774463916"/>
      <w:bookmarkStart w:id="23" w:name="_Toc8"/>
      <w:bookmarkEnd w:id="21"/>
      <w:bookmarkEnd w:id="22"/>
      <w:r>
        <w:rPr/>
        <w:t>1</w:t>
      </w:r>
      <w:r>
        <w:rPr>
          <w:rtl w:val="true"/>
        </w:rPr>
        <w:t>.</w:t>
      </w:r>
      <w:r>
        <w:rPr>
          <w:rtl w:val="true"/>
        </w:rPr>
        <w:t>مفهوم تکفیر</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پوشش و پوشاندن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اصطلاح جاری در کلام و فقه، انکار توحید و نبوت و ضروری دین را اگر به انکار رسالت بینجامد، کفر می‌نامند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تکفیر نیز در اصطلاح به‌معنای کافردانستن کسی یا نسبت‌دادن کفر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به‌معنای نسبت‌دادن کفر به شخص یا گروهی، در قرآن کریم مصادیق پرشماری دارد؛ ازجمله کسانی‌که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پنداشتند</w:t>
      </w:r>
      <w:r>
        <w:rPr>
          <w:rStyle w:val="FootnoteAnchor"/>
          <w:rtl w:val="true"/>
        </w:rPr>
        <w:footnoteReference w:id="5"/>
      </w:r>
      <w:r>
        <w:rPr>
          <w:rFonts w:ascii="IRNazanin" w:hAnsi="IRNazanin" w:eastAsia="IRNazanin"/>
          <w:color w:val="111111"/>
          <w:sz w:val="28"/>
          <w:sz w:val="28"/>
          <w:szCs w:val="28"/>
          <w:rtl w:val="true"/>
          <w:lang w:bidi="fa-IR"/>
        </w:rPr>
        <w:t>و افرادی که به مردم جادوگری می‌آموختند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احادیث نیز عواملی که ممکن است سبب تکفیر شود و نمونه‌های غیرمجاز و شروط آن، به‌تفصیل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تکفیر، کاربرد ویژه‌ای پیدا کرده و به‌دور از مفهوم واقعی خود، فقط دست‌مایۀ سلب حیثیت و طرد و قتل</w:t>
      </w:r>
      <w:bookmarkStart w:id="24" w:name="pg5076_32517"/>
    </w:p>
    <w:p>
      <w:pPr>
        <w:pStyle w:val="BookText"/>
        <w:rPr/>
      </w:pPr>
      <w:bookmarkEnd w:id="24"/>
      <w:r>
        <w:rPr>
          <w:rFonts w:ascii="IRNazanin" w:hAnsi="IRNazanin" w:eastAsia="IRNazanin"/>
          <w:color w:val="111111"/>
          <w:sz w:val="28"/>
          <w:sz w:val="28"/>
          <w:szCs w:val="28"/>
          <w:rtl w:val="true"/>
          <w:lang w:bidi="fa-IR"/>
        </w:rPr>
        <w:t>بخش مهمی از مسلمانان توسط سلفیان وهابی شده است</w:t>
      </w:r>
      <w:r>
        <w:rPr>
          <w:rFonts w:eastAsia="IRNazanin" w:cs="IRNazanin"/>
          <w:color w:val="111111"/>
          <w:sz w:val="28"/>
          <w:szCs w:val="28"/>
          <w:rtl w:val="true"/>
          <w:lang w:bidi="fa-IR"/>
        </w:rPr>
        <w:t>.</w:t>
      </w:r>
    </w:p>
    <w:p>
      <w:pPr>
        <w:pStyle w:val="Heading3"/>
        <w:numPr>
          <w:ilvl w:val="2"/>
          <w:numId w:val="1"/>
        </w:numPr>
        <w:rPr/>
      </w:pPr>
      <w:bookmarkStart w:id="25" w:name="__RefHeading___Toc1129039_774463916"/>
      <w:bookmarkStart w:id="26" w:name="_Toc9"/>
      <w:bookmarkEnd w:id="25"/>
      <w:r>
        <w:rPr/>
        <w:t>2</w:t>
      </w:r>
      <w:r>
        <w:rPr>
          <w:rtl w:val="true"/>
        </w:rPr>
        <w:t>.</w:t>
      </w:r>
      <w:r>
        <w:rPr>
          <w:rtl w:val="true"/>
        </w:rPr>
        <w:t>پیشینه</w:t>
      </w:r>
      <w:bookmarkEnd w:id="26"/>
    </w:p>
    <w:p>
      <w:pPr>
        <w:pStyle w:val="Heading4"/>
        <w:numPr>
          <w:ilvl w:val="3"/>
          <w:numId w:val="1"/>
        </w:numPr>
        <w:rPr/>
      </w:pPr>
      <w:bookmarkStart w:id="27" w:name="__RefHeading___Toc1129041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تکفیر در میان مسلمانان، به پس از رحلت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حوادث مهم تاریخی در دهه‌های آغازین اسلام، به‌سبب تکفیر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رویدادهای مهم دوران پس از رحلت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دستگاه خلافت، معارضان خود را به دلیل ندادن زکات و نپذیرفتن اصل خلافت، کافر و خارج از دین خواند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حادثه، حتی در میان افراد نزدیک به خلیفه، تردیدهای بسیاری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گروه خوارج و حرکت‌های خشونت‌بار آنان نیز با تکفیر در ارتباط بود؛ به‌گونه‌ای‌که می‌توان خوارج را نخستین گروهی برشمرد که مسلمانان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فرقه‌های خوارج نه‌تنها کسی را که مرتکب یکی از گناهان کبیره می‌شد، بلکه امت پیامبر را نیز تکفیر می‌کردند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آنان حتی حرمت جایگاه 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نمی‌داشتند و ایشان را تکفیر می‌کردند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تکفیر نیز در میان بعضی از معتزله و اشاعره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مشبّهه را تکفیر</w:t>
      </w:r>
      <w:bookmarkStart w:id="29" w:name="pg5076_32518"/>
    </w:p>
    <w:p>
      <w:pPr>
        <w:pStyle w:val="BookText"/>
        <w:rPr/>
      </w:pPr>
      <w:bookmarkEnd w:id="29"/>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0" w:name="__RefHeading___Toc1129043_774463916"/>
      <w:bookmarkStart w:id="31" w:name="_Toc11"/>
      <w:bookmarkEnd w:id="30"/>
      <w:r>
        <w:rPr>
          <w:rtl w:val="true"/>
        </w:rPr>
        <w:t>پنجره</w:t>
      </w:r>
      <w:r>
        <w:rPr>
          <w:rtl w:val="true"/>
        </w:rPr>
        <w:t>:</w:t>
      </w:r>
      <w:bookmarkEnd w:id="31"/>
    </w:p>
    <w:p>
      <w:pPr>
        <w:pStyle w:val="BookText"/>
        <w:rPr/>
      </w:pPr>
      <w:r>
        <w:rPr>
          <w:rFonts w:ascii="IRNazanin" w:hAnsi="IRNazanin" w:eastAsia="IRNazanin"/>
          <w:color w:val="111111"/>
          <w:sz w:val="28"/>
          <w:sz w:val="28"/>
          <w:szCs w:val="28"/>
          <w:rtl w:val="true"/>
          <w:lang w:bidi="fa-IR"/>
        </w:rPr>
        <w:t>هرچند نمونه‌های فردی و جمعی تکفیر در تاریخ اسلام گزارش شده و در برهه‌هایی از تاریخ، این جریان شایع بوده است، نمی‌توان تکفیر را در میان فرقه‌ها و نحله‌های گوناگون اسلامی چندان عمده و سرنوشت‌ساز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نگاهی کلان، نمونه‌های افراط‌آمیز تکفیر، چه آنان‌که تکفیر کرده‌اند و چه آنان‌که تکفیر شده‌اند، اندک به‌نظر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شمار پیروان دیدگاه افراطی تکفیر، در مقایسه با کل جمعیت مسلمانان، چندان نیست؛</w:t>
      </w:r>
      <w:r>
        <w:rPr>
          <w:rStyle w:val="FootnoteAnchor"/>
          <w:rtl w:val="true"/>
        </w:rPr>
        <w:footnoteReference w:id="11"/>
      </w:r>
      <w:r>
        <w:rPr>
          <w:rFonts w:ascii="IRNazanin" w:hAnsi="IRNazanin" w:eastAsia="IRNazanin"/>
          <w:color w:val="111111"/>
          <w:sz w:val="28"/>
          <w:sz w:val="28"/>
          <w:szCs w:val="28"/>
          <w:rtl w:val="true"/>
          <w:lang w:bidi="fa-IR"/>
        </w:rPr>
        <w:t>اما به‌سبب برخورداری از موقعیت‌های مالی و سیاسی، عملکرد ایشان بازتابی گسترده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دربارۀ جریان وهابیت که مهم‌ترین فرقۀ مروج و مجری تکفیر است، ظاهراً نظر علما و فقهای مذاهب مهم اسلامی در کاهش ترویج تکفیر مؤثر بوده است؛ زیرا فقهای شیعه نسبت‌دادن بی‌دلیل کفر به مسلمان را مستوجب تعزیر دانسته‌اند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ازسویی، غزالی نیز ضمن توضیح معیار</w:t>
      </w:r>
      <w:bookmarkStart w:id="32" w:name="pg5076_32519"/>
    </w:p>
    <w:p>
      <w:pPr>
        <w:pStyle w:val="BookText"/>
        <w:rPr/>
      </w:pPr>
      <w:bookmarkEnd w:id="32"/>
      <w:r>
        <w:rPr>
          <w:rFonts w:ascii="IRNazanin" w:hAnsi="IRNazanin" w:eastAsia="IRNazanin"/>
          <w:color w:val="111111"/>
          <w:sz w:val="28"/>
          <w:sz w:val="28"/>
          <w:szCs w:val="28"/>
          <w:rtl w:val="true"/>
          <w:lang w:bidi="fa-IR"/>
        </w:rPr>
        <w:t>تکفیر، از طایفه‌ای از متکلمان که با تنگ‌نظری عده‌ای از مسلمانان را تکفیر کرده‌اند، انتقاد کرده و توصیه کرده است تا‌جایی‌که ممکن است، از تکفیر اهل قبله پرهیز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هرکس به شعایر اسلامی پایبند باشد و نشانه‌های دین الهی را بزرگ شمارد، مسلمان است و باید حرمت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آزار این‌چنین فردی حرام است و غیرمسلمان‌نامیدن او، نوعی آزار تلقی می شود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3" w:name="__RefHeading___Toc1129045_774463916"/>
      <w:bookmarkStart w:id="34" w:name="_Toc12"/>
      <w:bookmarkEnd w:id="33"/>
      <w:r>
        <w:rPr>
          <w:rtl w:val="true"/>
        </w:rPr>
        <w:t>خلاصه</w:t>
      </w:r>
      <w:r>
        <w:rPr>
          <w:rtl w:val="true"/>
        </w:rPr>
        <w:t>:</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به‌دور از مفهوم واقعی‌اش، فقط دست‌مایۀ سلب حیثیت و طرد و قتل بخش مهمی از مسلمانان توسط سلفیان وهابی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گروه خوارج و حرکت‌های خشونت‌بار آنان، با تکفیر در ارتباط بود؛ به‌گونه‌ای‌که می‌توان خوارج را نخستین گروهی برشمرد که مسلمانان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خوارج، وهابیت به‌سبب برخورداری از موقعیت‌های مالی و سیاسی، مهم‌ترین فرقۀ مروج و مجری تکفیر به‌شمار می‌رود</w:t>
      </w:r>
      <w:r>
        <w:rPr>
          <w:rFonts w:eastAsia="IRNazanin" w:cs="IRNazanin"/>
          <w:color w:val="111111"/>
          <w:sz w:val="28"/>
          <w:szCs w:val="28"/>
          <w:rtl w:val="true"/>
          <w:lang w:bidi="fa-IR"/>
        </w:rPr>
        <w:t>.</w:t>
      </w:r>
      <w:bookmarkStart w:id="35" w:name="pg5076_32520"/>
    </w:p>
    <w:p>
      <w:pPr>
        <w:pStyle w:val="Heading2"/>
        <w:numPr>
          <w:ilvl w:val="1"/>
          <w:numId w:val="1"/>
        </w:numPr>
        <w:rPr/>
      </w:pPr>
      <w:bookmarkStart w:id="36" w:name="__RefHeading___Toc1129047_774463916"/>
      <w:bookmarkStart w:id="37" w:name="_Toc13"/>
      <w:bookmarkEnd w:id="35"/>
      <w:bookmarkEnd w:id="36"/>
      <w:r>
        <w:rPr>
          <w:rtl w:val="true"/>
        </w:rPr>
        <w:t>فصل دوم</w:t>
      </w:r>
      <w:r>
        <w:rPr>
          <w:rtl w:val="true"/>
        </w:rPr>
        <w:t xml:space="preserve">: </w:t>
      </w:r>
      <w:r>
        <w:rPr>
          <w:rtl w:val="true"/>
        </w:rPr>
        <w:t>نفی تکفیر</w:t>
      </w:r>
      <w:bookmarkEnd w:id="37"/>
    </w:p>
    <w:p>
      <w:pPr>
        <w:pStyle w:val="Heading3"/>
        <w:numPr>
          <w:ilvl w:val="2"/>
          <w:numId w:val="1"/>
        </w:numPr>
        <w:rPr/>
      </w:pPr>
      <w:bookmarkStart w:id="38" w:name="__RefHeading___Toc1129049_774463916"/>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تصویر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8" o:detectmouseclick="t"/>
                <v:stroke color="#3465a4" joinstyle="round" endcap="flat"/>
                <w10:wrap type="none"/>
              </v:shape>
            </w:pict>
          </mc:Fallback>
        </mc:AlternateContent>
      </w:r>
      <w:bookmarkStart w:id="40" w:name="pg5076_32522"/>
    </w:p>
    <w:p>
      <w:pPr>
        <w:pStyle w:val="Heading3"/>
        <w:numPr>
          <w:ilvl w:val="2"/>
          <w:numId w:val="1"/>
        </w:numPr>
        <w:rPr/>
      </w:pPr>
      <w:bookmarkStart w:id="41" w:name="__RefHeading___Toc1129051_774463916"/>
      <w:bookmarkStart w:id="42" w:name="_Toc15"/>
      <w:bookmarkEnd w:id="40"/>
      <w:bookmarkEnd w:id="41"/>
      <w:r>
        <w:rPr/>
        <w:t>1</w:t>
      </w:r>
      <w:r>
        <w:rPr>
          <w:rtl w:val="true"/>
        </w:rPr>
        <w:t>.</w:t>
      </w:r>
      <w:r>
        <w:rPr>
          <w:rtl w:val="true"/>
        </w:rPr>
        <w:t>تکفیر و فرهنگ قرآن</w:t>
      </w:r>
      <w:bookmarkEnd w:id="42"/>
    </w:p>
    <w:p>
      <w:pPr>
        <w:pStyle w:val="BookText"/>
        <w:rPr/>
      </w:pPr>
      <w:r>
        <w:rPr>
          <w:rFonts w:ascii="IRNazanin" w:hAnsi="IRNazanin" w:eastAsia="IRNazanin"/>
          <w:color w:val="111111"/>
          <w:sz w:val="28"/>
          <w:sz w:val="28"/>
          <w:szCs w:val="28"/>
          <w:rtl w:val="true"/>
          <w:lang w:bidi="fa-IR"/>
        </w:rPr>
        <w:t>در فرهنگ قرآن، نمی‌توان به کافربودن کسی حکم داد که اظهار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 یَا أَیهُّا الَّذِینَ ءَامَنُواْ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مؤمنی را به‌عمد بکشد، کیفر او جهنم است که در آن همواره خواهد بود و خدا بر او خشم گیرد و لعنتش کند و برایش عذابی بزرگ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آورده‌اید، چون برای جهاد رهسپار شوید، نیک تفحص کنید و به آن‌کس‌که بر شما سلام گوید،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برخورداری از زندگی دنیا را می‌جویید؛ حال‌آنکه غنیمت‌های بسیار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پیش از این چنان بودید؛ ولی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تفحص کنید که خدا بر اعمالتان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دربارۀ شأن نزول این آیه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نبرد خیبر، رسول خدا اسامة‌بن‌زید را همراه گروهی از مسلمانان به‌سوی یهودیان در یکی از روستاهای فدک اعزام کرد تا آنان را به اسلام یا قبول شرایط ذمّه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به‌نام مرداس‌بن‌نهیک با آگاه‌شدن از آمدن سپاه اسلام، اموال و خانوادۀ خود را در پناه کوهی قرار داد و درحالی‌که به توحید و نبوت پیامبر گواهی می‌داد، به استقبال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به‌خیال اینکه او از سر ترس، اظهار اسلام می‌کند، وی را کشت و اموالش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این رفتار که به کشتن یک مسلمان انجامید، ناراحت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پرتو آیۀ گفته‌شده، مفسران و عالمان شیعه و سنی در این نکته هم‌عقیده‌اند که هرکس اظهار اسلام کند، نمی‌توان به کافربودنش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دیدگاه چند مفسر سنی و شیعه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محمد‌بن‌جریر طبری، مفسر نامی اهل‌سنت در قرن سوم معتقد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کسی‌که به شما رو می‌آورد و قصد جنگ ندارد و خود را از شما</w:t>
      </w:r>
    </w:p>
    <w:p>
      <w:pPr>
        <w:pStyle w:val="BookText"/>
        <w:rPr/>
      </w:pPr>
      <w:r>
        <w:rPr>
          <w:rFonts w:ascii="IRNazanin" w:hAnsi="IRNazanin" w:eastAsia="IRNazanin"/>
          <w:color w:val="111111"/>
          <w:sz w:val="28"/>
          <w:sz w:val="28"/>
          <w:szCs w:val="28"/>
          <w:rtl w:val="true"/>
          <w:lang w:bidi="fa-IR"/>
        </w:rPr>
        <w:t>و آیینتان نشان می‌دهد،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نیستی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زمخشری، مفسر حنفی‌مذهب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مکتب مذهب معتزلی گرایش داشته و این را در تفسیرش به‌طور آشکار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خود دربارۀ این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انقیاد و تسلیم است و گفته‌اند به‌معنای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این‌گونه بیان شده است که تسلیم به‌معنای تحیت به‌رسم مسلمانان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این نگاه، به کسی‌که اظهار اسلام می‌کند یا به‌رسم مسلمانان به شما تحیت می‌گوید و سلام می‌دهد، نباید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امین‌الاسلام طبرسی، مفسر شیعۀ قرن ششم نیز چنین دیدگاهی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ابوالفضل میبدی، مفسر ایرانی قرن ششم، یکی از پیروان متعصب مذهب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این آیه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نگویید کسی را که به تحیت مسلمانان شما را تحیت کرد، یعنی بر شما سلام کرد و شما را گفت که من مسلمانم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مؤمن نه‌ای و آمن‌کرده 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کرد از اسلام، از</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 بپذیرید و شمشیر از وی بردارید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شیخ‌احمد‌مصطفی مراغی، دانشمند شافعی مصری</w:t>
      </w:r>
      <w:r>
        <w:rPr>
          <w:rStyle w:val="FootnoteAnchor"/>
          <w:rtl w:val="true"/>
        </w:rPr>
        <w:footnoteReference w:id="21"/>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کسی‌که رفتارش برای شما به‌گونه‌ای است که گواه بر اسلامش است،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نیستی و به‌دلیل ترس از مرگ این‌گونه رفتار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ادعای او را بپذیرید و به‌موجب آن با او رفتار کنید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دیدگاه این دانشمندان شیعه و سنی دربارۀ آیه‌ای که به آن اشاره شد نیز تأمل‌برانگیز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نراقی</w:t>
      </w:r>
      <w:r>
        <w:rPr>
          <w:rStyle w:val="FootnoteAnchor"/>
          <w:rtl w:val="true"/>
        </w:rPr>
        <w:footnoteReference w:id="2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آیۀ شریفه آن است که هرکه اظهار اسلام نماید، مادامی‌که دلیل شرعی ثابت‌الحجیة بر کفر آن نباشد، ما نمی‌توانیم حکم به کفر آن کنیم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شیخ‌محمدحسین کاشف‌الغطاء</w:t>
      </w:r>
      <w:r>
        <w:rPr>
          <w:rStyle w:val="FootnoteAnchor"/>
          <w:rtl w:val="true"/>
        </w:rPr>
        <w:footnoteReference w:id="25"/>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اراده کرده است که مسلمانان میان خود، برادر و برضد دشمن، یار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که مسلمانان همچون یدِ</w:t>
      </w:r>
      <w:bookmarkStart w:id="43" w:name="pg5076_32527"/>
    </w:p>
    <w:p>
      <w:pPr>
        <w:pStyle w:val="BookText"/>
        <w:rPr/>
      </w:pPr>
      <w:bookmarkEnd w:id="43"/>
      <w:r>
        <w:rPr>
          <w:rFonts w:ascii="IRNazanin" w:hAnsi="IRNazanin" w:eastAsia="IRNazanin"/>
          <w:color w:val="111111"/>
          <w:sz w:val="28"/>
          <w:sz w:val="28"/>
          <w:szCs w:val="28"/>
          <w:rtl w:val="true"/>
          <w:lang w:bidi="fa-IR"/>
        </w:rPr>
        <w:t>واحد برای قدرت‌نمایی برضد بیگانگان و دشمنان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قاعدۀ اساسی را ابن‌عبدالوهاب نقض کرد و به‌خلاف این آیه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مسلمانان را کافر شمرد و آنان را در نقطۀ مقابل 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به‌عنوان آلت دست دشمنان، برای درهم‌کوبیدن پایه‌های دین می‌کوشند و به‌واسطۀ این گروه، مسلمانان کشته می‌شوند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حسن‌بن‌فرحان مالکی، از علمای سنی عربستان، ضمن استناد به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صراحتِ این آیۀ شریفه، جایی برای تکفیر مسلمانان باقی می‌ماند؛ آن‌هم براثر اشتباهات روشن تکفیرکننده در مسئلۀ توحید و شرک؟</w:t>
      </w:r>
      <w:r>
        <w:rPr>
          <w:rStyle w:val="FootnoteAnchor"/>
          <w:rtl w:val="true"/>
        </w:rPr>
        <w:footnoteReference w:id="27"/>
      </w:r>
    </w:p>
    <w:p>
      <w:pPr>
        <w:pStyle w:val="Heading3"/>
        <w:numPr>
          <w:ilvl w:val="2"/>
          <w:numId w:val="1"/>
        </w:numPr>
        <w:rPr/>
      </w:pPr>
      <w:bookmarkStart w:id="44" w:name="__RefHeading___Toc1129053_774463916"/>
      <w:bookmarkStart w:id="45" w:name="_Toc16"/>
      <w:bookmarkEnd w:id="44"/>
      <w:r>
        <w:rPr/>
        <w:t>2</w:t>
      </w:r>
      <w:r>
        <w:rPr>
          <w:rtl w:val="true"/>
        </w:rPr>
        <w:t>.</w:t>
      </w:r>
      <w:r>
        <w:rPr>
          <w:rtl w:val="true"/>
        </w:rPr>
        <w:t>تکفیر و سنت پیامبر</w:t>
      </w:r>
      <w:r>
        <w:rPr>
          <w:rtl w:val="true"/>
        </w:rPr>
        <w:t></w:t>
      </w:r>
      <w:bookmarkEnd w:id="45"/>
    </w:p>
    <w:p>
      <w:pPr>
        <w:pStyle w:val="BookText"/>
        <w:rPr/>
      </w:pPr>
      <w:r>
        <w:rPr>
          <w:rFonts w:ascii="IRNazanin" w:hAnsi="IRNazanin" w:eastAsia="IRNazanin"/>
          <w:color w:val="111111"/>
          <w:sz w:val="28"/>
          <w:sz w:val="28"/>
          <w:szCs w:val="28"/>
          <w:rtl w:val="true"/>
          <w:lang w:bidi="fa-IR"/>
        </w:rPr>
        <w:t>مسلمان کسی است که شهادتین را بگوید و به شعایر اسلامی پایبند باشد و ضرورت دین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نبوی نیز مسلمان‌بودن را در همین دایره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محمدبن‌اسماعیل بخاری در صحیح خود، این حدیث را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شهد أن لا إله إلا الله و استقبل قبلتنا و صلی صلاتنا و أکل</w:t>
      </w:r>
    </w:p>
    <w:p>
      <w:pPr>
        <w:pStyle w:val="BookText"/>
        <w:rPr/>
      </w:pPr>
      <w:r>
        <w:rPr>
          <w:rFonts w:ascii="IRNazanin" w:hAnsi="IRNazanin" w:eastAsia="IRNazanin"/>
          <w:color w:val="111111"/>
          <w:sz w:val="28"/>
          <w:sz w:val="28"/>
          <w:szCs w:val="28"/>
          <w:rtl w:val="true"/>
          <w:lang w:bidi="fa-IR"/>
        </w:rPr>
        <w:t>ذبیحتنا فهو المسلم له ما للمسلم و علیه ما علی المسلم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هرکس به وحدانیت خدا شهادت دهد، قبلۀ ما را جهت عبادت خویش قرار دهد، نماز را به‌جای آورد و از قربانیِ ما استفاده کند، او مسلمان است و حقوق مسلمان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سنت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مسلمان روا نیست و در روایات به‌شدت از این رویه، نهی شده است؛</w:t>
      </w:r>
      <w:r>
        <w:rPr>
          <w:rStyle w:val="FootnoteAnchor"/>
          <w:rtl w:val="true"/>
        </w:rPr>
        <w:footnoteReference w:id="29"/>
      </w:r>
      <w:r>
        <w:rPr>
          <w:rFonts w:ascii="IRNazanin" w:hAnsi="IRNazanin" w:eastAsia="IRNazanin"/>
          <w:color w:val="111111"/>
          <w:sz w:val="28"/>
          <w:sz w:val="28"/>
          <w:szCs w:val="28"/>
          <w:rtl w:val="true"/>
          <w:lang w:bidi="fa-IR"/>
        </w:rPr>
        <w:t>ازجمله در سنن ابی داود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رجل اکفر جلا مسلماً فان کان کافراً و الا کان هو الکافر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هرکه مسلمان دیگری را تکفیر کند، اگر او واقعا کافر باشد که هیچ؛ وگرنه خود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کفر الرجل اخاه فقدباء بها احدهما</w:t>
      </w:r>
      <w:r>
        <w:rPr>
          <w:rFonts w:eastAsia="IRNazanin" w:cs="IRNazanin"/>
          <w:color w:val="111111"/>
          <w:sz w:val="28"/>
          <w:szCs w:val="28"/>
          <w:rtl w:val="true"/>
          <w:lang w:bidi="fa-IR"/>
        </w:rPr>
        <w:t>.</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برادر خودش را کافر بنامد، یکی از آن دو، به عقوبت آن بدی دچار خواهد شد</w:t>
      </w:r>
      <w:r>
        <w:rPr>
          <w:rFonts w:eastAsia="IRNazanin" w:cs="IRNazanin"/>
          <w:color w:val="111111"/>
          <w:sz w:val="28"/>
          <w:szCs w:val="28"/>
          <w:rtl w:val="true"/>
          <w:lang w:bidi="fa-IR"/>
        </w:rPr>
        <w:t>.</w:t>
      </w:r>
      <w:bookmarkStart w:id="46" w:name="pg5076_32529"/>
    </w:p>
    <w:p>
      <w:pPr>
        <w:pStyle w:val="Heading3"/>
        <w:numPr>
          <w:ilvl w:val="2"/>
          <w:numId w:val="1"/>
        </w:numPr>
        <w:rPr/>
      </w:pPr>
      <w:bookmarkStart w:id="47" w:name="__RefHeading___Toc1129055_774463916"/>
      <w:bookmarkStart w:id="48" w:name="_Toc17"/>
      <w:bookmarkEnd w:id="46"/>
      <w:bookmarkEnd w:id="47"/>
      <w:r>
        <w:rPr>
          <w:rtl w:val="true"/>
        </w:rPr>
        <w:t>خلاصه</w:t>
      </w:r>
      <w:r>
        <w:rPr>
          <w:rtl w:val="true"/>
        </w:rPr>
        <w:t>:</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هرکس اظهار اسلام کند، نمی‌توان حکم به کافربودن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عالمان شیعه و سنی ذیل آیۀ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سورۀ نساء، بر این نکته هم‌عقیده‌اند که هرکس اظهار اسلام کند، نمی‌توان حکم به کافربودن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مسلمان کسی است که شهادتین بگوید و به شعایر اسلامی پایبند باشد و ضرورت دین را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تکفیر مسلمان جایز نیست</w:t>
      </w:r>
      <w:r>
        <w:rPr>
          <w:rFonts w:eastAsia="IRNazanin" w:cs="IRNazanin"/>
          <w:color w:val="111111"/>
          <w:sz w:val="28"/>
          <w:szCs w:val="28"/>
          <w:rtl w:val="true"/>
          <w:lang w:bidi="fa-IR"/>
        </w:rPr>
        <w:t>.</w:t>
      </w:r>
      <w:bookmarkStart w:id="49" w:name="pg5076_32530"/>
    </w:p>
    <w:p>
      <w:pPr>
        <w:pStyle w:val="Heading2"/>
        <w:numPr>
          <w:ilvl w:val="1"/>
          <w:numId w:val="1"/>
        </w:numPr>
        <w:rPr/>
      </w:pPr>
      <w:bookmarkStart w:id="50" w:name="__RefHeading___Toc1129057_774463916"/>
      <w:bookmarkStart w:id="51" w:name="_Toc18"/>
      <w:bookmarkEnd w:id="49"/>
      <w:bookmarkEnd w:id="50"/>
      <w:r>
        <w:rPr>
          <w:rtl w:val="true"/>
        </w:rPr>
        <w:t>فصل سوم</w:t>
      </w:r>
      <w:r>
        <w:rPr>
          <w:rtl w:val="true"/>
        </w:rPr>
        <w:t xml:space="preserve">: </w:t>
      </w:r>
      <w:r>
        <w:rPr>
          <w:rtl w:val="true"/>
        </w:rPr>
        <w:t>ریشه‌های تکفیر</w:t>
      </w:r>
      <w:bookmarkEnd w:id="51"/>
    </w:p>
    <w:p>
      <w:pPr>
        <w:pStyle w:val="Heading3"/>
        <w:numPr>
          <w:ilvl w:val="2"/>
          <w:numId w:val="1"/>
        </w:numPr>
        <w:rPr/>
      </w:pPr>
      <w:bookmarkStart w:id="52" w:name="__RefHeading___Toc1129059_774463916"/>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4" o:detectmouseclick="t"/>
                <v:stroke color="#3465a4" joinstyle="round" endcap="flat"/>
                <w10:wrap type="none"/>
              </v:shape>
            </w:pict>
          </mc:Fallback>
        </mc:AlternateContent>
      </w:r>
      <w:bookmarkStart w:id="54" w:name="pg5076_32532"/>
    </w:p>
    <w:p>
      <w:pPr>
        <w:pStyle w:val="Heading3"/>
        <w:numPr>
          <w:ilvl w:val="2"/>
          <w:numId w:val="1"/>
        </w:numPr>
        <w:rPr/>
      </w:pPr>
      <w:bookmarkStart w:id="55" w:name="__RefHeading___Toc1129061_774463916"/>
      <w:bookmarkStart w:id="56" w:name="_Toc20"/>
      <w:bookmarkEnd w:id="54"/>
      <w:bookmarkEnd w:id="55"/>
      <w:r>
        <w:rPr/>
        <w:t>1</w:t>
      </w:r>
      <w:r>
        <w:rPr>
          <w:rtl w:val="true"/>
        </w:rPr>
        <w:t>.</w:t>
      </w:r>
      <w:r>
        <w:rPr>
          <w:rtl w:val="true"/>
        </w:rPr>
        <w:t>پی‌رنگ‌های فکری تکفیر</w:t>
      </w:r>
      <w:bookmarkEnd w:id="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پی‌رنگ اندیشۀ تکفیر یاد می‌شود، شالودۀ پدیدۀ تکفیر مراد است تا بتوان به ریشه‌های فکری و معرفتی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بنیاد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در قرن‌های سوم تا پنجم هجری، در فضای عمومی اهل‌سنت مطرح شدند و با نقش محوری احمدبن‌حنبل</w:t>
      </w:r>
      <w:r>
        <w:rPr>
          <w:rStyle w:val="FootnoteAnchor"/>
          <w:rtl w:val="true"/>
        </w:rPr>
        <w:footnoteReference w:id="32"/>
      </w:r>
      <w:r>
        <w:rPr>
          <w:rFonts w:ascii="IRNazanin" w:hAnsi="IRNazanin" w:eastAsia="IRNazanin"/>
          <w:color w:val="111111"/>
          <w:sz w:val="28"/>
          <w:sz w:val="28"/>
          <w:szCs w:val="28"/>
          <w:rtl w:val="true"/>
          <w:lang w:bidi="fa-IR"/>
        </w:rPr>
        <w:t>و شاگردان او، فکرشان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اهل‌حدیث، با محوریت حدیث، به ترویج ظاهرگرایی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ظاهر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تأویل برخی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عقل‌ستیزی پرداختند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بستر نص‌گرایی اهل حدیث، ده‌ها باور ناهمسو با اسلام، همانند تشبیه و تجسیم خدا و جبرگرایی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و در پی او، محمدبن‌عبدالوهاب و پیروان آن دو، در چنین بستری پرورش یافتند و ثمرۀ چنین جریانی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با اتهام‌زنی به مسلمانان به‌ویژه شیعیان، آنان را کافر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مسلمانانی را کافر دانست که زیر بار تکفیر شیعه نمی‌رفتند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ابن‌کثیر، یار و شاگرد ابن‌تیمیه نیز معتقد است</w:t>
      </w:r>
      <w:bookmarkStart w:id="57" w:name="pg5076_32533"/>
    </w:p>
    <w:p>
      <w:pPr>
        <w:pStyle w:val="BookText"/>
        <w:rPr/>
      </w:pPr>
      <w:bookmarkEnd w:id="57"/>
      <w:r>
        <w:rPr>
          <w:rFonts w:ascii="IRNazanin" w:hAnsi="IRNazanin" w:eastAsia="IRNazanin"/>
          <w:color w:val="111111"/>
          <w:sz w:val="28"/>
          <w:sz w:val="28"/>
          <w:szCs w:val="28"/>
          <w:rtl w:val="true"/>
          <w:lang w:bidi="fa-IR"/>
        </w:rPr>
        <w:t>شیعیانی که بر خلافت انتصابی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کرده و عملکرد صحابه را در این مسئله نقد می‌کنند، از دایرۀ مسلمانان خارج بوده و</w:t>
      </w:r>
    </w:p>
    <w:p>
      <w:pPr>
        <w:pStyle w:val="BookText"/>
        <w:rPr/>
      </w:pP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8" w:name="__RefHeading___Toc1129063_774463916"/>
      <w:bookmarkStart w:id="59" w:name="_Toc21"/>
      <w:bookmarkEnd w:id="58"/>
      <w:r>
        <w:rPr/>
        <w:t>2</w:t>
      </w:r>
      <w:r>
        <w:rPr>
          <w:rtl w:val="true"/>
        </w:rPr>
        <w:t>.</w:t>
      </w:r>
      <w:r>
        <w:rPr>
          <w:rtl w:val="true"/>
        </w:rPr>
        <w:t>تکفیر در دورۀ معاصر</w:t>
      </w:r>
      <w:bookmarkEnd w:id="59"/>
    </w:p>
    <w:p>
      <w:pPr>
        <w:pStyle w:val="BookText"/>
        <w:rPr/>
      </w:pPr>
      <w:r>
        <w:rPr>
          <w:rFonts w:ascii="IRNazanin" w:hAnsi="IRNazanin" w:eastAsia="IRNazanin"/>
          <w:color w:val="111111"/>
          <w:sz w:val="28"/>
          <w:sz w:val="28"/>
          <w:szCs w:val="28"/>
          <w:rtl w:val="true"/>
          <w:lang w:bidi="fa-IR"/>
        </w:rPr>
        <w:t>امروزه جریان سلفیان وهابی، تکفیر را رهبری می‌کند و اگر در عقاید گروه‌های تندروی سلفی در برخی از کشورهای عربی نیز تکفیر دنبال می‌شود، ریشه در پیروی آنان از ابن‌تیمیه و شاگرد او محمدبن‌عبدالوهاب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تندروی برخی از نویسندگان و اتهام تکفیرشان به تشیع را می‌توان ناشی از انس آنان با جریان اموی دانست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جریان تکفیری سلفی، در سدۀ اخیر، به‌دلیل پشتوانۀ قوی مالی و سیاسی حاکمان حجاز،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انحرافی نظری که ریشه در اندیشۀ ابن‌تیمیه و محمدبن‌عبدالوهاب داشت، به انحرافی عملی و فاجعه‌آمیز تبدیل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محمدبن‌عبدالوهاب همچون ابن‌تیمیه به مسلمانان نسبت کفر و ارتداد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مراد خود پیشی گرفت و فتوا به قتل یا کشتن مسلمانان داد و آنان را بدتر از کفار دوران جاهلیت و سزاوار مرگ دانست و تصاحب اموال و ناموس آنان را مباح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محمدبن‌عبدالوهاب با صراحت به تکفیر امت اسلام پرداخت و در رسالۀ کشف الشبهات بارها</w:t>
      </w:r>
    </w:p>
    <w:p>
      <w:pPr>
        <w:pStyle w:val="BookText"/>
        <w:rPr/>
      </w:pPr>
      <w:r>
        <w:rPr>
          <w:rFonts w:ascii="IRNazanin" w:hAnsi="IRNazanin" w:eastAsia="IRNazanin"/>
          <w:color w:val="111111"/>
          <w:sz w:val="28"/>
          <w:sz w:val="28"/>
          <w:szCs w:val="28"/>
          <w:rtl w:val="true"/>
          <w:lang w:bidi="fa-IR"/>
        </w:rPr>
        <w:t>مسلمانان را مشرک، کافر، بت‌پرست، مرتد، منافق، منکر توحید، دشمن توحید، اهل باطل، نادان و شیطان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این کتاب، خون و مال و ناموس مسلمانان را مباح شمرد و کشتارها و فجایع بسیاری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التوحید نیز، بسیاری از باورها و اعتقادات مسلمانان را در دایرۀ شرک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دایرۀ پیروان توحید و اهل ایمان را به‌قدری تنگ گرفت که همۀ مسلمانان مشرک خوانده شده و خون و اموالشان مباح و ایمان تنها در پیروان او احتکار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شیخ‌احمد زینی دحلان، متفکر سنی شافعی</w:t>
      </w:r>
      <w:r>
        <w:rPr>
          <w:rStyle w:val="FootnoteAnchor"/>
          <w:rtl w:val="true"/>
        </w:rPr>
        <w:footnoteReference w:id="38"/>
      </w:r>
      <w:r>
        <w:rPr>
          <w:rFonts w:ascii="IRNazanin" w:hAnsi="IRNazanin" w:eastAsia="IRNazanin"/>
          <w:color w:val="111111"/>
          <w:sz w:val="28"/>
          <w:sz w:val="28"/>
          <w:szCs w:val="28"/>
          <w:rtl w:val="true"/>
          <w:lang w:bidi="fa-IR"/>
        </w:rPr>
        <w:t>و</w:t>
      </w:r>
      <w:r>
        <w:rPr>
          <w:rStyle w:val="FootnoteAnchor"/>
          <w:rtl w:val="true"/>
        </w:rPr>
        <w:footnoteReference w:id="3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هیچ‌کس را موحد نمی‌دانند؛ مگر کسی‌که از تمام گفته‌های آن‌ها پیروی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دحلان از عالم مشهور دیگری به نام زهاوی نقل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سؤال کند مذهب وهابیان کدام است و نتیجۀ این مذهب چیست، در جواب هر دو سؤال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به کفر همۀ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کوتاه برای این‌گونه سؤال‌ها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شیخ‌حسن‌بن‌فرحان مالکی، منتقد جدی وهابیت،</w:t>
      </w:r>
      <w:r>
        <w:rPr>
          <w:rStyle w:val="FootnoteAnchor"/>
          <w:rtl w:val="true"/>
        </w:rPr>
        <w:footnoteReference w:id="42"/>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اصل تکفیر مسلمانان را در کلمات محمدبن‌عبدالوهاب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شیخ و تابعان او در این عقیده، راه صحیح را نپیموده‌اند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خشن و تکفیری وهابیت، موجب شد قدرت و خشونت در دل آن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جاری وهابیت، تکفیر پیروان مذهب شیعه است؛ اما خشونت و ددمنشی حرکت آنان، کیان جهان اسلام را به مخاطره انداخته و امنیت را از آنان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 خونین صورت‌گرفته در عراق، سوریه، لبنان، پاکستان و حتی مصر</w:t>
      </w:r>
      <w:r>
        <w:rPr>
          <w:rStyle w:val="FootnoteAnchor"/>
          <w:rtl w:val="true"/>
        </w:rPr>
        <w:footnoteReference w:id="43"/>
      </w:r>
      <w:r>
        <w:rPr>
          <w:rFonts w:ascii="IRNazanin" w:hAnsi="IRNazanin" w:eastAsia="IRNazanin"/>
          <w:color w:val="111111"/>
          <w:sz w:val="28"/>
          <w:sz w:val="28"/>
          <w:szCs w:val="28"/>
          <w:rtl w:val="true"/>
          <w:lang w:bidi="fa-IR"/>
        </w:rPr>
        <w:t>نمونه‌ای از ثمره‌های حرکت افراطی تکفیریان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فجایع، اندیشمندان مسلمان را در این نتیجه هم عقیده کرده است که نظریه‌پردازان جاهلی وهابیت</w:t>
      </w:r>
      <w:bookmarkStart w:id="60" w:name="pg5076_32537"/>
    </w:p>
    <w:p>
      <w:pPr>
        <w:pStyle w:val="BookText"/>
        <w:rPr/>
      </w:pPr>
      <w:bookmarkEnd w:id="60"/>
      <w:r>
        <w:rPr>
          <w:rFonts w:ascii="IRNazanin" w:hAnsi="IRNazanin" w:eastAsia="IRNazanin"/>
          <w:color w:val="111111"/>
          <w:sz w:val="28"/>
          <w:sz w:val="28"/>
          <w:szCs w:val="28"/>
          <w:rtl w:val="true"/>
          <w:lang w:bidi="fa-IR"/>
        </w:rPr>
        <w:t>در اصل، خوارج قرن بیستم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امروز را می‌توان آینۀ خوارج دیروز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طیف، بی‌بصیرتان و منحرفانی هستند که شیطان رفتارشان را آراسته است و تنها خود را مسلمان واقعی انگاشته و دیگران را از دم تیغ تکفیر گذرانده‌اند و مصداق این آیه‌اند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لَهُمُ الشَّیْطانُ أَعْمالَهُمْ فَصَدَّهُمْ عَنِ السَّبیلِ فَهُمْ لا یَهْتَدُونَ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شیطان اعمالشان را در نظرشان آراسته و از راه خدا منحرفشان کرده است؛ چنان‌که روی هدایت نخواهند دید</w:t>
      </w:r>
      <w:r>
        <w:rPr>
          <w:rFonts w:eastAsia="IRNazanin" w:cs="IRNazanin"/>
          <w:color w:val="111111"/>
          <w:sz w:val="28"/>
          <w:szCs w:val="28"/>
          <w:rtl w:val="true"/>
          <w:lang w:bidi="fa-IR"/>
        </w:rPr>
        <w:t>.</w:t>
      </w:r>
    </w:p>
    <w:p>
      <w:pPr>
        <w:pStyle w:val="Heading3"/>
        <w:numPr>
          <w:ilvl w:val="2"/>
          <w:numId w:val="1"/>
        </w:numPr>
        <w:rPr/>
      </w:pPr>
      <w:bookmarkStart w:id="61" w:name="__RefHeading___Toc1129065_774463916"/>
      <w:bookmarkStart w:id="62" w:name="_Toc22"/>
      <w:bookmarkEnd w:id="61"/>
      <w:r>
        <w:rPr/>
        <w:t>3</w:t>
      </w:r>
      <w:r>
        <w:rPr>
          <w:rtl w:val="true"/>
        </w:rPr>
        <w:t>.</w:t>
      </w:r>
      <w:r>
        <w:rPr>
          <w:rtl w:val="true"/>
        </w:rPr>
        <w:t>علل تکفیر</w:t>
      </w:r>
      <w:bookmarkEnd w:id="62"/>
    </w:p>
    <w:p>
      <w:pPr>
        <w:pStyle w:val="Heading4"/>
        <w:numPr>
          <w:ilvl w:val="3"/>
          <w:numId w:val="1"/>
        </w:numPr>
        <w:rPr/>
      </w:pPr>
      <w:bookmarkStart w:id="63" w:name="__RefHeading___Toc1129067_774463916"/>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محور فتوای نمایندگان جریان تکفیر، فرافکنی و اتهام‌زنی به مسلمانان و به‌ویژه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نگاه وارونه به مفاهیمی چون توسل، شفاعت، زیارت و ساخت بنا بر مزار پیشوایان الهی، این رویکرد را از جلوه‌های شرک می‌شمارند؛ درحالی‌که این نکته‌ها مقبول اکثر صحابه و تابعین بوده است و به‌تبع آن، بسیاری از مسلمانان غیرشیعه بدان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فضا، تنها شیعیان هدف تیر تکفیر آنان قرار گرفته‌اند و ریختن خونشان ثواب شمرده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محمدبن‌عبدالوهاب باور به توسل را شرک می‌شمارد و مسلمان</w:t>
      </w:r>
    </w:p>
    <w:p>
      <w:pPr>
        <w:pStyle w:val="BookText"/>
        <w:rPr/>
      </w:pPr>
      <w:r>
        <w:rPr>
          <w:rFonts w:ascii="IRNazanin" w:hAnsi="IRNazanin" w:eastAsia="IRNazanin"/>
          <w:color w:val="111111"/>
          <w:sz w:val="28"/>
          <w:sz w:val="28"/>
          <w:szCs w:val="28"/>
          <w:rtl w:val="true"/>
          <w:lang w:bidi="fa-IR"/>
        </w:rPr>
        <w:t>واقعی را کسی می‌داند که از افراد توسل‌کننده اعلام بیزاری کند و آنان را کافر بداند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همچنین او به‌دروغ مدعی است که ریختن خون مسلمانانی که توسل می‌جویند، در همۀ مذاهب مباح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مذاهب اجماع دارند بر اینکه هرکس بین خود و خداوند واسطه‌ای قرار دهد و آنان را بخواند، کافر مرتد بوده و مال و خونش حلال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مفتیان معاصر وهابی نیز توسل به انبیا و صالحان را از جنس رفتار مشرکان می‌شمارند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حتی محمدبن‌صالح العثیمین، چنین فردی را مشرک و کافر می‌شمارد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بن‌باز، وهابی معاصر نیز مدعی است هرکس در هر بقعه‌ای از بقعه‌های زمین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یا نبی الله یا محمد، به فریاد من برس، مرا دریاب، مرا یاری کن، مرا شفا بده، امتت را یاری کن، بیماران را شفا بده، گمراهان را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این‌ها، برای خدا شریک در عبادت قرار داده و درحقیقت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کرده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سلفیان با تفکیک‌نکردن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و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غلطی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و هر خضوعی را عبادت و تکریم انبیا و اولیای الهی را پرستش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فرض باطل، همگان را به شرک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عبدالله‌بن‌جبرین، مفتی معاصر وهابی، از مروجان تکفیر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چندی دیگر از مفتیان وهابی با صدور فتواهایی، خواستار انهدام مرقدهای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حماسۀ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‌روزۀ مقاومت لبنان، فتوایی برضد حزب‌الله صادر کرد و حتی تا حد تحریم همه‌گونه پشتیبانی از حزب‌الله پیش رفت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یاری‌کردن این حزب رافضی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تحت فرمان آنان رفت و جایز نیست برای پیروز و قدرتمندشدن آنان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ما به اهل‌سنت این است که از آنان بیزاری جویند و کسانی را که به این حزب می‌پیوندند، رها کنند و دشمنی آنان با اسلام و مسلمانان و ضررهای کهن و جدید آنان را برای اهل‌سنت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عبدالله‌بن‌جبرین ضمن مشرک‌دانستن شیعیان به‌دلیل توسل و ابراز ارادت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فتوایی داده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توحیدشان را باطل و ایمانشان را نقض کرده‌اند و به اسلامیت خود اخلال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آنان جنگید تا به دین</w:t>
      </w:r>
      <w:bookmarkStart w:id="65" w:name="pg5076_32540"/>
    </w:p>
    <w:p>
      <w:pPr>
        <w:pStyle w:val="BookText"/>
        <w:rPr/>
      </w:pPr>
      <w:bookmarkEnd w:id="65"/>
      <w:r>
        <w:rPr>
          <w:rFonts w:ascii="IRNazanin" w:hAnsi="IRNazanin" w:eastAsia="IRNazanin"/>
          <w:color w:val="111111"/>
          <w:sz w:val="28"/>
          <w:sz w:val="28"/>
          <w:szCs w:val="28"/>
          <w:rtl w:val="true"/>
          <w:lang w:bidi="fa-IR"/>
        </w:rPr>
        <w:t>و به‌سمت خدا باز گردند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تأمل در آیات قرآن درمی‌یابیم که توسل به سبب‌ها و به‌ویژه استمداد و حاجت‌خواهی از انبیا و اولیای الهی امری پذیرفته‌شده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تفسیری،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ابْتَغوا اِلَیهِ الْوَسیلَةَ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به توسل باز گردانده شده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همچنین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مهم‌ترین نمونه از جواز طلب آمرزش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درخواست، توسل به شمار می‌رود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66" w:name="__RefHeading___Toc1129069_774463916"/>
      <w:bookmarkStart w:id="67" w:name="_Toc24"/>
      <w:bookmarkEnd w:id="66"/>
      <w:r>
        <w:rPr>
          <w:rtl w:val="true"/>
        </w:rPr>
        <w:t>پنجره</w:t>
      </w:r>
      <w:r>
        <w:rPr>
          <w:rtl w:val="true"/>
        </w:rPr>
        <w:t>:</w:t>
      </w:r>
      <w:bookmarkEnd w:id="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شیعه و سنی، احادیث مستند متعددی نیز دربارۀ توسل وجود دارد و بیشتر این روایات بر جواز توسل 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توسل به پیامبر و آل او</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زمان حیات و پس از رحلت ایشان، سیره‌ای پذیرفته‌شده در میان مسلمانان صدر نخست و سده‌های پسین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در متون تاریخی، نمونه‌های زیادی از توسل یافت می‌شود؛</w:t>
      </w:r>
      <w:r>
        <w:rPr>
          <w:rStyle w:val="FootnoteAnchor"/>
          <w:rtl w:val="true"/>
        </w:rPr>
        <w:footnoteReference w:id="58"/>
      </w:r>
      <w:r>
        <w:rPr>
          <w:rFonts w:ascii="IRNazanin" w:hAnsi="IRNazanin" w:eastAsia="IRNazanin"/>
          <w:color w:val="111111"/>
          <w:sz w:val="28"/>
          <w:sz w:val="28"/>
          <w:szCs w:val="28"/>
          <w:rtl w:val="true"/>
          <w:lang w:bidi="fa-IR"/>
        </w:rPr>
        <w:t>به‌گونه‌ای‌که زینی‌دحلان مدعی است کسی در برابر این اقبال به توسل، ایستادگی و نقدی نداشته است</w:t>
      </w:r>
      <w:r>
        <w:rPr>
          <w:rFonts w:eastAsia="IRNazanin" w:cs="IRNazanin"/>
          <w:color w:val="111111"/>
          <w:sz w:val="28"/>
          <w:szCs w:val="28"/>
          <w:rtl w:val="true"/>
          <w:lang w:bidi="fa-IR"/>
        </w:rPr>
        <w:t>.</w:t>
      </w:r>
      <w:r>
        <w:rPr>
          <w:rStyle w:val="FootnoteAnchor"/>
          <w:rtl w:val="true"/>
        </w:rPr>
        <w:footnoteReference w:id="59"/>
      </w:r>
      <w:bookmarkStart w:id="68" w:name="pg5076_32542"/>
    </w:p>
    <w:p>
      <w:pPr>
        <w:pStyle w:val="Heading3"/>
        <w:numPr>
          <w:ilvl w:val="2"/>
          <w:numId w:val="1"/>
        </w:numPr>
        <w:rPr/>
      </w:pPr>
      <w:bookmarkStart w:id="69" w:name="__RefHeading___Toc1129071_774463916"/>
      <w:bookmarkStart w:id="70" w:name="_Toc25"/>
      <w:bookmarkEnd w:id="68"/>
      <w:bookmarkEnd w:id="69"/>
      <w:r>
        <w:rPr/>
        <w:t>4</w:t>
      </w:r>
      <w:r>
        <w:rPr>
          <w:rtl w:val="true"/>
        </w:rPr>
        <w:t>.</w:t>
      </w:r>
      <w:r>
        <w:rPr>
          <w:rtl w:val="true"/>
        </w:rPr>
        <w:t>جنایات تکفیری‌ها</w:t>
      </w:r>
      <w:bookmarkEnd w:id="70"/>
    </w:p>
    <w:p>
      <w:pPr>
        <w:pStyle w:val="Heading4"/>
        <w:numPr>
          <w:ilvl w:val="3"/>
          <w:numId w:val="1"/>
        </w:numPr>
        <w:rPr/>
      </w:pPr>
      <w:bookmarkStart w:id="71" w:name="__RefHeading___Toc1129073_774463916"/>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شکل‌گیری و استقرار وهابی‌ها، بر قتل و جنایت برضد مسلمانان استوار بود و آنان در پرتو حمایت دولت استعماری انگلستان و با نظارت و مشاورۀ مأموران ویژۀ بریتانیایی و با تکیه بر تکفیر، کشتارهای متعددی را سامان دادند؛ به‌گونه‌ای‌که در تاریخ وهابیان هیچ جنگی با دشمنان و کفار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به‌گزارش ابن‌بشر</w:t>
      </w:r>
      <w:r>
        <w:rPr>
          <w:rStyle w:val="FootnoteAnchor"/>
          <w:rtl w:val="true"/>
        </w:rPr>
        <w:footnoteReference w:id="60"/>
      </w:r>
      <w:r>
        <w:rPr>
          <w:rFonts w:ascii="IRNazanin" w:hAnsi="IRNazanin" w:eastAsia="IRNazanin"/>
          <w:color w:val="111111"/>
          <w:sz w:val="28"/>
          <w:sz w:val="28"/>
          <w:szCs w:val="28"/>
          <w:rtl w:val="true"/>
          <w:lang w:bidi="fa-IR"/>
        </w:rPr>
        <w:t>از دورۀ اول و دوم دولت سعودی، وهابیان هرجا پا می‌گذاشتند، مردان را می‌کشتند و همۀ دارایی آنان را به غارت می‌بردند و زنان را به‌عنوان کنیز تصاحب می‌کردند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ابن‌غنام</w:t>
      </w:r>
      <w:r>
        <w:rPr>
          <w:rStyle w:val="FootnoteAnchor"/>
          <w:rtl w:val="true"/>
        </w:rPr>
        <w:footnoteReference w:id="62"/>
      </w:r>
      <w:r>
        <w:rPr>
          <w:rFonts w:ascii="IRNazanin" w:hAnsi="IRNazanin" w:eastAsia="IRNazanin"/>
          <w:color w:val="111111"/>
          <w:sz w:val="28"/>
          <w:sz w:val="28"/>
          <w:szCs w:val="28"/>
          <w:rtl w:val="true"/>
          <w:lang w:bidi="fa-IR"/>
        </w:rPr>
        <w:t>از شاگردان محمدبن‌عبدالوهاب نیز به‌عنوان نخستین وقایع‌نگار وهابی، دربارۀ حمله به ریاض مدعی است که مردم از ترس سپاه وهابی شهر را ترک کردند و در بیابان‌ها از گرسنگی و تشنگی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نیز با لشکرش آنان را تعقیب کرد و هرکسی را که قدرت شمشیر به‌دست‌گرفتن داشت، در میانۀ راه کشت</w:t>
      </w:r>
      <w:r>
        <w:rPr>
          <w:rFonts w:eastAsia="IRNazanin" w:cs="IRNazanin"/>
          <w:color w:val="111111"/>
          <w:sz w:val="28"/>
          <w:szCs w:val="28"/>
          <w:rtl w:val="true"/>
          <w:lang w:bidi="fa-IR"/>
        </w:rPr>
        <w:t>.</w:t>
      </w:r>
      <w:r>
        <w:rPr>
          <w:rStyle w:val="FootnoteAnchor"/>
          <w:rtl w:val="true"/>
        </w:rPr>
        <w:footnoteReference w:id="6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ابن‌غنام به یکی از حمله‌های سعود به قطیف به بهانۀ مبارزه با بت‌ها اشاره می‌کند و مدعی است سپاه سعود پس از محاصرۀ شهر سبهات، وارد آن شدند و هرکس را در آن یافتند،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کشته‌ها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نفر می‌شدند همچنین آنچه از اموال در این شهر بود که توصیف‌کردنی و شمارش‌پذیر نیست، غارت</w: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حافظ وهبه</w:t>
      </w:r>
      <w:r>
        <w:rPr>
          <w:rStyle w:val="FootnoteAnchor"/>
          <w:rtl w:val="true"/>
        </w:rPr>
        <w:footnoteReference w:id="65"/>
      </w:r>
      <w:r>
        <w:rPr>
          <w:rFonts w:ascii="IRNazanin" w:hAnsi="IRNazanin" w:eastAsia="IRNazanin"/>
          <w:color w:val="111111"/>
          <w:sz w:val="28"/>
          <w:sz w:val="28"/>
          <w:szCs w:val="28"/>
          <w:rtl w:val="true"/>
          <w:lang w:bidi="fa-IR"/>
        </w:rPr>
        <w:t>مشاور ملک‌عبدالعزیز، از قول این حاکم سفاک 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 دولت سعودی، در کتاب جزیرة العرب می‌نویسند که عبدالعزیز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جد ما، سعود، مشغول جنگ با قبایل منطقۀ حجاز بود، گروهی از بزرگان قبیلۀ مطیر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ریش‌سفیدان این طایفه برای شفاعت نزد سعود آمدند و از وی خواستند از این گروه درگذرد؛ اما سعود دستور داد که سر از بدن اسرا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سرها را در طبق‌هایی از غذا قرار دادند و این طبق‌ها را در مقابل بزرگان طایفۀ مطیر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به آنان دستور داد که از این غذا که سرهای اقوامشان بر آن نهاده شده بود، بخورند و چون این کار را نکردند، تمامی آن افراد را نیز کشتند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با حمله به طائف، به مدت سه روز این شهر را برای خود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جنایت، بسیاری از مردم طائف فرار کردند و افراد باقی‌مانده نیز به قتل رسیدند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وهابیان در منطقۀ قصیم، بیش از پانصد نفر را سر بریدند و قاضی اهل‌سنت شیخ‌ابراهیم‌بن‌عمر را که از</w:t>
      </w:r>
      <w:bookmarkStart w:id="73" w:name="pg5076_32545"/>
    </w:p>
    <w:p>
      <w:pPr>
        <w:pStyle w:val="BookText"/>
        <w:rPr/>
      </w:pPr>
      <w:bookmarkEnd w:id="73"/>
      <w:r>
        <w:rPr>
          <w:rFonts w:ascii="IRNazanin" w:hAnsi="IRNazanin" w:eastAsia="IRNazanin"/>
          <w:color w:val="111111"/>
          <w:sz w:val="28"/>
          <w:sz w:val="28"/>
          <w:szCs w:val="28"/>
          <w:rtl w:val="true"/>
          <w:lang w:bidi="fa-IR"/>
        </w:rPr>
        <w:t>درخواست عبدالعزیز برای صدور فتوا به کفر دشمنان او سر باز زده بود، دست‌بسته درون گودالی انداختند و او را سوزاندند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جنایات تکفیری‌ها برضد شیعیان نیز گویا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وهابیان تکفیری به کربلا در سال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ق هرگز فراموش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پیروان مذهب شیعه، آماج بیشترین حملات وهابیان قرار دارند</w:t>
      </w:r>
      <w:r>
        <w:rPr>
          <w:rFonts w:eastAsia="IRNazanin" w:cs="IRNazanin"/>
          <w:color w:val="111111"/>
          <w:sz w:val="28"/>
          <w:szCs w:val="28"/>
          <w:rtl w:val="true"/>
          <w:lang w:bidi="fa-IR"/>
        </w:rPr>
        <w:t>.</w:t>
      </w:r>
    </w:p>
    <w:p>
      <w:pPr>
        <w:pStyle w:val="Heading4"/>
        <w:numPr>
          <w:ilvl w:val="3"/>
          <w:numId w:val="1"/>
        </w:numPr>
        <w:rPr/>
      </w:pPr>
      <w:bookmarkStart w:id="74" w:name="__RefHeading___Toc1129075_774463916"/>
      <w:bookmarkStart w:id="75" w:name="_Toc27"/>
      <w:bookmarkEnd w:id="74"/>
      <w:r>
        <w:rPr>
          <w:rtl w:val="true"/>
        </w:rPr>
        <w:t>خلاصه</w:t>
      </w:r>
      <w:r>
        <w:rPr>
          <w:rtl w:val="true"/>
        </w:rPr>
        <w:t>:</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جریان سلفیان وهابی، تکفیر را رهبری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آنان ریشه در افکار و اقدامات ابن‌تیمیه و محمدبن‌عبدالوهاب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با اتهام‌زنی به مسلمانان و به‌ویژه شیعیان، آنان را کافر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محمدبن‌عبدالوهاب حتی از مراد خود، ابن‌تیمیه پیشی گرفت و به کشتن مسلمانان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بدتر از کفار دوران جاهلیت و سزاوار مرگ دانست و تصاحب اموال و ناموسشان را مباح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خشن و تکفیری وهابیت، موجب شد قدرت و خشونت در دل آن‌ها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جاری وهابیت، تکفیر پیروان مذهب شیعه است؛ اما خشونت و ددمنشی حرکت آنان، امنیت را از همۀ مسلمانان سلب کرده است</w:t>
      </w:r>
      <w:r>
        <w:rPr>
          <w:rFonts w:eastAsia="IRNazanin" w:cs="IRNazanin"/>
          <w:color w:val="111111"/>
          <w:sz w:val="28"/>
          <w:szCs w:val="28"/>
          <w:rtl w:val="true"/>
          <w:lang w:bidi="fa-IR"/>
        </w:rPr>
        <w:t>.</w:t>
      </w:r>
      <w:bookmarkStart w:id="76" w:name="pg5076_32546"/>
    </w:p>
    <w:p>
      <w:pPr>
        <w:pStyle w:val="Heading2"/>
        <w:numPr>
          <w:ilvl w:val="1"/>
          <w:numId w:val="1"/>
        </w:numPr>
        <w:rPr/>
      </w:pPr>
      <w:bookmarkStart w:id="77" w:name="__RefHeading___Toc1129077_774463916"/>
      <w:bookmarkStart w:id="78" w:name="_Toc28"/>
      <w:bookmarkEnd w:id="76"/>
      <w:bookmarkEnd w:id="77"/>
      <w:r>
        <w:rPr>
          <w:rtl w:val="true"/>
        </w:rPr>
        <w:t>فصل چهارم</w:t>
      </w:r>
      <w:r>
        <w:rPr>
          <w:rtl w:val="true"/>
        </w:rPr>
        <w:t xml:space="preserve">: </w:t>
      </w:r>
      <w:r>
        <w:rPr>
          <w:rtl w:val="true"/>
        </w:rPr>
        <w:t>نقد از درون</w:t>
      </w:r>
      <w:bookmarkEnd w:id="78"/>
    </w:p>
    <w:p>
      <w:pPr>
        <w:pStyle w:val="Heading3"/>
        <w:numPr>
          <w:ilvl w:val="2"/>
          <w:numId w:val="1"/>
        </w:numPr>
        <w:rPr/>
      </w:pPr>
      <w:bookmarkStart w:id="79" w:name="__RefHeading___Toc1129079_774463916"/>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تصویر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معروف است که وقتی مرگ ابوالحسن اشعری، پیشوای مکتب اشاعره</w:t>
      </w:r>
      <w:r>
        <w:rPr>
          <w:rStyle w:val="FootnoteAnchor"/>
          <w:rtl w:val="true"/>
        </w:rPr>
        <w:footnoteReference w:id="69"/>
      </w:r>
      <w:r>
        <w:rPr>
          <w:rFonts w:ascii="IRNazanin" w:hAnsi="IRNazanin" w:eastAsia="IRNazanin"/>
          <w:color w:val="111111"/>
          <w:sz w:val="28"/>
          <w:sz w:val="28"/>
          <w:szCs w:val="28"/>
          <w:rtl w:val="true"/>
          <w:lang w:bidi="fa-IR"/>
        </w:rPr>
        <w:t>فرا رسید، یارانش را جمع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باشید من هیچ‌یک از اهل قبله را به‌سبب گناهی که از او سر زد، تکفیر نکردم؛ زیرا آنان را دیدم که همگان به‌سوی معبود واحدی متمایل‌اند و اسلام شامل آنان می‌شود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سعدالدین تفتازانی شافعی</w:t>
      </w:r>
      <w:r>
        <w:rPr>
          <w:rStyle w:val="FootnoteAnchor"/>
          <w:rtl w:val="true"/>
        </w:rPr>
        <w:footnoteReference w:id="71"/>
      </w:r>
      <w:r>
        <w:rPr>
          <w:rFonts w:ascii="IRNazanin" w:hAnsi="IRNazanin" w:eastAsia="IRNazanin"/>
          <w:color w:val="111111"/>
          <w:sz w:val="28"/>
          <w:sz w:val="28"/>
          <w:szCs w:val="28"/>
          <w:rtl w:val="true"/>
          <w:lang w:bidi="fa-IR"/>
        </w:rPr>
        <w:t>مدعی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اهل قبله، اما مخالف حق است، نمی‌توان کافر شمرد؛ تازمانی‌که او ضروریات دین را انکار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دین اموری چون حدوث عالم و محشورشدن اجساد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و پس از او، هیچ‌گاه عقاید مردم را تفتیش نمی‌کردند</w:t>
      </w:r>
      <w:r>
        <w:rPr>
          <w:rFonts w:eastAsia="IRNazanin" w:cs="IRNazanin"/>
          <w:color w:val="111111"/>
          <w:sz w:val="28"/>
          <w:szCs w:val="28"/>
          <w:rtl w:val="true"/>
          <w:lang w:bidi="fa-IR"/>
        </w:rPr>
        <w:t>.</w:t>
      </w:r>
      <w:r>
        <w:rPr>
          <w:rStyle w:val="FootnoteAnchor"/>
          <w:rtl w:val="true"/>
        </w:rPr>
        <w:footnoteReference w:id="72"/>
      </w:r>
      <w:bookmarkStart w:id="81" w:name="pg5076_32549"/>
    </w:p>
    <w:p>
      <w:pPr>
        <w:pStyle w:val="Heading3"/>
        <w:numPr>
          <w:ilvl w:val="2"/>
          <w:numId w:val="1"/>
        </w:numPr>
        <w:rPr/>
      </w:pPr>
      <w:bookmarkStart w:id="82" w:name="__RefHeading___Toc1129081_774463916"/>
      <w:bookmarkStart w:id="83" w:name="_Toc30"/>
      <w:bookmarkEnd w:id="81"/>
      <w:bookmarkEnd w:id="82"/>
      <w:r>
        <w:rPr>
          <w:rtl w:val="true"/>
        </w:rPr>
        <w:t>پنجره</w:t>
      </w:r>
      <w:r>
        <w:rPr>
          <w:rtl w:val="true"/>
        </w:rPr>
        <w:t>:</w:t>
      </w:r>
      <w:bookmarkEnd w:id="83"/>
    </w:p>
    <w:p>
      <w:pPr>
        <w:pStyle w:val="BookText"/>
        <w:rPr/>
      </w:pPr>
      <w:r>
        <w:rPr>
          <w:rFonts w:ascii="IRNazanin" w:hAnsi="IRNazanin" w:eastAsia="IRNazanin"/>
          <w:color w:val="111111"/>
          <w:sz w:val="28"/>
          <w:sz w:val="28"/>
          <w:szCs w:val="28"/>
          <w:rtl w:val="true"/>
          <w:lang w:bidi="fa-IR"/>
        </w:rPr>
        <w:t>نگاه افراطی جریان تکفیری را باید با نوع نگاه بسیاری از متفکران سنی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آنان در برابر این حرکت انحرافی واکنش نشان دادند و اندیشمندان سنی با تکفیری‌ها مخالفت‌های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نظرهای تکفیری محمدبن‌عبدالوهاب، جدی‌ترین نقدها را عالمان اهل‌سنت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ذینی‌دحلان مدعی است محمدبن‌سلیمان کردی، استاد وی، بر محمدبن‌عبدالوهاب خرده گرفته و او را از تکفیر مسلمانان باز داشته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یکی از نقدهای صریح به او را برادرش سلیمان‌بن‌عبدالوهاب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نقد مکتوب خود به برادرش محمد، چنین می‌نویسد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اکنون کسانی را کافر می‌شمارید که به یگانگی خداوند و رسالت محمد شهادت می‌دهند؛ نماز به پا می‌دارند؛ زکات می‌دهند؛ روزۀ رمضان می‌گیرند؛ حج به پا می‌دارند؛ به خداوند و فرشتگانش و کتاب‌هایش و پیامبرانش ایمان دارند و به تمامی شعایر اسلامی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کافر می‌دانید؛ درحالی‌که می‌پرسیم در این مسئله از چه‌کسی پیروی می‌کنید؟ این رویکرد</w:t>
      </w:r>
    </w:p>
    <w:p>
      <w:pPr>
        <w:pStyle w:val="BookText"/>
        <w:rPr/>
      </w:pPr>
      <w:r>
        <w:rPr>
          <w:rFonts w:ascii="IRNazanin" w:hAnsi="IRNazanin" w:eastAsia="IRNazanin"/>
          <w:color w:val="111111"/>
          <w:sz w:val="28"/>
          <w:sz w:val="28"/>
          <w:szCs w:val="28"/>
          <w:rtl w:val="true"/>
          <w:lang w:bidi="fa-IR"/>
        </w:rPr>
        <w:t>را از چه‌کسی برگرفته‌اید؟ اگر ادعا کنید آنان را کافر می‌دانیم، چون به خدا شرک ورزیده‌اند و خدای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خدا نمی‌آمرزد گناه کسانی را که به او شرک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حق است؛ اما اهل علم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شرک‌آورده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ادعا کند برای خدای شریکی است؛ مانند این سخن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شرکاونا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شریک عبادت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 معکم شفعاءکم الذین زعمتم أنهم فیکم شرکاء</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هیچ‌یک از شفیعانتان را که می‌پنداشتید با شما شریک‌اند، همراهتان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لهم لا إله إلا الله یستکبرون</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آنان گفته می‌شد که جز خدای یکتا خدایی نیست، تکبر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 الآلهة إلهاً واحداً</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خدایان را یک خدا گردانیده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سلیمان‌بن‌عبدالوهاب در فصلی دیگر اذعان می‌کند که مذهب سلف، تکفیرنکردن فرقه‌های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به‌تفصیل، دیدگاه علمای</w:t>
      </w:r>
    </w:p>
    <w:p>
      <w:pPr>
        <w:pStyle w:val="BookText"/>
        <w:rPr/>
      </w:pPr>
      <w:r>
        <w:rPr>
          <w:rFonts w:ascii="IRNazanin" w:hAnsi="IRNazanin" w:eastAsia="IRNazanin"/>
          <w:color w:val="111111"/>
          <w:sz w:val="28"/>
          <w:sz w:val="28"/>
          <w:szCs w:val="28"/>
          <w:rtl w:val="true"/>
          <w:lang w:bidi="fa-IR"/>
        </w:rPr>
        <w:t>بزرگ سنی را مطرح کرده</w:t>
      </w:r>
      <w:r>
        <w:rPr>
          <w:rStyle w:val="FootnoteAnchor"/>
          <w:rtl w:val="true"/>
        </w:rPr>
        <w:footnoteReference w:id="80"/>
      </w:r>
      <w:r>
        <w:rPr>
          <w:rFonts w:ascii="IRNazanin" w:hAnsi="IRNazanin" w:eastAsia="IRNazanin"/>
          <w:color w:val="111111"/>
          <w:sz w:val="28"/>
          <w:sz w:val="28"/>
          <w:szCs w:val="28"/>
          <w:rtl w:val="true"/>
          <w:lang w:bidi="fa-IR"/>
        </w:rPr>
        <w:t>و در پایان، از عمق فاجعۀ جریان تکفیر رمزگشایی می‌کند و خطاب به بنیان‌گذار جریان وهابی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تکیه بر گمان خود دیگران را کافر می‌شمارید؛ حتی آنان را که در گرایش به اسلام صراحت دارند نیز کافر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کسانی‌که با خداترسی به حکم تکفیرتان، بهایی نمی‌دهند نیز کافرند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پاسخ رهبر جریان وهابی به برادرش سلیمان، چیری جز کافردانستن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محمدبن‌عبدالوهاب، برادرش را ملحد و دشمن دین خواند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فتنه‌گرای تکفیری را بسیاری از جریان‌های اسلامی نقد کرده‌اند؛ زیرا به‌اعتقاد همگان، اسلام، کافردانستن مسلمانانی را که ایمان خود را اعلام کرده‌اند و آداب دینی را به‌جا می‌آورند، جایز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کانونی ترویج جریان تکفیر، تزلزل جوامع مسلمان بود؛ آن‌گونه‌که اخوان‌المسلمین مصر در گذشته، تکفیر و طرد مسلمانان را موجب فتنه می‌شمرد که چه‌بسا به شکاف در امت اسلامی بینجامد و فقط به دشمنان اسلام سود برساند</w:t>
      </w:r>
      <w:r>
        <w:rPr>
          <w:rFonts w:eastAsia="IRNazanin" w:cs="IRNazanin"/>
          <w:color w:val="111111"/>
          <w:sz w:val="28"/>
          <w:szCs w:val="28"/>
          <w:rtl w:val="true"/>
          <w:lang w:bidi="fa-IR"/>
        </w:rPr>
        <w:t>.</w:t>
      </w:r>
      <w:r>
        <w:rPr>
          <w:rStyle w:val="FootnoteAnchor"/>
          <w:rtl w:val="true"/>
        </w:rPr>
        <w:footnoteReference w:id="83"/>
      </w:r>
      <w:bookmarkStart w:id="84" w:name="pg5076_32552"/>
    </w:p>
    <w:p>
      <w:pPr>
        <w:pStyle w:val="Heading3"/>
        <w:numPr>
          <w:ilvl w:val="2"/>
          <w:numId w:val="1"/>
        </w:numPr>
        <w:rPr/>
      </w:pPr>
      <w:bookmarkStart w:id="85" w:name="__RefHeading___Toc1129083_774463916"/>
      <w:bookmarkStart w:id="86" w:name="_Toc31"/>
      <w:bookmarkEnd w:id="84"/>
      <w:bookmarkEnd w:id="85"/>
      <w:r>
        <w:rPr>
          <w:rtl w:val="true"/>
        </w:rPr>
        <w:t>خلاصه</w:t>
      </w:r>
      <w:r>
        <w:rPr>
          <w:rtl w:val="true"/>
        </w:rPr>
        <w:t>:</w:t>
      </w:r>
      <w:bookmarkEnd w:id="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کانونی ترویج جریان تکفیر، تزلزل جوامع مسلمان و رواج فتنه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بسیاری از متفکران جهان اسلام در برابر حرکت انحرافی تکفیری‌ها واکنش نشان دادند و اندیشمندان سنی با سلفیان تکفیری مخالفت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به‌اعتقاد همگان، اسلام، کافردانستن مسلمانانی را که ایمان خود را اعلام کرده‌اند و آداب دینی را به‌جا می‌آورند، جایز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6" o:detectmouseclick="t"/>
                <v:stroke color="#3465a4" joinstyle="round" endcap="flat"/>
                <w10:wrap type="none"/>
              </v:shape>
            </w:pict>
          </mc:Fallback>
        </mc:AlternateContent>
      </w:r>
      <w:bookmarkStart w:id="87" w:name="pg5076_32554"/>
    </w:p>
    <w:p>
      <w:pPr>
        <w:pStyle w:val="Heading2"/>
        <w:numPr>
          <w:ilvl w:val="1"/>
          <w:numId w:val="1"/>
        </w:numPr>
        <w:rPr/>
      </w:pPr>
      <w:bookmarkStart w:id="88" w:name="__RefHeading___Toc1129085_774463916"/>
      <w:bookmarkStart w:id="89" w:name="_Toc32"/>
      <w:bookmarkEnd w:id="87"/>
      <w:bookmarkEnd w:id="88"/>
      <w:r>
        <w:rPr>
          <w:rtl w:val="true"/>
        </w:rPr>
        <w:t>سخن آخر</w:t>
      </w:r>
      <w:bookmarkEnd w:id="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پدیدۀ تکفیر از سدۀ نخست اسلام، با توجه به تحولات تاریخی، فراز و فرودهایی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آن با جریان وهابیت و بروز و ظهور آن در بخش‌های وسیعی از جهان امروز، روشنگری مخصوص به خود را می‌طلبد؛ به‌ویژه آنکه این جریان افراطی، پشتوانۀ سیاسی و مالی فراوان دولت‌های خاص عربی و سرویس‌های اطلاعاتی استکباری را دارد و خود را تابلوی اسلام در دورۀ معاصر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پراکندگی و نومیدی و سکوت حاکم بر جریان‌های فکری موجود در جهان اسلام و برخورداری تکفیری‌ها از امکانات نفتی و گازی عربستان، زمینۀ یکه‌تازی وهابیان و ادعاهای واهی آنان در نمایندگی اسلام را فراهم آورده است؛ درحالی‌که وهابیت تابلویی وارونه از اسلام است</w:t>
      </w:r>
      <w:r>
        <w:rPr>
          <w:rFonts w:eastAsia="IRNazanin" w:cs="IRNazanin"/>
          <w:color w:val="111111"/>
          <w:sz w:val="28"/>
          <w:szCs w:val="28"/>
          <w:rtl w:val="true"/>
          <w:lang w:bidi="fa-IR"/>
        </w:rPr>
        <w:t>.</w:t>
      </w:r>
      <w:bookmarkStart w:id="90" w:name="pg5076_32555"/>
    </w:p>
    <w:p>
      <w:pPr>
        <w:pStyle w:val="Heading2"/>
        <w:numPr>
          <w:ilvl w:val="1"/>
          <w:numId w:val="1"/>
        </w:numPr>
        <w:rPr/>
      </w:pPr>
      <w:bookmarkStart w:id="91" w:name="__RefHeading___Toc1129087_774463916"/>
      <w:bookmarkStart w:id="92" w:name="_Toc33"/>
      <w:bookmarkEnd w:id="90"/>
      <w:bookmarkEnd w:id="91"/>
      <w:r>
        <w:rPr>
          <w:rtl w:val="true"/>
        </w:rPr>
        <w:t>بیشتر بخوانیم</w:t>
      </w:r>
      <w:bookmarkEnd w:id="9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آیین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طبسی، شناخت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علی‌زادۀ موسوی، سلفیگری و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اسلامی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 تافتۀ جدابافته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فی غریب القرآن، ص</w:t>
      </w:r>
      <w:r>
        <w:rPr>
          <w:rFonts w:ascii="IRNazanin" w:hAnsi="IRNazanin" w:eastAsia="IRNazanin"/>
          <w:b w:val="false"/>
          <w:b w:val="false"/>
          <w:bCs w:val="false"/>
          <w:i w:val="false"/>
          <w:i w:val="false"/>
          <w:iCs w:val="false"/>
          <w:color w:val="333333"/>
          <w:sz w:val="20"/>
          <w:sz w:val="20"/>
          <w:szCs w:val="20"/>
        </w:rPr>
        <w:t>۷۱۴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یزدی، العروة الوثقی، کتاب الطهارة، مبحث النجاسات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معانی دیگری نیز برای تکفیر بیان شده است؛ ازجمله پاک‌کردن گناهان و ابطال عقاب، پرداختن کفارۀ سوگند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نهادن یک دست بر روی دست دیگر برای ادای احترام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نهادن یک دست بر روی دست دیگر در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شوکانی، نیل الأوطار،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العینی، عمدة القاری،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الطبری،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ابن‌اعثم کوفی، الفتوح،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ابن‌ابی‌الحدید، شرح نهج البلاغه،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الطرائف،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جهان اسلام،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سیف‌اللّه صرّامی، مدخل تکفیر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الروضة البهیة،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فیصل التفرقة بین الاسلام و الزندقة،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آل‌محسن، کشف الحقائق،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فی تفسیر المأثور،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فاضل مقداد، کنز العرفان فی فقه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فی تفسیر القرآن،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عن حقائق غوامض 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جوامع الجامع،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کشف الأسرار و عدة الأبرار،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المراغی، تفسیر المراغی،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رسائل و 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کاشف‌الغطاء، نقض فتاوی الوهابیة،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داعیة و لیس نبیاً،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سنن ابی‌داود،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۲۶۴۳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۴۶۸۷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المعارف،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ابن‌تیمیه، الصارم المسلول،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أنهم شر من عامة أهل الأهواء و أحق بالقتال من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وصل من الناس الی هذا المقام فقد خلع ربقة الإسلام و کفر بإجماع الأئمة الأعلام و کان إراقة دمه أحل من إراقة المدام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البدایة و النهایة،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امیرمحمد قزوینی، الآلوسی و التشیع،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زینی‌دحلان، الدرر السنیة فی الرد علی الوهابیه،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زینی‌دحلان مکّیِ شافعیِ، شیخ‌الاسلام و مفتی شافعی مکه مکرمه است که دو کتاب در نقد وهابیت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 در کتاب فتنة الوهابیة و دعوی المناوئین به تاریخ و اقدامات وهابیت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الدرر السنیّة فی الرد علی الوهابیة نیز به رد عقاید وهابیت در بحث توسل و زیارت قبور اختصاص 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دعوی المناوئین،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 دعوی المناوئین،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در نقد این تفکر انحرافی،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وهابیت بر سر دوراهی،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فرحان از وهابیان برجستۀ تجدیدنظرطلب است که کتابی در نقد رویکرد محمدبن‌عبدالوهاب در تکفیر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کتاب داعیه و لیس نبیا، محمدبن‌عبدالوهاب را فقط مبلّغی دینی دانسته است که هرگز پیامبری معصوم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این کتاب، خشم جریان خشن وهابیت را برانگیخت؛ به‌حدی که ابن‌فرحان را کافر و مرتد نامیدند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حادثه‌ای دردآور که در تیر</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در مصر اتفاق افتاد، گروهی از تندروان سلفی شیخ حسن شحاته، مدرس الازهر را در استان الجیزۀ مصر به‌طرز فجیعی به شهادت رساندند و به پیکرش تعرض و توهین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شحاته در سال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به مذهب شیعه گرویده بود و از رهبران شیعیان مصر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حادثۀ تلخ در جشن میلاد امام‌زمان</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حادثه، تعدادی از شیعیان مصر نیز کشته و زخمی شدند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مولفات شیخ محمد بن عبد الوهاب،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علماء البلد الحرام،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فتاوا،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فتاوا و مقالات متنوعه،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قفاری، اصول مذهب الشیعه الامامیة الاثنی عشریة،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Monde diplomatique</w:t>
      </w:r>
      <w:r>
        <w:rPr>
          <w:rFonts w:ascii="IRNazanin" w:hAnsi="IRNazanin" w:eastAsia="IRNazanin"/>
          <w:b w:val="false"/>
          <w:b w:val="false"/>
          <w:bCs w:val="false"/>
          <w:i w:val="false"/>
          <w:i w:val="false"/>
          <w:iCs w:val="false"/>
          <w:color w:val="333333"/>
          <w:sz w:val="20"/>
          <w:sz w:val="20"/>
          <w:szCs w:val="20"/>
          <w:rtl w:val="true"/>
        </w:rPr>
        <w:t xml:space="preserve">، اسلامیسم سنی و حزب الله، نوشتۀ </w:t>
      </w:r>
      <w:r>
        <w:rPr>
          <w:rFonts w:eastAsia="IRNazanin" w:cs="IRNazanin"/>
          <w:b w:val="false"/>
          <w:bCs w:val="false"/>
          <w:i w:val="false"/>
          <w:iCs w:val="false"/>
          <w:color w:val="333333"/>
          <w:sz w:val="20"/>
          <w:szCs w:val="20"/>
        </w:rPr>
        <w:t>Bernard ROUGIER</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www.ibn-jebreen.com</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کسانی‌که ایمان آورده‌اید، از خدا بترسید و وسیله‌ای به درگاهش به دست آورید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نگاه مفسران، این آیه، تحصیلِ وسیله برای قرب الهی همراه با جهاد در راه خدا را موجب رستگاری مؤمنان دانسته است و خداوند از مؤمنان می‌خواهد برای پذیرش درخواست‌ها، پی‌جوی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به‌سوی خداوند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بیضاوی، انوار التنزیل،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شوکانی، فتح القدیر،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ایشان بعد از آنکه به خود ستم کردند، نزد تو آمدند و آمرزش خدا را خواستند و رسول هم برایشان طلب مغفرت کرد، خواهند دید که خدا توبه‌پذیر رحیم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توبه،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یوسف،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توبه،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حدیثی اهل‌سنت، عثمان‌بن‌حنیف از مرد نابینایی حکایت می‌کند که نزد پیامبر آمد و از ایشان برای بازیابی بینایی‌اش مدد خواست و به‌برکت دعایی که پیامبر به او آموخت، شفا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دعا او به‌دستور پیامبر به ایشان توسل جست و با این سخن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انی اتوجه بک الی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را مخاطب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احمدبن‌حنبل، مسند،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ترمذی، سنن ترمذی،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ابن‌ماجه، سنن ابن ماجه،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دعا، به شخص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این حدیث را بنا بر شرط شیخین، بخاری و مسلم، درست می‌شمارد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المستدرک علی الصحیحین،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ناصف در کتاب حدیثی خود که حاوی صحاح پنج‌گانه جز ابن‌ماجه است، این حدیث را در بابی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التوسل الی الله بأحبائه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ناصف، التاج الجامع للاصول فی احادیث الرسول،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مدعی است که مانعی در توسل به پیشگاه خداوند به مقام پیامبر وجود ندارد؛ چه درحال حیات پیامبر و چه پس از رحلت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معتقد است توسل‌جستن به مقام غیرپیامبر در پیشگاه خدا نیز مانعی ندارد؛ به‌شرط اینکه او حقیقتاً در پیشگاه خدا مقامی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جنگجویان مسلمان در دورۀ خلافت ابوبکر در جنگ با اهل ردّه،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 البدایة و النهایة،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مردم مدینه از عهده‌داری زیادبن‌ابیه ازسوی معاویه بر امارت شهرشان، به قبر پیامبر پناه بردند و به ایشان متوسل شدند و پس از سه روز، زیاد هلاک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غالب در توسل‌ها، فریادرسی و استغاثه است که طلب آمرزش گناهان نیز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سبب و انگیزۀ گرایش مردم به زیارت و توسل به اولیا را از میان‌رفتن گناهان زوّار این مکان‌ها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علی المواهب اللدنیة،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 الدرر السنیة فی الرد علی الوهابیة، ص</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ابن‌بشر، عنوان المجد فی تاریخ نجد،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الحدیثة،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حسین‌بن‌غنام، تاریخ نجد، دارالشروق،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Longrigg S.H. for Centuries of Modern Iraq</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Oxford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1925. p. 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سعودبن‌هذلول، تاریخ ملوک آل سعود،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السعید، تاریخ آل سعود،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الیواقیت و الجواهر،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 الدرر االسنیة فی الرد علی الوهابیة،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سلیمان‌بن‌عبدالوهاب، فصل الخطاب،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محمدبن‌عبدالوهاب، مفید المستفید فی کفر تارک التوحید،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اسپوزیتو، دایرةالمعارف جهان نوین اسلام، ترجمۀ حسن طارمی و دیگران،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image" Target="media/image13.jpeg"/><Relationship Id="rId51" Type="http://schemas.openxmlformats.org/officeDocument/2006/relationships/image" Target="media/image13.jpeg"/><Relationship Id="rId52" Type="http://schemas.openxmlformats.org/officeDocument/2006/relationships/footer" Target="footer25.xml"/><Relationship Id="rId53" Type="http://schemas.openxmlformats.org/officeDocument/2006/relationships/image" Target="media/image14.jpeg"/><Relationship Id="rId54" Type="http://schemas.openxmlformats.org/officeDocument/2006/relationships/image" Target="media/image14.jpeg"/><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image" Target="media/image15.jpeg"/><Relationship Id="rId60" Type="http://schemas.openxmlformats.org/officeDocument/2006/relationships/image" Target="media/image15.jpeg"/><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image" Target="media/image17.jpeg"/><Relationship Id="rId75" Type="http://schemas.openxmlformats.org/officeDocument/2006/relationships/image" Target="media/image17.jpeg"/><Relationship Id="rId76" Type="http://schemas.openxmlformats.org/officeDocument/2006/relationships/footer" Target="footer41.xml"/><Relationship Id="rId77" Type="http://schemas.openxmlformats.org/officeDocument/2006/relationships/image" Target="media/image18.jpeg"/><Relationship Id="rId78" Type="http://schemas.openxmlformats.org/officeDocument/2006/relationships/image" Target="media/image18.jpeg"/><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image" Target="media/image19.jpeg"/><Relationship Id="rId86" Type="http://schemas.openxmlformats.org/officeDocument/2006/relationships/image" Target="media/image19.jpeg"/><Relationship Id="rId87" Type="http://schemas.openxmlformats.org/officeDocument/2006/relationships/footer" Target="footer48.xml"/><Relationship Id="rId88" Type="http://schemas.openxmlformats.org/officeDocument/2006/relationships/footer" Target="footer49.xml"/><Relationship Id="rId89" Type="http://schemas.openxmlformats.org/officeDocument/2006/relationships/footer" Target="footer50.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51.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5581</Words>
  <Characters>24492</Characters>
  <CharactersWithSpaces>29831</CharactersWithSpaces>
  <Paragraphs>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2026-08-18T23:03:30Z</dcterms:created>
  <dc:creator>ghaemiyeh.com</dc:creator>
  <dc:description/>
  <dc:language>en-US</dc:language>
  <cp:lastModifiedBy/>
  <dcterms:modified xsi:type="dcterms:W3CDTF">2026-08-19T02:33:33Z</dcterms:modified>
  <cp:revision>1</cp:revision>
  <dc:subject/>
  <dc:title>رهنمای 104 تکفیر چیست و تکفیری کیست</dc:title>
</cp:coreProperties>
</file>

<file path=docProps/custom.xml><?xml version="1.0" encoding="utf-8"?>
<Properties xmlns="http://schemas.openxmlformats.org/officeDocument/2006/custom-properties" xmlns:vt="http://schemas.openxmlformats.org/officeDocument/2006/docPropsVTypes"/>
</file>