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9.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13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کتاب الحدود و التعزیرات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56629_2749589250">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656631_2749589250">
            <w:r>
              <w:rPr>
                <w:webHidden/>
                <w:rStyle w:val="IndexLink"/>
                <w:rtl w:val="true"/>
              </w:rPr>
              <w:t>مقدمة المؤلف</w:t>
            </w:r>
            <w:r>
              <w:rPr>
                <w:rStyle w:val="IndexLink"/>
                <w:rtl w:val="true"/>
              </w:rPr>
              <w:tab/>
            </w:r>
            <w:r>
              <w:rPr>
                <w:rStyle w:val="IndexLink"/>
              </w:rPr>
              <w:t>8</w:t>
            </w:r>
          </w:hyperlink>
        </w:p>
        <w:p>
          <w:pPr>
            <w:pStyle w:val="Contents2"/>
            <w:tabs>
              <w:tab w:val="clear" w:pos="8743"/>
              <w:tab w:val="right" w:pos="9026" w:leader="dot"/>
            </w:tabs>
            <w:rPr/>
          </w:pPr>
          <w:hyperlink w:anchor="__RefHeading___Toc656633_2749589250">
            <w:r>
              <w:rPr>
                <w:webHidden/>
                <w:rStyle w:val="IndexLink"/>
                <w:rtl w:val="true"/>
              </w:rPr>
              <w:t>تعریف الحدّ والتّعزیر</w:t>
            </w:r>
            <w:r>
              <w:rPr>
                <w:rStyle w:val="IndexLink"/>
                <w:rtl w:val="true"/>
              </w:rPr>
              <w:tab/>
            </w:r>
            <w:r>
              <w:rPr>
                <w:rStyle w:val="IndexLink"/>
              </w:rPr>
              <w:t>10</w:t>
            </w:r>
          </w:hyperlink>
        </w:p>
        <w:p>
          <w:pPr>
            <w:pStyle w:val="Contents2"/>
            <w:tabs>
              <w:tab w:val="clear" w:pos="8743"/>
              <w:tab w:val="right" w:pos="9026" w:leader="dot"/>
            </w:tabs>
            <w:rPr/>
          </w:pPr>
          <w:hyperlink w:anchor="__RefHeading___Toc656635_2749589250">
            <w:r>
              <w:rPr>
                <w:webHidden/>
                <w:rStyle w:val="IndexLink"/>
                <w:rtl w:val="true"/>
              </w:rPr>
              <w:t>الکلام فی الزّنا</w:t>
            </w:r>
            <w:r>
              <w:rPr>
                <w:rStyle w:val="IndexLink"/>
                <w:rtl w:val="true"/>
              </w:rPr>
              <w:tab/>
            </w:r>
            <w:r>
              <w:rPr>
                <w:rStyle w:val="IndexLink"/>
              </w:rPr>
              <w:t>15</w:t>
            </w:r>
          </w:hyperlink>
        </w:p>
        <w:p>
          <w:pPr>
            <w:pStyle w:val="Contents3"/>
            <w:tabs>
              <w:tab w:val="clear" w:pos="8459"/>
              <w:tab w:val="right" w:pos="9026" w:leader="dot"/>
            </w:tabs>
            <w:rPr/>
          </w:pPr>
          <w:hyperlink w:anchor="__RefHeading___Toc656637_2749589250">
            <w:r>
              <w:rPr>
                <w:webHidden/>
                <w:rStyle w:val="IndexLink"/>
                <w:rtl w:val="true"/>
              </w:rPr>
              <w:t>(</w:t>
            </w:r>
            <w:r>
              <w:rPr>
                <w:rStyle w:val="IndexLink"/>
                <w:rtl w:val="true"/>
              </w:rPr>
              <w:t>تعریف الزّنا</w:t>
            </w:r>
            <w:r>
              <w:rPr>
                <w:rStyle w:val="IndexLink"/>
                <w:rtl w:val="true"/>
              </w:rPr>
              <w:t>)</w:t>
              <w:tab/>
            </w:r>
            <w:r>
              <w:rPr>
                <w:rStyle w:val="IndexLink"/>
              </w:rPr>
              <w:t>15</w:t>
            </w:r>
          </w:hyperlink>
        </w:p>
        <w:p>
          <w:pPr>
            <w:pStyle w:val="Contents3"/>
            <w:tabs>
              <w:tab w:val="clear" w:pos="8459"/>
              <w:tab w:val="right" w:pos="9026" w:leader="dot"/>
            </w:tabs>
            <w:rPr/>
          </w:pPr>
          <w:hyperlink w:anchor="__RefHeading___Toc656639_2749589250">
            <w:r>
              <w:rPr>
                <w:webHidden/>
                <w:rStyle w:val="IndexLink"/>
                <w:rtl w:val="true"/>
              </w:rPr>
              <w:t>وطی الشّبهه</w:t>
            </w:r>
            <w:r>
              <w:rPr>
                <w:rStyle w:val="IndexLink"/>
                <w:rtl w:val="true"/>
              </w:rPr>
              <w:tab/>
            </w:r>
            <w:r>
              <w:rPr>
                <w:rStyle w:val="IndexLink"/>
              </w:rPr>
              <w:t>16</w:t>
            </w:r>
          </w:hyperlink>
        </w:p>
        <w:p>
          <w:pPr>
            <w:pStyle w:val="Contents3"/>
            <w:tabs>
              <w:tab w:val="clear" w:pos="8459"/>
              <w:tab w:val="right" w:pos="9026" w:leader="dot"/>
            </w:tabs>
            <w:rPr/>
          </w:pPr>
          <w:hyperlink w:anchor="__RefHeading___Toc656641_2749589250">
            <w:r>
              <w:rPr>
                <w:webHidden/>
                <w:rStyle w:val="IndexLink"/>
                <w:rtl w:val="true"/>
              </w:rPr>
              <w:t>اذا احتملت الکذب فی اخبار غیر البینة و تزوجّت</w:t>
            </w:r>
            <w:r>
              <w:rPr>
                <w:rStyle w:val="IndexLink"/>
                <w:rtl w:val="true"/>
              </w:rPr>
              <w:tab/>
            </w:r>
            <w:r>
              <w:rPr>
                <w:rStyle w:val="IndexLink"/>
              </w:rPr>
              <w:t>25</w:t>
            </w:r>
          </w:hyperlink>
        </w:p>
        <w:p>
          <w:pPr>
            <w:pStyle w:val="Contents3"/>
            <w:tabs>
              <w:tab w:val="clear" w:pos="8459"/>
              <w:tab w:val="right" w:pos="9026" w:leader="dot"/>
            </w:tabs>
            <w:rPr/>
          </w:pPr>
          <w:hyperlink w:anchor="__RefHeading___Toc656643_2749589250">
            <w:r>
              <w:rPr>
                <w:webHidden/>
                <w:rStyle w:val="IndexLink"/>
                <w:rtl w:val="true"/>
              </w:rPr>
              <w:t>مختار السّیّد الحکیم اقرب ممّا فی الجواهر</w:t>
            </w:r>
            <w:r>
              <w:rPr>
                <w:rStyle w:val="IndexLink"/>
                <w:rtl w:val="true"/>
              </w:rPr>
              <w:tab/>
            </w:r>
            <w:r>
              <w:rPr>
                <w:rStyle w:val="IndexLink"/>
              </w:rPr>
              <w:t>28</w:t>
            </w:r>
          </w:hyperlink>
        </w:p>
        <w:p>
          <w:pPr>
            <w:pStyle w:val="Contents3"/>
            <w:tabs>
              <w:tab w:val="clear" w:pos="8459"/>
              <w:tab w:val="right" w:pos="9026" w:leader="dot"/>
            </w:tabs>
            <w:rPr/>
          </w:pPr>
          <w:hyperlink w:anchor="__RefHeading___Toc656645_2749589250">
            <w:r>
              <w:rPr>
                <w:webHidden/>
                <w:rStyle w:val="IndexLink"/>
                <w:rtl w:val="true"/>
              </w:rPr>
              <w:t>عدم الفرق فی الزّنا بین القبل والدّبر</w:t>
            </w:r>
            <w:r>
              <w:rPr>
                <w:rStyle w:val="IndexLink"/>
                <w:rtl w:val="true"/>
              </w:rPr>
              <w:tab/>
            </w:r>
            <w:r>
              <w:rPr>
                <w:rStyle w:val="IndexLink"/>
              </w:rPr>
              <w:t>30</w:t>
            </w:r>
          </w:hyperlink>
        </w:p>
        <w:p>
          <w:pPr>
            <w:pStyle w:val="Contents3"/>
            <w:tabs>
              <w:tab w:val="clear" w:pos="8459"/>
              <w:tab w:val="right" w:pos="9026" w:leader="dot"/>
            </w:tabs>
            <w:rPr/>
          </w:pPr>
          <w:hyperlink w:anchor="__RefHeading___Toc656647_2749589250">
            <w:r>
              <w:rPr>
                <w:webHidden/>
                <w:rStyle w:val="IndexLink"/>
                <w:rtl w:val="true"/>
              </w:rPr>
              <w:t>اعتبار ایلاج الحشفة فی زنا القبل</w:t>
            </w:r>
            <w:r>
              <w:rPr>
                <w:rStyle w:val="IndexLink"/>
                <w:rtl w:val="true"/>
              </w:rPr>
              <w:tab/>
            </w:r>
            <w:r>
              <w:rPr>
                <w:rStyle w:val="IndexLink"/>
              </w:rPr>
              <w:t>33</w:t>
            </w:r>
          </w:hyperlink>
        </w:p>
        <w:p>
          <w:pPr>
            <w:pStyle w:val="Contents3"/>
            <w:tabs>
              <w:tab w:val="clear" w:pos="8459"/>
              <w:tab w:val="right" w:pos="9026" w:leader="dot"/>
            </w:tabs>
            <w:rPr/>
          </w:pPr>
          <w:hyperlink w:anchor="__RefHeading___Toc656649_2749589250">
            <w:r>
              <w:rPr>
                <w:webHidden/>
                <w:rStyle w:val="IndexLink"/>
                <w:rtl w:val="true"/>
              </w:rPr>
              <w:t>لا حدّ علی الجاهل بحرمة الزّنا</w:t>
            </w:r>
            <w:r>
              <w:rPr>
                <w:rStyle w:val="IndexLink"/>
                <w:rtl w:val="true"/>
              </w:rPr>
              <w:tab/>
            </w:r>
            <w:r>
              <w:rPr>
                <w:rStyle w:val="IndexLink"/>
              </w:rPr>
              <w:t>34</w:t>
            </w:r>
          </w:hyperlink>
        </w:p>
        <w:p>
          <w:pPr>
            <w:pStyle w:val="Contents3"/>
            <w:tabs>
              <w:tab w:val="clear" w:pos="8459"/>
              <w:tab w:val="right" w:pos="9026" w:leader="dot"/>
            </w:tabs>
            <w:rPr/>
          </w:pPr>
          <w:hyperlink w:anchor="__RefHeading___Toc656651_2749589250">
            <w:r>
              <w:rPr>
                <w:webHidden/>
                <w:rStyle w:val="IndexLink"/>
                <w:rtl w:val="true"/>
              </w:rPr>
              <w:t>نکاح المجوس للمحارم شبهة دون وطیها من الحنفّی و الشّافعّی</w:t>
            </w:r>
            <w:r>
              <w:rPr>
                <w:rStyle w:val="IndexLink"/>
                <w:rtl w:val="true"/>
              </w:rPr>
              <w:tab/>
            </w:r>
            <w:r>
              <w:rPr>
                <w:rStyle w:val="IndexLink"/>
              </w:rPr>
              <w:t>36</w:t>
            </w:r>
          </w:hyperlink>
        </w:p>
        <w:p>
          <w:pPr>
            <w:pStyle w:val="Contents3"/>
            <w:tabs>
              <w:tab w:val="clear" w:pos="8459"/>
              <w:tab w:val="right" w:pos="9026" w:leader="dot"/>
            </w:tabs>
            <w:rPr/>
          </w:pPr>
          <w:hyperlink w:anchor="__RefHeading___Toc656653_2749589250">
            <w:r>
              <w:rPr>
                <w:webHidden/>
                <w:rStyle w:val="IndexLink"/>
                <w:rtl w:val="true"/>
              </w:rPr>
              <w:t>الکلام فی ما یشترط فی الحدّ</w:t>
            </w:r>
            <w:r>
              <w:rPr>
                <w:rStyle w:val="IndexLink"/>
                <w:rtl w:val="true"/>
              </w:rPr>
              <w:tab/>
            </w:r>
            <w:r>
              <w:rPr>
                <w:rStyle w:val="IndexLink"/>
              </w:rPr>
              <w:t>40</w:t>
            </w:r>
          </w:hyperlink>
        </w:p>
        <w:p>
          <w:pPr>
            <w:pStyle w:val="Contents4"/>
            <w:tabs>
              <w:tab w:val="clear" w:pos="8176"/>
              <w:tab w:val="right" w:pos="9026" w:leader="dot"/>
            </w:tabs>
            <w:rPr/>
          </w:pPr>
          <w:hyperlink w:anchor="__RefHeading___Toc656655_2749589250">
            <w:r>
              <w:rPr>
                <w:webHidden/>
                <w:rStyle w:val="IndexLink"/>
                <w:rtl w:val="true"/>
              </w:rPr>
              <w:t>من شرایط حدّ الزّنا البلوغ و العقل و الاختیار</w:t>
            </w:r>
            <w:r>
              <w:rPr>
                <w:rStyle w:val="IndexLink"/>
                <w:rtl w:val="true"/>
              </w:rPr>
              <w:tab/>
            </w:r>
            <w:r>
              <w:rPr>
                <w:rStyle w:val="IndexLink"/>
              </w:rPr>
              <w:t>40</w:t>
            </w:r>
          </w:hyperlink>
        </w:p>
        <w:p>
          <w:pPr>
            <w:pStyle w:val="Contents4"/>
            <w:tabs>
              <w:tab w:val="clear" w:pos="8176"/>
              <w:tab w:val="right" w:pos="9026" w:leader="dot"/>
            </w:tabs>
            <w:rPr/>
          </w:pPr>
          <w:hyperlink w:anchor="__RefHeading___Toc656657_2749589250">
            <w:r>
              <w:rPr>
                <w:webHidden/>
                <w:rStyle w:val="IndexLink"/>
                <w:rtl w:val="true"/>
              </w:rPr>
              <w:t>قبول دعوی الاکراه علی الزّنا</w:t>
            </w:r>
            <w:r>
              <w:rPr>
                <w:rStyle w:val="IndexLink"/>
                <w:rtl w:val="true"/>
              </w:rPr>
              <w:tab/>
            </w:r>
            <w:r>
              <w:rPr>
                <w:rStyle w:val="IndexLink"/>
              </w:rPr>
              <w:t>50</w:t>
            </w:r>
          </w:hyperlink>
        </w:p>
        <w:p>
          <w:pPr>
            <w:pStyle w:val="Contents4"/>
            <w:tabs>
              <w:tab w:val="clear" w:pos="8176"/>
              <w:tab w:val="right" w:pos="9026" w:leader="dot"/>
            </w:tabs>
            <w:rPr/>
          </w:pPr>
          <w:hyperlink w:anchor="__RefHeading___Toc656659_2749589250">
            <w:r>
              <w:rPr>
                <w:webHidden/>
                <w:rStyle w:val="IndexLink"/>
                <w:rtl w:val="true"/>
              </w:rPr>
              <w:t>ثبوت مهر المثل للموطوئة اکراه</w:t>
            </w:r>
            <w:r>
              <w:rPr>
                <w:rStyle w:val="IndexLink"/>
                <w:rtl w:val="true"/>
              </w:rPr>
              <w:tab/>
            </w:r>
            <w:r>
              <w:rPr>
                <w:rStyle w:val="IndexLink"/>
              </w:rPr>
              <w:t>53</w:t>
            </w:r>
          </w:hyperlink>
        </w:p>
        <w:p>
          <w:pPr>
            <w:pStyle w:val="Contents4"/>
            <w:tabs>
              <w:tab w:val="clear" w:pos="8176"/>
              <w:tab w:val="right" w:pos="9026" w:leader="dot"/>
            </w:tabs>
            <w:rPr/>
          </w:pPr>
          <w:hyperlink w:anchor="__RefHeading___Toc656661_2749589250">
            <w:r>
              <w:rPr>
                <w:webHidden/>
                <w:rStyle w:val="IndexLink"/>
                <w:rtl w:val="true"/>
              </w:rPr>
              <w:t>التّفصیل فی حدّ الزّنا حال السّکر</w:t>
            </w:r>
            <w:r>
              <w:rPr>
                <w:rStyle w:val="IndexLink"/>
                <w:rtl w:val="true"/>
              </w:rPr>
              <w:tab/>
            </w:r>
            <w:r>
              <w:rPr>
                <w:rStyle w:val="IndexLink"/>
              </w:rPr>
              <w:t>59</w:t>
            </w:r>
          </w:hyperlink>
        </w:p>
        <w:p>
          <w:pPr>
            <w:pStyle w:val="Contents4"/>
            <w:tabs>
              <w:tab w:val="clear" w:pos="8176"/>
              <w:tab w:val="right" w:pos="9026" w:leader="dot"/>
            </w:tabs>
            <w:rPr/>
          </w:pPr>
          <w:hyperlink w:anchor="__RefHeading___Toc656663_2749589250">
            <w:r>
              <w:rPr>
                <w:webHidden/>
                <w:rStyle w:val="IndexLink"/>
                <w:rtl w:val="true"/>
              </w:rPr>
              <w:t>لا حدّ فی الزّنا حال النّوم</w:t>
            </w:r>
            <w:r>
              <w:rPr>
                <w:rStyle w:val="IndexLink"/>
                <w:rtl w:val="true"/>
              </w:rPr>
              <w:tab/>
            </w:r>
            <w:r>
              <w:rPr>
                <w:rStyle w:val="IndexLink"/>
              </w:rPr>
              <w:t>60</w:t>
            </w:r>
          </w:hyperlink>
        </w:p>
        <w:p>
          <w:pPr>
            <w:pStyle w:val="Contents3"/>
            <w:tabs>
              <w:tab w:val="clear" w:pos="8459"/>
              <w:tab w:val="right" w:pos="9026" w:leader="dot"/>
            </w:tabs>
            <w:rPr/>
          </w:pPr>
          <w:hyperlink w:anchor="__RefHeading___Toc656665_2749589250">
            <w:r>
              <w:rPr>
                <w:webHidden/>
                <w:rStyle w:val="IndexLink"/>
                <w:rtl w:val="true"/>
              </w:rPr>
              <w:t>الکلام فی ما یثبت به الزّنا</w:t>
            </w:r>
            <w:r>
              <w:rPr>
                <w:rStyle w:val="IndexLink"/>
                <w:rtl w:val="true"/>
              </w:rPr>
              <w:tab/>
            </w:r>
            <w:r>
              <w:rPr>
                <w:rStyle w:val="IndexLink"/>
              </w:rPr>
              <w:t>61</w:t>
            </w:r>
          </w:hyperlink>
        </w:p>
        <w:p>
          <w:pPr>
            <w:pStyle w:val="Contents4"/>
            <w:tabs>
              <w:tab w:val="clear" w:pos="8176"/>
              <w:tab w:val="right" w:pos="9026" w:leader="dot"/>
            </w:tabs>
            <w:rPr/>
          </w:pPr>
          <w:hyperlink w:anchor="__RefHeading___Toc656667_2749589250">
            <w:r>
              <w:rPr>
                <w:webHidden/>
                <w:rStyle w:val="IndexLink"/>
                <w:rtl w:val="true"/>
              </w:rPr>
              <w:t>فی ثبوت الزّنا بالاقرار</w:t>
            </w:r>
            <w:r>
              <w:rPr>
                <w:rStyle w:val="IndexLink"/>
                <w:rtl w:val="true"/>
              </w:rPr>
              <w:tab/>
            </w:r>
            <w:r>
              <w:rPr>
                <w:rStyle w:val="IndexLink"/>
              </w:rPr>
              <w:t>61</w:t>
            </w:r>
          </w:hyperlink>
        </w:p>
        <w:p>
          <w:pPr>
            <w:pStyle w:val="Contents5"/>
            <w:tabs>
              <w:tab w:val="clear" w:pos="7892"/>
              <w:tab w:val="right" w:pos="9026" w:leader="dot"/>
            </w:tabs>
            <w:rPr/>
          </w:pPr>
          <w:hyperlink w:anchor="__RefHeading___Toc656669_2749589250">
            <w:r>
              <w:rPr>
                <w:webHidden/>
                <w:rStyle w:val="IndexLink"/>
                <w:rtl w:val="true"/>
              </w:rPr>
              <w:t>اشارة</w:t>
            </w:r>
            <w:r>
              <w:rPr>
                <w:rStyle w:val="IndexLink"/>
                <w:rtl w:val="true"/>
              </w:rPr>
              <w:tab/>
            </w:r>
            <w:r>
              <w:rPr>
                <w:rStyle w:val="IndexLink"/>
              </w:rPr>
              <w:t>61</w:t>
            </w:r>
          </w:hyperlink>
        </w:p>
        <w:p>
          <w:pPr>
            <w:pStyle w:val="Contents5"/>
            <w:tabs>
              <w:tab w:val="clear" w:pos="7892"/>
              <w:tab w:val="right" w:pos="9026" w:leader="dot"/>
            </w:tabs>
            <w:rPr/>
          </w:pPr>
          <w:hyperlink w:anchor="__RefHeading___Toc656671_2749589250">
            <w:r>
              <w:rPr>
                <w:webHidden/>
                <w:rStyle w:val="IndexLink"/>
                <w:rtl w:val="true"/>
              </w:rPr>
              <w:t>فروع</w:t>
            </w:r>
            <w:r>
              <w:rPr>
                <w:rStyle w:val="IndexLink"/>
                <w:rtl w:val="true"/>
              </w:rPr>
              <w:tab/>
            </w:r>
            <w:r>
              <w:rPr>
                <w:rStyle w:val="IndexLink"/>
              </w:rPr>
              <w:t>63</w:t>
            </w:r>
          </w:hyperlink>
        </w:p>
        <w:p>
          <w:pPr>
            <w:pStyle w:val="Contents6"/>
            <w:tabs>
              <w:tab w:val="clear" w:pos="7609"/>
              <w:tab w:val="right" w:pos="9026" w:leader="dot"/>
            </w:tabs>
            <w:rPr/>
          </w:pPr>
          <w:hyperlink w:anchor="__RefHeading___Toc656673_2749589250">
            <w:r>
              <w:rPr>
                <w:webHidden/>
                <w:rStyle w:val="IndexLink"/>
                <w:rtl w:val="true"/>
              </w:rPr>
              <w:t>الأول</w:t>
            </w:r>
            <w:r>
              <w:rPr>
                <w:rStyle w:val="IndexLink"/>
                <w:rtl w:val="true"/>
              </w:rPr>
              <w:tab/>
            </w:r>
            <w:r>
              <w:rPr>
                <w:rStyle w:val="IndexLink"/>
              </w:rPr>
              <w:t>63</w:t>
            </w:r>
          </w:hyperlink>
        </w:p>
        <w:p>
          <w:pPr>
            <w:pStyle w:val="Contents6"/>
            <w:tabs>
              <w:tab w:val="clear" w:pos="7609"/>
              <w:tab w:val="right" w:pos="9026" w:leader="dot"/>
            </w:tabs>
            <w:rPr/>
          </w:pPr>
          <w:hyperlink w:anchor="__RefHeading___Toc656675_2749589250">
            <w:r>
              <w:rPr>
                <w:webHidden/>
                <w:rStyle w:val="IndexLink"/>
                <w:rtl w:val="true"/>
              </w:rPr>
              <w:t>الثانی</w:t>
            </w:r>
            <w:r>
              <w:rPr>
                <w:rStyle w:val="IndexLink"/>
                <w:rtl w:val="true"/>
              </w:rPr>
              <w:t>:</w:t>
              <w:tab/>
            </w:r>
            <w:r>
              <w:rPr>
                <w:rStyle w:val="IndexLink"/>
              </w:rPr>
              <w:t>65</w:t>
            </w:r>
          </w:hyperlink>
        </w:p>
        <w:p>
          <w:pPr>
            <w:pStyle w:val="Contents6"/>
            <w:tabs>
              <w:tab w:val="clear" w:pos="7609"/>
              <w:tab w:val="right" w:pos="9026" w:leader="dot"/>
            </w:tabs>
            <w:rPr/>
          </w:pPr>
          <w:hyperlink w:anchor="__RefHeading___Toc656677_2749589250">
            <w:r>
              <w:rPr>
                <w:webHidden/>
                <w:rStyle w:val="IndexLink"/>
                <w:rtl w:val="true"/>
              </w:rPr>
              <w:t>الثالث</w:t>
            </w:r>
            <w:r>
              <w:rPr>
                <w:rStyle w:val="IndexLink"/>
                <w:rtl w:val="true"/>
              </w:rPr>
              <w:t>:</w:t>
              <w:tab/>
            </w:r>
            <w:r>
              <w:rPr>
                <w:rStyle w:val="IndexLink"/>
              </w:rPr>
              <w:t>65</w:t>
            </w:r>
          </w:hyperlink>
        </w:p>
        <w:p>
          <w:pPr>
            <w:pStyle w:val="Contents6"/>
            <w:tabs>
              <w:tab w:val="clear" w:pos="7609"/>
              <w:tab w:val="right" w:pos="9026" w:leader="dot"/>
            </w:tabs>
            <w:rPr/>
          </w:pPr>
          <w:hyperlink w:anchor="__RefHeading___Toc656679_2749589250">
            <w:r>
              <w:rPr>
                <w:webHidden/>
                <w:rStyle w:val="IndexLink"/>
                <w:rtl w:val="true"/>
              </w:rPr>
              <w:t>الرّابع</w:t>
            </w:r>
            <w:r>
              <w:rPr>
                <w:rStyle w:val="IndexLink"/>
                <w:rtl w:val="true"/>
              </w:rPr>
              <w:t>:</w:t>
              <w:tab/>
            </w:r>
            <w:r>
              <w:rPr>
                <w:rStyle w:val="IndexLink"/>
              </w:rPr>
              <w:t>66</w:t>
            </w:r>
          </w:hyperlink>
        </w:p>
        <w:p>
          <w:pPr>
            <w:pStyle w:val="Contents4"/>
            <w:tabs>
              <w:tab w:val="clear" w:pos="8176"/>
              <w:tab w:val="right" w:pos="9026" w:leader="dot"/>
            </w:tabs>
            <w:rPr/>
          </w:pPr>
          <w:hyperlink w:anchor="__RefHeading___Toc656681_2749589250">
            <w:r>
              <w:rPr>
                <w:webHidden/>
                <w:rStyle w:val="IndexLink"/>
                <w:rtl w:val="true"/>
              </w:rPr>
              <w:t>یعتبر الاقرار اربع مرّات فی الحدّ</w:t>
            </w:r>
            <w:r>
              <w:rPr>
                <w:rStyle w:val="IndexLink"/>
                <w:rtl w:val="true"/>
              </w:rPr>
              <w:tab/>
            </w:r>
            <w:r>
              <w:rPr>
                <w:rStyle w:val="IndexLink"/>
              </w:rPr>
              <w:t>66</w:t>
            </w:r>
          </w:hyperlink>
        </w:p>
        <w:p>
          <w:pPr>
            <w:pStyle w:val="Contents4"/>
            <w:tabs>
              <w:tab w:val="clear" w:pos="8176"/>
              <w:tab w:val="right" w:pos="9026" w:leader="dot"/>
            </w:tabs>
            <w:rPr/>
          </w:pPr>
          <w:hyperlink w:anchor="__RefHeading___Toc656683_2749589250">
            <w:r>
              <w:rPr>
                <w:webHidden/>
                <w:rStyle w:val="IndexLink"/>
                <w:rtl w:val="true"/>
              </w:rPr>
              <w:t>فی عدم اشتراط تعدّد المجالس</w:t>
            </w:r>
            <w:r>
              <w:rPr>
                <w:rStyle w:val="IndexLink"/>
                <w:rtl w:val="true"/>
              </w:rPr>
              <w:tab/>
            </w:r>
            <w:r>
              <w:rPr>
                <w:rStyle w:val="IndexLink"/>
              </w:rPr>
              <w:t>72</w:t>
            </w:r>
          </w:hyperlink>
        </w:p>
        <w:p>
          <w:pPr>
            <w:pStyle w:val="Contents4"/>
            <w:tabs>
              <w:tab w:val="clear" w:pos="8176"/>
              <w:tab w:val="right" w:pos="9026" w:leader="dot"/>
            </w:tabs>
            <w:rPr/>
          </w:pPr>
          <w:hyperlink w:anchor="__RefHeading___Toc656685_2749589250">
            <w:r>
              <w:rPr>
                <w:webHidden/>
                <w:rStyle w:val="IndexLink"/>
                <w:rtl w:val="true"/>
              </w:rPr>
              <w:t>یکفی فی اقرار الاخرس و الخرساء الاشارة المفیدة</w:t>
            </w:r>
            <w:r>
              <w:rPr>
                <w:rStyle w:val="IndexLink"/>
                <w:rtl w:val="true"/>
              </w:rPr>
              <w:tab/>
            </w:r>
            <w:r>
              <w:rPr>
                <w:rStyle w:val="IndexLink"/>
              </w:rPr>
              <w:t>73</w:t>
            </w:r>
          </w:hyperlink>
        </w:p>
        <w:p>
          <w:pPr>
            <w:pStyle w:val="Contents4"/>
            <w:tabs>
              <w:tab w:val="clear" w:pos="8176"/>
              <w:tab w:val="right" w:pos="9026" w:leader="dot"/>
            </w:tabs>
            <w:rPr/>
          </w:pPr>
          <w:hyperlink w:anchor="__RefHeading___Toc656687_2749589250">
            <w:r>
              <w:rPr>
                <w:webHidden/>
                <w:rStyle w:val="IndexLink"/>
                <w:rtl w:val="true"/>
              </w:rPr>
              <w:t>لو اقرّ بالزّنا بامرأة اربعاً و کذّبته یحدّ دونها</w:t>
            </w:r>
            <w:r>
              <w:rPr>
                <w:rStyle w:val="IndexLink"/>
                <w:rtl w:val="true"/>
              </w:rPr>
              <w:tab/>
            </w:r>
            <w:r>
              <w:rPr>
                <w:rStyle w:val="IndexLink"/>
              </w:rPr>
              <w:t>77</w:t>
            </w:r>
          </w:hyperlink>
        </w:p>
        <w:p>
          <w:pPr>
            <w:pStyle w:val="Contents4"/>
            <w:tabs>
              <w:tab w:val="clear" w:pos="8176"/>
              <w:tab w:val="right" w:pos="9026" w:leader="dot"/>
            </w:tabs>
            <w:rPr/>
          </w:pPr>
          <w:hyperlink w:anchor="__RefHeading___Toc656689_2749589250">
            <w:r>
              <w:rPr>
                <w:webHidden/>
                <w:rStyle w:val="IndexLink"/>
                <w:rtl w:val="true"/>
              </w:rPr>
              <w:t>«</w:t>
            </w:r>
            <w:r>
              <w:rPr>
                <w:rStyle w:val="IndexLink"/>
                <w:rtl w:val="true"/>
              </w:rPr>
              <w:t>فی ثبوت الزّنا بالبیّنة</w:t>
            </w:r>
            <w:r>
              <w:rPr>
                <w:rStyle w:val="IndexLink"/>
                <w:rtl w:val="true"/>
              </w:rPr>
              <w:t>»</w:t>
              <w:tab/>
            </w:r>
            <w:r>
              <w:rPr>
                <w:rStyle w:val="IndexLink"/>
              </w:rPr>
              <w:t>78</w:t>
            </w:r>
          </w:hyperlink>
        </w:p>
        <w:p>
          <w:pPr>
            <w:pStyle w:val="Contents5"/>
            <w:tabs>
              <w:tab w:val="clear" w:pos="7892"/>
              <w:tab w:val="right" w:pos="9026" w:leader="dot"/>
            </w:tabs>
            <w:rPr/>
          </w:pPr>
          <w:hyperlink w:anchor="__RefHeading___Toc656691_2749589250">
            <w:r>
              <w:rPr>
                <w:webHidden/>
                <w:rStyle w:val="IndexLink"/>
                <w:rtl w:val="true"/>
              </w:rPr>
              <w:t>ما یعتبر فی ثبوت الزّنا بالبینة و هی شهادة اربعه رجال عدول او</w:t>
            </w:r>
            <w:r>
              <w:rPr>
                <w:rStyle w:val="IndexLink"/>
                <w:rtl w:val="true"/>
              </w:rPr>
              <w:tab/>
            </w:r>
            <w:r>
              <w:rPr>
                <w:rStyle w:val="IndexLink"/>
              </w:rPr>
              <w:t>78</w:t>
            </w:r>
          </w:hyperlink>
        </w:p>
        <w:p>
          <w:pPr>
            <w:pStyle w:val="Contents5"/>
            <w:tabs>
              <w:tab w:val="clear" w:pos="7892"/>
              <w:tab w:val="right" w:pos="9026" w:leader="dot"/>
            </w:tabs>
            <w:rPr/>
          </w:pPr>
          <w:hyperlink w:anchor="__RefHeading___Toc656693_2749589250">
            <w:r>
              <w:rPr>
                <w:webHidden/>
                <w:rStyle w:val="IndexLink"/>
                <w:rtl w:val="true"/>
              </w:rPr>
              <w:t>لا ثبت بشهادة رجل واحد و ستّ نساء او ازید</w:t>
            </w:r>
            <w:r>
              <w:rPr>
                <w:rStyle w:val="IndexLink"/>
                <w:rtl w:val="true"/>
              </w:rPr>
              <w:tab/>
            </w:r>
            <w:r>
              <w:rPr>
                <w:rStyle w:val="IndexLink"/>
              </w:rPr>
              <w:t>85</w:t>
            </w:r>
          </w:hyperlink>
        </w:p>
        <w:p>
          <w:pPr>
            <w:pStyle w:val="Contents4"/>
            <w:tabs>
              <w:tab w:val="clear" w:pos="8176"/>
              <w:tab w:val="right" w:pos="9026" w:leader="dot"/>
            </w:tabs>
            <w:rPr/>
          </w:pPr>
          <w:hyperlink w:anchor="__RefHeading___Toc656695_2749589250">
            <w:r>
              <w:rPr>
                <w:webHidden/>
                <w:rStyle w:val="IndexLink"/>
                <w:rtl w:val="true"/>
              </w:rPr>
              <w:t>فی ما یعتبر فی الشّهادة</w:t>
            </w:r>
            <w:r>
              <w:rPr>
                <w:rStyle w:val="IndexLink"/>
                <w:rtl w:val="true"/>
              </w:rPr>
              <w:t xml:space="preserve">: </w:t>
            </w:r>
            <w:r>
              <w:rPr>
                <w:rStyle w:val="IndexLink"/>
                <w:rtl w:val="true"/>
              </w:rPr>
              <w:t>الاوّل</w:t>
            </w:r>
            <w:r>
              <w:rPr>
                <w:rStyle w:val="IndexLink"/>
                <w:rtl w:val="true"/>
              </w:rPr>
              <w:t xml:space="preserve">: </w:t>
            </w:r>
            <w:r>
              <w:rPr>
                <w:rStyle w:val="IndexLink"/>
                <w:rtl w:val="true"/>
              </w:rPr>
              <w:t>الشّهادة بالادخال و الاخراج</w:t>
            </w:r>
            <w:r>
              <w:rPr>
                <w:rStyle w:val="IndexLink"/>
                <w:rtl w:val="true"/>
              </w:rPr>
              <w:tab/>
            </w:r>
            <w:r>
              <w:rPr>
                <w:rStyle w:val="IndexLink"/>
              </w:rPr>
              <w:t>86</w:t>
            </w:r>
          </w:hyperlink>
        </w:p>
        <w:p>
          <w:pPr>
            <w:pStyle w:val="Contents4"/>
            <w:tabs>
              <w:tab w:val="clear" w:pos="8176"/>
              <w:tab w:val="right" w:pos="9026" w:leader="dot"/>
            </w:tabs>
            <w:rPr/>
          </w:pPr>
          <w:hyperlink w:anchor="__RefHeading___Toc656697_2749589250">
            <w:r>
              <w:rPr>
                <w:webHidden/>
                <w:rStyle w:val="IndexLink"/>
                <w:rtl w:val="true"/>
              </w:rPr>
              <w:t>اشکال المبانی فی اعتبار المعاینة فی الشّهادة</w:t>
            </w:r>
            <w:r>
              <w:rPr>
                <w:rStyle w:val="IndexLink"/>
                <w:rtl w:val="true"/>
              </w:rPr>
              <w:tab/>
            </w:r>
            <w:r>
              <w:rPr>
                <w:rStyle w:val="IndexLink"/>
              </w:rPr>
              <w:t>88</w:t>
            </w:r>
          </w:hyperlink>
        </w:p>
        <w:p>
          <w:pPr>
            <w:pStyle w:val="Contents4"/>
            <w:tabs>
              <w:tab w:val="clear" w:pos="8176"/>
              <w:tab w:val="right" w:pos="9026" w:leader="dot"/>
            </w:tabs>
            <w:rPr/>
          </w:pPr>
          <w:hyperlink w:anchor="__RefHeading___Toc656699_2749589250">
            <w:r>
              <w:rPr>
                <w:webHidden/>
                <w:rStyle w:val="IndexLink"/>
                <w:rtl w:val="true"/>
              </w:rPr>
              <w:t>الثانی</w:t>
            </w:r>
            <w:r>
              <w:rPr>
                <w:rStyle w:val="IndexLink"/>
                <w:rtl w:val="true"/>
              </w:rPr>
              <w:t xml:space="preserve">: </w:t>
            </w:r>
            <w:r>
              <w:rPr>
                <w:rStyle w:val="IndexLink"/>
                <w:rtl w:val="true"/>
              </w:rPr>
              <w:t>اتّفاق الشّهود فی الخصوصیّات</w:t>
            </w:r>
            <w:r>
              <w:rPr>
                <w:rStyle w:val="IndexLink"/>
                <w:rtl w:val="true"/>
              </w:rPr>
              <w:tab/>
            </w:r>
            <w:r>
              <w:rPr>
                <w:rStyle w:val="IndexLink"/>
              </w:rPr>
              <w:t>91</w:t>
            </w:r>
          </w:hyperlink>
        </w:p>
        <w:p>
          <w:pPr>
            <w:pStyle w:val="Contents4"/>
            <w:tabs>
              <w:tab w:val="clear" w:pos="8176"/>
              <w:tab w:val="right" w:pos="9026" w:leader="dot"/>
            </w:tabs>
            <w:rPr/>
          </w:pPr>
          <w:hyperlink w:anchor="__RefHeading___Toc656701_2749589250">
            <w:r>
              <w:rPr>
                <w:webHidden/>
                <w:rStyle w:val="IndexLink"/>
                <w:rtl w:val="true"/>
              </w:rPr>
              <w:t>اذا شهد بعض بالزّنا مکرهاً و آخر علی المطاوعة</w:t>
            </w:r>
            <w:r>
              <w:rPr>
                <w:rStyle w:val="IndexLink"/>
                <w:rtl w:val="true"/>
              </w:rPr>
              <w:tab/>
            </w:r>
            <w:r>
              <w:rPr>
                <w:rStyle w:val="IndexLink"/>
              </w:rPr>
              <w:t>95</w:t>
            </w:r>
          </w:hyperlink>
        </w:p>
        <w:p>
          <w:pPr>
            <w:pStyle w:val="Contents4"/>
            <w:tabs>
              <w:tab w:val="clear" w:pos="8176"/>
              <w:tab w:val="right" w:pos="9026" w:leader="dot"/>
            </w:tabs>
            <w:rPr/>
          </w:pPr>
          <w:hyperlink w:anchor="__RefHeading___Toc656703_2749589250">
            <w:r>
              <w:rPr>
                <w:webHidden/>
                <w:rStyle w:val="IndexLink"/>
                <w:rtl w:val="true"/>
              </w:rPr>
              <w:t>الثالث</w:t>
            </w:r>
            <w:r>
              <w:rPr>
                <w:rStyle w:val="IndexLink"/>
                <w:rtl w:val="true"/>
              </w:rPr>
              <w:t xml:space="preserve">: </w:t>
            </w:r>
            <w:r>
              <w:rPr>
                <w:rStyle w:val="IndexLink"/>
                <w:rtl w:val="true"/>
              </w:rPr>
              <w:t>اتفاق الشّهود فی اداء الشّهادة</w:t>
            </w:r>
            <w:r>
              <w:rPr>
                <w:rStyle w:val="IndexLink"/>
                <w:rtl w:val="true"/>
              </w:rPr>
              <w:tab/>
            </w:r>
            <w:r>
              <w:rPr>
                <w:rStyle w:val="IndexLink"/>
              </w:rPr>
              <w:t>97</w:t>
            </w:r>
          </w:hyperlink>
        </w:p>
        <w:p>
          <w:pPr>
            <w:pStyle w:val="Contents4"/>
            <w:tabs>
              <w:tab w:val="clear" w:pos="8176"/>
              <w:tab w:val="right" w:pos="9026" w:leader="dot"/>
            </w:tabs>
            <w:rPr/>
          </w:pPr>
          <w:hyperlink w:anchor="__RefHeading___Toc656705_2749589250">
            <w:r>
              <w:rPr>
                <w:webHidden/>
                <w:rStyle w:val="IndexLink"/>
                <w:rtl w:val="true"/>
              </w:rPr>
              <w:t>مسائل</w:t>
            </w:r>
            <w:r>
              <w:rPr>
                <w:rStyle w:val="IndexLink"/>
                <w:rtl w:val="true"/>
              </w:rPr>
              <w:t>:</w:t>
              <w:tab/>
            </w:r>
            <w:r>
              <w:rPr>
                <w:rStyle w:val="IndexLink"/>
              </w:rPr>
              <w:t>101</w:t>
            </w:r>
          </w:hyperlink>
        </w:p>
        <w:p>
          <w:pPr>
            <w:pStyle w:val="Contents5"/>
            <w:tabs>
              <w:tab w:val="clear" w:pos="7892"/>
              <w:tab w:val="right" w:pos="9026" w:leader="dot"/>
            </w:tabs>
            <w:rPr/>
          </w:pPr>
          <w:hyperlink w:anchor="__RefHeading___Toc656707_2749589250">
            <w:r>
              <w:rPr>
                <w:webHidden/>
                <w:rStyle w:val="IndexLink"/>
                <w:rtl w:val="true"/>
              </w:rPr>
              <w:t>الاولی</w:t>
            </w:r>
            <w:r>
              <w:rPr>
                <w:rStyle w:val="IndexLink"/>
                <w:rtl w:val="true"/>
              </w:rPr>
              <w:t>:</w:t>
            </w:r>
            <w:r>
              <w:rPr>
                <w:rStyle w:val="IndexLink"/>
                <w:rtl w:val="true"/>
              </w:rPr>
              <w:t>فی الرّجوع عن الشّهادة قبل الحکم</w:t>
            </w:r>
            <w:r>
              <w:rPr>
                <w:rStyle w:val="IndexLink"/>
                <w:rtl w:val="true"/>
              </w:rPr>
              <w:tab/>
            </w:r>
            <w:r>
              <w:rPr>
                <w:rStyle w:val="IndexLink"/>
              </w:rPr>
              <w:t>101</w:t>
            </w:r>
          </w:hyperlink>
        </w:p>
        <w:p>
          <w:pPr>
            <w:pStyle w:val="Contents5"/>
            <w:tabs>
              <w:tab w:val="clear" w:pos="7892"/>
              <w:tab w:val="right" w:pos="9026" w:leader="dot"/>
            </w:tabs>
            <w:rPr/>
          </w:pPr>
          <w:hyperlink w:anchor="__RefHeading___Toc656709_2749589250">
            <w:r>
              <w:rPr>
                <w:webHidden/>
                <w:rStyle w:val="IndexLink"/>
                <w:rtl w:val="true"/>
              </w:rPr>
              <w:t>علیه القصاص لو رجع عن شهادته زوراً بعد قتله</w:t>
            </w:r>
            <w:r>
              <w:rPr>
                <w:rStyle w:val="IndexLink"/>
                <w:rtl w:val="true"/>
              </w:rPr>
              <w:tab/>
            </w:r>
            <w:r>
              <w:rPr>
                <w:rStyle w:val="IndexLink"/>
              </w:rPr>
              <w:t>103</w:t>
            </w:r>
          </w:hyperlink>
        </w:p>
        <w:p>
          <w:pPr>
            <w:pStyle w:val="Contents5"/>
            <w:tabs>
              <w:tab w:val="clear" w:pos="7892"/>
              <w:tab w:val="right" w:pos="9026" w:leader="dot"/>
            </w:tabs>
            <w:rPr/>
          </w:pPr>
          <w:hyperlink w:anchor="__RefHeading___Toc656711_2749589250">
            <w:r>
              <w:rPr>
                <w:webHidden/>
                <w:rStyle w:val="IndexLink"/>
                <w:rtl w:val="true"/>
              </w:rPr>
              <w:t>الثّانیة</w:t>
            </w:r>
            <w:r>
              <w:rPr>
                <w:rStyle w:val="IndexLink"/>
                <w:rtl w:val="true"/>
              </w:rPr>
              <w:t>:</w:t>
            </w:r>
            <w:r>
              <w:rPr>
                <w:rStyle w:val="IndexLink"/>
                <w:rtl w:val="true"/>
              </w:rPr>
              <w:t>لا فرق فی الحدّ بین المسلم و الکافر</w:t>
            </w:r>
            <w:r>
              <w:rPr>
                <w:rStyle w:val="IndexLink"/>
                <w:rtl w:val="true"/>
              </w:rPr>
              <w:tab/>
            </w:r>
            <w:r>
              <w:rPr>
                <w:rStyle w:val="IndexLink"/>
              </w:rPr>
              <w:t>104</w:t>
            </w:r>
          </w:hyperlink>
        </w:p>
        <w:p>
          <w:pPr>
            <w:pStyle w:val="Contents5"/>
            <w:tabs>
              <w:tab w:val="clear" w:pos="7892"/>
              <w:tab w:val="right" w:pos="9026" w:leader="dot"/>
            </w:tabs>
            <w:rPr/>
          </w:pPr>
          <w:hyperlink w:anchor="__RefHeading___Toc656713_2749589250">
            <w:r>
              <w:rPr>
                <w:webHidden/>
                <w:rStyle w:val="IndexLink"/>
                <w:rtl w:val="true"/>
              </w:rPr>
              <w:t>الثّالثة</w:t>
            </w:r>
            <w:r>
              <w:rPr>
                <w:rStyle w:val="IndexLink"/>
                <w:rtl w:val="true"/>
              </w:rPr>
              <w:t>:</w:t>
            </w:r>
            <w:r>
              <w:rPr>
                <w:rStyle w:val="IndexLink"/>
                <w:rtl w:val="true"/>
              </w:rPr>
              <w:t>شهادة اربعة علی زنا اثنین و مازاد</w:t>
            </w:r>
            <w:r>
              <w:rPr>
                <w:rStyle w:val="IndexLink"/>
                <w:rtl w:val="true"/>
              </w:rPr>
              <w:tab/>
            </w:r>
            <w:r>
              <w:rPr>
                <w:rStyle w:val="IndexLink"/>
              </w:rPr>
              <w:t>106</w:t>
            </w:r>
          </w:hyperlink>
        </w:p>
        <w:p>
          <w:pPr>
            <w:pStyle w:val="Contents5"/>
            <w:tabs>
              <w:tab w:val="clear" w:pos="7892"/>
              <w:tab w:val="right" w:pos="9026" w:leader="dot"/>
            </w:tabs>
            <w:rPr/>
          </w:pPr>
          <w:hyperlink w:anchor="__RefHeading___Toc656715_2749589250">
            <w:r>
              <w:rPr>
                <w:webHidden/>
                <w:rStyle w:val="IndexLink"/>
                <w:rtl w:val="true"/>
              </w:rPr>
              <w:t>الخامسة</w:t>
            </w:r>
            <w:r>
              <w:rPr>
                <w:rStyle w:val="IndexLink"/>
                <w:rtl w:val="true"/>
              </w:rPr>
              <w:t>:</w:t>
            </w:r>
            <w:r>
              <w:rPr>
                <w:rStyle w:val="IndexLink"/>
                <w:rtl w:val="true"/>
              </w:rPr>
              <w:t>لا یثبت الزّنا بالاقرار مرّتین</w:t>
            </w:r>
            <w:r>
              <w:rPr>
                <w:rStyle w:val="IndexLink"/>
                <w:rtl w:val="true"/>
              </w:rPr>
              <w:tab/>
            </w:r>
            <w:r>
              <w:rPr>
                <w:rStyle w:val="IndexLink"/>
              </w:rPr>
              <w:t>107</w:t>
            </w:r>
          </w:hyperlink>
        </w:p>
        <w:p>
          <w:pPr>
            <w:pStyle w:val="Contents5"/>
            <w:tabs>
              <w:tab w:val="clear" w:pos="7892"/>
              <w:tab w:val="right" w:pos="9026" w:leader="dot"/>
            </w:tabs>
            <w:rPr/>
          </w:pPr>
          <w:hyperlink w:anchor="__RefHeading___Toc656717_2749589250">
            <w:r>
              <w:rPr>
                <w:webHidden/>
                <w:rStyle w:val="IndexLink"/>
                <w:rtl w:val="true"/>
              </w:rPr>
              <w:t>لا شفاعة و لا کفالة و لا تأخیر فی الحدّ</w:t>
            </w:r>
            <w:r>
              <w:rPr>
                <w:rStyle w:val="IndexLink"/>
                <w:rtl w:val="true"/>
              </w:rPr>
              <w:tab/>
            </w:r>
            <w:r>
              <w:rPr>
                <w:rStyle w:val="IndexLink"/>
              </w:rPr>
              <w:t>108</w:t>
            </w:r>
          </w:hyperlink>
        </w:p>
        <w:p>
          <w:pPr>
            <w:pStyle w:val="Contents5"/>
            <w:tabs>
              <w:tab w:val="clear" w:pos="7892"/>
              <w:tab w:val="right" w:pos="9026" w:leader="dot"/>
            </w:tabs>
            <w:rPr/>
          </w:pPr>
          <w:hyperlink w:anchor="__RefHeading___Toc656719_2749589250">
            <w:r>
              <w:rPr>
                <w:webHidden/>
                <w:rStyle w:val="IndexLink"/>
                <w:rtl w:val="true"/>
              </w:rPr>
              <w:t>لا حدّ علی الزّنا مضطرّاً</w:t>
            </w:r>
            <w:r>
              <w:rPr>
                <w:rStyle w:val="IndexLink"/>
                <w:rtl w:val="true"/>
              </w:rPr>
              <w:tab/>
            </w:r>
            <w:r>
              <w:rPr>
                <w:rStyle w:val="IndexLink"/>
              </w:rPr>
              <w:t>111</w:t>
            </w:r>
          </w:hyperlink>
        </w:p>
        <w:p>
          <w:pPr>
            <w:pStyle w:val="Contents3"/>
            <w:tabs>
              <w:tab w:val="clear" w:pos="8459"/>
              <w:tab w:val="right" w:pos="9026" w:leader="dot"/>
            </w:tabs>
            <w:rPr/>
          </w:pPr>
          <w:hyperlink w:anchor="__RefHeading___Toc656721_2749589250">
            <w:r>
              <w:rPr>
                <w:webHidden/>
                <w:rStyle w:val="IndexLink"/>
                <w:rtl w:val="true"/>
              </w:rPr>
              <w:t>فی اقسام حدّ الزّنا</w:t>
            </w:r>
            <w:r>
              <w:rPr>
                <w:rStyle w:val="IndexLink"/>
                <w:rtl w:val="true"/>
              </w:rPr>
              <w:tab/>
            </w:r>
            <w:r>
              <w:rPr>
                <w:rStyle w:val="IndexLink"/>
              </w:rPr>
              <w:t>113</w:t>
            </w:r>
          </w:hyperlink>
        </w:p>
        <w:p>
          <w:pPr>
            <w:pStyle w:val="Contents4"/>
            <w:tabs>
              <w:tab w:val="clear" w:pos="8176"/>
              <w:tab w:val="right" w:pos="9026" w:leader="dot"/>
            </w:tabs>
            <w:rPr/>
          </w:pPr>
          <w:hyperlink w:anchor="__RefHeading___Toc656723_2749589250">
            <w:r>
              <w:rPr>
                <w:webHidden/>
                <w:rStyle w:val="IndexLink"/>
                <w:rtl w:val="true"/>
              </w:rPr>
              <w:t>الاوّل</w:t>
            </w:r>
            <w:r>
              <w:rPr>
                <w:rStyle w:val="IndexLink"/>
                <w:rtl w:val="true"/>
              </w:rPr>
              <w:t xml:space="preserve">: </w:t>
            </w:r>
            <w:r>
              <w:rPr>
                <w:rStyle w:val="IndexLink"/>
                <w:rtl w:val="true"/>
              </w:rPr>
              <w:t>القتل</w:t>
            </w:r>
            <w:r>
              <w:rPr>
                <w:rStyle w:val="IndexLink"/>
                <w:rtl w:val="true"/>
              </w:rPr>
              <w:tab/>
            </w:r>
            <w:r>
              <w:rPr>
                <w:rStyle w:val="IndexLink"/>
              </w:rPr>
              <w:t>113</w:t>
            </w:r>
          </w:hyperlink>
        </w:p>
        <w:p>
          <w:pPr>
            <w:pStyle w:val="Contents5"/>
            <w:tabs>
              <w:tab w:val="clear" w:pos="7892"/>
              <w:tab w:val="right" w:pos="9026" w:leader="dot"/>
            </w:tabs>
            <w:rPr/>
          </w:pPr>
          <w:hyperlink w:anchor="__RefHeading___Toc656725_2749589250">
            <w:r>
              <w:rPr>
                <w:webHidden/>
                <w:rStyle w:val="IndexLink"/>
                <w:rtl w:val="true"/>
              </w:rPr>
              <w:t>اشارة</w:t>
            </w:r>
            <w:r>
              <w:rPr>
                <w:rStyle w:val="IndexLink"/>
                <w:rtl w:val="true"/>
              </w:rPr>
              <w:tab/>
            </w:r>
            <w:r>
              <w:rPr>
                <w:rStyle w:val="IndexLink"/>
              </w:rPr>
              <w:t>113</w:t>
            </w:r>
          </w:hyperlink>
        </w:p>
        <w:p>
          <w:pPr>
            <w:pStyle w:val="Contents5"/>
            <w:tabs>
              <w:tab w:val="clear" w:pos="7892"/>
              <w:tab w:val="right" w:pos="9026" w:leader="dot"/>
            </w:tabs>
            <w:rPr/>
          </w:pPr>
          <w:hyperlink w:anchor="__RefHeading___Toc656727_2749589250">
            <w:r>
              <w:rPr>
                <w:webHidden/>
                <w:rStyle w:val="IndexLink"/>
                <w:rtl w:val="true"/>
              </w:rPr>
              <w:t>الاوّل</w:t>
            </w:r>
            <w:r>
              <w:rPr>
                <w:rStyle w:val="IndexLink"/>
                <w:rtl w:val="true"/>
              </w:rPr>
              <w:t xml:space="preserve">: </w:t>
            </w:r>
            <w:r>
              <w:rPr>
                <w:rStyle w:val="IndexLink"/>
                <w:rtl w:val="true"/>
              </w:rPr>
              <w:t>فی الزّنا بذات محرم او ذی محرم</w:t>
            </w:r>
            <w:r>
              <w:rPr>
                <w:rStyle w:val="IndexLink"/>
                <w:rtl w:val="true"/>
              </w:rPr>
              <w:tab/>
            </w:r>
            <w:r>
              <w:rPr>
                <w:rStyle w:val="IndexLink"/>
              </w:rPr>
              <w:t>113</w:t>
            </w:r>
          </w:hyperlink>
        </w:p>
        <w:p>
          <w:pPr>
            <w:pStyle w:val="Contents5"/>
            <w:tabs>
              <w:tab w:val="clear" w:pos="7892"/>
              <w:tab w:val="right" w:pos="9026" w:leader="dot"/>
            </w:tabs>
            <w:rPr/>
          </w:pPr>
          <w:hyperlink w:anchor="__RefHeading___Toc656729_2749589250">
            <w:r>
              <w:rPr>
                <w:webHidden/>
                <w:rStyle w:val="IndexLink"/>
                <w:rtl w:val="true"/>
              </w:rPr>
              <w:t>جهات من البحث</w:t>
            </w:r>
            <w:r>
              <w:rPr>
                <w:rStyle w:val="IndexLink"/>
                <w:rtl w:val="true"/>
              </w:rPr>
              <w:tab/>
            </w:r>
            <w:r>
              <w:rPr>
                <w:rStyle w:val="IndexLink"/>
              </w:rPr>
              <w:t>119</w:t>
            </w:r>
          </w:hyperlink>
        </w:p>
        <w:p>
          <w:pPr>
            <w:pStyle w:val="Contents6"/>
            <w:tabs>
              <w:tab w:val="clear" w:pos="7609"/>
              <w:tab w:val="right" w:pos="9026" w:leader="dot"/>
            </w:tabs>
            <w:rPr/>
          </w:pPr>
          <w:hyperlink w:anchor="__RefHeading___Toc656731_2749589250">
            <w:r>
              <w:rPr>
                <w:webHidden/>
                <w:rStyle w:val="IndexLink"/>
                <w:rtl w:val="true"/>
              </w:rPr>
              <w:t>الاولی</w:t>
            </w:r>
            <w:r>
              <w:rPr>
                <w:rStyle w:val="IndexLink"/>
                <w:rtl w:val="true"/>
              </w:rPr>
              <w:t xml:space="preserve">: </w:t>
            </w:r>
            <w:r>
              <w:rPr>
                <w:rStyle w:val="IndexLink"/>
                <w:rtl w:val="true"/>
              </w:rPr>
              <w:t>ایجلد ثمّ یقتل؟</w:t>
            </w:r>
            <w:r>
              <w:rPr>
                <w:rStyle w:val="IndexLink"/>
                <w:rtl w:val="true"/>
              </w:rPr>
              <w:tab/>
            </w:r>
            <w:r>
              <w:rPr>
                <w:rStyle w:val="IndexLink"/>
              </w:rPr>
              <w:t>119</w:t>
            </w:r>
          </w:hyperlink>
        </w:p>
        <w:p>
          <w:pPr>
            <w:pStyle w:val="Contents6"/>
            <w:tabs>
              <w:tab w:val="clear" w:pos="7609"/>
              <w:tab w:val="right" w:pos="9026" w:leader="dot"/>
            </w:tabs>
            <w:rPr/>
          </w:pPr>
          <w:hyperlink w:anchor="__RefHeading___Toc656733_2749589250">
            <w:r>
              <w:rPr>
                <w:webHidden/>
                <w:rStyle w:val="IndexLink"/>
                <w:rtl w:val="true"/>
              </w:rPr>
              <w:t>الثّانیة</w:t>
            </w:r>
            <w:r>
              <w:rPr>
                <w:rStyle w:val="IndexLink"/>
                <w:rtl w:val="true"/>
              </w:rPr>
              <w:t>:</w:t>
            </w:r>
            <w:r>
              <w:rPr>
                <w:rStyle w:val="IndexLink"/>
                <w:rtl w:val="true"/>
              </w:rPr>
              <w:t>اختصاص ذات المحرم بالنّسب</w:t>
            </w:r>
            <w:r>
              <w:rPr>
                <w:rStyle w:val="IndexLink"/>
                <w:rtl w:val="true"/>
              </w:rPr>
              <w:tab/>
            </w:r>
            <w:r>
              <w:rPr>
                <w:rStyle w:val="IndexLink"/>
              </w:rPr>
              <w:t>121</w:t>
            </w:r>
          </w:hyperlink>
        </w:p>
        <w:p>
          <w:pPr>
            <w:pStyle w:val="Contents6"/>
            <w:tabs>
              <w:tab w:val="clear" w:pos="7609"/>
              <w:tab w:val="right" w:pos="9026" w:leader="dot"/>
            </w:tabs>
            <w:rPr/>
          </w:pPr>
          <w:hyperlink w:anchor="__RefHeading___Toc656735_2749589250">
            <w:r>
              <w:rPr>
                <w:webHidden/>
                <w:rStyle w:val="IndexLink"/>
                <w:rtl w:val="true"/>
              </w:rPr>
              <w:t>الثّالثة</w:t>
            </w:r>
            <w:r>
              <w:rPr>
                <w:rStyle w:val="IndexLink"/>
                <w:rtl w:val="true"/>
              </w:rPr>
              <w:t>:</w:t>
            </w:r>
            <w:r>
              <w:rPr>
                <w:rStyle w:val="IndexLink"/>
                <w:rtl w:val="true"/>
              </w:rPr>
              <w:t>شمول الحکم لذات المحرم بالزّنا</w:t>
            </w:r>
            <w:r>
              <w:rPr>
                <w:rStyle w:val="IndexLink"/>
                <w:rtl w:val="true"/>
              </w:rPr>
              <w:tab/>
            </w:r>
            <w:r>
              <w:rPr>
                <w:rStyle w:val="IndexLink"/>
              </w:rPr>
              <w:t>122</w:t>
            </w:r>
          </w:hyperlink>
        </w:p>
        <w:p>
          <w:pPr>
            <w:pStyle w:val="Contents6"/>
            <w:tabs>
              <w:tab w:val="clear" w:pos="7609"/>
              <w:tab w:val="right" w:pos="9026" w:leader="dot"/>
            </w:tabs>
            <w:rPr/>
          </w:pPr>
          <w:hyperlink w:anchor="__RefHeading___Toc656737_2749589250">
            <w:r>
              <w:rPr>
                <w:webHidden/>
                <w:rStyle w:val="IndexLink"/>
                <w:rtl w:val="true"/>
              </w:rPr>
              <w:t>لا یشترط فی القتل الاحصان</w:t>
            </w:r>
            <w:r>
              <w:rPr>
                <w:rStyle w:val="IndexLink"/>
                <w:rtl w:val="true"/>
              </w:rPr>
              <w:tab/>
            </w:r>
            <w:r>
              <w:rPr>
                <w:rStyle w:val="IndexLink"/>
              </w:rPr>
              <w:t>123</w:t>
            </w:r>
          </w:hyperlink>
        </w:p>
        <w:p>
          <w:pPr>
            <w:pStyle w:val="Contents5"/>
            <w:tabs>
              <w:tab w:val="clear" w:pos="7892"/>
              <w:tab w:val="right" w:pos="9026" w:leader="dot"/>
            </w:tabs>
            <w:rPr/>
          </w:pPr>
          <w:hyperlink w:anchor="__RefHeading___Toc656739_2749589250">
            <w:r>
              <w:rPr>
                <w:webHidden/>
                <w:rStyle w:val="IndexLink"/>
                <w:rtl w:val="true"/>
              </w:rPr>
              <w:t>(</w:t>
            </w:r>
            <w:r>
              <w:rPr>
                <w:rStyle w:val="IndexLink"/>
                <w:rtl w:val="true"/>
              </w:rPr>
              <w:t>الثّانی فی موارد القتل</w:t>
            </w:r>
            <w:r>
              <w:rPr>
                <w:rStyle w:val="IndexLink"/>
                <w:rtl w:val="true"/>
              </w:rPr>
              <w:t>):</w:t>
            </w:r>
            <w:r>
              <w:rPr>
                <w:rStyle w:val="IndexLink"/>
                <w:rtl w:val="true"/>
              </w:rPr>
              <w:t>زنا الذّمیّ بالمسلمة</w:t>
            </w:r>
            <w:r>
              <w:rPr>
                <w:rStyle w:val="IndexLink"/>
                <w:rtl w:val="true"/>
              </w:rPr>
              <w:tab/>
            </w:r>
            <w:r>
              <w:rPr>
                <w:rStyle w:val="IndexLink"/>
              </w:rPr>
              <w:t>124</w:t>
            </w:r>
          </w:hyperlink>
        </w:p>
        <w:p>
          <w:pPr>
            <w:pStyle w:val="Contents6"/>
            <w:tabs>
              <w:tab w:val="clear" w:pos="7609"/>
              <w:tab w:val="right" w:pos="9026" w:leader="dot"/>
            </w:tabs>
            <w:rPr/>
          </w:pPr>
          <w:hyperlink w:anchor="__RefHeading___Toc656741_2749589250">
            <w:r>
              <w:rPr>
                <w:webHidden/>
                <w:rStyle w:val="IndexLink"/>
                <w:rtl w:val="true"/>
              </w:rPr>
              <w:t>اشارة</w:t>
            </w:r>
            <w:r>
              <w:rPr>
                <w:rStyle w:val="IndexLink"/>
                <w:rtl w:val="true"/>
              </w:rPr>
              <w:tab/>
            </w:r>
            <w:r>
              <w:rPr>
                <w:rStyle w:val="IndexLink"/>
              </w:rPr>
              <w:t>124</w:t>
            </w:r>
          </w:hyperlink>
        </w:p>
        <w:p>
          <w:pPr>
            <w:pStyle w:val="Contents6"/>
            <w:tabs>
              <w:tab w:val="clear" w:pos="7609"/>
              <w:tab w:val="right" w:pos="9026" w:leader="dot"/>
            </w:tabs>
            <w:rPr/>
          </w:pPr>
          <w:hyperlink w:anchor="__RefHeading___Toc656743_2749589250">
            <w:r>
              <w:rPr>
                <w:webHidden/>
                <w:rStyle w:val="IndexLink"/>
                <w:rtl w:val="true"/>
              </w:rPr>
              <w:t>اذا اسلم خوفاً من القتل</w:t>
            </w:r>
            <w:r>
              <w:rPr>
                <w:rStyle w:val="IndexLink"/>
                <w:rtl w:val="true"/>
              </w:rPr>
              <w:tab/>
            </w:r>
            <w:r>
              <w:rPr>
                <w:rStyle w:val="IndexLink"/>
              </w:rPr>
              <w:t>126</w:t>
            </w:r>
          </w:hyperlink>
        </w:p>
        <w:p>
          <w:pPr>
            <w:pStyle w:val="Contents6"/>
            <w:tabs>
              <w:tab w:val="clear" w:pos="7609"/>
              <w:tab w:val="right" w:pos="9026" w:leader="dot"/>
            </w:tabs>
            <w:rPr/>
          </w:pPr>
          <w:hyperlink w:anchor="__RefHeading___Toc656745_2749589250">
            <w:r>
              <w:rPr>
                <w:webHidden/>
                <w:rStyle w:val="IndexLink"/>
                <w:rtl w:val="true"/>
              </w:rPr>
              <w:t>اشکال حدیث الجبّ و الجواب عنه</w:t>
            </w:r>
            <w:r>
              <w:rPr>
                <w:rStyle w:val="IndexLink"/>
                <w:rtl w:val="true"/>
              </w:rPr>
              <w:tab/>
            </w:r>
            <w:r>
              <w:rPr>
                <w:rStyle w:val="IndexLink"/>
              </w:rPr>
              <w:t>127</w:t>
            </w:r>
          </w:hyperlink>
        </w:p>
        <w:p>
          <w:pPr>
            <w:pStyle w:val="Contents5"/>
            <w:tabs>
              <w:tab w:val="clear" w:pos="7892"/>
              <w:tab w:val="right" w:pos="9026" w:leader="dot"/>
            </w:tabs>
            <w:rPr/>
          </w:pPr>
          <w:hyperlink w:anchor="__RefHeading___Toc656747_2749589250">
            <w:r>
              <w:rPr>
                <w:webHidden/>
                <w:rStyle w:val="IndexLink"/>
                <w:rtl w:val="true"/>
              </w:rPr>
              <w:t>(</w:t>
            </w:r>
            <w:r>
              <w:rPr>
                <w:rStyle w:val="IndexLink"/>
                <w:rtl w:val="true"/>
              </w:rPr>
              <w:t>الثّالث من موارد القتل</w:t>
            </w:r>
            <w:r>
              <w:rPr>
                <w:rStyle w:val="IndexLink"/>
                <w:rtl w:val="true"/>
              </w:rPr>
              <w:t>):</w:t>
            </w:r>
            <w:r>
              <w:rPr>
                <w:rStyle w:val="IndexLink"/>
                <w:rtl w:val="true"/>
              </w:rPr>
              <w:t>اذا زنا مکرهاً لها</w:t>
            </w:r>
            <w:r>
              <w:rPr>
                <w:rStyle w:val="IndexLink"/>
                <w:rtl w:val="true"/>
              </w:rPr>
              <w:tab/>
            </w:r>
            <w:r>
              <w:rPr>
                <w:rStyle w:val="IndexLink"/>
              </w:rPr>
              <w:t>131</w:t>
            </w:r>
          </w:hyperlink>
        </w:p>
        <w:p>
          <w:pPr>
            <w:pStyle w:val="Contents4"/>
            <w:tabs>
              <w:tab w:val="clear" w:pos="8176"/>
              <w:tab w:val="right" w:pos="9026" w:leader="dot"/>
            </w:tabs>
            <w:rPr/>
          </w:pPr>
          <w:hyperlink w:anchor="__RefHeading___Toc656749_2749589250">
            <w:r>
              <w:rPr>
                <w:webHidden/>
                <w:rStyle w:val="IndexLink"/>
                <w:rtl w:val="true"/>
              </w:rPr>
              <w:t>الثّانی من اقسام الحدّ</w:t>
            </w:r>
            <w:r>
              <w:rPr>
                <w:rStyle w:val="IndexLink"/>
                <w:rtl w:val="true"/>
              </w:rPr>
              <w:t xml:space="preserve">: </w:t>
            </w:r>
            <w:r>
              <w:rPr>
                <w:rStyle w:val="IndexLink"/>
                <w:rtl w:val="true"/>
              </w:rPr>
              <w:t>الرّجم</w:t>
            </w:r>
            <w:r>
              <w:rPr>
                <w:rStyle w:val="IndexLink"/>
                <w:rtl w:val="true"/>
              </w:rPr>
              <w:tab/>
            </w:r>
            <w:r>
              <w:rPr>
                <w:rStyle w:val="IndexLink"/>
              </w:rPr>
              <w:t>134</w:t>
            </w:r>
          </w:hyperlink>
        </w:p>
        <w:p>
          <w:pPr>
            <w:pStyle w:val="Contents5"/>
            <w:tabs>
              <w:tab w:val="clear" w:pos="7892"/>
              <w:tab w:val="right" w:pos="9026" w:leader="dot"/>
            </w:tabs>
            <w:rPr/>
          </w:pPr>
          <w:hyperlink w:anchor="__RefHeading___Toc656751_2749589250">
            <w:r>
              <w:rPr>
                <w:webHidden/>
                <w:rStyle w:val="IndexLink"/>
                <w:rtl w:val="true"/>
              </w:rPr>
              <w:t>اشارة</w:t>
            </w:r>
            <w:r>
              <w:rPr>
                <w:rStyle w:val="IndexLink"/>
                <w:rtl w:val="true"/>
              </w:rPr>
              <w:tab/>
            </w:r>
            <w:r>
              <w:rPr>
                <w:rStyle w:val="IndexLink"/>
              </w:rPr>
              <w:t>134</w:t>
            </w:r>
          </w:hyperlink>
        </w:p>
        <w:p>
          <w:pPr>
            <w:pStyle w:val="Contents5"/>
            <w:tabs>
              <w:tab w:val="clear" w:pos="7892"/>
              <w:tab w:val="right" w:pos="9026" w:leader="dot"/>
            </w:tabs>
            <w:rPr/>
          </w:pPr>
          <w:hyperlink w:anchor="__RefHeading___Toc656753_2749589250">
            <w:r>
              <w:rPr>
                <w:webHidden/>
                <w:rStyle w:val="IndexLink"/>
                <w:rtl w:val="true"/>
              </w:rPr>
              <w:t>الاوّل</w:t>
            </w:r>
            <w:r>
              <w:rPr>
                <w:rStyle w:val="IndexLink"/>
                <w:rtl w:val="true"/>
              </w:rPr>
              <w:t xml:space="preserve">: </w:t>
            </w:r>
            <w:r>
              <w:rPr>
                <w:rStyle w:val="IndexLink"/>
                <w:rtl w:val="true"/>
              </w:rPr>
              <w:t>اذا زنی بأمرأة ابیه</w:t>
            </w:r>
            <w:r>
              <w:rPr>
                <w:rStyle w:val="IndexLink"/>
                <w:rtl w:val="true"/>
              </w:rPr>
              <w:tab/>
            </w:r>
            <w:r>
              <w:rPr>
                <w:rStyle w:val="IndexLink"/>
              </w:rPr>
              <w:t>134</w:t>
            </w:r>
          </w:hyperlink>
        </w:p>
        <w:p>
          <w:pPr>
            <w:pStyle w:val="Contents5"/>
            <w:tabs>
              <w:tab w:val="clear" w:pos="7892"/>
              <w:tab w:val="right" w:pos="9026" w:leader="dot"/>
            </w:tabs>
            <w:rPr/>
          </w:pPr>
          <w:hyperlink w:anchor="__RefHeading___Toc656755_2749589250">
            <w:r>
              <w:rPr>
                <w:webHidden/>
                <w:rStyle w:val="IndexLink"/>
                <w:rtl w:val="true"/>
              </w:rPr>
              <w:t>الثّانی</w:t>
            </w:r>
            <w:r>
              <w:rPr>
                <w:rStyle w:val="IndexLink"/>
                <w:rtl w:val="true"/>
              </w:rPr>
              <w:t xml:space="preserve">: </w:t>
            </w:r>
            <w:r>
              <w:rPr>
                <w:rStyle w:val="IndexLink"/>
                <w:rtl w:val="true"/>
              </w:rPr>
              <w:t>الزّانی المحصن او الزانیة المحصنة</w:t>
            </w:r>
            <w:r>
              <w:rPr>
                <w:rStyle w:val="IndexLink"/>
                <w:rtl w:val="true"/>
              </w:rPr>
              <w:tab/>
            </w:r>
            <w:r>
              <w:rPr>
                <w:rStyle w:val="IndexLink"/>
              </w:rPr>
              <w:t>135</w:t>
            </w:r>
          </w:hyperlink>
        </w:p>
        <w:p>
          <w:pPr>
            <w:pStyle w:val="Contents5"/>
            <w:tabs>
              <w:tab w:val="clear" w:pos="7892"/>
              <w:tab w:val="right" w:pos="9026" w:leader="dot"/>
            </w:tabs>
            <w:rPr/>
          </w:pPr>
          <w:hyperlink w:anchor="__RefHeading___Toc656757_2749589250">
            <w:r>
              <w:rPr>
                <w:webHidden/>
                <w:rStyle w:val="IndexLink"/>
                <w:rtl w:val="true"/>
              </w:rPr>
              <w:t>الثّالث</w:t>
            </w:r>
            <w:r>
              <w:rPr>
                <w:rStyle w:val="IndexLink"/>
                <w:rtl w:val="true"/>
              </w:rPr>
              <w:t xml:space="preserve">: </w:t>
            </w:r>
            <w:r>
              <w:rPr>
                <w:rStyle w:val="IndexLink"/>
                <w:rtl w:val="true"/>
              </w:rPr>
              <w:t>یجلد الشّیخ و الشیخة قبل الرّجم</w:t>
            </w:r>
            <w:r>
              <w:rPr>
                <w:rStyle w:val="IndexLink"/>
                <w:rtl w:val="true"/>
              </w:rPr>
              <w:tab/>
            </w:r>
            <w:r>
              <w:rPr>
                <w:rStyle w:val="IndexLink"/>
              </w:rPr>
              <w:t>137</w:t>
            </w:r>
          </w:hyperlink>
        </w:p>
        <w:p>
          <w:pPr>
            <w:pStyle w:val="Contents4"/>
            <w:tabs>
              <w:tab w:val="clear" w:pos="8176"/>
              <w:tab w:val="right" w:pos="9026" w:leader="dot"/>
            </w:tabs>
            <w:rPr/>
          </w:pPr>
          <w:hyperlink w:anchor="__RefHeading___Toc656759_2749589250">
            <w:r>
              <w:rPr>
                <w:webHidden/>
                <w:rStyle w:val="IndexLink"/>
                <w:rtl w:val="true"/>
              </w:rPr>
              <w:t>(</w:t>
            </w:r>
            <w:r>
              <w:rPr>
                <w:rStyle w:val="IndexLink"/>
                <w:rtl w:val="true"/>
              </w:rPr>
              <w:t>الثّالث من أقسام الحدّ</w:t>
            </w:r>
            <w:r>
              <w:rPr>
                <w:rStyle w:val="IndexLink"/>
                <w:rtl w:val="true"/>
              </w:rPr>
              <w:t>:</w:t>
            </w:r>
            <w:r>
              <w:rPr>
                <w:rStyle w:val="IndexLink"/>
                <w:rtl w:val="true"/>
              </w:rPr>
              <w:t>الرّجم بدون الجلد اذا کانا محصنین شابّین</w:t>
            </w:r>
            <w:r>
              <w:rPr>
                <w:rStyle w:val="IndexLink"/>
                <w:rtl w:val="true"/>
              </w:rPr>
              <w:tab/>
            </w:r>
            <w:r>
              <w:rPr>
                <w:rStyle w:val="IndexLink"/>
              </w:rPr>
              <w:t>141</w:t>
            </w:r>
          </w:hyperlink>
        </w:p>
        <w:p>
          <w:pPr>
            <w:pStyle w:val="Contents4"/>
            <w:tabs>
              <w:tab w:val="clear" w:pos="8176"/>
              <w:tab w:val="right" w:pos="9026" w:leader="dot"/>
            </w:tabs>
            <w:rPr/>
          </w:pPr>
          <w:hyperlink w:anchor="__RefHeading___Toc656761_2749589250">
            <w:r>
              <w:rPr>
                <w:webHidden/>
                <w:rStyle w:val="IndexLink"/>
                <w:rtl w:val="true"/>
              </w:rPr>
              <w:t>الرّابع من اقسام الحدّ</w:t>
            </w:r>
            <w:r>
              <w:rPr>
                <w:rStyle w:val="IndexLink"/>
                <w:rtl w:val="true"/>
              </w:rPr>
              <w:t xml:space="preserve">: </w:t>
            </w:r>
            <w:r>
              <w:rPr>
                <w:rStyle w:val="IndexLink"/>
                <w:rtl w:val="true"/>
              </w:rPr>
              <w:t xml:space="preserve">الجلد و جزّ الرّأس و التّغریب علی الزّانی غیر المحصن </w:t>
            </w:r>
            <w:r>
              <w:rPr>
                <w:rStyle w:val="IndexLink"/>
                <w:rtl w:val="true"/>
              </w:rPr>
              <w:t>(</w:t>
            </w:r>
            <w:r>
              <w:rPr>
                <w:rStyle w:val="IndexLink"/>
                <w:rtl w:val="true"/>
              </w:rPr>
              <w:t>لو املک و لم یدخل بها</w:t>
            </w:r>
            <w:r>
              <w:rPr>
                <w:rStyle w:val="IndexLink"/>
                <w:rtl w:val="true"/>
              </w:rPr>
              <w:t>)</w:t>
              <w:tab/>
            </w:r>
            <w:r>
              <w:rPr>
                <w:rStyle w:val="IndexLink"/>
              </w:rPr>
              <w:t>145</w:t>
            </w:r>
          </w:hyperlink>
        </w:p>
        <w:p>
          <w:pPr>
            <w:pStyle w:val="Contents5"/>
            <w:tabs>
              <w:tab w:val="clear" w:pos="7892"/>
              <w:tab w:val="right" w:pos="9026" w:leader="dot"/>
            </w:tabs>
            <w:rPr/>
          </w:pPr>
          <w:hyperlink w:anchor="__RefHeading___Toc656763_2749589250">
            <w:r>
              <w:rPr>
                <w:webHidden/>
                <w:rStyle w:val="IndexLink"/>
                <w:rtl w:val="true"/>
              </w:rPr>
              <w:t>اشارة</w:t>
            </w:r>
            <w:r>
              <w:rPr>
                <w:rStyle w:val="IndexLink"/>
                <w:rtl w:val="true"/>
              </w:rPr>
              <w:tab/>
            </w:r>
            <w:r>
              <w:rPr>
                <w:rStyle w:val="IndexLink"/>
              </w:rPr>
              <w:t>145</w:t>
            </w:r>
          </w:hyperlink>
        </w:p>
        <w:p>
          <w:pPr>
            <w:pStyle w:val="Contents5"/>
            <w:tabs>
              <w:tab w:val="clear" w:pos="7892"/>
              <w:tab w:val="right" w:pos="9026" w:leader="dot"/>
            </w:tabs>
            <w:rPr/>
          </w:pPr>
          <w:hyperlink w:anchor="__RefHeading___Toc656765_2749589250">
            <w:r>
              <w:rPr>
                <w:webHidden/>
                <w:rStyle w:val="IndexLink"/>
                <w:rtl w:val="true"/>
              </w:rPr>
              <w:t>النّفی من بلد السّکنی بعد الجلد</w:t>
            </w:r>
            <w:r>
              <w:rPr>
                <w:rStyle w:val="IndexLink"/>
                <w:rtl w:val="true"/>
              </w:rPr>
              <w:tab/>
            </w:r>
            <w:r>
              <w:rPr>
                <w:rStyle w:val="IndexLink"/>
              </w:rPr>
              <w:t>150</w:t>
            </w:r>
          </w:hyperlink>
        </w:p>
        <w:p>
          <w:pPr>
            <w:pStyle w:val="Contents5"/>
            <w:tabs>
              <w:tab w:val="clear" w:pos="7892"/>
              <w:tab w:val="right" w:pos="9026" w:leader="dot"/>
            </w:tabs>
            <w:rPr/>
          </w:pPr>
          <w:hyperlink w:anchor="__RefHeading___Toc656767_2749589250">
            <w:r>
              <w:rPr>
                <w:webHidden/>
                <w:rStyle w:val="IndexLink"/>
                <w:rtl w:val="true"/>
              </w:rPr>
              <w:t>لا جزّ علی المرأة و حکم تغریبها</w:t>
            </w:r>
            <w:r>
              <w:rPr>
                <w:rStyle w:val="IndexLink"/>
                <w:rtl w:val="true"/>
              </w:rPr>
              <w:tab/>
            </w:r>
            <w:r>
              <w:rPr>
                <w:rStyle w:val="IndexLink"/>
              </w:rPr>
              <w:t>153</w:t>
            </w:r>
          </w:hyperlink>
        </w:p>
        <w:p>
          <w:pPr>
            <w:pStyle w:val="Contents5"/>
            <w:tabs>
              <w:tab w:val="clear" w:pos="7892"/>
              <w:tab w:val="right" w:pos="9026" w:leader="dot"/>
            </w:tabs>
            <w:rPr/>
          </w:pPr>
          <w:hyperlink w:anchor="__RefHeading___Toc656769_2749589250">
            <w:r>
              <w:rPr>
                <w:webHidden/>
                <w:rStyle w:val="IndexLink"/>
                <w:rtl w:val="true"/>
              </w:rPr>
              <w:t>حکم التّفریق بین الزّانی الملک و زوجته</w:t>
            </w:r>
            <w:r>
              <w:rPr>
                <w:rStyle w:val="IndexLink"/>
                <w:rtl w:val="true"/>
              </w:rPr>
              <w:tab/>
            </w:r>
            <w:r>
              <w:rPr>
                <w:rStyle w:val="IndexLink"/>
              </w:rPr>
              <w:t>156</w:t>
            </w:r>
          </w:hyperlink>
        </w:p>
        <w:p>
          <w:pPr>
            <w:pStyle w:val="Contents5"/>
            <w:tabs>
              <w:tab w:val="clear" w:pos="7892"/>
              <w:tab w:val="right" w:pos="9026" w:leader="dot"/>
            </w:tabs>
            <w:rPr/>
          </w:pPr>
          <w:hyperlink w:anchor="__RefHeading___Toc656771_2749589250">
            <w:r>
              <w:rPr>
                <w:webHidden/>
                <w:rStyle w:val="IndexLink"/>
                <w:rtl w:val="true"/>
              </w:rPr>
              <w:t>حدّ الرّجل اذا زنی بصغیرة او مجنونة و تعزیر الصّغیرة</w:t>
            </w:r>
            <w:r>
              <w:rPr>
                <w:rStyle w:val="IndexLink"/>
                <w:rtl w:val="true"/>
              </w:rPr>
              <w:tab/>
            </w:r>
            <w:r>
              <w:rPr>
                <w:rStyle w:val="IndexLink"/>
              </w:rPr>
              <w:t>157</w:t>
            </w:r>
          </w:hyperlink>
        </w:p>
        <w:p>
          <w:pPr>
            <w:pStyle w:val="Contents5"/>
            <w:tabs>
              <w:tab w:val="clear" w:pos="7892"/>
              <w:tab w:val="right" w:pos="9026" w:leader="dot"/>
            </w:tabs>
            <w:rPr/>
          </w:pPr>
          <w:hyperlink w:anchor="__RefHeading___Toc656773_2749589250">
            <w:r>
              <w:rPr>
                <w:webHidden/>
                <w:rStyle w:val="IndexLink"/>
                <w:rtl w:val="true"/>
              </w:rPr>
              <w:t>تحدّ الکاملة اذا زنت بصغیر و لا ترجم</w:t>
            </w:r>
            <w:r>
              <w:rPr>
                <w:rStyle w:val="IndexLink"/>
                <w:rtl w:val="true"/>
              </w:rPr>
              <w:tab/>
            </w:r>
            <w:r>
              <w:rPr>
                <w:rStyle w:val="IndexLink"/>
              </w:rPr>
              <w:t>159</w:t>
            </w:r>
          </w:hyperlink>
        </w:p>
        <w:p>
          <w:pPr>
            <w:pStyle w:val="Contents4"/>
            <w:tabs>
              <w:tab w:val="clear" w:pos="8176"/>
              <w:tab w:val="right" w:pos="9026" w:leader="dot"/>
            </w:tabs>
            <w:rPr/>
          </w:pPr>
          <w:hyperlink w:anchor="__RefHeading___Toc656775_2749589250">
            <w:r>
              <w:rPr>
                <w:webHidden/>
                <w:rStyle w:val="IndexLink"/>
                <w:rtl w:val="true"/>
              </w:rPr>
              <w:t>الخامس من اقسام الحدّ</w:t>
            </w:r>
            <w:r>
              <w:rPr>
                <w:rStyle w:val="IndexLink"/>
                <w:rtl w:val="true"/>
              </w:rPr>
              <w:t xml:space="preserve">: </w:t>
            </w:r>
            <w:r>
              <w:rPr>
                <w:rStyle w:val="IndexLink"/>
                <w:rtl w:val="true"/>
              </w:rPr>
              <w:t>خمسون جلدة علی المملوک و المملوکة الزّانیین ولو مع الاحصان</w:t>
            </w:r>
            <w:r>
              <w:rPr>
                <w:rStyle w:val="IndexLink"/>
                <w:rtl w:val="true"/>
              </w:rPr>
              <w:tab/>
            </w:r>
            <w:r>
              <w:rPr>
                <w:rStyle w:val="IndexLink"/>
              </w:rPr>
              <w:t>161</w:t>
            </w:r>
          </w:hyperlink>
        </w:p>
        <w:p>
          <w:pPr>
            <w:pStyle w:val="Contents5"/>
            <w:tabs>
              <w:tab w:val="clear" w:pos="7892"/>
              <w:tab w:val="right" w:pos="9026" w:leader="dot"/>
            </w:tabs>
            <w:rPr/>
          </w:pPr>
          <w:hyperlink w:anchor="__RefHeading___Toc656777_2749589250">
            <w:r>
              <w:rPr>
                <w:webHidden/>
                <w:rStyle w:val="IndexLink"/>
                <w:rtl w:val="true"/>
              </w:rPr>
              <w:t>اشارة</w:t>
            </w:r>
            <w:r>
              <w:rPr>
                <w:rStyle w:val="IndexLink"/>
                <w:rtl w:val="true"/>
              </w:rPr>
              <w:tab/>
            </w:r>
            <w:r>
              <w:rPr>
                <w:rStyle w:val="IndexLink"/>
              </w:rPr>
              <w:t>161</w:t>
            </w:r>
          </w:hyperlink>
        </w:p>
        <w:p>
          <w:pPr>
            <w:pStyle w:val="Contents5"/>
            <w:tabs>
              <w:tab w:val="clear" w:pos="7892"/>
              <w:tab w:val="right" w:pos="9026" w:leader="dot"/>
            </w:tabs>
            <w:rPr/>
          </w:pPr>
          <w:hyperlink w:anchor="__RefHeading___Toc656779_2749589250">
            <w:r>
              <w:rPr>
                <w:webHidden/>
                <w:rStyle w:val="IndexLink"/>
                <w:rtl w:val="true"/>
              </w:rPr>
              <w:t xml:space="preserve">اذا اقیم الحدّ علی المملوک او المملوکة الزّانی </w:t>
            </w:r>
            <w:r>
              <w:rPr>
                <w:rStyle w:val="IndexLink"/>
              </w:rPr>
              <w:t>8</w:t>
            </w:r>
            <w:r>
              <w:rPr>
                <w:rStyle w:val="IndexLink"/>
                <w:rtl w:val="true"/>
              </w:rPr>
              <w:t xml:space="preserve"> </w:t>
            </w:r>
            <w:r>
              <w:rPr>
                <w:rStyle w:val="IndexLink"/>
                <w:rtl w:val="true"/>
              </w:rPr>
              <w:t xml:space="preserve">مرّات او </w:t>
            </w:r>
            <w:r>
              <w:rPr>
                <w:rStyle w:val="IndexLink"/>
              </w:rPr>
              <w:t>9</w:t>
            </w:r>
            <w:r>
              <w:rPr>
                <w:rStyle w:val="IndexLink"/>
                <w:rtl w:val="true"/>
              </w:rPr>
              <w:t xml:space="preserve"> </w:t>
            </w:r>
            <w:r>
              <w:rPr>
                <w:rStyle w:val="IndexLink"/>
                <w:rtl w:val="true"/>
              </w:rPr>
              <w:t>فیرجم</w:t>
            </w:r>
            <w:r>
              <w:rPr>
                <w:rStyle w:val="IndexLink"/>
                <w:rtl w:val="true"/>
              </w:rPr>
              <w:tab/>
            </w:r>
            <w:r>
              <w:rPr>
                <w:rStyle w:val="IndexLink"/>
              </w:rPr>
              <w:t>164</w:t>
            </w:r>
          </w:hyperlink>
        </w:p>
        <w:p>
          <w:pPr>
            <w:pStyle w:val="Contents5"/>
            <w:tabs>
              <w:tab w:val="clear" w:pos="7892"/>
              <w:tab w:val="right" w:pos="9026" w:leader="dot"/>
            </w:tabs>
            <w:rPr/>
          </w:pPr>
          <w:hyperlink w:anchor="__RefHeading___Toc656781_2749589250">
            <w:r>
              <w:rPr>
                <w:webHidden/>
                <w:rStyle w:val="IndexLink"/>
                <w:rtl w:val="true"/>
              </w:rPr>
              <w:t>لا رجم علی الزّانی المبعّض لو کان محصناً کالمبعّضة</w:t>
            </w:r>
            <w:r>
              <w:rPr>
                <w:rStyle w:val="IndexLink"/>
                <w:rtl w:val="true"/>
              </w:rPr>
              <w:tab/>
            </w:r>
            <w:r>
              <w:rPr>
                <w:rStyle w:val="IndexLink"/>
              </w:rPr>
              <w:t>167</w:t>
            </w:r>
          </w:hyperlink>
        </w:p>
        <w:p>
          <w:pPr>
            <w:pStyle w:val="Contents4"/>
            <w:tabs>
              <w:tab w:val="clear" w:pos="8176"/>
              <w:tab w:val="right" w:pos="9026" w:leader="dot"/>
            </w:tabs>
            <w:rPr/>
          </w:pPr>
          <w:hyperlink w:anchor="__RefHeading___Toc656783_2749589250">
            <w:r>
              <w:rPr>
                <w:webHidden/>
                <w:rStyle w:val="IndexLink"/>
                <w:rtl w:val="true"/>
              </w:rPr>
              <w:t>الاحصان فی الرّجل البالغ العاقل بامور</w:t>
            </w:r>
            <w:r>
              <w:rPr>
                <w:rStyle w:val="IndexLink"/>
                <w:rtl w:val="true"/>
              </w:rPr>
              <w:tab/>
            </w:r>
            <w:r>
              <w:rPr>
                <w:rStyle w:val="IndexLink"/>
              </w:rPr>
              <w:t>171</w:t>
            </w:r>
          </w:hyperlink>
        </w:p>
        <w:p>
          <w:pPr>
            <w:pStyle w:val="Contents5"/>
            <w:tabs>
              <w:tab w:val="clear" w:pos="7892"/>
              <w:tab w:val="right" w:pos="9026" w:leader="dot"/>
            </w:tabs>
            <w:rPr/>
          </w:pPr>
          <w:hyperlink w:anchor="__RefHeading___Toc656785_2749589250">
            <w:r>
              <w:rPr>
                <w:webHidden/>
                <w:rStyle w:val="IndexLink"/>
                <w:rtl w:val="true"/>
              </w:rPr>
              <w:t>اشارة</w:t>
            </w:r>
            <w:r>
              <w:rPr>
                <w:rStyle w:val="IndexLink"/>
                <w:rtl w:val="true"/>
              </w:rPr>
              <w:tab/>
            </w:r>
            <w:r>
              <w:rPr>
                <w:rStyle w:val="IndexLink"/>
              </w:rPr>
              <w:t>171</w:t>
            </w:r>
          </w:hyperlink>
        </w:p>
        <w:p>
          <w:pPr>
            <w:pStyle w:val="Contents5"/>
            <w:tabs>
              <w:tab w:val="clear" w:pos="7892"/>
              <w:tab w:val="right" w:pos="9026" w:leader="dot"/>
            </w:tabs>
            <w:rPr/>
          </w:pPr>
          <w:hyperlink w:anchor="__RefHeading___Toc656787_2749589250">
            <w:r>
              <w:rPr>
                <w:webHidden/>
                <w:rStyle w:val="IndexLink"/>
                <w:rtl w:val="true"/>
              </w:rPr>
              <w:t>الاوّل</w:t>
            </w:r>
            <w:r>
              <w:rPr>
                <w:rStyle w:val="IndexLink"/>
                <w:rtl w:val="true"/>
              </w:rPr>
              <w:t xml:space="preserve">: </w:t>
            </w:r>
            <w:r>
              <w:rPr>
                <w:rStyle w:val="IndexLink"/>
                <w:rtl w:val="true"/>
              </w:rPr>
              <w:t>الحرّیّة</w:t>
            </w:r>
            <w:r>
              <w:rPr>
                <w:rStyle w:val="IndexLink"/>
                <w:rtl w:val="true"/>
              </w:rPr>
              <w:tab/>
            </w:r>
            <w:r>
              <w:rPr>
                <w:rStyle w:val="IndexLink"/>
              </w:rPr>
              <w:t>177</w:t>
            </w:r>
          </w:hyperlink>
        </w:p>
        <w:p>
          <w:pPr>
            <w:pStyle w:val="Contents5"/>
            <w:tabs>
              <w:tab w:val="clear" w:pos="7892"/>
              <w:tab w:val="right" w:pos="9026" w:leader="dot"/>
            </w:tabs>
            <w:rPr/>
          </w:pPr>
          <w:hyperlink w:anchor="__RefHeading___Toc656789_2749589250">
            <w:r>
              <w:rPr>
                <w:webHidden/>
                <w:rStyle w:val="IndexLink"/>
                <w:rtl w:val="true"/>
              </w:rPr>
              <w:t>الثّانی</w:t>
            </w:r>
            <w:r>
              <w:rPr>
                <w:rStyle w:val="IndexLink"/>
                <w:rtl w:val="true"/>
              </w:rPr>
              <w:t xml:space="preserve">: </w:t>
            </w:r>
            <w:r>
              <w:rPr>
                <w:rStyle w:val="IndexLink"/>
                <w:rtl w:val="true"/>
              </w:rPr>
              <w:t>ان یکون له زوجة دائمة او امة</w:t>
            </w:r>
            <w:r>
              <w:rPr>
                <w:rStyle w:val="IndexLink"/>
                <w:rtl w:val="true"/>
              </w:rPr>
              <w:tab/>
            </w:r>
            <w:r>
              <w:rPr>
                <w:rStyle w:val="IndexLink"/>
              </w:rPr>
              <w:t>178</w:t>
            </w:r>
          </w:hyperlink>
        </w:p>
        <w:p>
          <w:pPr>
            <w:pStyle w:val="Contents5"/>
            <w:tabs>
              <w:tab w:val="clear" w:pos="7892"/>
              <w:tab w:val="right" w:pos="9026" w:leader="dot"/>
            </w:tabs>
            <w:rPr/>
          </w:pPr>
          <w:hyperlink w:anchor="__RefHeading___Toc656791_2749589250">
            <w:r>
              <w:rPr>
                <w:webHidden/>
                <w:rStyle w:val="IndexLink"/>
                <w:rtl w:val="true"/>
              </w:rPr>
              <w:t>الثّالث</w:t>
            </w:r>
            <w:r>
              <w:rPr>
                <w:rStyle w:val="IndexLink"/>
                <w:rtl w:val="true"/>
              </w:rPr>
              <w:t xml:space="preserve">: </w:t>
            </w:r>
            <w:r>
              <w:rPr>
                <w:rStyle w:val="IndexLink"/>
                <w:rtl w:val="true"/>
              </w:rPr>
              <w:t>الدّخول بها بالغاً عاقلاً</w:t>
            </w:r>
            <w:r>
              <w:rPr>
                <w:rStyle w:val="IndexLink"/>
                <w:rtl w:val="true"/>
              </w:rPr>
              <w:tab/>
            </w:r>
            <w:r>
              <w:rPr>
                <w:rStyle w:val="IndexLink"/>
              </w:rPr>
              <w:t>178</w:t>
            </w:r>
          </w:hyperlink>
        </w:p>
        <w:p>
          <w:pPr>
            <w:pStyle w:val="Contents5"/>
            <w:tabs>
              <w:tab w:val="clear" w:pos="7892"/>
              <w:tab w:val="right" w:pos="9026" w:leader="dot"/>
            </w:tabs>
            <w:rPr/>
          </w:pPr>
          <w:hyperlink w:anchor="__RefHeading___Toc656793_2749589250">
            <w:r>
              <w:rPr>
                <w:webHidden/>
                <w:rStyle w:val="IndexLink"/>
                <w:rtl w:val="true"/>
              </w:rPr>
              <w:t>الرّابع</w:t>
            </w:r>
            <w:r>
              <w:rPr>
                <w:rStyle w:val="IndexLink"/>
                <w:rtl w:val="true"/>
              </w:rPr>
              <w:t xml:space="preserve">: </w:t>
            </w:r>
            <w:r>
              <w:rPr>
                <w:rStyle w:val="IndexLink"/>
                <w:rtl w:val="true"/>
              </w:rPr>
              <w:t>الوطی فی فرج مملوک له بالعقد الدّائم او ملک الیمین</w:t>
            </w:r>
            <w:r>
              <w:rPr>
                <w:rStyle w:val="IndexLink"/>
                <w:rtl w:val="true"/>
              </w:rPr>
              <w:tab/>
            </w:r>
            <w:r>
              <w:rPr>
                <w:rStyle w:val="IndexLink"/>
              </w:rPr>
              <w:t>180</w:t>
            </w:r>
          </w:hyperlink>
        </w:p>
        <w:p>
          <w:pPr>
            <w:pStyle w:val="Contents5"/>
            <w:tabs>
              <w:tab w:val="clear" w:pos="7892"/>
              <w:tab w:val="right" w:pos="9026" w:leader="dot"/>
            </w:tabs>
            <w:rPr/>
          </w:pPr>
          <w:hyperlink w:anchor="__RefHeading___Toc656795_2749589250">
            <w:r>
              <w:rPr>
                <w:webHidden/>
                <w:rStyle w:val="IndexLink"/>
                <w:rtl w:val="true"/>
              </w:rPr>
              <w:t>الخامس</w:t>
            </w:r>
            <w:r>
              <w:rPr>
                <w:rStyle w:val="IndexLink"/>
                <w:rtl w:val="true"/>
              </w:rPr>
              <w:t xml:space="preserve">: </w:t>
            </w:r>
            <w:r>
              <w:rPr>
                <w:rStyle w:val="IndexLink"/>
                <w:rtl w:val="true"/>
              </w:rPr>
              <w:t>الّتمکّن فی وطیها متی شاء</w:t>
            </w:r>
            <w:r>
              <w:rPr>
                <w:rStyle w:val="IndexLink"/>
                <w:rtl w:val="true"/>
              </w:rPr>
              <w:tab/>
            </w:r>
            <w:r>
              <w:rPr>
                <w:rStyle w:val="IndexLink"/>
              </w:rPr>
              <w:t>186</w:t>
            </w:r>
          </w:hyperlink>
        </w:p>
        <w:p>
          <w:pPr>
            <w:pStyle w:val="Contents5"/>
            <w:tabs>
              <w:tab w:val="clear" w:pos="7892"/>
              <w:tab w:val="right" w:pos="9026" w:leader="dot"/>
            </w:tabs>
            <w:rPr/>
          </w:pPr>
          <w:hyperlink w:anchor="__RefHeading___Toc656797_2749589250">
            <w:r>
              <w:rPr>
                <w:webHidden/>
                <w:rStyle w:val="IndexLink"/>
                <w:rtl w:val="true"/>
              </w:rPr>
              <w:t>الاشکال فی المحبوس اذا امکنه الوصول لیلاً لا نهاراً او العکس</w:t>
            </w:r>
            <w:r>
              <w:rPr>
                <w:rStyle w:val="IndexLink"/>
                <w:rtl w:val="true"/>
              </w:rPr>
              <w:tab/>
            </w:r>
            <w:r>
              <w:rPr>
                <w:rStyle w:val="IndexLink"/>
              </w:rPr>
              <w:t>190</w:t>
            </w:r>
          </w:hyperlink>
        </w:p>
        <w:p>
          <w:pPr>
            <w:pStyle w:val="Contents5"/>
            <w:tabs>
              <w:tab w:val="clear" w:pos="7892"/>
              <w:tab w:val="right" w:pos="9026" w:leader="dot"/>
            </w:tabs>
            <w:rPr/>
          </w:pPr>
          <w:hyperlink w:anchor="__RefHeading___Toc656799_2749589250">
            <w:r>
              <w:rPr>
                <w:webHidden/>
                <w:rStyle w:val="IndexLink"/>
                <w:rtl w:val="true"/>
              </w:rPr>
              <w:t>احصان المرأة کأحصان الرّجل علی تأمّل فی بعض الشّرایط</w:t>
            </w:r>
            <w:r>
              <w:rPr>
                <w:rStyle w:val="IndexLink"/>
                <w:rtl w:val="true"/>
              </w:rPr>
              <w:tab/>
            </w:r>
            <w:r>
              <w:rPr>
                <w:rStyle w:val="IndexLink"/>
              </w:rPr>
              <w:t>192</w:t>
            </w:r>
          </w:hyperlink>
        </w:p>
        <w:p>
          <w:pPr>
            <w:pStyle w:val="Contents5"/>
            <w:tabs>
              <w:tab w:val="clear" w:pos="7892"/>
              <w:tab w:val="right" w:pos="9026" w:leader="dot"/>
            </w:tabs>
            <w:rPr/>
          </w:pPr>
          <w:hyperlink w:anchor="__RefHeading___Toc656801_2749589250">
            <w:r>
              <w:rPr>
                <w:webHidden/>
                <w:rStyle w:val="IndexLink"/>
                <w:rtl w:val="true"/>
              </w:rPr>
              <w:t>لا یخرج عن الاحصان بطلاق زوجته رجعیّاً کالمطلّقة</w:t>
            </w:r>
            <w:r>
              <w:rPr>
                <w:rStyle w:val="IndexLink"/>
                <w:rtl w:val="true"/>
              </w:rPr>
              <w:tab/>
            </w:r>
            <w:r>
              <w:rPr>
                <w:rStyle w:val="IndexLink"/>
              </w:rPr>
              <w:t>194</w:t>
            </w:r>
          </w:hyperlink>
        </w:p>
        <w:p>
          <w:pPr>
            <w:pStyle w:val="Contents5"/>
            <w:tabs>
              <w:tab w:val="clear" w:pos="7892"/>
              <w:tab w:val="right" w:pos="9026" w:leader="dot"/>
            </w:tabs>
            <w:rPr/>
          </w:pPr>
          <w:hyperlink w:anchor="__RefHeading___Toc656803_2749589250">
            <w:r>
              <w:rPr>
                <w:webHidden/>
                <w:rStyle w:val="IndexLink"/>
                <w:rtl w:val="true"/>
              </w:rPr>
              <w:t>اذا خالعها تخرج عن الاحصان</w:t>
            </w:r>
            <w:r>
              <w:rPr>
                <w:rStyle w:val="IndexLink"/>
                <w:rtl w:val="true"/>
              </w:rPr>
              <w:tab/>
            </w:r>
            <w:r>
              <w:rPr>
                <w:rStyle w:val="IndexLink"/>
              </w:rPr>
              <w:t>196</w:t>
            </w:r>
          </w:hyperlink>
        </w:p>
        <w:p>
          <w:pPr>
            <w:pStyle w:val="Contents5"/>
            <w:tabs>
              <w:tab w:val="clear" w:pos="7892"/>
              <w:tab w:val="right" w:pos="9026" w:leader="dot"/>
            </w:tabs>
            <w:rPr/>
          </w:pPr>
          <w:hyperlink w:anchor="__RefHeading___Toc656805_2749589250">
            <w:r>
              <w:rPr>
                <w:webHidden/>
                <w:rStyle w:val="IndexLink"/>
                <w:rtl w:val="true"/>
              </w:rPr>
              <w:t xml:space="preserve">یرجم الذّمیّ المحصن </w:t>
            </w:r>
            <w:r>
              <w:rPr>
                <w:rStyle w:val="IndexLink"/>
                <w:rtl w:val="true"/>
              </w:rPr>
              <w:t>(</w:t>
            </w:r>
            <w:r>
              <w:rPr>
                <w:rStyle w:val="IndexLink"/>
                <w:rtl w:val="true"/>
              </w:rPr>
              <w:t>الاعمی یحدّ کالعمیاء و کذا غیرهما من ناقصی الاعضاء</w:t>
            </w:r>
            <w:r>
              <w:rPr>
                <w:rStyle w:val="IndexLink"/>
                <w:rtl w:val="true"/>
              </w:rPr>
              <w:t>)</w:t>
              <w:tab/>
            </w:r>
            <w:r>
              <w:rPr>
                <w:rStyle w:val="IndexLink"/>
              </w:rPr>
              <w:t>198</w:t>
            </w:r>
          </w:hyperlink>
        </w:p>
        <w:p>
          <w:pPr>
            <w:pStyle w:val="Contents5"/>
            <w:tabs>
              <w:tab w:val="clear" w:pos="7892"/>
              <w:tab w:val="right" w:pos="9026" w:leader="dot"/>
            </w:tabs>
            <w:rPr/>
          </w:pPr>
          <w:hyperlink w:anchor="__RefHeading___Toc656807_2749589250">
            <w:r>
              <w:rPr>
                <w:webHidden/>
                <w:rStyle w:val="IndexLink"/>
                <w:rtl w:val="true"/>
              </w:rPr>
              <w:t xml:space="preserve">المریض غیر المحصن یضرب بعذق فیه </w:t>
            </w:r>
            <w:r>
              <w:rPr>
                <w:rStyle w:val="IndexLink"/>
              </w:rPr>
              <w:t>100</w:t>
            </w:r>
            <w:r>
              <w:rPr>
                <w:rStyle w:val="IndexLink"/>
                <w:rtl w:val="true"/>
              </w:rPr>
              <w:t xml:space="preserve"> </w:t>
            </w:r>
            <w:r>
              <w:rPr>
                <w:rStyle w:val="IndexLink"/>
                <w:rtl w:val="true"/>
              </w:rPr>
              <w:t>شمراخ</w:t>
            </w:r>
            <w:r>
              <w:rPr>
                <w:rStyle w:val="IndexLink"/>
                <w:rtl w:val="true"/>
              </w:rPr>
              <w:tab/>
            </w:r>
            <w:r>
              <w:rPr>
                <w:rStyle w:val="IndexLink"/>
              </w:rPr>
              <w:t>199</w:t>
            </w:r>
          </w:hyperlink>
        </w:p>
        <w:p>
          <w:pPr>
            <w:pStyle w:val="Contents5"/>
            <w:tabs>
              <w:tab w:val="clear" w:pos="7892"/>
              <w:tab w:val="right" w:pos="9026" w:leader="dot"/>
            </w:tabs>
            <w:rPr/>
          </w:pPr>
          <w:hyperlink w:anchor="__RefHeading___Toc656809_2749589250">
            <w:r>
              <w:rPr>
                <w:webHidden/>
                <w:rStyle w:val="IndexLink"/>
                <w:rtl w:val="true"/>
              </w:rPr>
              <w:t>المحیض لا یمنع الحدّ و المستحاضة لا تحدّ حتّی ینقطع الدّم و کذا النّفساء</w:t>
            </w:r>
            <w:r>
              <w:rPr>
                <w:rStyle w:val="IndexLink"/>
                <w:rtl w:val="true"/>
              </w:rPr>
              <w:tab/>
            </w:r>
            <w:r>
              <w:rPr>
                <w:rStyle w:val="IndexLink"/>
              </w:rPr>
              <w:t>203</w:t>
            </w:r>
          </w:hyperlink>
        </w:p>
        <w:p>
          <w:pPr>
            <w:pStyle w:val="Contents5"/>
            <w:tabs>
              <w:tab w:val="clear" w:pos="7892"/>
              <w:tab w:val="right" w:pos="9026" w:leader="dot"/>
            </w:tabs>
            <w:rPr/>
          </w:pPr>
          <w:hyperlink w:anchor="__RefHeading___Toc656811_2749589250">
            <w:r>
              <w:rPr>
                <w:webHidden/>
                <w:rStyle w:val="IndexLink"/>
                <w:rtl w:val="true"/>
              </w:rPr>
              <w:t>لا تکرّر للحدّ بتکرّر الزّنا لو کان قسماً واحداً الاّ اذا حدّ و حکم اختلاف مقتضی الزّنا</w:t>
            </w:r>
            <w:r>
              <w:rPr>
                <w:rStyle w:val="IndexLink"/>
                <w:rtl w:val="true"/>
              </w:rPr>
              <w:tab/>
            </w:r>
            <w:r>
              <w:rPr>
                <w:rStyle w:val="IndexLink"/>
              </w:rPr>
              <w:t>206</w:t>
            </w:r>
          </w:hyperlink>
        </w:p>
        <w:p>
          <w:pPr>
            <w:pStyle w:val="Contents5"/>
            <w:tabs>
              <w:tab w:val="clear" w:pos="7892"/>
              <w:tab w:val="right" w:pos="9026" w:leader="dot"/>
            </w:tabs>
            <w:rPr/>
          </w:pPr>
          <w:hyperlink w:anchor="__RefHeading___Toc656813_2749589250">
            <w:r>
              <w:rPr>
                <w:webHidden/>
                <w:rStyle w:val="IndexLink"/>
                <w:rtl w:val="true"/>
              </w:rPr>
              <w:t>قتل الزّانی غیر المحصن اذا حدّ ثلاثاً المرّة الرّابعه کالزّانیة</w:t>
            </w:r>
            <w:r>
              <w:rPr>
                <w:rStyle w:val="IndexLink"/>
                <w:rtl w:val="true"/>
              </w:rPr>
              <w:tab/>
            </w:r>
            <w:r>
              <w:rPr>
                <w:rStyle w:val="IndexLink"/>
              </w:rPr>
              <w:t>208</w:t>
            </w:r>
          </w:hyperlink>
        </w:p>
        <w:p>
          <w:pPr>
            <w:pStyle w:val="Contents5"/>
            <w:tabs>
              <w:tab w:val="clear" w:pos="7892"/>
              <w:tab w:val="right" w:pos="9026" w:leader="dot"/>
            </w:tabs>
            <w:rPr/>
          </w:pPr>
          <w:hyperlink w:anchor="__RefHeading___Toc656815_2749589250">
            <w:r>
              <w:rPr>
                <w:webHidden/>
                <w:rStyle w:val="IndexLink"/>
                <w:rtl w:val="true"/>
              </w:rPr>
              <w:t>یؤخّر رجم الحامل حتّی تضع و ترضع اللّبأ</w:t>
            </w:r>
            <w:r>
              <w:rPr>
                <w:rStyle w:val="IndexLink"/>
                <w:rtl w:val="true"/>
              </w:rPr>
              <w:tab/>
            </w:r>
            <w:r>
              <w:rPr>
                <w:rStyle w:val="IndexLink"/>
              </w:rPr>
              <w:t>210</w:t>
            </w:r>
          </w:hyperlink>
        </w:p>
        <w:p>
          <w:pPr>
            <w:pStyle w:val="Contents5"/>
            <w:tabs>
              <w:tab w:val="clear" w:pos="7892"/>
              <w:tab w:val="right" w:pos="9026" w:leader="dot"/>
            </w:tabs>
            <w:rPr/>
          </w:pPr>
          <w:hyperlink w:anchor="__RefHeading___Toc656817_2749589250">
            <w:r>
              <w:rPr>
                <w:webHidden/>
                <w:rStyle w:val="IndexLink"/>
                <w:rtl w:val="true"/>
              </w:rPr>
              <w:t>تخییر الامام فی حدّ الکافرین من اهل الذّمة و دفعها الی اهل ملّتهما</w:t>
            </w:r>
            <w:r>
              <w:rPr>
                <w:rStyle w:val="IndexLink"/>
                <w:rtl w:val="true"/>
              </w:rPr>
              <w:tab/>
            </w:r>
            <w:r>
              <w:rPr>
                <w:rStyle w:val="IndexLink"/>
              </w:rPr>
              <w:t>213</w:t>
            </w:r>
          </w:hyperlink>
        </w:p>
        <w:p>
          <w:pPr>
            <w:pStyle w:val="Contents5"/>
            <w:tabs>
              <w:tab w:val="clear" w:pos="7892"/>
              <w:tab w:val="right" w:pos="9026" w:leader="dot"/>
            </w:tabs>
            <w:rPr/>
          </w:pPr>
          <w:hyperlink w:anchor="__RefHeading___Toc656819_2749589250">
            <w:r>
              <w:rPr>
                <w:webHidden/>
                <w:rStyle w:val="IndexLink"/>
                <w:rtl w:val="true"/>
              </w:rPr>
              <w:t>لایقام الحدّ علی الزّانی و الجانی فی ارض العدوّ</w:t>
            </w:r>
            <w:r>
              <w:rPr>
                <w:rStyle w:val="IndexLink"/>
                <w:rtl w:val="true"/>
              </w:rPr>
              <w:tab/>
            </w:r>
            <w:r>
              <w:rPr>
                <w:rStyle w:val="IndexLink"/>
              </w:rPr>
              <w:t>215</w:t>
            </w:r>
          </w:hyperlink>
        </w:p>
        <w:p>
          <w:pPr>
            <w:pStyle w:val="Contents5"/>
            <w:tabs>
              <w:tab w:val="clear" w:pos="7892"/>
              <w:tab w:val="right" w:pos="9026" w:leader="dot"/>
            </w:tabs>
            <w:rPr/>
          </w:pPr>
          <w:hyperlink w:anchor="__RefHeading___Toc656821_2749589250">
            <w:r>
              <w:rPr>
                <w:webHidden/>
                <w:rStyle w:val="IndexLink"/>
                <w:rtl w:val="true"/>
              </w:rPr>
              <w:t xml:space="preserve">اذا جنی فی غیر الحرم ثمّ التجأ الی الحرم و حکم مالو جنی فی الحرم </w:t>
            </w:r>
            <w:r>
              <w:rPr>
                <w:rStyle w:val="IndexLink"/>
                <w:rtl w:val="true"/>
              </w:rPr>
              <w:t>(</w:t>
            </w:r>
            <w:r>
              <w:rPr>
                <w:rStyle w:val="IndexLink"/>
                <w:rtl w:val="true"/>
              </w:rPr>
              <w:t>فی کیفیّة ایقاع الحدّ</w:t>
            </w:r>
            <w:r>
              <w:rPr>
                <w:rStyle w:val="IndexLink"/>
                <w:rtl w:val="true"/>
              </w:rPr>
              <w:t>)</w:t>
              <w:tab/>
            </w:r>
            <w:r>
              <w:rPr>
                <w:rStyle w:val="IndexLink"/>
              </w:rPr>
              <w:t>217</w:t>
            </w:r>
          </w:hyperlink>
        </w:p>
        <w:p>
          <w:pPr>
            <w:pStyle w:val="Contents3"/>
            <w:tabs>
              <w:tab w:val="clear" w:pos="8459"/>
              <w:tab w:val="right" w:pos="9026" w:leader="dot"/>
            </w:tabs>
            <w:rPr/>
          </w:pPr>
          <w:hyperlink w:anchor="__RefHeading___Toc656823_2749589250">
            <w:r>
              <w:rPr>
                <w:webHidden/>
                <w:rStyle w:val="IndexLink"/>
                <w:rtl w:val="true"/>
              </w:rPr>
              <w:t>فی کیفیّة ایقاع الحدّ</w:t>
            </w:r>
            <w:r>
              <w:rPr>
                <w:rStyle w:val="IndexLink"/>
                <w:rtl w:val="true"/>
              </w:rPr>
              <w:t>:</w:t>
              <w:tab/>
            </w:r>
            <w:r>
              <w:rPr>
                <w:rStyle w:val="IndexLink"/>
              </w:rPr>
              <w:t>218</w:t>
            </w:r>
          </w:hyperlink>
        </w:p>
        <w:p>
          <w:pPr>
            <w:pStyle w:val="Contents4"/>
            <w:tabs>
              <w:tab w:val="clear" w:pos="8176"/>
              <w:tab w:val="right" w:pos="9026" w:leader="dot"/>
            </w:tabs>
            <w:rPr/>
          </w:pPr>
          <w:hyperlink w:anchor="__RefHeading___Toc656825_2749589250">
            <w:r>
              <w:rPr>
                <w:webHidden/>
                <w:rStyle w:val="IndexLink"/>
                <w:rtl w:val="true"/>
              </w:rPr>
              <w:t>(</w:t>
            </w:r>
            <w:r>
              <w:rPr>
                <w:rStyle w:val="IndexLink"/>
                <w:rtl w:val="true"/>
              </w:rPr>
              <w:t>و فیها مسائل</w:t>
            </w:r>
            <w:r>
              <w:rPr>
                <w:rStyle w:val="IndexLink"/>
                <w:rtl w:val="true"/>
              </w:rPr>
              <w:t>)</w:t>
              <w:tab/>
            </w:r>
            <w:r>
              <w:rPr>
                <w:rStyle w:val="IndexLink"/>
              </w:rPr>
              <w:t>218</w:t>
            </w:r>
          </w:hyperlink>
        </w:p>
        <w:p>
          <w:pPr>
            <w:pStyle w:val="Contents5"/>
            <w:tabs>
              <w:tab w:val="clear" w:pos="7892"/>
              <w:tab w:val="right" w:pos="9026" w:leader="dot"/>
            </w:tabs>
            <w:rPr/>
          </w:pPr>
          <w:hyperlink w:anchor="__RefHeading___Toc656827_2749589250">
            <w:r>
              <w:rPr>
                <w:webHidden/>
                <w:rStyle w:val="IndexLink"/>
                <w:rtl w:val="true"/>
              </w:rPr>
              <w:t>الاولی</w:t>
            </w:r>
            <w:r>
              <w:rPr>
                <w:rStyle w:val="IndexLink"/>
                <w:rtl w:val="true"/>
              </w:rPr>
              <w:t xml:space="preserve">: </w:t>
            </w:r>
            <w:r>
              <w:rPr>
                <w:rStyle w:val="IndexLink"/>
                <w:rtl w:val="true"/>
              </w:rPr>
              <w:t>اذا اجتمعت حدود یجمع بینها بما لا یفوت مع واحد آخر</w:t>
            </w:r>
            <w:r>
              <w:rPr>
                <w:rStyle w:val="IndexLink"/>
                <w:rtl w:val="true"/>
              </w:rPr>
              <w:tab/>
            </w:r>
            <w:r>
              <w:rPr>
                <w:rStyle w:val="IndexLink"/>
              </w:rPr>
              <w:t>218</w:t>
            </w:r>
          </w:hyperlink>
        </w:p>
        <w:p>
          <w:pPr>
            <w:pStyle w:val="Contents5"/>
            <w:tabs>
              <w:tab w:val="clear" w:pos="7892"/>
              <w:tab w:val="right" w:pos="9026" w:leader="dot"/>
            </w:tabs>
            <w:rPr/>
          </w:pPr>
          <w:hyperlink w:anchor="__RefHeading___Toc656829_2749589250">
            <w:r>
              <w:rPr>
                <w:webHidden/>
                <w:rStyle w:val="IndexLink"/>
                <w:rtl w:val="true"/>
              </w:rPr>
              <w:t>الثّانیة</w:t>
            </w:r>
            <w:r>
              <w:rPr>
                <w:rStyle w:val="IndexLink"/>
                <w:rtl w:val="true"/>
              </w:rPr>
              <w:t xml:space="preserve">: </w:t>
            </w:r>
            <w:r>
              <w:rPr>
                <w:rStyle w:val="IndexLink"/>
                <w:rtl w:val="true"/>
              </w:rPr>
              <w:t>الاولی عدم اقام الحدّ فی شدّة البرد و الحرّ</w:t>
            </w:r>
            <w:r>
              <w:rPr>
                <w:rStyle w:val="IndexLink"/>
                <w:rtl w:val="true"/>
              </w:rPr>
              <w:tab/>
            </w:r>
            <w:r>
              <w:rPr>
                <w:rStyle w:val="IndexLink"/>
              </w:rPr>
              <w:t>223</w:t>
            </w:r>
          </w:hyperlink>
        </w:p>
        <w:p>
          <w:pPr>
            <w:pStyle w:val="Contents5"/>
            <w:tabs>
              <w:tab w:val="clear" w:pos="7892"/>
              <w:tab w:val="right" w:pos="9026" w:leader="dot"/>
            </w:tabs>
            <w:rPr/>
          </w:pPr>
          <w:hyperlink w:anchor="__RefHeading___Toc656831_2749589250">
            <w:r>
              <w:rPr>
                <w:webHidden/>
                <w:rStyle w:val="IndexLink"/>
                <w:rtl w:val="true"/>
              </w:rPr>
              <w:t>الثّالثة</w:t>
            </w:r>
            <w:r>
              <w:rPr>
                <w:rStyle w:val="IndexLink"/>
                <w:rtl w:val="true"/>
              </w:rPr>
              <w:t xml:space="preserve">: </w:t>
            </w:r>
            <w:r>
              <w:rPr>
                <w:rStyle w:val="IndexLink"/>
                <w:rtl w:val="true"/>
              </w:rPr>
              <w:t>دفن الرّجل عند الرّجم الی حقویه و المرأة الی صدرها</w:t>
            </w:r>
            <w:r>
              <w:rPr>
                <w:rStyle w:val="IndexLink"/>
                <w:rtl w:val="true"/>
              </w:rPr>
              <w:tab/>
            </w:r>
            <w:r>
              <w:rPr>
                <w:rStyle w:val="IndexLink"/>
              </w:rPr>
              <w:t>225</w:t>
            </w:r>
          </w:hyperlink>
        </w:p>
        <w:p>
          <w:pPr>
            <w:pStyle w:val="Contents5"/>
            <w:tabs>
              <w:tab w:val="clear" w:pos="7892"/>
              <w:tab w:val="right" w:pos="9026" w:leader="dot"/>
            </w:tabs>
            <w:rPr/>
          </w:pPr>
          <w:hyperlink w:anchor="__RefHeading___Toc656833_2749589250">
            <w:r>
              <w:rPr>
                <w:webHidden/>
                <w:rStyle w:val="IndexLink"/>
                <w:rtl w:val="true"/>
              </w:rPr>
              <w:t>الرّابعة</w:t>
            </w:r>
            <w:r>
              <w:rPr>
                <w:rStyle w:val="IndexLink"/>
                <w:rtl w:val="true"/>
              </w:rPr>
              <w:t xml:space="preserve">: </w:t>
            </w:r>
            <w:r>
              <w:rPr>
                <w:rStyle w:val="IndexLink"/>
                <w:rtl w:val="true"/>
              </w:rPr>
              <w:t>بدء الامام اذا ثبت الزّنا بالاقرار و الشّهود اذا ثبت بالشّهادة</w:t>
            </w:r>
            <w:r>
              <w:rPr>
                <w:rStyle w:val="IndexLink"/>
                <w:rtl w:val="true"/>
              </w:rPr>
              <w:tab/>
            </w:r>
            <w:r>
              <w:rPr>
                <w:rStyle w:val="IndexLink"/>
              </w:rPr>
              <w:t>229</w:t>
            </w:r>
          </w:hyperlink>
        </w:p>
        <w:p>
          <w:pPr>
            <w:pStyle w:val="Contents5"/>
            <w:tabs>
              <w:tab w:val="clear" w:pos="7892"/>
              <w:tab w:val="right" w:pos="9026" w:leader="dot"/>
            </w:tabs>
            <w:rPr/>
          </w:pPr>
          <w:hyperlink w:anchor="__RefHeading___Toc656835_2749589250">
            <w:r>
              <w:rPr>
                <w:webHidden/>
                <w:rStyle w:val="IndexLink"/>
                <w:rtl w:val="true"/>
              </w:rPr>
              <w:t>الخامسة</w:t>
            </w:r>
            <w:r>
              <w:rPr>
                <w:rStyle w:val="IndexLink"/>
                <w:rtl w:val="true"/>
              </w:rPr>
              <w:t xml:space="preserve">: </w:t>
            </w:r>
            <w:r>
              <w:rPr>
                <w:rStyle w:val="IndexLink"/>
                <w:rtl w:val="true"/>
              </w:rPr>
              <w:t>ان فرّ المرجوم او مرجومة فیعادان و لا یعاد احدهما ان ثبت بالاقرار و اصابه الحجارة</w:t>
            </w:r>
            <w:r>
              <w:rPr>
                <w:rStyle w:val="IndexLink"/>
                <w:rtl w:val="true"/>
              </w:rPr>
              <w:tab/>
            </w:r>
            <w:r>
              <w:rPr>
                <w:rStyle w:val="IndexLink"/>
              </w:rPr>
              <w:t>233</w:t>
            </w:r>
          </w:hyperlink>
        </w:p>
        <w:p>
          <w:pPr>
            <w:pStyle w:val="Contents5"/>
            <w:tabs>
              <w:tab w:val="clear" w:pos="7892"/>
              <w:tab w:val="right" w:pos="9026" w:leader="dot"/>
            </w:tabs>
            <w:rPr/>
          </w:pPr>
          <w:hyperlink w:anchor="__RefHeading___Toc656837_2749589250">
            <w:r>
              <w:rPr>
                <w:webHidden/>
                <w:rStyle w:val="IndexLink"/>
                <w:rtl w:val="true"/>
              </w:rPr>
              <w:t>ان فرّ المجلود فیردّ</w:t>
            </w:r>
            <w:r>
              <w:rPr>
                <w:rStyle w:val="IndexLink"/>
                <w:rtl w:val="true"/>
              </w:rPr>
              <w:tab/>
            </w:r>
            <w:r>
              <w:rPr>
                <w:rStyle w:val="IndexLink"/>
              </w:rPr>
              <w:t>235</w:t>
            </w:r>
          </w:hyperlink>
        </w:p>
        <w:p>
          <w:pPr>
            <w:pStyle w:val="Contents5"/>
            <w:tabs>
              <w:tab w:val="clear" w:pos="7892"/>
              <w:tab w:val="right" w:pos="9026" w:leader="dot"/>
            </w:tabs>
            <w:rPr/>
          </w:pPr>
          <w:hyperlink w:anchor="__RefHeading___Toc656839_2749589250">
            <w:r>
              <w:rPr>
                <w:webHidden/>
                <w:rStyle w:val="IndexLink"/>
                <w:rtl w:val="true"/>
              </w:rPr>
              <w:t>السّادسة</w:t>
            </w:r>
            <w:r>
              <w:rPr>
                <w:rStyle w:val="IndexLink"/>
                <w:rtl w:val="true"/>
              </w:rPr>
              <w:t xml:space="preserve">: </w:t>
            </w:r>
            <w:r>
              <w:rPr>
                <w:rStyle w:val="IndexLink"/>
                <w:rtl w:val="true"/>
              </w:rPr>
              <w:t>اعلام النّاس عند الحدّ</w:t>
            </w:r>
            <w:r>
              <w:rPr>
                <w:rStyle w:val="IndexLink"/>
                <w:rtl w:val="true"/>
              </w:rPr>
              <w:tab/>
            </w:r>
            <w:r>
              <w:rPr>
                <w:rStyle w:val="IndexLink"/>
              </w:rPr>
              <w:t>236</w:t>
            </w:r>
          </w:hyperlink>
        </w:p>
        <w:p>
          <w:pPr>
            <w:pStyle w:val="Contents5"/>
            <w:tabs>
              <w:tab w:val="clear" w:pos="7892"/>
              <w:tab w:val="right" w:pos="9026" w:leader="dot"/>
            </w:tabs>
            <w:rPr/>
          </w:pPr>
          <w:hyperlink w:anchor="__RefHeading___Toc656841_2749589250">
            <w:r>
              <w:rPr>
                <w:webHidden/>
                <w:rStyle w:val="IndexLink"/>
                <w:rtl w:val="true"/>
              </w:rPr>
              <w:t>السّابعة</w:t>
            </w:r>
            <w:r>
              <w:rPr>
                <w:rStyle w:val="IndexLink"/>
                <w:rtl w:val="true"/>
              </w:rPr>
              <w:t xml:space="preserve">: </w:t>
            </w:r>
            <w:r>
              <w:rPr>
                <w:rStyle w:val="IndexLink"/>
                <w:rtl w:val="true"/>
              </w:rPr>
              <w:t>یجلد الزّانی علی الحال الّتی یوجد علیها کاسیاً او عاریاً</w:t>
            </w:r>
            <w:r>
              <w:rPr>
                <w:rStyle w:val="IndexLink"/>
                <w:rtl w:val="true"/>
              </w:rPr>
              <w:tab/>
            </w:r>
            <w:r>
              <w:rPr>
                <w:rStyle w:val="IndexLink"/>
              </w:rPr>
              <w:t>239</w:t>
            </w:r>
          </w:hyperlink>
        </w:p>
        <w:p>
          <w:pPr>
            <w:pStyle w:val="Contents6"/>
            <w:tabs>
              <w:tab w:val="clear" w:pos="7609"/>
              <w:tab w:val="right" w:pos="9026" w:leader="dot"/>
            </w:tabs>
            <w:rPr/>
          </w:pPr>
          <w:hyperlink w:anchor="__RefHeading___Toc656843_2749589250">
            <w:r>
              <w:rPr>
                <w:webHidden/>
                <w:rStyle w:val="IndexLink"/>
                <w:rtl w:val="true"/>
              </w:rPr>
              <w:t>اشارة</w:t>
            </w:r>
            <w:r>
              <w:rPr>
                <w:rStyle w:val="IndexLink"/>
                <w:rtl w:val="true"/>
              </w:rPr>
              <w:tab/>
            </w:r>
            <w:r>
              <w:rPr>
                <w:rStyle w:val="IndexLink"/>
              </w:rPr>
              <w:t>239</w:t>
            </w:r>
          </w:hyperlink>
        </w:p>
        <w:p>
          <w:pPr>
            <w:pStyle w:val="Contents6"/>
            <w:tabs>
              <w:tab w:val="clear" w:pos="7609"/>
              <w:tab w:val="right" w:pos="9026" w:leader="dot"/>
            </w:tabs>
            <w:rPr/>
          </w:pPr>
          <w:hyperlink w:anchor="__RefHeading___Toc656845_2749589250">
            <w:r>
              <w:rPr>
                <w:webHidden/>
                <w:rStyle w:val="IndexLink"/>
                <w:rtl w:val="true"/>
              </w:rPr>
              <w:t>یجلد الزّانی قائماً اشدّ الضّرب و یفرّق علی جسده</w:t>
            </w:r>
            <w:r>
              <w:rPr>
                <w:rStyle w:val="IndexLink"/>
                <w:rtl w:val="true"/>
              </w:rPr>
              <w:tab/>
            </w:r>
            <w:r>
              <w:rPr>
                <w:rStyle w:val="IndexLink"/>
              </w:rPr>
              <w:t>241</w:t>
            </w:r>
          </w:hyperlink>
        </w:p>
        <w:p>
          <w:pPr>
            <w:pStyle w:val="Contents5"/>
            <w:tabs>
              <w:tab w:val="clear" w:pos="7892"/>
              <w:tab w:val="right" w:pos="9026" w:leader="dot"/>
            </w:tabs>
            <w:rPr/>
          </w:pPr>
          <w:hyperlink w:anchor="__RefHeading___Toc656847_2749589250">
            <w:r>
              <w:rPr>
                <w:webHidden/>
                <w:rStyle w:val="IndexLink"/>
                <w:rtl w:val="true"/>
              </w:rPr>
              <w:t>الثّامنة</w:t>
            </w:r>
            <w:r>
              <w:rPr>
                <w:rStyle w:val="IndexLink"/>
                <w:rtl w:val="true"/>
              </w:rPr>
              <w:t xml:space="preserve">: </w:t>
            </w:r>
            <w:r>
              <w:rPr>
                <w:rStyle w:val="IndexLink"/>
                <w:rtl w:val="true"/>
              </w:rPr>
              <w:t>عدم رجم من علیه حدّ کالمرجوم او مطلقا</w:t>
            </w:r>
            <w:r>
              <w:rPr>
                <w:rStyle w:val="IndexLink"/>
                <w:rtl w:val="true"/>
              </w:rPr>
              <w:tab/>
            </w:r>
            <w:r>
              <w:rPr>
                <w:rStyle w:val="IndexLink"/>
              </w:rPr>
              <w:t>245</w:t>
            </w:r>
          </w:hyperlink>
        </w:p>
        <w:p>
          <w:pPr>
            <w:pStyle w:val="Contents5"/>
            <w:tabs>
              <w:tab w:val="clear" w:pos="7892"/>
              <w:tab w:val="right" w:pos="9026" w:leader="dot"/>
            </w:tabs>
            <w:rPr/>
          </w:pPr>
          <w:hyperlink w:anchor="__RefHeading___Toc656849_2749589250">
            <w:r>
              <w:rPr>
                <w:webHidden/>
                <w:rStyle w:val="IndexLink"/>
                <w:rtl w:val="true"/>
              </w:rPr>
              <w:t>التّاسعة</w:t>
            </w:r>
            <w:r>
              <w:rPr>
                <w:rStyle w:val="IndexLink"/>
                <w:rtl w:val="true"/>
              </w:rPr>
              <w:t xml:space="preserve">: </w:t>
            </w:r>
            <w:r>
              <w:rPr>
                <w:rStyle w:val="IndexLink"/>
                <w:rtl w:val="true"/>
              </w:rPr>
              <w:t>اغتسال المرجوم قبل الرّجم و التّکفین و الصّلاة و الدّفن بعده</w:t>
            </w:r>
            <w:r>
              <w:rPr>
                <w:rStyle w:val="IndexLink"/>
                <w:rtl w:val="true"/>
              </w:rPr>
              <w:tab/>
            </w:r>
            <w:r>
              <w:rPr>
                <w:rStyle w:val="IndexLink"/>
              </w:rPr>
              <w:t>246</w:t>
            </w:r>
          </w:hyperlink>
        </w:p>
        <w:p>
          <w:pPr>
            <w:pStyle w:val="Contents5"/>
            <w:tabs>
              <w:tab w:val="clear" w:pos="7892"/>
              <w:tab w:val="right" w:pos="9026" w:leader="dot"/>
            </w:tabs>
            <w:rPr/>
          </w:pPr>
          <w:hyperlink w:anchor="__RefHeading___Toc656851_2749589250">
            <w:r>
              <w:rPr>
                <w:webHidden/>
                <w:rStyle w:val="IndexLink"/>
                <w:rtl w:val="true"/>
              </w:rPr>
              <w:t>العاشرة</w:t>
            </w:r>
            <w:r>
              <w:rPr>
                <w:rStyle w:val="IndexLink"/>
                <w:rtl w:val="true"/>
              </w:rPr>
              <w:t xml:space="preserve">: </w:t>
            </w:r>
            <w:r>
              <w:rPr>
                <w:rStyle w:val="IndexLink"/>
                <w:rtl w:val="true"/>
              </w:rPr>
              <w:t>الزّنا بالمیّتة او المیّت کالزّنا با لحیّة و الحیّ</w:t>
            </w:r>
            <w:r>
              <w:rPr>
                <w:rStyle w:val="IndexLink"/>
                <w:rtl w:val="true"/>
              </w:rPr>
              <w:tab/>
            </w:r>
            <w:r>
              <w:rPr>
                <w:rStyle w:val="IndexLink"/>
              </w:rPr>
              <w:t>248</w:t>
            </w:r>
          </w:hyperlink>
        </w:p>
        <w:p>
          <w:pPr>
            <w:pStyle w:val="Contents4"/>
            <w:tabs>
              <w:tab w:val="clear" w:pos="8176"/>
              <w:tab w:val="right" w:pos="9026" w:leader="dot"/>
            </w:tabs>
            <w:rPr/>
          </w:pPr>
          <w:hyperlink w:anchor="__RefHeading___Toc656853_2749589250">
            <w:r>
              <w:rPr>
                <w:webHidden/>
                <w:rStyle w:val="IndexLink"/>
                <w:rtl w:val="true"/>
              </w:rPr>
              <w:t>(</w:t>
            </w:r>
            <w:r>
              <w:rPr>
                <w:rStyle w:val="IndexLink"/>
                <w:rtl w:val="true"/>
              </w:rPr>
              <w:t>مسائل</w:t>
            </w:r>
            <w:r>
              <w:rPr>
                <w:rStyle w:val="IndexLink"/>
                <w:rtl w:val="true"/>
              </w:rPr>
              <w:t>)</w:t>
              <w:tab/>
            </w:r>
            <w:r>
              <w:rPr>
                <w:rStyle w:val="IndexLink"/>
              </w:rPr>
              <w:t>252</w:t>
            </w:r>
          </w:hyperlink>
        </w:p>
        <w:p>
          <w:pPr>
            <w:pStyle w:val="Contents5"/>
            <w:tabs>
              <w:tab w:val="clear" w:pos="7892"/>
              <w:tab w:val="right" w:pos="9026" w:leader="dot"/>
            </w:tabs>
            <w:rPr/>
          </w:pPr>
          <w:hyperlink w:anchor="__RefHeading___Toc656855_2749589250">
            <w:r>
              <w:rPr>
                <w:webHidden/>
                <w:rStyle w:val="IndexLink"/>
                <w:rtl w:val="true"/>
              </w:rPr>
              <w:t>الاولی</w:t>
            </w:r>
            <w:r>
              <w:rPr>
                <w:rStyle w:val="IndexLink"/>
                <w:rtl w:val="true"/>
              </w:rPr>
              <w:t xml:space="preserve">: </w:t>
            </w:r>
            <w:r>
              <w:rPr>
                <w:rStyle w:val="IndexLink"/>
                <w:rtl w:val="true"/>
              </w:rPr>
              <w:t>لو اقرّ بحدّ ثمّ انکر فیسقط موجبه ان کان رجما</w:t>
            </w:r>
            <w:r>
              <w:rPr>
                <w:rStyle w:val="IndexLink"/>
                <w:rtl w:val="true"/>
              </w:rPr>
              <w:tab/>
            </w:r>
            <w:r>
              <w:rPr>
                <w:rStyle w:val="IndexLink"/>
              </w:rPr>
              <w:t>252</w:t>
            </w:r>
          </w:hyperlink>
        </w:p>
        <w:p>
          <w:pPr>
            <w:pStyle w:val="Contents5"/>
            <w:tabs>
              <w:tab w:val="clear" w:pos="7892"/>
              <w:tab w:val="right" w:pos="9026" w:leader="dot"/>
            </w:tabs>
            <w:rPr/>
          </w:pPr>
          <w:hyperlink w:anchor="__RefHeading___Toc656857_2749589250">
            <w:r>
              <w:rPr>
                <w:webHidden/>
                <w:rStyle w:val="IndexLink"/>
                <w:rtl w:val="true"/>
              </w:rPr>
              <w:t>الثّانیة</w:t>
            </w:r>
            <w:r>
              <w:rPr>
                <w:rStyle w:val="IndexLink"/>
                <w:rtl w:val="true"/>
              </w:rPr>
              <w:t xml:space="preserve">: </w:t>
            </w:r>
            <w:r>
              <w:rPr>
                <w:rStyle w:val="IndexLink"/>
                <w:rtl w:val="true"/>
              </w:rPr>
              <w:t>لو اقرّ بحد ثمّ تاب فالامام مخیّر بین اقامته و عفوه اذا کان رجماً</w:t>
            </w:r>
            <w:r>
              <w:rPr>
                <w:rStyle w:val="IndexLink"/>
                <w:rtl w:val="true"/>
              </w:rPr>
              <w:tab/>
            </w:r>
            <w:r>
              <w:rPr>
                <w:rStyle w:val="IndexLink"/>
              </w:rPr>
              <w:t>256</w:t>
            </w:r>
          </w:hyperlink>
        </w:p>
        <w:p>
          <w:pPr>
            <w:pStyle w:val="Contents5"/>
            <w:tabs>
              <w:tab w:val="clear" w:pos="7892"/>
              <w:tab w:val="right" w:pos="9026" w:leader="dot"/>
            </w:tabs>
            <w:rPr/>
          </w:pPr>
          <w:hyperlink w:anchor="__RefHeading___Toc656859_2749589250">
            <w:r>
              <w:rPr>
                <w:webHidden/>
                <w:rStyle w:val="IndexLink"/>
                <w:rtl w:val="true"/>
              </w:rPr>
              <w:t>الثّالثة</w:t>
            </w:r>
            <w:r>
              <w:rPr>
                <w:rStyle w:val="IndexLink"/>
                <w:rtl w:val="true"/>
              </w:rPr>
              <w:t xml:space="preserve">: </w:t>
            </w:r>
            <w:r>
              <w:rPr>
                <w:rStyle w:val="IndexLink"/>
                <w:rtl w:val="true"/>
              </w:rPr>
              <w:t>من تاب قبل قیام البیّنة سقط عنه الحدّ</w:t>
            </w:r>
            <w:r>
              <w:rPr>
                <w:rStyle w:val="IndexLink"/>
                <w:rtl w:val="true"/>
              </w:rPr>
              <w:tab/>
            </w:r>
            <w:r>
              <w:rPr>
                <w:rStyle w:val="IndexLink"/>
              </w:rPr>
              <w:t>259</w:t>
            </w:r>
          </w:hyperlink>
        </w:p>
        <w:p>
          <w:pPr>
            <w:pStyle w:val="Contents5"/>
            <w:tabs>
              <w:tab w:val="clear" w:pos="7892"/>
              <w:tab w:val="right" w:pos="9026" w:leader="dot"/>
            </w:tabs>
            <w:rPr/>
          </w:pPr>
          <w:hyperlink w:anchor="__RefHeading___Toc656861_2749589250">
            <w:r>
              <w:rPr>
                <w:webHidden/>
                <w:rStyle w:val="IndexLink"/>
                <w:rtl w:val="true"/>
              </w:rPr>
              <w:t>الرّابعة لو حملت بلابعل لم تحدّ</w:t>
            </w:r>
            <w:r>
              <w:rPr>
                <w:rStyle w:val="IndexLink"/>
                <w:rtl w:val="true"/>
              </w:rPr>
              <w:tab/>
            </w:r>
            <w:r>
              <w:rPr>
                <w:rStyle w:val="IndexLink"/>
              </w:rPr>
              <w:t>263</w:t>
            </w:r>
          </w:hyperlink>
        </w:p>
        <w:p>
          <w:pPr>
            <w:pStyle w:val="Contents4"/>
            <w:tabs>
              <w:tab w:val="clear" w:pos="8176"/>
              <w:tab w:val="right" w:pos="9026" w:leader="dot"/>
            </w:tabs>
            <w:rPr/>
          </w:pPr>
          <w:hyperlink w:anchor="__RefHeading___Toc656863_2749589250">
            <w:r>
              <w:rPr>
                <w:webHidden/>
                <w:rStyle w:val="IndexLink"/>
                <w:rtl w:val="true"/>
              </w:rPr>
              <w:t>(</w:t>
            </w:r>
            <w:r>
              <w:rPr>
                <w:rStyle w:val="IndexLink"/>
                <w:rtl w:val="true"/>
              </w:rPr>
              <w:t>مسائل عشر</w:t>
            </w:r>
            <w:r>
              <w:rPr>
                <w:rStyle w:val="IndexLink"/>
                <w:rtl w:val="true"/>
              </w:rPr>
              <w:t>)</w:t>
              <w:tab/>
            </w:r>
            <w:r>
              <w:rPr>
                <w:rStyle w:val="IndexLink"/>
              </w:rPr>
              <w:t>264</w:t>
            </w:r>
          </w:hyperlink>
        </w:p>
        <w:p>
          <w:pPr>
            <w:pStyle w:val="Contents5"/>
            <w:tabs>
              <w:tab w:val="clear" w:pos="7892"/>
              <w:tab w:val="right" w:pos="9026" w:leader="dot"/>
            </w:tabs>
            <w:rPr/>
          </w:pPr>
          <w:hyperlink w:anchor="__RefHeading___Toc656865_2749589250">
            <w:r>
              <w:rPr>
                <w:webHidden/>
                <w:rStyle w:val="IndexLink"/>
                <w:rtl w:val="true"/>
              </w:rPr>
              <w:t>الاولی</w:t>
            </w:r>
            <w:r>
              <w:rPr>
                <w:rStyle w:val="IndexLink"/>
                <w:rtl w:val="true"/>
              </w:rPr>
              <w:t xml:space="preserve">: </w:t>
            </w:r>
            <w:r>
              <w:rPr>
                <w:rStyle w:val="IndexLink"/>
                <w:rtl w:val="true"/>
              </w:rPr>
              <w:t>اذا شهد اربعة عدول بالزّنا قبلاً وادّعت انّها بکر و شهدت اربع نساء فلا تحدّ</w:t>
            </w:r>
            <w:r>
              <w:rPr>
                <w:rStyle w:val="IndexLink"/>
                <w:rtl w:val="true"/>
              </w:rPr>
              <w:tab/>
            </w:r>
            <w:r>
              <w:rPr>
                <w:rStyle w:val="IndexLink"/>
              </w:rPr>
              <w:t>264</w:t>
            </w:r>
          </w:hyperlink>
        </w:p>
        <w:p>
          <w:pPr>
            <w:pStyle w:val="Contents5"/>
            <w:tabs>
              <w:tab w:val="clear" w:pos="7892"/>
              <w:tab w:val="right" w:pos="9026" w:leader="dot"/>
            </w:tabs>
            <w:rPr/>
          </w:pPr>
          <w:hyperlink w:anchor="__RefHeading___Toc656867_2749589250">
            <w:r>
              <w:rPr>
                <w:webHidden/>
                <w:rStyle w:val="IndexLink"/>
                <w:rtl w:val="true"/>
              </w:rPr>
              <w:t>یثبت لو کانت الشّهادة علی الوطی فی الدّبر</w:t>
            </w:r>
            <w:r>
              <w:rPr>
                <w:rStyle w:val="IndexLink"/>
                <w:rtl w:val="true"/>
              </w:rPr>
              <w:tab/>
            </w:r>
            <w:r>
              <w:rPr>
                <w:rStyle w:val="IndexLink"/>
              </w:rPr>
              <w:t>266</w:t>
            </w:r>
          </w:hyperlink>
        </w:p>
        <w:p>
          <w:pPr>
            <w:pStyle w:val="Contents5"/>
            <w:tabs>
              <w:tab w:val="clear" w:pos="7892"/>
              <w:tab w:val="right" w:pos="9026" w:leader="dot"/>
            </w:tabs>
            <w:rPr/>
          </w:pPr>
          <w:hyperlink w:anchor="__RefHeading___Toc656869_2749589250">
            <w:r>
              <w:rPr>
                <w:webHidden/>
                <w:rStyle w:val="IndexLink"/>
                <w:rtl w:val="true"/>
              </w:rPr>
              <w:t>الثّانیة</w:t>
            </w:r>
            <w:r>
              <w:rPr>
                <w:rStyle w:val="IndexLink"/>
                <w:rtl w:val="true"/>
              </w:rPr>
              <w:t xml:space="preserve">: </w:t>
            </w:r>
            <w:r>
              <w:rPr>
                <w:rStyle w:val="IndexLink"/>
                <w:rtl w:val="true"/>
              </w:rPr>
              <w:t>عدم الشترای بدء الشّهود و الامام لرمی الآخرین</w:t>
            </w:r>
            <w:r>
              <w:rPr>
                <w:rStyle w:val="IndexLink"/>
                <w:rtl w:val="true"/>
              </w:rPr>
              <w:tab/>
            </w:r>
            <w:r>
              <w:rPr>
                <w:rStyle w:val="IndexLink"/>
              </w:rPr>
              <w:t>268</w:t>
            </w:r>
          </w:hyperlink>
        </w:p>
        <w:p>
          <w:pPr>
            <w:pStyle w:val="Contents5"/>
            <w:tabs>
              <w:tab w:val="clear" w:pos="7892"/>
              <w:tab w:val="right" w:pos="9026" w:leader="dot"/>
            </w:tabs>
            <w:rPr/>
          </w:pPr>
          <w:hyperlink w:anchor="__RefHeading___Toc656871_2749589250">
            <w:r>
              <w:rPr>
                <w:webHidden/>
                <w:rStyle w:val="IndexLink"/>
                <w:rtl w:val="true"/>
              </w:rPr>
              <w:t>الثّالثة</w:t>
            </w:r>
            <w:r>
              <w:rPr>
                <w:rStyle w:val="IndexLink"/>
                <w:rtl w:val="true"/>
              </w:rPr>
              <w:t xml:space="preserve">: </w:t>
            </w:r>
            <w:r>
              <w:rPr>
                <w:rStyle w:val="IndexLink"/>
                <w:rtl w:val="true"/>
              </w:rPr>
              <w:t>قبول شهادة الزّوج اذا کان احد شهود الزّنا</w:t>
            </w:r>
            <w:r>
              <w:rPr>
                <w:rStyle w:val="IndexLink"/>
                <w:rtl w:val="true"/>
              </w:rPr>
              <w:tab/>
            </w:r>
            <w:r>
              <w:rPr>
                <w:rStyle w:val="IndexLink"/>
              </w:rPr>
              <w:t>271</w:t>
            </w:r>
          </w:hyperlink>
        </w:p>
        <w:p>
          <w:pPr>
            <w:pStyle w:val="Contents5"/>
            <w:tabs>
              <w:tab w:val="clear" w:pos="7892"/>
              <w:tab w:val="right" w:pos="9026" w:leader="dot"/>
            </w:tabs>
            <w:rPr/>
          </w:pPr>
          <w:hyperlink w:anchor="__RefHeading___Toc656873_2749589250">
            <w:r>
              <w:rPr>
                <w:webHidden/>
                <w:rStyle w:val="IndexLink"/>
                <w:rtl w:val="true"/>
              </w:rPr>
              <w:t>الرّابعة</w:t>
            </w:r>
            <w:r>
              <w:rPr>
                <w:rStyle w:val="IndexLink"/>
                <w:rtl w:val="true"/>
              </w:rPr>
              <w:t xml:space="preserve">: </w:t>
            </w:r>
            <w:r>
              <w:rPr>
                <w:rStyle w:val="IndexLink"/>
                <w:rtl w:val="true"/>
              </w:rPr>
              <w:t>لو ردّ شهادة بعض الشّهود بأمر ظاهر او کلّهم حدّ الجمیع</w:t>
            </w:r>
            <w:r>
              <w:rPr>
                <w:rStyle w:val="IndexLink"/>
                <w:rtl w:val="true"/>
              </w:rPr>
              <w:tab/>
            </w:r>
            <w:r>
              <w:rPr>
                <w:rStyle w:val="IndexLink"/>
              </w:rPr>
              <w:t>275</w:t>
            </w:r>
          </w:hyperlink>
        </w:p>
        <w:p>
          <w:pPr>
            <w:pStyle w:val="Contents5"/>
            <w:tabs>
              <w:tab w:val="clear" w:pos="7892"/>
              <w:tab w:val="right" w:pos="9026" w:leader="dot"/>
            </w:tabs>
            <w:rPr/>
          </w:pPr>
          <w:hyperlink w:anchor="__RefHeading___Toc656875_2749589250">
            <w:r>
              <w:rPr>
                <w:webHidden/>
                <w:rStyle w:val="IndexLink"/>
                <w:rtl w:val="true"/>
              </w:rPr>
              <w:t>الخامسة</w:t>
            </w:r>
            <w:r>
              <w:rPr>
                <w:rStyle w:val="IndexLink"/>
                <w:rtl w:val="true"/>
              </w:rPr>
              <w:t xml:space="preserve">: </w:t>
            </w:r>
            <w:r>
              <w:rPr>
                <w:rStyle w:val="IndexLink"/>
                <w:rtl w:val="true"/>
              </w:rPr>
              <w:t>اذا وجد مع زوجته رجلا یزنی بها مطاوعة</w:t>
            </w:r>
            <w:r>
              <w:rPr>
                <w:rStyle w:val="IndexLink"/>
                <w:rtl w:val="true"/>
              </w:rPr>
              <w:tab/>
            </w:r>
            <w:r>
              <w:rPr>
                <w:rStyle w:val="IndexLink"/>
              </w:rPr>
              <w:t>278</w:t>
            </w:r>
          </w:hyperlink>
        </w:p>
        <w:p>
          <w:pPr>
            <w:pStyle w:val="Contents5"/>
            <w:tabs>
              <w:tab w:val="clear" w:pos="7892"/>
              <w:tab w:val="right" w:pos="9026" w:leader="dot"/>
            </w:tabs>
            <w:rPr/>
          </w:pPr>
          <w:hyperlink w:anchor="__RefHeading___Toc656877_2749589250">
            <w:r>
              <w:rPr>
                <w:webHidden/>
                <w:rStyle w:val="IndexLink"/>
                <w:rtl w:val="true"/>
              </w:rPr>
              <w:t>السّادسة</w:t>
            </w:r>
            <w:r>
              <w:rPr>
                <w:rStyle w:val="IndexLink"/>
                <w:rtl w:val="true"/>
              </w:rPr>
              <w:t xml:space="preserve">: </w:t>
            </w:r>
            <w:r>
              <w:rPr>
                <w:rStyle w:val="IndexLink"/>
                <w:rtl w:val="true"/>
              </w:rPr>
              <w:t>اذا زنی فی مکان شریف او زمان کذلک عوقب زیادة عن الحدّ</w:t>
            </w:r>
            <w:r>
              <w:rPr>
                <w:rStyle w:val="IndexLink"/>
                <w:rtl w:val="true"/>
              </w:rPr>
              <w:tab/>
            </w:r>
            <w:r>
              <w:rPr>
                <w:rStyle w:val="IndexLink"/>
              </w:rPr>
              <w:t>279</w:t>
            </w:r>
          </w:hyperlink>
        </w:p>
        <w:p>
          <w:pPr>
            <w:pStyle w:val="Contents5"/>
            <w:tabs>
              <w:tab w:val="clear" w:pos="7892"/>
              <w:tab w:val="right" w:pos="9026" w:leader="dot"/>
            </w:tabs>
            <w:rPr/>
          </w:pPr>
          <w:hyperlink w:anchor="__RefHeading___Toc656879_2749589250">
            <w:r>
              <w:rPr>
                <w:webHidden/>
                <w:rStyle w:val="IndexLink"/>
                <w:rtl w:val="true"/>
              </w:rPr>
              <w:t>لو اقرّ بحدّ و لم یبیّن</w:t>
            </w:r>
            <w:r>
              <w:rPr>
                <w:rStyle w:val="IndexLink"/>
                <w:rtl w:val="true"/>
              </w:rPr>
              <w:t xml:space="preserve">: </w:t>
            </w:r>
            <w:r>
              <w:rPr>
                <w:rStyle w:val="IndexLink"/>
                <w:rtl w:val="true"/>
              </w:rPr>
              <w:t>ضرب حتّی ینهی عن نفسه</w:t>
            </w:r>
            <w:r>
              <w:rPr>
                <w:rStyle w:val="IndexLink"/>
                <w:rtl w:val="true"/>
              </w:rPr>
              <w:tab/>
            </w:r>
            <w:r>
              <w:rPr>
                <w:rStyle w:val="IndexLink"/>
              </w:rPr>
              <w:t>280</w:t>
            </w:r>
          </w:hyperlink>
        </w:p>
        <w:p>
          <w:pPr>
            <w:pStyle w:val="Contents2"/>
            <w:tabs>
              <w:tab w:val="clear" w:pos="8743"/>
              <w:tab w:val="right" w:pos="9026" w:leader="dot"/>
            </w:tabs>
            <w:rPr/>
          </w:pPr>
          <w:hyperlink w:anchor="__RefHeading___Toc656881_2749589250">
            <w:r>
              <w:rPr>
                <w:webHidden/>
                <w:rStyle w:val="IndexLink"/>
                <w:rtl w:val="true"/>
              </w:rPr>
              <w:t>الکلام فی اللّواط</w:t>
            </w:r>
            <w:r>
              <w:rPr>
                <w:rStyle w:val="IndexLink"/>
                <w:rtl w:val="true"/>
              </w:rPr>
              <w:tab/>
            </w:r>
            <w:r>
              <w:rPr>
                <w:rStyle w:val="IndexLink"/>
              </w:rPr>
              <w:t>283</w:t>
            </w:r>
          </w:hyperlink>
        </w:p>
        <w:p>
          <w:pPr>
            <w:pStyle w:val="Contents3"/>
            <w:tabs>
              <w:tab w:val="clear" w:pos="8459"/>
              <w:tab w:val="right" w:pos="9026" w:leader="dot"/>
            </w:tabs>
            <w:rPr/>
          </w:pPr>
          <w:hyperlink w:anchor="__RefHeading___Toc656883_2749589250">
            <w:r>
              <w:rPr>
                <w:webHidden/>
                <w:rStyle w:val="IndexLink"/>
                <w:rtl w:val="true"/>
              </w:rPr>
              <w:t>اشارة</w:t>
            </w:r>
            <w:r>
              <w:rPr>
                <w:rStyle w:val="IndexLink"/>
                <w:rtl w:val="true"/>
              </w:rPr>
              <w:tab/>
            </w:r>
            <w:r>
              <w:rPr>
                <w:rStyle w:val="IndexLink"/>
              </w:rPr>
              <w:t>283</w:t>
            </w:r>
          </w:hyperlink>
        </w:p>
        <w:p>
          <w:pPr>
            <w:pStyle w:val="Contents3"/>
            <w:tabs>
              <w:tab w:val="clear" w:pos="8459"/>
              <w:tab w:val="right" w:pos="9026" w:leader="dot"/>
            </w:tabs>
            <w:rPr/>
          </w:pPr>
          <w:hyperlink w:anchor="__RefHeading___Toc656885_2749589250">
            <w:r>
              <w:rPr>
                <w:webHidden/>
                <w:rStyle w:val="IndexLink"/>
                <w:rtl w:val="true"/>
              </w:rPr>
              <w:t>یثبت بالاقرار اربع مرّات</w:t>
            </w:r>
            <w:r>
              <w:rPr>
                <w:rStyle w:val="IndexLink"/>
                <w:rtl w:val="true"/>
              </w:rPr>
              <w:tab/>
            </w:r>
            <w:r>
              <w:rPr>
                <w:rStyle w:val="IndexLink"/>
              </w:rPr>
              <w:t>285</w:t>
            </w:r>
          </w:hyperlink>
        </w:p>
        <w:p>
          <w:pPr>
            <w:pStyle w:val="Contents3"/>
            <w:tabs>
              <w:tab w:val="clear" w:pos="8459"/>
              <w:tab w:val="right" w:pos="9026" w:leader="dot"/>
            </w:tabs>
            <w:rPr/>
          </w:pPr>
          <w:hyperlink w:anchor="__RefHeading___Toc656887_2749589250">
            <w:r>
              <w:rPr>
                <w:webHidden/>
                <w:rStyle w:val="IndexLink"/>
                <w:rtl w:val="true"/>
              </w:rPr>
              <w:t>و بشهادة اربعة شهود عدول</w:t>
            </w:r>
            <w:r>
              <w:rPr>
                <w:rStyle w:val="IndexLink"/>
                <w:rtl w:val="true"/>
              </w:rPr>
              <w:tab/>
            </w:r>
            <w:r>
              <w:rPr>
                <w:rStyle w:val="IndexLink"/>
              </w:rPr>
              <w:t>287</w:t>
            </w:r>
          </w:hyperlink>
        </w:p>
        <w:p>
          <w:pPr>
            <w:pStyle w:val="Contents3"/>
            <w:tabs>
              <w:tab w:val="clear" w:pos="8459"/>
              <w:tab w:val="right" w:pos="9026" w:leader="dot"/>
            </w:tabs>
            <w:rPr/>
          </w:pPr>
          <w:hyperlink w:anchor="__RefHeading___Toc656889_2749589250">
            <w:r>
              <w:rPr>
                <w:webHidden/>
                <w:rStyle w:val="IndexLink"/>
                <w:rtl w:val="true"/>
              </w:rPr>
              <w:t>لو لاط عاقل بمجنون حدّ العاقل او صغیر بکبیر حدّ الکبیر و ادّب الصغیر</w:t>
            </w:r>
            <w:r>
              <w:rPr>
                <w:rStyle w:val="IndexLink"/>
                <w:rtl w:val="true"/>
              </w:rPr>
              <w:tab/>
            </w:r>
            <w:r>
              <w:rPr>
                <w:rStyle w:val="IndexLink"/>
              </w:rPr>
              <w:t>289</w:t>
            </w:r>
          </w:hyperlink>
        </w:p>
        <w:p>
          <w:pPr>
            <w:pStyle w:val="Contents3"/>
            <w:tabs>
              <w:tab w:val="clear" w:pos="8459"/>
              <w:tab w:val="right" w:pos="9026" w:leader="dot"/>
            </w:tabs>
            <w:rPr/>
          </w:pPr>
          <w:hyperlink w:anchor="__RefHeading___Toc656891_2749589250">
            <w:r>
              <w:rPr>
                <w:webHidden/>
                <w:rStyle w:val="IndexLink"/>
                <w:rtl w:val="true"/>
              </w:rPr>
              <w:t>(</w:t>
            </w:r>
            <w:r>
              <w:rPr>
                <w:rStyle w:val="IndexLink"/>
                <w:rtl w:val="true"/>
              </w:rPr>
              <w:t>فی حدّ اللّواط</w:t>
            </w:r>
            <w:r>
              <w:rPr>
                <w:rStyle w:val="IndexLink"/>
                <w:rtl w:val="true"/>
              </w:rPr>
              <w:t>)</w:t>
              <w:tab/>
            </w:r>
            <w:r>
              <w:rPr>
                <w:rStyle w:val="IndexLink"/>
              </w:rPr>
              <w:t>290</w:t>
            </w:r>
          </w:hyperlink>
        </w:p>
        <w:p>
          <w:pPr>
            <w:pStyle w:val="Contents4"/>
            <w:tabs>
              <w:tab w:val="clear" w:pos="8176"/>
              <w:tab w:val="right" w:pos="9026" w:leader="dot"/>
            </w:tabs>
            <w:rPr/>
          </w:pPr>
          <w:hyperlink w:anchor="__RefHeading___Toc656893_2749589250">
            <w:r>
              <w:rPr>
                <w:webHidden/>
                <w:rStyle w:val="IndexLink"/>
                <w:rtl w:val="true"/>
              </w:rPr>
              <w:t>اشارة</w:t>
            </w:r>
            <w:r>
              <w:rPr>
                <w:rStyle w:val="IndexLink"/>
                <w:rtl w:val="true"/>
              </w:rPr>
              <w:tab/>
            </w:r>
            <w:r>
              <w:rPr>
                <w:rStyle w:val="IndexLink"/>
              </w:rPr>
              <w:t>290</w:t>
            </w:r>
          </w:hyperlink>
        </w:p>
        <w:p>
          <w:pPr>
            <w:pStyle w:val="Contents4"/>
            <w:tabs>
              <w:tab w:val="clear" w:pos="8176"/>
              <w:tab w:val="right" w:pos="9026" w:leader="dot"/>
            </w:tabs>
            <w:rPr/>
          </w:pPr>
          <w:hyperlink w:anchor="__RefHeading___Toc656895_2749589250">
            <w:r>
              <w:rPr>
                <w:webHidden/>
                <w:rStyle w:val="IndexLink"/>
                <w:rtl w:val="true"/>
              </w:rPr>
              <w:t>اللّواط بایقاب البالغ العاقل الحرّ المختار حدّه القتل باحد امور خمسة</w:t>
            </w:r>
            <w:r>
              <w:rPr>
                <w:rStyle w:val="IndexLink"/>
                <w:rtl w:val="true"/>
              </w:rPr>
              <w:tab/>
            </w:r>
            <w:r>
              <w:rPr>
                <w:rStyle w:val="IndexLink"/>
              </w:rPr>
              <w:t>290</w:t>
            </w:r>
          </w:hyperlink>
        </w:p>
        <w:p>
          <w:pPr>
            <w:pStyle w:val="Contents4"/>
            <w:tabs>
              <w:tab w:val="clear" w:pos="8176"/>
              <w:tab w:val="right" w:pos="9026" w:leader="dot"/>
            </w:tabs>
            <w:rPr/>
          </w:pPr>
          <w:hyperlink w:anchor="__RefHeading___Toc656897_2749589250">
            <w:r>
              <w:rPr>
                <w:webHidden/>
                <w:rStyle w:val="IndexLink"/>
                <w:rtl w:val="true"/>
              </w:rPr>
              <w:t>الضّرب بالسّیف و الاهداب من جبل و الاحراق بالنّار و الرّجم و القاء جدار علیه</w:t>
            </w:r>
            <w:r>
              <w:rPr>
                <w:rStyle w:val="IndexLink"/>
                <w:rtl w:val="true"/>
              </w:rPr>
              <w:tab/>
            </w:r>
            <w:r>
              <w:rPr>
                <w:rStyle w:val="IndexLink"/>
              </w:rPr>
              <w:t>294</w:t>
            </w:r>
          </w:hyperlink>
        </w:p>
        <w:p>
          <w:pPr>
            <w:pStyle w:val="Contents4"/>
            <w:tabs>
              <w:tab w:val="clear" w:pos="8176"/>
              <w:tab w:val="right" w:pos="9026" w:leader="dot"/>
            </w:tabs>
            <w:rPr/>
          </w:pPr>
          <w:hyperlink w:anchor="__RefHeading___Toc656899_2749589250">
            <w:r>
              <w:rPr>
                <w:webHidden/>
                <w:rStyle w:val="IndexLink"/>
                <w:rtl w:val="true"/>
              </w:rPr>
              <w:t>بدون الایقاب فیه جلده مأة</w:t>
            </w:r>
            <w:r>
              <w:rPr>
                <w:rStyle w:val="IndexLink"/>
                <w:rtl w:val="true"/>
              </w:rPr>
              <w:tab/>
            </w:r>
            <w:r>
              <w:rPr>
                <w:rStyle w:val="IndexLink"/>
              </w:rPr>
              <w:t>298</w:t>
            </w:r>
          </w:hyperlink>
        </w:p>
        <w:p>
          <w:pPr>
            <w:pStyle w:val="Contents4"/>
            <w:tabs>
              <w:tab w:val="clear" w:pos="8176"/>
              <w:tab w:val="right" w:pos="9026" w:leader="dot"/>
            </w:tabs>
            <w:rPr/>
          </w:pPr>
          <w:hyperlink w:anchor="__RefHeading___Toc656901_2749589250">
            <w:r>
              <w:rPr>
                <w:webHidden/>
                <w:rStyle w:val="IndexLink"/>
                <w:rtl w:val="true"/>
              </w:rPr>
              <w:t>انتصاف الحدّ فی العبد</w:t>
            </w:r>
            <w:r>
              <w:rPr>
                <w:rStyle w:val="IndexLink"/>
                <w:rtl w:val="true"/>
              </w:rPr>
              <w:tab/>
            </w:r>
            <w:r>
              <w:rPr>
                <w:rStyle w:val="IndexLink"/>
              </w:rPr>
              <w:t>300</w:t>
            </w:r>
          </w:hyperlink>
        </w:p>
        <w:p>
          <w:pPr>
            <w:pStyle w:val="Contents4"/>
            <w:tabs>
              <w:tab w:val="clear" w:pos="8176"/>
              <w:tab w:val="right" w:pos="9026" w:leader="dot"/>
            </w:tabs>
            <w:rPr/>
          </w:pPr>
          <w:hyperlink w:anchor="__RefHeading___Toc656903_2749589250">
            <w:r>
              <w:rPr>
                <w:webHidden/>
                <w:rStyle w:val="IndexLink"/>
                <w:rtl w:val="true"/>
              </w:rPr>
              <w:t>الملوط یقتل مع الایقاب</w:t>
            </w:r>
            <w:r>
              <w:rPr>
                <w:rStyle w:val="IndexLink"/>
                <w:rtl w:val="true"/>
              </w:rPr>
              <w:tab/>
            </w:r>
            <w:r>
              <w:rPr>
                <w:rStyle w:val="IndexLink"/>
              </w:rPr>
              <w:t>301</w:t>
            </w:r>
          </w:hyperlink>
        </w:p>
        <w:p>
          <w:pPr>
            <w:pStyle w:val="Contents4"/>
            <w:tabs>
              <w:tab w:val="clear" w:pos="8176"/>
              <w:tab w:val="right" w:pos="9026" w:leader="dot"/>
            </w:tabs>
            <w:rPr/>
          </w:pPr>
          <w:hyperlink w:anchor="__RefHeading___Toc656905_2749589250">
            <w:r>
              <w:rPr>
                <w:webHidden/>
                <w:rStyle w:val="IndexLink"/>
                <w:rtl w:val="true"/>
              </w:rPr>
              <w:t>بضرب العنق او الرّجم او الاحراق</w:t>
            </w:r>
            <w:r>
              <w:rPr>
                <w:rStyle w:val="IndexLink"/>
                <w:rtl w:val="true"/>
              </w:rPr>
              <w:tab/>
            </w:r>
            <w:r>
              <w:rPr>
                <w:rStyle w:val="IndexLink"/>
              </w:rPr>
              <w:t>302</w:t>
            </w:r>
          </w:hyperlink>
        </w:p>
        <w:p>
          <w:pPr>
            <w:pStyle w:val="Contents4"/>
            <w:tabs>
              <w:tab w:val="clear" w:pos="8176"/>
              <w:tab w:val="right" w:pos="9026" w:leader="dot"/>
            </w:tabs>
            <w:rPr/>
          </w:pPr>
          <w:hyperlink w:anchor="__RefHeading___Toc656907_2749589250">
            <w:r>
              <w:rPr>
                <w:webHidden/>
                <w:rStyle w:val="IndexLink"/>
                <w:rtl w:val="true"/>
              </w:rPr>
              <w:t>بدون الایقاب یجلد مأة</w:t>
            </w:r>
            <w:r>
              <w:rPr>
                <w:rStyle w:val="IndexLink"/>
                <w:rtl w:val="true"/>
              </w:rPr>
              <w:tab/>
            </w:r>
            <w:r>
              <w:rPr>
                <w:rStyle w:val="IndexLink"/>
              </w:rPr>
              <w:t>304</w:t>
            </w:r>
          </w:hyperlink>
        </w:p>
        <w:p>
          <w:pPr>
            <w:pStyle w:val="Contents4"/>
            <w:tabs>
              <w:tab w:val="clear" w:pos="8176"/>
              <w:tab w:val="right" w:pos="9026" w:leader="dot"/>
            </w:tabs>
            <w:rPr/>
          </w:pPr>
          <w:hyperlink w:anchor="__RefHeading___Toc656909_2749589250">
            <w:r>
              <w:rPr>
                <w:webHidden/>
                <w:rStyle w:val="IndexLink"/>
                <w:rtl w:val="true"/>
              </w:rPr>
              <w:t>فی نوم الرّجلین عاریین او رجل و غلام او امرأتین او امرأة و جاریة عاریتین</w:t>
            </w:r>
            <w:r>
              <w:rPr>
                <w:rStyle w:val="IndexLink"/>
                <w:rtl w:val="true"/>
              </w:rPr>
              <w:tab/>
            </w:r>
            <w:r>
              <w:rPr>
                <w:rStyle w:val="IndexLink"/>
              </w:rPr>
              <w:t>305</w:t>
            </w:r>
          </w:hyperlink>
        </w:p>
        <w:p>
          <w:pPr>
            <w:pStyle w:val="Contents4"/>
            <w:tabs>
              <w:tab w:val="clear" w:pos="8176"/>
              <w:tab w:val="right" w:pos="9026" w:leader="dot"/>
            </w:tabs>
            <w:rPr/>
          </w:pPr>
          <w:hyperlink w:anchor="__RefHeading___Toc656911_2749589250">
            <w:r>
              <w:rPr>
                <w:webHidden/>
                <w:rStyle w:val="IndexLink"/>
                <w:rtl w:val="true"/>
              </w:rPr>
              <w:t>(</w:t>
            </w:r>
            <w:r>
              <w:rPr>
                <w:rStyle w:val="IndexLink"/>
                <w:rtl w:val="true"/>
              </w:rPr>
              <w:t>مسائل</w:t>
            </w:r>
            <w:r>
              <w:rPr>
                <w:rStyle w:val="IndexLink"/>
                <w:rtl w:val="true"/>
              </w:rPr>
              <w:t>)</w:t>
              <w:tab/>
            </w:r>
            <w:r>
              <w:rPr>
                <w:rStyle w:val="IndexLink"/>
              </w:rPr>
              <w:t>311</w:t>
            </w:r>
          </w:hyperlink>
        </w:p>
        <w:p>
          <w:pPr>
            <w:pStyle w:val="Contents5"/>
            <w:tabs>
              <w:tab w:val="clear" w:pos="7892"/>
              <w:tab w:val="right" w:pos="9026" w:leader="dot"/>
            </w:tabs>
            <w:rPr/>
          </w:pPr>
          <w:hyperlink w:anchor="__RefHeading___Toc656913_2749589250">
            <w:r>
              <w:rPr>
                <w:webHidden/>
                <w:rStyle w:val="IndexLink"/>
                <w:rtl w:val="true"/>
              </w:rPr>
              <w:t>الاولی</w:t>
            </w:r>
            <w:r>
              <w:rPr>
                <w:rStyle w:val="IndexLink"/>
                <w:rtl w:val="true"/>
              </w:rPr>
              <w:t xml:space="preserve">: </w:t>
            </w:r>
            <w:r>
              <w:rPr>
                <w:rStyle w:val="IndexLink"/>
                <w:rtl w:val="true"/>
              </w:rPr>
              <w:t>لا فرق بین المسلم و غیره فی الحدّ</w:t>
            </w:r>
            <w:r>
              <w:rPr>
                <w:rStyle w:val="IndexLink"/>
                <w:rtl w:val="true"/>
              </w:rPr>
              <w:tab/>
            </w:r>
            <w:r>
              <w:rPr>
                <w:rStyle w:val="IndexLink"/>
              </w:rPr>
              <w:t>311</w:t>
            </w:r>
          </w:hyperlink>
        </w:p>
        <w:p>
          <w:pPr>
            <w:pStyle w:val="Contents5"/>
            <w:tabs>
              <w:tab w:val="clear" w:pos="7892"/>
              <w:tab w:val="right" w:pos="9026" w:leader="dot"/>
            </w:tabs>
            <w:rPr/>
          </w:pPr>
          <w:hyperlink w:anchor="__RefHeading___Toc656915_2749589250">
            <w:r>
              <w:rPr>
                <w:webHidden/>
                <w:rStyle w:val="IndexLink"/>
                <w:rtl w:val="true"/>
              </w:rPr>
              <w:t>الثّانیة</w:t>
            </w:r>
            <w:r>
              <w:rPr>
                <w:rStyle w:val="IndexLink"/>
                <w:rtl w:val="true"/>
              </w:rPr>
              <w:t xml:space="preserve">: </w:t>
            </w:r>
            <w:r>
              <w:rPr>
                <w:rStyle w:val="IndexLink"/>
                <w:rtl w:val="true"/>
              </w:rPr>
              <w:t>اذا تاب الّلائط او الملوط ففی الاقرار للامام العفو</w:t>
            </w:r>
            <w:r>
              <w:rPr>
                <w:rStyle w:val="IndexLink"/>
                <w:rtl w:val="true"/>
              </w:rPr>
              <w:tab/>
            </w:r>
            <w:r>
              <w:rPr>
                <w:rStyle w:val="IndexLink"/>
              </w:rPr>
              <w:t>314</w:t>
            </w:r>
          </w:hyperlink>
        </w:p>
        <w:p>
          <w:pPr>
            <w:pStyle w:val="Contents5"/>
            <w:tabs>
              <w:tab w:val="clear" w:pos="7892"/>
              <w:tab w:val="right" w:pos="9026" w:leader="dot"/>
            </w:tabs>
            <w:rPr/>
          </w:pPr>
          <w:hyperlink w:anchor="__RefHeading___Toc656917_2749589250">
            <w:r>
              <w:rPr>
                <w:webHidden/>
                <w:rStyle w:val="IndexLink"/>
                <w:rtl w:val="true"/>
              </w:rPr>
              <w:t>الثّالثة</w:t>
            </w:r>
            <w:r>
              <w:rPr>
                <w:rStyle w:val="IndexLink"/>
                <w:rtl w:val="true"/>
              </w:rPr>
              <w:t xml:space="preserve">: </w:t>
            </w:r>
            <w:r>
              <w:rPr>
                <w:rStyle w:val="IndexLink"/>
                <w:rtl w:val="true"/>
              </w:rPr>
              <w:t>اذا حدّ مرّتین فی اللّواط بدون الایقاب قتل فی الثّالثة</w:t>
            </w:r>
            <w:r>
              <w:rPr>
                <w:rStyle w:val="IndexLink"/>
                <w:rtl w:val="true"/>
              </w:rPr>
              <w:tab/>
            </w:r>
            <w:r>
              <w:rPr>
                <w:rStyle w:val="IndexLink"/>
              </w:rPr>
              <w:t>316</w:t>
            </w:r>
          </w:hyperlink>
        </w:p>
        <w:p>
          <w:pPr>
            <w:pStyle w:val="Contents5"/>
            <w:tabs>
              <w:tab w:val="clear" w:pos="7892"/>
              <w:tab w:val="right" w:pos="9026" w:leader="dot"/>
            </w:tabs>
            <w:rPr/>
          </w:pPr>
          <w:hyperlink w:anchor="__RefHeading___Toc656919_2749589250">
            <w:r>
              <w:rPr>
                <w:webHidden/>
                <w:rStyle w:val="IndexLink"/>
                <w:rtl w:val="true"/>
              </w:rPr>
              <w:t>الرّابعة</w:t>
            </w:r>
            <w:r>
              <w:rPr>
                <w:rStyle w:val="IndexLink"/>
                <w:rtl w:val="true"/>
              </w:rPr>
              <w:t xml:space="preserve">: </w:t>
            </w:r>
            <w:r>
              <w:rPr>
                <w:rStyle w:val="IndexLink"/>
                <w:rtl w:val="true"/>
              </w:rPr>
              <w:t>اذا جحد بعد الاقرار بموجب الرّجم لا یرجم</w:t>
            </w:r>
            <w:r>
              <w:rPr>
                <w:rStyle w:val="IndexLink"/>
                <w:rtl w:val="true"/>
              </w:rPr>
              <w:tab/>
            </w:r>
            <w:r>
              <w:rPr>
                <w:rStyle w:val="IndexLink"/>
              </w:rPr>
              <w:t>316</w:t>
            </w:r>
          </w:hyperlink>
        </w:p>
        <w:p>
          <w:pPr>
            <w:pStyle w:val="Contents5"/>
            <w:tabs>
              <w:tab w:val="clear" w:pos="7892"/>
              <w:tab w:val="right" w:pos="9026" w:leader="dot"/>
            </w:tabs>
            <w:rPr/>
          </w:pPr>
          <w:hyperlink w:anchor="__RefHeading___Toc656921_2749589250">
            <w:r>
              <w:rPr>
                <w:webHidden/>
                <w:rStyle w:val="IndexLink"/>
                <w:rtl w:val="true"/>
              </w:rPr>
              <w:t>الخامسة</w:t>
            </w:r>
            <w:r>
              <w:rPr>
                <w:rStyle w:val="IndexLink"/>
                <w:rtl w:val="true"/>
              </w:rPr>
              <w:t xml:space="preserve">: </w:t>
            </w:r>
            <w:r>
              <w:rPr>
                <w:rStyle w:val="IndexLink"/>
                <w:rtl w:val="true"/>
              </w:rPr>
              <w:t>اذا کان احدهما اوکلاهما من اهل الذّمة فللحاکم الخیار</w:t>
            </w:r>
            <w:r>
              <w:rPr>
                <w:rStyle w:val="IndexLink"/>
                <w:rtl w:val="true"/>
              </w:rPr>
              <w:tab/>
            </w:r>
            <w:r>
              <w:rPr>
                <w:rStyle w:val="IndexLink"/>
              </w:rPr>
              <w:t>317</w:t>
            </w:r>
          </w:hyperlink>
        </w:p>
        <w:p>
          <w:pPr>
            <w:pStyle w:val="Contents5"/>
            <w:tabs>
              <w:tab w:val="clear" w:pos="7892"/>
              <w:tab w:val="right" w:pos="9026" w:leader="dot"/>
            </w:tabs>
            <w:rPr/>
          </w:pPr>
          <w:hyperlink w:anchor="__RefHeading___Toc656923_2749589250">
            <w:r>
              <w:rPr>
                <w:webHidden/>
                <w:rStyle w:val="IndexLink"/>
                <w:rtl w:val="true"/>
              </w:rPr>
              <w:t>اللّواط بالمیّت کالحیّ</w:t>
            </w:r>
            <w:r>
              <w:rPr>
                <w:rStyle w:val="IndexLink"/>
                <w:rtl w:val="true"/>
              </w:rPr>
              <w:tab/>
            </w:r>
            <w:r>
              <w:rPr>
                <w:rStyle w:val="IndexLink"/>
              </w:rPr>
              <w:t>318</w:t>
            </w:r>
          </w:hyperlink>
        </w:p>
        <w:p>
          <w:pPr>
            <w:pStyle w:val="Contents3"/>
            <w:tabs>
              <w:tab w:val="clear" w:pos="8459"/>
              <w:tab w:val="right" w:pos="9026" w:leader="dot"/>
            </w:tabs>
            <w:rPr/>
          </w:pPr>
          <w:hyperlink w:anchor="__RefHeading___Toc656925_2749589250">
            <w:r>
              <w:rPr>
                <w:webHidden/>
                <w:rStyle w:val="IndexLink"/>
                <w:rtl w:val="true"/>
              </w:rPr>
              <w:t>(</w:t>
            </w:r>
            <w:r>
              <w:rPr>
                <w:rStyle w:val="IndexLink"/>
                <w:rtl w:val="true"/>
              </w:rPr>
              <w:t>فی حدّ المساحقة</w:t>
            </w:r>
            <w:r>
              <w:rPr>
                <w:rStyle w:val="IndexLink"/>
                <w:rtl w:val="true"/>
              </w:rPr>
              <w:t>)</w:t>
              <w:tab/>
            </w:r>
            <w:r>
              <w:rPr>
                <w:rStyle w:val="IndexLink"/>
              </w:rPr>
              <w:t>318</w:t>
            </w:r>
          </w:hyperlink>
        </w:p>
        <w:p>
          <w:pPr>
            <w:pStyle w:val="Contents4"/>
            <w:tabs>
              <w:tab w:val="clear" w:pos="8176"/>
              <w:tab w:val="right" w:pos="9026" w:leader="dot"/>
            </w:tabs>
            <w:rPr/>
          </w:pPr>
          <w:hyperlink w:anchor="__RefHeading___Toc656927_2749589250">
            <w:r>
              <w:rPr>
                <w:webHidden/>
                <w:rStyle w:val="IndexLink"/>
                <w:rtl w:val="true"/>
              </w:rPr>
              <w:t>اشارة</w:t>
            </w:r>
            <w:r>
              <w:rPr>
                <w:rStyle w:val="IndexLink"/>
                <w:rtl w:val="true"/>
              </w:rPr>
              <w:tab/>
            </w:r>
            <w:r>
              <w:rPr>
                <w:rStyle w:val="IndexLink"/>
              </w:rPr>
              <w:t>318</w:t>
            </w:r>
          </w:hyperlink>
        </w:p>
        <w:p>
          <w:pPr>
            <w:pStyle w:val="Contents4"/>
            <w:tabs>
              <w:tab w:val="clear" w:pos="8176"/>
              <w:tab w:val="right" w:pos="9026" w:leader="dot"/>
            </w:tabs>
            <w:rPr/>
          </w:pPr>
          <w:hyperlink w:anchor="__RefHeading___Toc656929_2749589250">
            <w:r>
              <w:rPr>
                <w:webHidden/>
                <w:rStyle w:val="IndexLink"/>
                <w:rtl w:val="true"/>
              </w:rPr>
              <w:t>حدّ السّحق مأة جلدة فاعلة و مفعولة</w:t>
            </w:r>
            <w:r>
              <w:rPr>
                <w:rStyle w:val="IndexLink"/>
                <w:rtl w:val="true"/>
              </w:rPr>
              <w:tab/>
            </w:r>
            <w:r>
              <w:rPr>
                <w:rStyle w:val="IndexLink"/>
              </w:rPr>
              <w:t>319</w:t>
            </w:r>
          </w:hyperlink>
        </w:p>
        <w:p>
          <w:pPr>
            <w:pStyle w:val="Contents4"/>
            <w:tabs>
              <w:tab w:val="clear" w:pos="8176"/>
              <w:tab w:val="right" w:pos="9026" w:leader="dot"/>
            </w:tabs>
            <w:rPr/>
          </w:pPr>
          <w:hyperlink w:anchor="__RefHeading___Toc656931_2749589250">
            <w:r>
              <w:rPr>
                <w:webHidden/>
                <w:rStyle w:val="IndexLink"/>
                <w:rtl w:val="true"/>
              </w:rPr>
              <w:t>ترجم المحصنة و تجلد غیرها</w:t>
            </w:r>
            <w:r>
              <w:rPr>
                <w:rStyle w:val="IndexLink"/>
                <w:rtl w:val="true"/>
              </w:rPr>
              <w:tab/>
            </w:r>
            <w:r>
              <w:rPr>
                <w:rStyle w:val="IndexLink"/>
              </w:rPr>
              <w:t>321</w:t>
            </w:r>
          </w:hyperlink>
        </w:p>
        <w:p>
          <w:pPr>
            <w:pStyle w:val="Contents4"/>
            <w:tabs>
              <w:tab w:val="clear" w:pos="8176"/>
              <w:tab w:val="right" w:pos="9026" w:leader="dot"/>
            </w:tabs>
            <w:rPr/>
          </w:pPr>
          <w:hyperlink w:anchor="__RefHeading___Toc656933_2749589250">
            <w:r>
              <w:rPr>
                <w:webHidden/>
                <w:rStyle w:val="IndexLink"/>
                <w:rtl w:val="true"/>
              </w:rPr>
              <w:t>لحوق الولد بالجاریة المفعول بها</w:t>
            </w:r>
            <w:r>
              <w:rPr>
                <w:rStyle w:val="IndexLink"/>
                <w:rtl w:val="true"/>
              </w:rPr>
              <w:tab/>
            </w:r>
            <w:r>
              <w:rPr>
                <w:rStyle w:val="IndexLink"/>
              </w:rPr>
              <w:t>328</w:t>
            </w:r>
          </w:hyperlink>
        </w:p>
        <w:p>
          <w:pPr>
            <w:pStyle w:val="Contents4"/>
            <w:tabs>
              <w:tab w:val="clear" w:pos="8176"/>
              <w:tab w:val="right" w:pos="9026" w:leader="dot"/>
            </w:tabs>
            <w:rPr/>
          </w:pPr>
          <w:hyperlink w:anchor="__RefHeading___Toc656935_2749589250">
            <w:r>
              <w:rPr>
                <w:webHidden/>
                <w:rStyle w:val="IndexLink"/>
                <w:rtl w:val="true"/>
              </w:rPr>
              <w:t>اذا نکررّت و حدّت مرّتین فتقتل فی الثّالثة</w:t>
            </w:r>
            <w:r>
              <w:rPr>
                <w:rStyle w:val="IndexLink"/>
                <w:rtl w:val="true"/>
              </w:rPr>
              <w:tab/>
            </w:r>
            <w:r>
              <w:rPr>
                <w:rStyle w:val="IndexLink"/>
              </w:rPr>
              <w:t>329</w:t>
            </w:r>
          </w:hyperlink>
        </w:p>
        <w:p>
          <w:pPr>
            <w:pStyle w:val="Contents4"/>
            <w:tabs>
              <w:tab w:val="clear" w:pos="8176"/>
              <w:tab w:val="right" w:pos="9026" w:leader="dot"/>
            </w:tabs>
            <w:rPr/>
          </w:pPr>
          <w:hyperlink w:anchor="__RefHeading___Toc656937_2749589250">
            <w:r>
              <w:rPr>
                <w:webHidden/>
                <w:rStyle w:val="IndexLink"/>
                <w:rtl w:val="true"/>
              </w:rPr>
              <w:t>یثبت السّحق بالاقرار اربع مرّات و بشهادة اربعة رجال عدول و احتمال قبول شهادة النساء</w:t>
            </w:r>
            <w:r>
              <w:rPr>
                <w:rStyle w:val="IndexLink"/>
                <w:rtl w:val="true"/>
              </w:rPr>
              <w:tab/>
            </w:r>
            <w:r>
              <w:rPr>
                <w:rStyle w:val="IndexLink"/>
              </w:rPr>
              <w:t>330</w:t>
            </w:r>
          </w:hyperlink>
        </w:p>
        <w:p>
          <w:pPr>
            <w:pStyle w:val="Contents3"/>
            <w:tabs>
              <w:tab w:val="clear" w:pos="8459"/>
              <w:tab w:val="right" w:pos="9026" w:leader="dot"/>
            </w:tabs>
            <w:rPr/>
          </w:pPr>
          <w:hyperlink w:anchor="__RefHeading___Toc656939_2749589250">
            <w:r>
              <w:rPr>
                <w:webHidden/>
                <w:rStyle w:val="IndexLink"/>
                <w:rtl w:val="true"/>
              </w:rPr>
              <w:t>الکلام فی حدّ القیادة</w:t>
            </w:r>
            <w:r>
              <w:rPr>
                <w:rStyle w:val="IndexLink"/>
                <w:rtl w:val="true"/>
              </w:rPr>
              <w:tab/>
            </w:r>
            <w:r>
              <w:rPr>
                <w:rStyle w:val="IndexLink"/>
              </w:rPr>
              <w:t>330</w:t>
            </w:r>
          </w:hyperlink>
        </w:p>
        <w:p>
          <w:pPr>
            <w:pStyle w:val="Contents4"/>
            <w:tabs>
              <w:tab w:val="clear" w:pos="8176"/>
              <w:tab w:val="right" w:pos="9026" w:leader="dot"/>
            </w:tabs>
            <w:rPr/>
          </w:pPr>
          <w:hyperlink w:anchor="__RefHeading___Toc656941_2749589250">
            <w:r>
              <w:rPr>
                <w:webHidden/>
                <w:rStyle w:val="IndexLink"/>
                <w:rtl w:val="true"/>
              </w:rPr>
              <w:t>اشارة</w:t>
            </w:r>
            <w:r>
              <w:rPr>
                <w:rStyle w:val="IndexLink"/>
                <w:rtl w:val="true"/>
              </w:rPr>
              <w:tab/>
            </w:r>
            <w:r>
              <w:rPr>
                <w:rStyle w:val="IndexLink"/>
              </w:rPr>
              <w:t>330</w:t>
            </w:r>
          </w:hyperlink>
        </w:p>
        <w:p>
          <w:pPr>
            <w:pStyle w:val="Contents4"/>
            <w:tabs>
              <w:tab w:val="clear" w:pos="8176"/>
              <w:tab w:val="right" w:pos="9026" w:leader="dot"/>
            </w:tabs>
            <w:rPr/>
          </w:pPr>
          <w:hyperlink w:anchor="__RefHeading___Toc656943_2749589250">
            <w:r>
              <w:rPr>
                <w:webHidden/>
                <w:rStyle w:val="IndexLink"/>
                <w:rtl w:val="true"/>
              </w:rPr>
              <w:t xml:space="preserve">حدّها </w:t>
            </w:r>
            <w:r>
              <w:rPr>
                <w:rStyle w:val="IndexLink"/>
              </w:rPr>
              <w:t>75</w:t>
            </w:r>
            <w:r>
              <w:rPr>
                <w:rStyle w:val="IndexLink"/>
                <w:rtl w:val="true"/>
              </w:rPr>
              <w:t xml:space="preserve"> </w:t>
            </w:r>
            <w:r>
              <w:rPr>
                <w:rStyle w:val="IndexLink"/>
                <w:rtl w:val="true"/>
              </w:rPr>
              <w:t>سوطاً و یحلق رأس الرّجل و یشهّر و ینفی دون المرأة</w:t>
            </w:r>
            <w:r>
              <w:rPr>
                <w:rStyle w:val="IndexLink"/>
                <w:rtl w:val="true"/>
              </w:rPr>
              <w:tab/>
            </w:r>
            <w:r>
              <w:rPr>
                <w:rStyle w:val="IndexLink"/>
              </w:rPr>
              <w:t>331</w:t>
            </w:r>
          </w:hyperlink>
        </w:p>
        <w:p>
          <w:pPr>
            <w:pStyle w:val="Contents4"/>
            <w:tabs>
              <w:tab w:val="clear" w:pos="8176"/>
              <w:tab w:val="right" w:pos="9026" w:leader="dot"/>
            </w:tabs>
            <w:rPr/>
          </w:pPr>
          <w:hyperlink w:anchor="__RefHeading___Toc656945_2749589250">
            <w:r>
              <w:rPr>
                <w:webHidden/>
                <w:rStyle w:val="IndexLink"/>
                <w:rtl w:val="true"/>
              </w:rPr>
              <w:t>فی مدّة النّفی</w:t>
            </w:r>
            <w:r>
              <w:rPr>
                <w:rStyle w:val="IndexLink"/>
                <w:rtl w:val="true"/>
              </w:rPr>
              <w:tab/>
            </w:r>
            <w:r>
              <w:rPr>
                <w:rStyle w:val="IndexLink"/>
              </w:rPr>
              <w:t>333</w:t>
            </w:r>
          </w:hyperlink>
        </w:p>
        <w:p>
          <w:pPr>
            <w:pStyle w:val="Contents4"/>
            <w:tabs>
              <w:tab w:val="clear" w:pos="8176"/>
              <w:tab w:val="right" w:pos="9026" w:leader="dot"/>
            </w:tabs>
            <w:rPr/>
          </w:pPr>
          <w:hyperlink w:anchor="__RefHeading___Toc656947_2749589250">
            <w:r>
              <w:rPr>
                <w:webHidden/>
                <w:rStyle w:val="IndexLink"/>
                <w:rtl w:val="true"/>
              </w:rPr>
              <w:t>تثبت بالاقرار و البیّنة</w:t>
            </w:r>
            <w:r>
              <w:rPr>
                <w:rStyle w:val="IndexLink"/>
                <w:rtl w:val="true"/>
              </w:rPr>
              <w:tab/>
            </w:r>
            <w:r>
              <w:rPr>
                <w:rStyle w:val="IndexLink"/>
              </w:rPr>
              <w:t>334</w:t>
            </w:r>
          </w:hyperlink>
        </w:p>
        <w:p>
          <w:pPr>
            <w:pStyle w:val="Contents4"/>
            <w:tabs>
              <w:tab w:val="clear" w:pos="8176"/>
              <w:tab w:val="right" w:pos="9026" w:leader="dot"/>
            </w:tabs>
            <w:rPr/>
          </w:pPr>
          <w:hyperlink w:anchor="__RefHeading___Toc656949_2749589250">
            <w:r>
              <w:rPr>
                <w:webHidden/>
                <w:rStyle w:val="IndexLink"/>
                <w:rtl w:val="true"/>
              </w:rPr>
              <w:t>(</w:t>
            </w:r>
            <w:r>
              <w:rPr>
                <w:rStyle w:val="IndexLink"/>
                <w:rtl w:val="true"/>
              </w:rPr>
              <w:t>مسائل</w:t>
            </w:r>
            <w:r>
              <w:rPr>
                <w:rStyle w:val="IndexLink"/>
                <w:rtl w:val="true"/>
              </w:rPr>
              <w:t>)</w:t>
              <w:tab/>
            </w:r>
            <w:r>
              <w:rPr>
                <w:rStyle w:val="IndexLink"/>
              </w:rPr>
              <w:t>335</w:t>
            </w:r>
          </w:hyperlink>
        </w:p>
        <w:p>
          <w:pPr>
            <w:pStyle w:val="Contents5"/>
            <w:tabs>
              <w:tab w:val="clear" w:pos="7892"/>
              <w:tab w:val="right" w:pos="9026" w:leader="dot"/>
            </w:tabs>
            <w:rPr/>
          </w:pPr>
          <w:hyperlink w:anchor="__RefHeading___Toc656951_2749589250">
            <w:r>
              <w:rPr>
                <w:webHidden/>
                <w:rStyle w:val="IndexLink"/>
                <w:rtl w:val="true"/>
              </w:rPr>
              <w:t>الاولی</w:t>
            </w:r>
            <w:r>
              <w:rPr>
                <w:rStyle w:val="IndexLink"/>
                <w:rtl w:val="true"/>
              </w:rPr>
              <w:t xml:space="preserve">: </w:t>
            </w:r>
            <w:r>
              <w:rPr>
                <w:rStyle w:val="IndexLink"/>
                <w:rtl w:val="true"/>
              </w:rPr>
              <w:t>اذا تزوّج امة علی حرّة مسلمة بدون اذنها و وطئها عالماً فعلیه الحدّ</w:t>
            </w:r>
            <w:r>
              <w:rPr>
                <w:rStyle w:val="IndexLink"/>
                <w:rtl w:val="true"/>
              </w:rPr>
              <w:tab/>
            </w:r>
            <w:r>
              <w:rPr>
                <w:rStyle w:val="IndexLink"/>
              </w:rPr>
              <w:t>335</w:t>
            </w:r>
          </w:hyperlink>
        </w:p>
        <w:p>
          <w:pPr>
            <w:pStyle w:val="Contents5"/>
            <w:tabs>
              <w:tab w:val="clear" w:pos="7892"/>
              <w:tab w:val="right" w:pos="9026" w:leader="dot"/>
            </w:tabs>
            <w:rPr/>
          </w:pPr>
          <w:hyperlink w:anchor="__RefHeading___Toc656953_2749589250">
            <w:r>
              <w:rPr>
                <w:webHidden/>
                <w:rStyle w:val="IndexLink"/>
                <w:rtl w:val="true"/>
              </w:rPr>
              <w:t>الثّانیة</w:t>
            </w:r>
            <w:r>
              <w:rPr>
                <w:rStyle w:val="IndexLink"/>
                <w:rtl w:val="true"/>
              </w:rPr>
              <w:t xml:space="preserve">: </w:t>
            </w:r>
            <w:r>
              <w:rPr>
                <w:rStyle w:val="IndexLink"/>
                <w:rtl w:val="true"/>
              </w:rPr>
              <w:t xml:space="preserve">من تزوّج ذمّیّة علی المسلمة بدون اذنها یفرّق بینهما و یضرب </w:t>
            </w:r>
            <w:r>
              <w:rPr>
                <w:rStyle w:val="IndexLink"/>
              </w:rPr>
              <w:t>12/5</w:t>
            </w:r>
            <w:r>
              <w:rPr>
                <w:rStyle w:val="IndexLink"/>
                <w:rtl w:val="true"/>
              </w:rPr>
              <w:t xml:space="preserve"> </w:t>
            </w:r>
            <w:r>
              <w:rPr>
                <w:rStyle w:val="IndexLink"/>
                <w:rtl w:val="true"/>
              </w:rPr>
              <w:t>سوطاً</w:t>
            </w:r>
            <w:r>
              <w:rPr>
                <w:rStyle w:val="IndexLink"/>
                <w:rtl w:val="true"/>
              </w:rPr>
              <w:tab/>
            </w:r>
            <w:r>
              <w:rPr>
                <w:rStyle w:val="IndexLink"/>
              </w:rPr>
              <w:t>337</w:t>
            </w:r>
          </w:hyperlink>
        </w:p>
        <w:p>
          <w:pPr>
            <w:pStyle w:val="Contents5"/>
            <w:tabs>
              <w:tab w:val="clear" w:pos="7892"/>
              <w:tab w:val="right" w:pos="9026" w:leader="dot"/>
            </w:tabs>
            <w:rPr/>
          </w:pPr>
          <w:hyperlink w:anchor="__RefHeading___Toc656955_2749589250">
            <w:r>
              <w:rPr>
                <w:webHidden/>
                <w:rStyle w:val="IndexLink"/>
                <w:rtl w:val="true"/>
              </w:rPr>
              <w:t>الثّالثة</w:t>
            </w:r>
            <w:r>
              <w:rPr>
                <w:rStyle w:val="IndexLink"/>
                <w:rtl w:val="true"/>
              </w:rPr>
              <w:t xml:space="preserve">: </w:t>
            </w:r>
            <w:r>
              <w:rPr>
                <w:rStyle w:val="IndexLink"/>
                <w:rtl w:val="true"/>
              </w:rPr>
              <w:t>اذا افتضّ جاریة بیده</w:t>
            </w:r>
            <w:r>
              <w:rPr>
                <w:rStyle w:val="IndexLink"/>
                <w:rtl w:val="true"/>
              </w:rPr>
              <w:tab/>
            </w:r>
            <w:r>
              <w:rPr>
                <w:rStyle w:val="IndexLink"/>
              </w:rPr>
              <w:t>340</w:t>
            </w:r>
          </w:hyperlink>
        </w:p>
        <w:p>
          <w:pPr>
            <w:pStyle w:val="Contents5"/>
            <w:tabs>
              <w:tab w:val="clear" w:pos="7892"/>
              <w:tab w:val="right" w:pos="9026" w:leader="dot"/>
            </w:tabs>
            <w:rPr/>
          </w:pPr>
          <w:hyperlink w:anchor="__RefHeading___Toc656957_2749589250">
            <w:r>
              <w:rPr>
                <w:webHidden/>
                <w:rStyle w:val="IndexLink"/>
                <w:rtl w:val="true"/>
              </w:rPr>
              <w:t>الرّابعة</w:t>
            </w:r>
            <w:r>
              <w:rPr>
                <w:rStyle w:val="IndexLink"/>
                <w:rtl w:val="true"/>
              </w:rPr>
              <w:t xml:space="preserve">: </w:t>
            </w:r>
            <w:r>
              <w:rPr>
                <w:rStyle w:val="IndexLink"/>
                <w:rtl w:val="true"/>
              </w:rPr>
              <w:t>من قبّل غلاماً بشهوة یعزّر و لو کان محرماً فیضرب مأة سوط</w:t>
            </w:r>
            <w:r>
              <w:rPr>
                <w:rStyle w:val="IndexLink"/>
                <w:rtl w:val="true"/>
              </w:rPr>
              <w:tab/>
            </w:r>
            <w:r>
              <w:rPr>
                <w:rStyle w:val="IndexLink"/>
              </w:rPr>
              <w:t>341</w:t>
            </w:r>
          </w:hyperlink>
        </w:p>
        <w:p>
          <w:pPr>
            <w:pStyle w:val="Contents5"/>
            <w:tabs>
              <w:tab w:val="clear" w:pos="7892"/>
              <w:tab w:val="right" w:pos="9026" w:leader="dot"/>
            </w:tabs>
            <w:rPr/>
          </w:pPr>
          <w:hyperlink w:anchor="__RefHeading___Toc656959_2749589250">
            <w:r>
              <w:rPr>
                <w:webHidden/>
                <w:rStyle w:val="IndexLink"/>
                <w:rtl w:val="true"/>
              </w:rPr>
              <w:t>الخامسة</w:t>
            </w:r>
            <w:r>
              <w:rPr>
                <w:rStyle w:val="IndexLink"/>
                <w:rtl w:val="true"/>
              </w:rPr>
              <w:t xml:space="preserve">: </w:t>
            </w:r>
            <w:r>
              <w:rPr>
                <w:rStyle w:val="IndexLink"/>
                <w:rtl w:val="true"/>
              </w:rPr>
              <w:t>تعزیر فاعل المحرّمات الّتی لها تعلّق بالزّنا و اللّواط و السّحق و القیادة</w:t>
            </w:r>
            <w:r>
              <w:rPr>
                <w:rStyle w:val="IndexLink"/>
                <w:rtl w:val="true"/>
              </w:rPr>
              <w:tab/>
            </w:r>
            <w:r>
              <w:rPr>
                <w:rStyle w:val="IndexLink"/>
              </w:rPr>
              <w:t>343</w:t>
            </w:r>
          </w:hyperlink>
        </w:p>
        <w:p>
          <w:pPr>
            <w:pStyle w:val="Contents2"/>
            <w:tabs>
              <w:tab w:val="clear" w:pos="8743"/>
              <w:tab w:val="right" w:pos="9026" w:leader="dot"/>
            </w:tabs>
            <w:rPr/>
          </w:pPr>
          <w:hyperlink w:anchor="__RefHeading___Toc656961_2749589250">
            <w:r>
              <w:rPr>
                <w:webHidden/>
                <w:rStyle w:val="IndexLink"/>
                <w:rtl w:val="true"/>
              </w:rPr>
              <w:t>الکلام فی القذف</w:t>
            </w:r>
            <w:r>
              <w:rPr>
                <w:rStyle w:val="IndexLink"/>
                <w:rtl w:val="true"/>
              </w:rPr>
              <w:tab/>
            </w:r>
            <w:r>
              <w:rPr>
                <w:rStyle w:val="IndexLink"/>
              </w:rPr>
              <w:t>343</w:t>
            </w:r>
          </w:hyperlink>
        </w:p>
        <w:p>
          <w:pPr>
            <w:pStyle w:val="Contents3"/>
            <w:tabs>
              <w:tab w:val="clear" w:pos="8459"/>
              <w:tab w:val="right" w:pos="9026" w:leader="dot"/>
            </w:tabs>
            <w:rPr/>
          </w:pPr>
          <w:hyperlink w:anchor="__RefHeading___Toc656963_2749589250">
            <w:r>
              <w:rPr>
                <w:webHidden/>
                <w:rStyle w:val="IndexLink"/>
                <w:rtl w:val="true"/>
              </w:rPr>
              <w:t>اشارة</w:t>
            </w:r>
            <w:r>
              <w:rPr>
                <w:rStyle w:val="IndexLink"/>
                <w:rtl w:val="true"/>
              </w:rPr>
              <w:tab/>
            </w:r>
            <w:r>
              <w:rPr>
                <w:rStyle w:val="IndexLink"/>
              </w:rPr>
              <w:t>343</w:t>
            </w:r>
          </w:hyperlink>
        </w:p>
        <w:p>
          <w:pPr>
            <w:pStyle w:val="Contents3"/>
            <w:tabs>
              <w:tab w:val="clear" w:pos="8459"/>
              <w:tab w:val="right" w:pos="9026" w:leader="dot"/>
            </w:tabs>
            <w:rPr/>
          </w:pPr>
          <w:hyperlink w:anchor="__RefHeading___Toc656965_2749589250">
            <w:r>
              <w:rPr>
                <w:webHidden/>
                <w:rStyle w:val="IndexLink"/>
                <w:rtl w:val="true"/>
              </w:rPr>
              <w:t>اذا قال لانسانٍ زنیت او لطت او لامرأة انت زانیة او لرجل انت لائط او ملوط یثبت الحدّ</w:t>
            </w:r>
            <w:r>
              <w:rPr>
                <w:rStyle w:val="IndexLink"/>
                <w:rtl w:val="true"/>
              </w:rPr>
              <w:tab/>
            </w:r>
            <w:r>
              <w:rPr>
                <w:rStyle w:val="IndexLink"/>
              </w:rPr>
              <w:t>344</w:t>
            </w:r>
          </w:hyperlink>
        </w:p>
        <w:p>
          <w:pPr>
            <w:pStyle w:val="Contents3"/>
            <w:tabs>
              <w:tab w:val="clear" w:pos="8459"/>
              <w:tab w:val="right" w:pos="9026" w:leader="dot"/>
            </w:tabs>
            <w:rPr/>
          </w:pPr>
          <w:hyperlink w:anchor="__RefHeading___Toc656967_2749589250">
            <w:r>
              <w:rPr>
                <w:webHidden/>
                <w:rStyle w:val="IndexLink"/>
                <w:rtl w:val="true"/>
              </w:rPr>
              <w:t>(</w:t>
            </w:r>
            <w:r>
              <w:rPr>
                <w:rStyle w:val="IndexLink"/>
                <w:rtl w:val="true"/>
              </w:rPr>
              <w:t>مسائل</w:t>
            </w:r>
            <w:r>
              <w:rPr>
                <w:rStyle w:val="IndexLink"/>
                <w:rtl w:val="true"/>
              </w:rPr>
              <w:t>)</w:t>
              <w:tab/>
            </w:r>
            <w:r>
              <w:rPr>
                <w:rStyle w:val="IndexLink"/>
              </w:rPr>
              <w:t>348</w:t>
            </w:r>
          </w:hyperlink>
        </w:p>
        <w:p>
          <w:pPr>
            <w:pStyle w:val="Contents4"/>
            <w:tabs>
              <w:tab w:val="clear" w:pos="8176"/>
              <w:tab w:val="right" w:pos="9026" w:leader="dot"/>
            </w:tabs>
            <w:rPr/>
          </w:pPr>
          <w:hyperlink w:anchor="__RefHeading___Toc656969_2749589250">
            <w:r>
              <w:rPr>
                <w:webHidden/>
                <w:rStyle w:val="IndexLink"/>
                <w:rtl w:val="true"/>
              </w:rPr>
              <w:t>الاولی</w:t>
            </w:r>
            <w:r>
              <w:rPr>
                <w:rStyle w:val="IndexLink"/>
                <w:rtl w:val="true"/>
              </w:rPr>
              <w:t xml:space="preserve">: </w:t>
            </w:r>
            <w:r>
              <w:rPr>
                <w:rStyle w:val="IndexLink"/>
                <w:rtl w:val="true"/>
              </w:rPr>
              <w:t>لو نسب الزّنا الی حد ابویه فالحدّ لهما و لو نسب الی غیره من اقاربه</w:t>
            </w:r>
            <w:r>
              <w:rPr>
                <w:rStyle w:val="IndexLink"/>
                <w:rtl w:val="true"/>
              </w:rPr>
              <w:tab/>
            </w:r>
            <w:r>
              <w:rPr>
                <w:rStyle w:val="IndexLink"/>
              </w:rPr>
              <w:t>348</w:t>
            </w:r>
          </w:hyperlink>
        </w:p>
        <w:p>
          <w:pPr>
            <w:pStyle w:val="Contents4"/>
            <w:tabs>
              <w:tab w:val="clear" w:pos="8176"/>
              <w:tab w:val="right" w:pos="9026" w:leader="dot"/>
            </w:tabs>
            <w:rPr/>
          </w:pPr>
          <w:hyperlink w:anchor="__RefHeading___Toc656971_2749589250">
            <w:r>
              <w:rPr>
                <w:webHidden/>
                <w:rStyle w:val="IndexLink"/>
                <w:rtl w:val="true"/>
              </w:rPr>
              <w:t>لو قال زنیت بفلانة او لطت بفلان</w:t>
            </w:r>
            <w:r>
              <w:rPr>
                <w:rStyle w:val="IndexLink"/>
                <w:rtl w:val="true"/>
              </w:rPr>
              <w:tab/>
            </w:r>
            <w:r>
              <w:rPr>
                <w:rStyle w:val="IndexLink"/>
              </w:rPr>
              <w:t>350</w:t>
            </w:r>
          </w:hyperlink>
        </w:p>
        <w:p>
          <w:pPr>
            <w:pStyle w:val="Contents4"/>
            <w:tabs>
              <w:tab w:val="clear" w:pos="8176"/>
              <w:tab w:val="right" w:pos="9026" w:leader="dot"/>
            </w:tabs>
            <w:rPr/>
          </w:pPr>
          <w:hyperlink w:anchor="__RefHeading___Toc656973_2749589250">
            <w:r>
              <w:rPr>
                <w:webHidden/>
                <w:rStyle w:val="IndexLink"/>
                <w:rtl w:val="true"/>
              </w:rPr>
              <w:t>الثّانیة</w:t>
            </w:r>
            <w:r>
              <w:rPr>
                <w:rStyle w:val="IndexLink"/>
                <w:rtl w:val="true"/>
              </w:rPr>
              <w:t xml:space="preserve">: </w:t>
            </w:r>
            <w:r>
              <w:rPr>
                <w:rStyle w:val="IndexLink"/>
                <w:rtl w:val="true"/>
              </w:rPr>
              <w:t>لو قال لولده الّذی اقرّ به لست ولدی</w:t>
            </w:r>
            <w:r>
              <w:rPr>
                <w:rStyle w:val="IndexLink"/>
                <w:rtl w:val="true"/>
              </w:rPr>
              <w:tab/>
            </w:r>
            <w:r>
              <w:rPr>
                <w:rStyle w:val="IndexLink"/>
              </w:rPr>
              <w:t>352</w:t>
            </w:r>
          </w:hyperlink>
        </w:p>
        <w:p>
          <w:pPr>
            <w:pStyle w:val="Contents4"/>
            <w:tabs>
              <w:tab w:val="clear" w:pos="8176"/>
              <w:tab w:val="right" w:pos="9026" w:leader="dot"/>
            </w:tabs>
            <w:rPr/>
          </w:pPr>
          <w:hyperlink w:anchor="__RefHeading___Toc656975_2749589250">
            <w:r>
              <w:rPr>
                <w:webHidden/>
                <w:rStyle w:val="IndexLink"/>
                <w:rtl w:val="true"/>
              </w:rPr>
              <w:t>الثّالثة</w:t>
            </w:r>
            <w:r>
              <w:rPr>
                <w:rStyle w:val="IndexLink"/>
                <w:rtl w:val="true"/>
              </w:rPr>
              <w:t xml:space="preserve">: </w:t>
            </w:r>
            <w:r>
              <w:rPr>
                <w:rStyle w:val="IndexLink"/>
                <w:rtl w:val="true"/>
              </w:rPr>
              <w:t>لو عن امرأته و افترقا ثم قذفها یحدّ</w:t>
            </w:r>
            <w:r>
              <w:rPr>
                <w:rStyle w:val="IndexLink"/>
                <w:rtl w:val="true"/>
              </w:rPr>
              <w:tab/>
            </w:r>
            <w:r>
              <w:rPr>
                <w:rStyle w:val="IndexLink"/>
              </w:rPr>
              <w:t>353</w:t>
            </w:r>
          </w:hyperlink>
        </w:p>
        <w:p>
          <w:pPr>
            <w:pStyle w:val="Contents4"/>
            <w:tabs>
              <w:tab w:val="clear" w:pos="8176"/>
              <w:tab w:val="right" w:pos="9026" w:leader="dot"/>
            </w:tabs>
            <w:rPr/>
          </w:pPr>
          <w:hyperlink w:anchor="__RefHeading___Toc656977_2749589250">
            <w:r>
              <w:rPr>
                <w:webHidden/>
                <w:rStyle w:val="IndexLink"/>
                <w:rtl w:val="true"/>
              </w:rPr>
              <w:t>الرّابعة</w:t>
            </w:r>
            <w:r>
              <w:rPr>
                <w:rStyle w:val="IndexLink"/>
                <w:rtl w:val="true"/>
              </w:rPr>
              <w:t xml:space="preserve">: </w:t>
            </w:r>
            <w:r>
              <w:rPr>
                <w:rStyle w:val="IndexLink"/>
                <w:rtl w:val="true"/>
              </w:rPr>
              <w:t>لو قذف الزّانیة المحدودة قبل توبتها فلا یحدّ</w:t>
            </w:r>
            <w:r>
              <w:rPr>
                <w:rStyle w:val="IndexLink"/>
                <w:rtl w:val="true"/>
              </w:rPr>
              <w:tab/>
            </w:r>
            <w:r>
              <w:rPr>
                <w:rStyle w:val="IndexLink"/>
              </w:rPr>
              <w:t>354</w:t>
            </w:r>
          </w:hyperlink>
        </w:p>
        <w:p>
          <w:pPr>
            <w:pStyle w:val="Contents4"/>
            <w:tabs>
              <w:tab w:val="clear" w:pos="8176"/>
              <w:tab w:val="right" w:pos="9026" w:leader="dot"/>
            </w:tabs>
            <w:rPr/>
          </w:pPr>
          <w:hyperlink w:anchor="__RefHeading___Toc656979_2749589250">
            <w:r>
              <w:rPr>
                <w:webHidden/>
                <w:rStyle w:val="IndexLink"/>
                <w:rtl w:val="true"/>
              </w:rPr>
              <w:t>الخامسة</w:t>
            </w:r>
            <w:r>
              <w:rPr>
                <w:rStyle w:val="IndexLink"/>
                <w:rtl w:val="true"/>
              </w:rPr>
              <w:t xml:space="preserve">: </w:t>
            </w:r>
            <w:r>
              <w:rPr>
                <w:rStyle w:val="IndexLink"/>
                <w:rtl w:val="true"/>
              </w:rPr>
              <w:t>لو قال له یا کشخان او یاقرنان او یا دیّوث یجدّ لو افاد القذف</w:t>
            </w:r>
            <w:r>
              <w:rPr>
                <w:rStyle w:val="IndexLink"/>
                <w:rtl w:val="true"/>
              </w:rPr>
              <w:tab/>
            </w:r>
            <w:r>
              <w:rPr>
                <w:rStyle w:val="IndexLink"/>
              </w:rPr>
              <w:t>355</w:t>
            </w:r>
          </w:hyperlink>
        </w:p>
        <w:p>
          <w:pPr>
            <w:pStyle w:val="Contents3"/>
            <w:tabs>
              <w:tab w:val="clear" w:pos="8459"/>
              <w:tab w:val="right" w:pos="9026" w:leader="dot"/>
            </w:tabs>
            <w:rPr/>
          </w:pPr>
          <w:hyperlink w:anchor="__RefHeading___Toc656981_2749589250">
            <w:r>
              <w:rPr>
                <w:webHidden/>
                <w:rStyle w:val="IndexLink"/>
                <w:rtl w:val="true"/>
              </w:rPr>
              <w:t>فی شرایط القاذف</w:t>
            </w:r>
            <w:r>
              <w:rPr>
                <w:rStyle w:val="IndexLink"/>
                <w:rtl w:val="true"/>
              </w:rPr>
              <w:tab/>
            </w:r>
            <w:r>
              <w:rPr>
                <w:rStyle w:val="IndexLink"/>
              </w:rPr>
              <w:t>355</w:t>
            </w:r>
          </w:hyperlink>
        </w:p>
        <w:p>
          <w:pPr>
            <w:pStyle w:val="Contents4"/>
            <w:tabs>
              <w:tab w:val="clear" w:pos="8176"/>
              <w:tab w:val="right" w:pos="9026" w:leader="dot"/>
            </w:tabs>
            <w:rPr/>
          </w:pPr>
          <w:hyperlink w:anchor="__RefHeading___Toc656983_2749589250">
            <w:r>
              <w:rPr>
                <w:webHidden/>
                <w:rStyle w:val="IndexLink"/>
                <w:rtl w:val="true"/>
              </w:rPr>
              <w:t>یشترط فیه العقل و البلوغ و القصد و الاختیار</w:t>
            </w:r>
            <w:r>
              <w:rPr>
                <w:rStyle w:val="IndexLink"/>
                <w:rtl w:val="true"/>
              </w:rPr>
              <w:tab/>
            </w:r>
            <w:r>
              <w:rPr>
                <w:rStyle w:val="IndexLink"/>
              </w:rPr>
              <w:t>355</w:t>
            </w:r>
          </w:hyperlink>
        </w:p>
        <w:p>
          <w:pPr>
            <w:pStyle w:val="Contents4"/>
            <w:tabs>
              <w:tab w:val="clear" w:pos="8176"/>
              <w:tab w:val="right" w:pos="9026" w:leader="dot"/>
            </w:tabs>
            <w:rPr/>
          </w:pPr>
          <w:hyperlink w:anchor="__RefHeading___Toc656985_2749589250">
            <w:r>
              <w:rPr>
                <w:webHidden/>
                <w:rStyle w:val="IndexLink"/>
                <w:rtl w:val="true"/>
              </w:rPr>
              <w:t>ثبوت الحدّ لو قذف السّکران اذا شرب باختیاره</w:t>
            </w:r>
            <w:r>
              <w:rPr>
                <w:rStyle w:val="IndexLink"/>
                <w:rtl w:val="true"/>
              </w:rPr>
              <w:tab/>
            </w:r>
            <w:r>
              <w:rPr>
                <w:rStyle w:val="IndexLink"/>
              </w:rPr>
              <w:t>357</w:t>
            </w:r>
          </w:hyperlink>
        </w:p>
        <w:p>
          <w:pPr>
            <w:pStyle w:val="Contents4"/>
            <w:tabs>
              <w:tab w:val="clear" w:pos="8176"/>
              <w:tab w:val="right" w:pos="9026" w:leader="dot"/>
            </w:tabs>
            <w:rPr/>
          </w:pPr>
          <w:hyperlink w:anchor="__RefHeading___Toc656987_2749589250">
            <w:r>
              <w:rPr>
                <w:webHidden/>
                <w:rStyle w:val="IndexLink"/>
                <w:rtl w:val="true"/>
              </w:rPr>
              <w:t>المشهور فی حدّ المملوک و المملوکة جلد ثمانین</w:t>
            </w:r>
            <w:r>
              <w:rPr>
                <w:rStyle w:val="IndexLink"/>
                <w:rtl w:val="true"/>
              </w:rPr>
              <w:tab/>
            </w:r>
            <w:r>
              <w:rPr>
                <w:rStyle w:val="IndexLink"/>
              </w:rPr>
              <w:t>359</w:t>
            </w:r>
          </w:hyperlink>
        </w:p>
        <w:p>
          <w:pPr>
            <w:pStyle w:val="Contents3"/>
            <w:tabs>
              <w:tab w:val="clear" w:pos="8459"/>
              <w:tab w:val="right" w:pos="9026" w:leader="dot"/>
            </w:tabs>
            <w:rPr/>
          </w:pPr>
          <w:hyperlink w:anchor="__RefHeading___Toc656989_2749589250">
            <w:r>
              <w:rPr>
                <w:webHidden/>
                <w:rStyle w:val="IndexLink"/>
                <w:rtl w:val="true"/>
              </w:rPr>
              <w:t>فی شرایط المقذوف</w:t>
            </w:r>
            <w:r>
              <w:rPr>
                <w:rStyle w:val="IndexLink"/>
                <w:rtl w:val="true"/>
              </w:rPr>
              <w:tab/>
            </w:r>
            <w:r>
              <w:rPr>
                <w:rStyle w:val="IndexLink"/>
              </w:rPr>
              <w:t>364</w:t>
            </w:r>
          </w:hyperlink>
        </w:p>
        <w:p>
          <w:pPr>
            <w:pStyle w:val="Contents4"/>
            <w:tabs>
              <w:tab w:val="clear" w:pos="8176"/>
              <w:tab w:val="right" w:pos="9026" w:leader="dot"/>
            </w:tabs>
            <w:rPr/>
          </w:pPr>
          <w:hyperlink w:anchor="__RefHeading___Toc656991_2749589250">
            <w:r>
              <w:rPr>
                <w:webHidden/>
                <w:rStyle w:val="IndexLink"/>
                <w:rtl w:val="true"/>
              </w:rPr>
              <w:t>اشارة</w:t>
            </w:r>
            <w:r>
              <w:rPr>
                <w:rStyle w:val="IndexLink"/>
                <w:rtl w:val="true"/>
              </w:rPr>
              <w:tab/>
            </w:r>
            <w:r>
              <w:rPr>
                <w:rStyle w:val="IndexLink"/>
              </w:rPr>
              <w:t>364</w:t>
            </w:r>
          </w:hyperlink>
        </w:p>
        <w:p>
          <w:pPr>
            <w:pStyle w:val="Contents4"/>
            <w:tabs>
              <w:tab w:val="clear" w:pos="8176"/>
              <w:tab w:val="right" w:pos="9026" w:leader="dot"/>
            </w:tabs>
            <w:rPr/>
          </w:pPr>
          <w:hyperlink w:anchor="__RefHeading___Toc656993_2749589250">
            <w:r>
              <w:rPr>
                <w:webHidden/>
                <w:rStyle w:val="IndexLink"/>
                <w:rtl w:val="true"/>
              </w:rPr>
              <w:t>البلوغ و العقل</w:t>
            </w:r>
            <w:r>
              <w:rPr>
                <w:rStyle w:val="IndexLink"/>
                <w:rtl w:val="true"/>
              </w:rPr>
              <w:tab/>
            </w:r>
            <w:r>
              <w:rPr>
                <w:rStyle w:val="IndexLink"/>
              </w:rPr>
              <w:t>364</w:t>
            </w:r>
          </w:hyperlink>
        </w:p>
        <w:p>
          <w:pPr>
            <w:pStyle w:val="Contents4"/>
            <w:tabs>
              <w:tab w:val="clear" w:pos="8176"/>
              <w:tab w:val="right" w:pos="9026" w:leader="dot"/>
            </w:tabs>
            <w:rPr/>
          </w:pPr>
          <w:hyperlink w:anchor="__RefHeading___Toc656995_2749589250">
            <w:r>
              <w:rPr>
                <w:webHidden/>
                <w:rStyle w:val="IndexLink"/>
                <w:rtl w:val="true"/>
              </w:rPr>
              <w:t>و الحرّیة</w:t>
            </w:r>
            <w:r>
              <w:rPr>
                <w:rStyle w:val="IndexLink"/>
                <w:rtl w:val="true"/>
              </w:rPr>
              <w:tab/>
            </w:r>
            <w:r>
              <w:rPr>
                <w:rStyle w:val="IndexLink"/>
              </w:rPr>
              <w:t>366</w:t>
            </w:r>
          </w:hyperlink>
        </w:p>
        <w:p>
          <w:pPr>
            <w:pStyle w:val="Contents4"/>
            <w:tabs>
              <w:tab w:val="clear" w:pos="8176"/>
              <w:tab w:val="right" w:pos="9026" w:leader="dot"/>
            </w:tabs>
            <w:rPr/>
          </w:pPr>
          <w:hyperlink w:anchor="__RefHeading___Toc656997_2749589250">
            <w:r>
              <w:rPr>
                <w:webHidden/>
                <w:rStyle w:val="IndexLink"/>
                <w:rtl w:val="true"/>
              </w:rPr>
              <w:t>و الاسلام</w:t>
            </w:r>
            <w:r>
              <w:rPr>
                <w:rStyle w:val="IndexLink"/>
                <w:rtl w:val="true"/>
              </w:rPr>
              <w:tab/>
            </w:r>
            <w:r>
              <w:rPr>
                <w:rStyle w:val="IndexLink"/>
              </w:rPr>
              <w:t>368</w:t>
            </w:r>
          </w:hyperlink>
        </w:p>
        <w:p>
          <w:pPr>
            <w:pStyle w:val="Contents4"/>
            <w:tabs>
              <w:tab w:val="clear" w:pos="8176"/>
              <w:tab w:val="right" w:pos="9026" w:leader="dot"/>
            </w:tabs>
            <w:rPr/>
          </w:pPr>
          <w:hyperlink w:anchor="__RefHeading___Toc656999_2749589250">
            <w:r>
              <w:rPr>
                <w:webHidden/>
                <w:rStyle w:val="IndexLink"/>
                <w:rtl w:val="true"/>
              </w:rPr>
              <w:t>و العفّة</w:t>
            </w:r>
            <w:r>
              <w:rPr>
                <w:rStyle w:val="IndexLink"/>
                <w:rtl w:val="true"/>
              </w:rPr>
              <w:tab/>
            </w:r>
            <w:r>
              <w:rPr>
                <w:rStyle w:val="IndexLink"/>
              </w:rPr>
              <w:t>369</w:t>
            </w:r>
          </w:hyperlink>
        </w:p>
        <w:p>
          <w:pPr>
            <w:pStyle w:val="Contents3"/>
            <w:tabs>
              <w:tab w:val="clear" w:pos="8459"/>
              <w:tab w:val="right" w:pos="9026" w:leader="dot"/>
            </w:tabs>
            <w:rPr/>
          </w:pPr>
          <w:hyperlink w:anchor="__RefHeading___Toc657001_2749589250">
            <w:r>
              <w:rPr>
                <w:webHidden/>
                <w:rStyle w:val="IndexLink"/>
                <w:rtl w:val="true"/>
              </w:rPr>
              <w:t>(</w:t>
            </w:r>
            <w:r>
              <w:rPr>
                <w:rStyle w:val="IndexLink"/>
                <w:rtl w:val="true"/>
              </w:rPr>
              <w:t>مسائل</w:t>
            </w:r>
            <w:r>
              <w:rPr>
                <w:rStyle w:val="IndexLink"/>
                <w:rtl w:val="true"/>
              </w:rPr>
              <w:t>)</w:t>
              <w:tab/>
            </w:r>
            <w:r>
              <w:rPr>
                <w:rStyle w:val="IndexLink"/>
              </w:rPr>
              <w:t>370</w:t>
            </w:r>
          </w:hyperlink>
        </w:p>
        <w:p>
          <w:pPr>
            <w:pStyle w:val="Contents4"/>
            <w:tabs>
              <w:tab w:val="clear" w:pos="8176"/>
              <w:tab w:val="right" w:pos="9026" w:leader="dot"/>
            </w:tabs>
            <w:rPr/>
          </w:pPr>
          <w:hyperlink w:anchor="__RefHeading___Toc657003_2749589250">
            <w:r>
              <w:rPr>
                <w:webHidden/>
                <w:rStyle w:val="IndexLink"/>
                <w:rtl w:val="true"/>
              </w:rPr>
              <w:t>الاولی</w:t>
            </w:r>
            <w:r>
              <w:rPr>
                <w:rStyle w:val="IndexLink"/>
                <w:rtl w:val="true"/>
              </w:rPr>
              <w:t xml:space="preserve">: </w:t>
            </w:r>
            <w:r>
              <w:rPr>
                <w:rStyle w:val="IndexLink"/>
                <w:rtl w:val="true"/>
              </w:rPr>
              <w:t>اذا فقد المقذوف غیر الاحصان فعلی القاذف التّعریز</w:t>
            </w:r>
            <w:r>
              <w:rPr>
                <w:rStyle w:val="IndexLink"/>
                <w:rtl w:val="true"/>
              </w:rPr>
              <w:tab/>
            </w:r>
            <w:r>
              <w:rPr>
                <w:rStyle w:val="IndexLink"/>
              </w:rPr>
              <w:t>370</w:t>
            </w:r>
          </w:hyperlink>
        </w:p>
        <w:p>
          <w:pPr>
            <w:pStyle w:val="Contents4"/>
            <w:tabs>
              <w:tab w:val="clear" w:pos="8176"/>
              <w:tab w:val="right" w:pos="9026" w:leader="dot"/>
            </w:tabs>
            <w:rPr/>
          </w:pPr>
          <w:hyperlink w:anchor="__RefHeading___Toc657005_2749589250">
            <w:r>
              <w:rPr>
                <w:webHidden/>
                <w:rStyle w:val="IndexLink"/>
                <w:rtl w:val="true"/>
              </w:rPr>
              <w:t>الخامسة</w:t>
            </w:r>
            <w:r>
              <w:rPr>
                <w:rStyle w:val="IndexLink"/>
                <w:rtl w:val="true"/>
              </w:rPr>
              <w:t xml:space="preserve">: </w:t>
            </w:r>
            <w:r>
              <w:rPr>
                <w:rStyle w:val="IndexLink"/>
                <w:rtl w:val="true"/>
              </w:rPr>
              <w:t>لو قال لمسلم او مسلمة امّک زانیة و کانت کافرة او امه</w:t>
            </w:r>
            <w:r>
              <w:rPr>
                <w:rStyle w:val="IndexLink"/>
                <w:rtl w:val="true"/>
              </w:rPr>
              <w:tab/>
            </w:r>
            <w:r>
              <w:rPr>
                <w:rStyle w:val="IndexLink"/>
              </w:rPr>
              <w:t>371</w:t>
            </w:r>
          </w:hyperlink>
        </w:p>
        <w:p>
          <w:pPr>
            <w:pStyle w:val="Contents4"/>
            <w:tabs>
              <w:tab w:val="clear" w:pos="8176"/>
              <w:tab w:val="right" w:pos="9026" w:leader="dot"/>
            </w:tabs>
            <w:rPr/>
          </w:pPr>
          <w:hyperlink w:anchor="__RefHeading___Toc657007_2749589250">
            <w:r>
              <w:rPr>
                <w:webHidden/>
                <w:rStyle w:val="IndexLink"/>
                <w:rtl w:val="true"/>
              </w:rPr>
              <w:t>السّادسه</w:t>
            </w:r>
            <w:r>
              <w:rPr>
                <w:rStyle w:val="IndexLink"/>
                <w:rtl w:val="true"/>
              </w:rPr>
              <w:t xml:space="preserve">: </w:t>
            </w:r>
            <w:r>
              <w:rPr>
                <w:rStyle w:val="IndexLink"/>
                <w:rtl w:val="true"/>
              </w:rPr>
              <w:t>لو قذف المستکرهة فیعزّر و لو لم یبیّن المراد فیحدّ</w:t>
            </w:r>
            <w:r>
              <w:rPr>
                <w:rStyle w:val="IndexLink"/>
                <w:rtl w:val="true"/>
              </w:rPr>
              <w:tab/>
            </w:r>
            <w:r>
              <w:rPr>
                <w:rStyle w:val="IndexLink"/>
              </w:rPr>
              <w:t>373</w:t>
            </w:r>
          </w:hyperlink>
        </w:p>
        <w:p>
          <w:pPr>
            <w:pStyle w:val="Contents4"/>
            <w:tabs>
              <w:tab w:val="clear" w:pos="8176"/>
              <w:tab w:val="right" w:pos="9026" w:leader="dot"/>
            </w:tabs>
            <w:rPr/>
          </w:pPr>
          <w:hyperlink w:anchor="__RefHeading___Toc657009_2749589250">
            <w:r>
              <w:rPr>
                <w:webHidden/>
                <w:rStyle w:val="IndexLink"/>
                <w:rtl w:val="true"/>
              </w:rPr>
              <w:t>السّابعة</w:t>
            </w:r>
            <w:r>
              <w:rPr>
                <w:rStyle w:val="IndexLink"/>
                <w:rtl w:val="true"/>
              </w:rPr>
              <w:t xml:space="preserve">: </w:t>
            </w:r>
            <w:r>
              <w:rPr>
                <w:rStyle w:val="IndexLink"/>
                <w:rtl w:val="true"/>
              </w:rPr>
              <w:t>لو قذف یهودیّ او نصرانیّ مثله فیجلد الحدّ ولو قذف مسلماً</w:t>
            </w:r>
            <w:r>
              <w:rPr>
                <w:rStyle w:val="IndexLink"/>
                <w:rtl w:val="true"/>
              </w:rPr>
              <w:tab/>
            </w:r>
            <w:r>
              <w:rPr>
                <w:rStyle w:val="IndexLink"/>
              </w:rPr>
              <w:t>374</w:t>
            </w:r>
          </w:hyperlink>
        </w:p>
        <w:p>
          <w:pPr>
            <w:pStyle w:val="Contents4"/>
            <w:tabs>
              <w:tab w:val="clear" w:pos="8176"/>
              <w:tab w:val="right" w:pos="9026" w:leader="dot"/>
            </w:tabs>
            <w:rPr/>
          </w:pPr>
          <w:hyperlink w:anchor="__RefHeading___Toc657011_2749589250">
            <w:r>
              <w:rPr>
                <w:webHidden/>
                <w:rStyle w:val="IndexLink"/>
                <w:rtl w:val="true"/>
              </w:rPr>
              <w:t>الثّامنة</w:t>
            </w:r>
            <w:r>
              <w:rPr>
                <w:rStyle w:val="IndexLink"/>
                <w:rtl w:val="true"/>
              </w:rPr>
              <w:t xml:space="preserve">: </w:t>
            </w:r>
            <w:r>
              <w:rPr>
                <w:rStyle w:val="IndexLink"/>
                <w:rtl w:val="true"/>
              </w:rPr>
              <w:t>قذف المخالف فیه الحدّ</w:t>
            </w:r>
            <w:r>
              <w:rPr>
                <w:rStyle w:val="IndexLink"/>
                <w:rtl w:val="true"/>
              </w:rPr>
              <w:tab/>
            </w:r>
            <w:r>
              <w:rPr>
                <w:rStyle w:val="IndexLink"/>
              </w:rPr>
              <w:t>375</w:t>
            </w:r>
          </w:hyperlink>
        </w:p>
        <w:p>
          <w:pPr>
            <w:pStyle w:val="Contents4"/>
            <w:tabs>
              <w:tab w:val="clear" w:pos="8176"/>
              <w:tab w:val="right" w:pos="9026" w:leader="dot"/>
            </w:tabs>
            <w:rPr/>
          </w:pPr>
          <w:hyperlink w:anchor="__RefHeading___Toc657013_2749589250">
            <w:r>
              <w:rPr>
                <w:webHidden/>
                <w:rStyle w:val="IndexLink"/>
                <w:rtl w:val="true"/>
              </w:rPr>
              <w:t>التّاسعة</w:t>
            </w:r>
            <w:r>
              <w:rPr>
                <w:rStyle w:val="IndexLink"/>
                <w:rtl w:val="true"/>
              </w:rPr>
              <w:t xml:space="preserve">: </w:t>
            </w:r>
            <w:r>
              <w:rPr>
                <w:rStyle w:val="IndexLink"/>
                <w:rtl w:val="true"/>
              </w:rPr>
              <w:t>لا یحدّ الوالد لو قذف ولده او امّه و ورث الحدّ الولد</w:t>
            </w:r>
            <w:r>
              <w:rPr>
                <w:rStyle w:val="IndexLink"/>
                <w:rtl w:val="true"/>
              </w:rPr>
              <w:tab/>
            </w:r>
            <w:r>
              <w:rPr>
                <w:rStyle w:val="IndexLink"/>
              </w:rPr>
              <w:t>376</w:t>
            </w:r>
          </w:hyperlink>
        </w:p>
        <w:p>
          <w:pPr>
            <w:pStyle w:val="Contents4"/>
            <w:tabs>
              <w:tab w:val="clear" w:pos="8176"/>
              <w:tab w:val="right" w:pos="9026" w:leader="dot"/>
            </w:tabs>
            <w:rPr/>
          </w:pPr>
          <w:hyperlink w:anchor="__RefHeading___Toc657015_2749589250">
            <w:r>
              <w:rPr>
                <w:webHidden/>
                <w:rStyle w:val="IndexLink"/>
                <w:rtl w:val="true"/>
              </w:rPr>
              <w:t>العاشرة</w:t>
            </w:r>
            <w:r>
              <w:rPr>
                <w:rStyle w:val="IndexLink"/>
                <w:rtl w:val="true"/>
              </w:rPr>
              <w:t xml:space="preserve">: </w:t>
            </w:r>
            <w:r>
              <w:rPr>
                <w:rStyle w:val="IndexLink"/>
                <w:rtl w:val="true"/>
              </w:rPr>
              <w:t>لو تقاذف محصنان درء عنهما الحدّ و یعزّران</w:t>
            </w:r>
            <w:r>
              <w:rPr>
                <w:rStyle w:val="IndexLink"/>
                <w:rtl w:val="true"/>
              </w:rPr>
              <w:tab/>
            </w:r>
            <w:r>
              <w:rPr>
                <w:rStyle w:val="IndexLink"/>
              </w:rPr>
              <w:t>378</w:t>
            </w:r>
          </w:hyperlink>
        </w:p>
        <w:p>
          <w:pPr>
            <w:pStyle w:val="Contents4"/>
            <w:tabs>
              <w:tab w:val="clear" w:pos="8176"/>
              <w:tab w:val="right" w:pos="9026" w:leader="dot"/>
            </w:tabs>
            <w:rPr/>
          </w:pPr>
          <w:hyperlink w:anchor="__RefHeading___Toc657017_2749589250">
            <w:r>
              <w:rPr>
                <w:webHidden/>
                <w:rStyle w:val="IndexLink"/>
                <w:rtl w:val="true"/>
              </w:rPr>
              <w:t>الحادیة عشر</w:t>
            </w:r>
            <w:r>
              <w:rPr>
                <w:rStyle w:val="IndexLink"/>
                <w:rtl w:val="true"/>
              </w:rPr>
              <w:t xml:space="preserve">: </w:t>
            </w:r>
            <w:r>
              <w:rPr>
                <w:rStyle w:val="IndexLink"/>
                <w:rtl w:val="true"/>
              </w:rPr>
              <w:t>لو قال احدکما زان ففی الحدّ اشکال</w:t>
            </w:r>
            <w:r>
              <w:rPr>
                <w:rStyle w:val="IndexLink"/>
                <w:rtl w:val="true"/>
              </w:rPr>
              <w:tab/>
            </w:r>
            <w:r>
              <w:rPr>
                <w:rStyle w:val="IndexLink"/>
              </w:rPr>
              <w:t>379</w:t>
            </w:r>
          </w:hyperlink>
        </w:p>
        <w:p>
          <w:pPr>
            <w:pStyle w:val="Contents4"/>
            <w:tabs>
              <w:tab w:val="clear" w:pos="8176"/>
              <w:tab w:val="right" w:pos="9026" w:leader="dot"/>
            </w:tabs>
            <w:rPr/>
          </w:pPr>
          <w:hyperlink w:anchor="__RefHeading___Toc657019_2749589250">
            <w:r>
              <w:rPr>
                <w:webHidden/>
                <w:rStyle w:val="IndexLink"/>
                <w:rtl w:val="true"/>
              </w:rPr>
              <w:t>الثّانیة عشر</w:t>
            </w:r>
            <w:r>
              <w:rPr>
                <w:rStyle w:val="IndexLink"/>
                <w:rtl w:val="true"/>
              </w:rPr>
              <w:t xml:space="preserve">: </w:t>
            </w:r>
            <w:r>
              <w:rPr>
                <w:rStyle w:val="IndexLink"/>
                <w:rtl w:val="true"/>
              </w:rPr>
              <w:t>لو قال لزوجته لم اجدک عذراء فیعزّر</w:t>
            </w:r>
            <w:r>
              <w:rPr>
                <w:rStyle w:val="IndexLink"/>
                <w:rtl w:val="true"/>
              </w:rPr>
              <w:tab/>
            </w:r>
            <w:r>
              <w:rPr>
                <w:rStyle w:val="IndexLink"/>
              </w:rPr>
              <w:t>380</w:t>
            </w:r>
          </w:hyperlink>
        </w:p>
        <w:p>
          <w:pPr>
            <w:pStyle w:val="Contents4"/>
            <w:tabs>
              <w:tab w:val="clear" w:pos="8176"/>
              <w:tab w:val="right" w:pos="9026" w:leader="dot"/>
            </w:tabs>
            <w:rPr/>
          </w:pPr>
          <w:hyperlink w:anchor="__RefHeading___Toc657021_2749589250">
            <w:r>
              <w:rPr>
                <w:webHidden/>
                <w:rStyle w:val="IndexLink"/>
                <w:rtl w:val="true"/>
              </w:rPr>
              <w:t>لو کان المقذوف کاملاً دون المخاطب فالحدّ للمقذوف</w:t>
            </w:r>
            <w:r>
              <w:rPr>
                <w:rStyle w:val="IndexLink"/>
                <w:rtl w:val="true"/>
              </w:rPr>
              <w:tab/>
            </w:r>
            <w:r>
              <w:rPr>
                <w:rStyle w:val="IndexLink"/>
              </w:rPr>
              <w:t>383</w:t>
            </w:r>
          </w:hyperlink>
        </w:p>
        <w:p>
          <w:pPr>
            <w:pStyle w:val="Contents4"/>
            <w:tabs>
              <w:tab w:val="clear" w:pos="8176"/>
              <w:tab w:val="right" w:pos="9026" w:leader="dot"/>
            </w:tabs>
            <w:rPr/>
          </w:pPr>
          <w:hyperlink w:anchor="__RefHeading___Toc657023_2749589250">
            <w:r>
              <w:rPr>
                <w:webHidden/>
                <w:rStyle w:val="IndexLink"/>
                <w:rtl w:val="true"/>
              </w:rPr>
              <w:t>لو قال من رمانی فهو زان او ملوط فرماه و احد فلا یحدّ</w:t>
            </w:r>
            <w:r>
              <w:rPr>
                <w:rStyle w:val="IndexLink"/>
                <w:rtl w:val="true"/>
              </w:rPr>
              <w:tab/>
            </w:r>
            <w:r>
              <w:rPr>
                <w:rStyle w:val="IndexLink"/>
              </w:rPr>
              <w:t>384</w:t>
            </w:r>
          </w:hyperlink>
        </w:p>
        <w:p>
          <w:pPr>
            <w:pStyle w:val="Contents4"/>
            <w:tabs>
              <w:tab w:val="clear" w:pos="8176"/>
              <w:tab w:val="right" w:pos="9026" w:leader="dot"/>
            </w:tabs>
            <w:rPr/>
          </w:pPr>
          <w:hyperlink w:anchor="__RefHeading___Toc657025_2749589250">
            <w:r>
              <w:rPr>
                <w:webHidden/>
                <w:rStyle w:val="IndexLink"/>
                <w:rtl w:val="true"/>
              </w:rPr>
              <w:t>التّعزیر فی هجو من لیس بمستحقّ له و سبّه</w:t>
            </w:r>
            <w:r>
              <w:rPr>
                <w:rStyle w:val="IndexLink"/>
                <w:rtl w:val="true"/>
              </w:rPr>
              <w:tab/>
            </w:r>
            <w:r>
              <w:rPr>
                <w:rStyle w:val="IndexLink"/>
              </w:rPr>
              <w:t>385</w:t>
            </w:r>
          </w:hyperlink>
        </w:p>
        <w:p>
          <w:pPr>
            <w:pStyle w:val="Contents4"/>
            <w:tabs>
              <w:tab w:val="clear" w:pos="8176"/>
              <w:tab w:val="right" w:pos="9026" w:leader="dot"/>
            </w:tabs>
            <w:rPr/>
          </w:pPr>
          <w:hyperlink w:anchor="__RefHeading___Toc657027_2749589250">
            <w:r>
              <w:rPr>
                <w:webHidden/>
                <w:rStyle w:val="IndexLink"/>
                <w:rtl w:val="true"/>
              </w:rPr>
              <w:t>لو رماها بالسّحق ففیه التّعزیر</w:t>
            </w:r>
            <w:r>
              <w:rPr>
                <w:rStyle w:val="IndexLink"/>
                <w:rtl w:val="true"/>
              </w:rPr>
              <w:tab/>
            </w:r>
            <w:r>
              <w:rPr>
                <w:rStyle w:val="IndexLink"/>
              </w:rPr>
              <w:t>388</w:t>
            </w:r>
          </w:hyperlink>
        </w:p>
        <w:p>
          <w:pPr>
            <w:pStyle w:val="Contents3"/>
            <w:tabs>
              <w:tab w:val="clear" w:pos="8459"/>
              <w:tab w:val="right" w:pos="9026" w:leader="dot"/>
            </w:tabs>
            <w:rPr/>
          </w:pPr>
          <w:hyperlink w:anchor="__RefHeading___Toc657029_2749589250">
            <w:r>
              <w:rPr>
                <w:webHidden/>
                <w:rStyle w:val="IndexLink"/>
                <w:rtl w:val="true"/>
              </w:rPr>
              <w:t>فی حدّ القذف</w:t>
            </w:r>
            <w:r>
              <w:rPr>
                <w:rStyle w:val="IndexLink"/>
                <w:rtl w:val="true"/>
              </w:rPr>
              <w:tab/>
            </w:r>
            <w:r>
              <w:rPr>
                <w:rStyle w:val="IndexLink"/>
              </w:rPr>
              <w:t>389</w:t>
            </w:r>
          </w:hyperlink>
        </w:p>
        <w:p>
          <w:pPr>
            <w:pStyle w:val="Contents4"/>
            <w:tabs>
              <w:tab w:val="clear" w:pos="8176"/>
              <w:tab w:val="right" w:pos="9026" w:leader="dot"/>
            </w:tabs>
            <w:rPr/>
          </w:pPr>
          <w:hyperlink w:anchor="__RefHeading___Toc657031_2749589250">
            <w:r>
              <w:rPr>
                <w:webHidden/>
                <w:rStyle w:val="IndexLink"/>
                <w:rtl w:val="true"/>
              </w:rPr>
              <w:t>حدّه ثمانون جلدة ذکراً کان او انثی</w:t>
            </w:r>
            <w:r>
              <w:rPr>
                <w:rStyle w:val="IndexLink"/>
                <w:rtl w:val="true"/>
              </w:rPr>
              <w:tab/>
            </w:r>
            <w:r>
              <w:rPr>
                <w:rStyle w:val="IndexLink"/>
              </w:rPr>
              <w:t>389</w:t>
            </w:r>
          </w:hyperlink>
        </w:p>
        <w:p>
          <w:pPr>
            <w:pStyle w:val="Contents4"/>
            <w:tabs>
              <w:tab w:val="clear" w:pos="8176"/>
              <w:tab w:val="right" w:pos="9026" w:leader="dot"/>
            </w:tabs>
            <w:rPr/>
          </w:pPr>
          <w:hyperlink w:anchor="__RefHeading___Toc657033_2749589250">
            <w:r>
              <w:rPr>
                <w:webHidden/>
                <w:rStyle w:val="IndexLink"/>
                <w:rtl w:val="true"/>
              </w:rPr>
              <w:t>(</w:t>
            </w:r>
            <w:r>
              <w:rPr>
                <w:rStyle w:val="IndexLink"/>
                <w:rtl w:val="true"/>
              </w:rPr>
              <w:t>مسائل</w:t>
            </w:r>
            <w:r>
              <w:rPr>
                <w:rStyle w:val="IndexLink"/>
                <w:rtl w:val="true"/>
              </w:rPr>
              <w:t>)</w:t>
              <w:tab/>
            </w:r>
            <w:r>
              <w:rPr>
                <w:rStyle w:val="IndexLink"/>
              </w:rPr>
              <w:t>390</w:t>
            </w:r>
          </w:hyperlink>
        </w:p>
        <w:p>
          <w:pPr>
            <w:pStyle w:val="Contents5"/>
            <w:tabs>
              <w:tab w:val="clear" w:pos="7892"/>
              <w:tab w:val="right" w:pos="9026" w:leader="dot"/>
            </w:tabs>
            <w:rPr/>
          </w:pPr>
          <w:hyperlink w:anchor="__RefHeading___Toc657035_2749589250">
            <w:r>
              <w:rPr>
                <w:webHidden/>
                <w:rStyle w:val="IndexLink"/>
                <w:rtl w:val="true"/>
              </w:rPr>
              <w:t>الاولی</w:t>
            </w:r>
            <w:r>
              <w:rPr>
                <w:rStyle w:val="IndexLink"/>
                <w:rtl w:val="true"/>
              </w:rPr>
              <w:t xml:space="preserve">: </w:t>
            </w:r>
            <w:r>
              <w:rPr>
                <w:rStyle w:val="IndexLink"/>
                <w:rtl w:val="true"/>
              </w:rPr>
              <w:t>یجلد جلداً متوسّطاً و ینزع منه الرّداء و یجرّد</w:t>
            </w:r>
            <w:r>
              <w:rPr>
                <w:rStyle w:val="IndexLink"/>
                <w:rtl w:val="true"/>
              </w:rPr>
              <w:tab/>
            </w:r>
            <w:r>
              <w:rPr>
                <w:rStyle w:val="IndexLink"/>
              </w:rPr>
              <w:t>390</w:t>
            </w:r>
          </w:hyperlink>
        </w:p>
        <w:p>
          <w:pPr>
            <w:pStyle w:val="Contents5"/>
            <w:tabs>
              <w:tab w:val="clear" w:pos="7892"/>
              <w:tab w:val="right" w:pos="9026" w:leader="dot"/>
            </w:tabs>
            <w:rPr/>
          </w:pPr>
          <w:hyperlink w:anchor="__RefHeading___Toc657037_2749589250">
            <w:r>
              <w:rPr>
                <w:webHidden/>
                <w:rStyle w:val="IndexLink"/>
                <w:rtl w:val="true"/>
              </w:rPr>
              <w:t>الثّانیة</w:t>
            </w:r>
            <w:r>
              <w:rPr>
                <w:rStyle w:val="IndexLink"/>
                <w:rtl w:val="true"/>
              </w:rPr>
              <w:t xml:space="preserve">: </w:t>
            </w:r>
            <w:r>
              <w:rPr>
                <w:rStyle w:val="IndexLink"/>
                <w:rtl w:val="true"/>
              </w:rPr>
              <w:t>الاشکال فی تشهیر القاذف</w:t>
            </w:r>
            <w:r>
              <w:rPr>
                <w:rStyle w:val="IndexLink"/>
                <w:rtl w:val="true"/>
              </w:rPr>
              <w:tab/>
            </w:r>
            <w:r>
              <w:rPr>
                <w:rStyle w:val="IndexLink"/>
              </w:rPr>
              <w:t>392</w:t>
            </w:r>
          </w:hyperlink>
        </w:p>
        <w:p>
          <w:pPr>
            <w:pStyle w:val="Contents5"/>
            <w:tabs>
              <w:tab w:val="clear" w:pos="7892"/>
              <w:tab w:val="right" w:pos="9026" w:leader="dot"/>
            </w:tabs>
            <w:rPr/>
          </w:pPr>
          <w:hyperlink w:anchor="__RefHeading___Toc657039_2749589250">
            <w:r>
              <w:rPr>
                <w:webHidden/>
                <w:rStyle w:val="IndexLink"/>
                <w:rtl w:val="true"/>
              </w:rPr>
              <w:t>الثّالثة</w:t>
            </w:r>
            <w:r>
              <w:rPr>
                <w:rStyle w:val="IndexLink"/>
                <w:rtl w:val="true"/>
              </w:rPr>
              <w:t xml:space="preserve">: </w:t>
            </w:r>
            <w:r>
              <w:rPr>
                <w:rStyle w:val="IndexLink"/>
                <w:rtl w:val="true"/>
              </w:rPr>
              <w:t>لو قذف شخصاً مکرراً فیحدّ حدّاً واحداً فان حدّ و قذف یحدّ ثانیاً</w:t>
            </w:r>
            <w:r>
              <w:rPr>
                <w:rStyle w:val="IndexLink"/>
                <w:rtl w:val="true"/>
              </w:rPr>
              <w:tab/>
            </w:r>
            <w:r>
              <w:rPr>
                <w:rStyle w:val="IndexLink"/>
              </w:rPr>
              <w:t>393</w:t>
            </w:r>
          </w:hyperlink>
        </w:p>
        <w:p>
          <w:pPr>
            <w:pStyle w:val="Contents5"/>
            <w:tabs>
              <w:tab w:val="clear" w:pos="7892"/>
              <w:tab w:val="right" w:pos="9026" w:leader="dot"/>
            </w:tabs>
            <w:rPr/>
          </w:pPr>
          <w:hyperlink w:anchor="__RefHeading___Toc657041_2749589250">
            <w:r>
              <w:rPr>
                <w:webHidden/>
                <w:rStyle w:val="IndexLink"/>
                <w:rtl w:val="true"/>
              </w:rPr>
              <w:t>الرّابعة</w:t>
            </w:r>
            <w:r>
              <w:rPr>
                <w:rStyle w:val="IndexLink"/>
                <w:rtl w:val="true"/>
              </w:rPr>
              <w:t xml:space="preserve">: </w:t>
            </w:r>
            <w:r>
              <w:rPr>
                <w:rStyle w:val="IndexLink"/>
                <w:rtl w:val="true"/>
              </w:rPr>
              <w:t>لو اتّحد المقذوف و تعدّد القاذف فعلی کلّ واحد حدّ و فی العکس</w:t>
            </w:r>
            <w:r>
              <w:rPr>
                <w:rStyle w:val="IndexLink"/>
                <w:rtl w:val="true"/>
              </w:rPr>
              <w:tab/>
            </w:r>
            <w:r>
              <w:rPr>
                <w:rStyle w:val="IndexLink"/>
              </w:rPr>
              <w:t>394</w:t>
            </w:r>
          </w:hyperlink>
        </w:p>
        <w:p>
          <w:pPr>
            <w:pStyle w:val="Contents5"/>
            <w:tabs>
              <w:tab w:val="clear" w:pos="7892"/>
              <w:tab w:val="right" w:pos="9026" w:leader="dot"/>
            </w:tabs>
            <w:rPr/>
          </w:pPr>
          <w:hyperlink w:anchor="__RefHeading___Toc657043_2749589250">
            <w:r>
              <w:rPr>
                <w:webHidden/>
                <w:rStyle w:val="IndexLink"/>
                <w:rtl w:val="true"/>
              </w:rPr>
              <w:t>الخامسة</w:t>
            </w:r>
            <w:r>
              <w:rPr>
                <w:rStyle w:val="IndexLink"/>
                <w:rtl w:val="true"/>
              </w:rPr>
              <w:t xml:space="preserve">: </w:t>
            </w:r>
            <w:r>
              <w:rPr>
                <w:rStyle w:val="IndexLink"/>
                <w:rtl w:val="true"/>
              </w:rPr>
              <w:t>اذا حدّ مرّتین فیقتل فی الثّالثه</w:t>
            </w:r>
            <w:r>
              <w:rPr>
                <w:rStyle w:val="IndexLink"/>
                <w:rtl w:val="true"/>
              </w:rPr>
              <w:tab/>
            </w:r>
            <w:r>
              <w:rPr>
                <w:rStyle w:val="IndexLink"/>
              </w:rPr>
              <w:t>398</w:t>
            </w:r>
          </w:hyperlink>
        </w:p>
        <w:p>
          <w:pPr>
            <w:pStyle w:val="Contents4"/>
            <w:tabs>
              <w:tab w:val="clear" w:pos="8176"/>
              <w:tab w:val="right" w:pos="9026" w:leader="dot"/>
            </w:tabs>
            <w:rPr/>
          </w:pPr>
          <w:hyperlink w:anchor="__RefHeading___Toc657045_2749589250">
            <w:r>
              <w:rPr>
                <w:webHidden/>
                <w:rStyle w:val="IndexLink"/>
                <w:rtl w:val="true"/>
              </w:rPr>
              <w:t>(</w:t>
            </w:r>
            <w:r>
              <w:rPr>
                <w:rStyle w:val="IndexLink"/>
                <w:rtl w:val="true"/>
              </w:rPr>
              <w:t>مسائل</w:t>
            </w:r>
            <w:r>
              <w:rPr>
                <w:rStyle w:val="IndexLink"/>
                <w:rtl w:val="true"/>
              </w:rPr>
              <w:t>)</w:t>
              <w:tab/>
            </w:r>
            <w:r>
              <w:rPr>
                <w:rStyle w:val="IndexLink"/>
              </w:rPr>
              <w:t>399</w:t>
            </w:r>
          </w:hyperlink>
        </w:p>
        <w:p>
          <w:pPr>
            <w:pStyle w:val="Contents5"/>
            <w:tabs>
              <w:tab w:val="clear" w:pos="7892"/>
              <w:tab w:val="right" w:pos="9026" w:leader="dot"/>
            </w:tabs>
            <w:rPr/>
          </w:pPr>
          <w:hyperlink w:anchor="__RefHeading___Toc657047_2749589250">
            <w:r>
              <w:rPr>
                <w:webHidden/>
                <w:rStyle w:val="IndexLink"/>
                <w:rtl w:val="true"/>
              </w:rPr>
              <w:t>الاولی</w:t>
            </w:r>
            <w:r>
              <w:rPr>
                <w:rStyle w:val="IndexLink"/>
                <w:rtl w:val="true"/>
              </w:rPr>
              <w:t xml:space="preserve">: </w:t>
            </w:r>
            <w:r>
              <w:rPr>
                <w:rStyle w:val="IndexLink"/>
                <w:rtl w:val="true"/>
              </w:rPr>
              <w:t>سقوط الحدّ بتصدیق المقذوف و البیّنة</w:t>
            </w:r>
            <w:r>
              <w:rPr>
                <w:rStyle w:val="IndexLink"/>
                <w:rtl w:val="true"/>
              </w:rPr>
              <w:tab/>
            </w:r>
            <w:r>
              <w:rPr>
                <w:rStyle w:val="IndexLink"/>
              </w:rPr>
              <w:t>399</w:t>
            </w:r>
          </w:hyperlink>
        </w:p>
        <w:p>
          <w:pPr>
            <w:pStyle w:val="Contents5"/>
            <w:tabs>
              <w:tab w:val="clear" w:pos="7892"/>
              <w:tab w:val="right" w:pos="9026" w:leader="dot"/>
            </w:tabs>
            <w:rPr/>
          </w:pPr>
          <w:hyperlink w:anchor="__RefHeading___Toc657049_2749589250">
            <w:r>
              <w:rPr>
                <w:webHidden/>
                <w:rStyle w:val="IndexLink"/>
                <w:rtl w:val="true"/>
              </w:rPr>
              <w:t>سقوط الحدّ بالعفو</w:t>
            </w:r>
            <w:r>
              <w:rPr>
                <w:rStyle w:val="IndexLink"/>
                <w:rtl w:val="true"/>
              </w:rPr>
              <w:tab/>
            </w:r>
            <w:r>
              <w:rPr>
                <w:rStyle w:val="IndexLink"/>
              </w:rPr>
              <w:t>400</w:t>
            </w:r>
          </w:hyperlink>
        </w:p>
        <w:p>
          <w:pPr>
            <w:pStyle w:val="Contents5"/>
            <w:tabs>
              <w:tab w:val="clear" w:pos="7892"/>
              <w:tab w:val="right" w:pos="9026" w:leader="dot"/>
            </w:tabs>
            <w:rPr/>
          </w:pPr>
          <w:hyperlink w:anchor="__RefHeading___Toc657051_2749589250">
            <w:r>
              <w:rPr>
                <w:webHidden/>
                <w:rStyle w:val="IndexLink"/>
                <w:rtl w:val="true"/>
              </w:rPr>
              <w:t>سقوط حدّ قذف الزّوجة باللّعان</w:t>
            </w:r>
            <w:r>
              <w:rPr>
                <w:rStyle w:val="IndexLink"/>
                <w:rtl w:val="true"/>
              </w:rPr>
              <w:tab/>
            </w:r>
            <w:r>
              <w:rPr>
                <w:rStyle w:val="IndexLink"/>
              </w:rPr>
              <w:t>404</w:t>
            </w:r>
          </w:hyperlink>
        </w:p>
        <w:p>
          <w:pPr>
            <w:pStyle w:val="Contents5"/>
            <w:tabs>
              <w:tab w:val="clear" w:pos="7892"/>
              <w:tab w:val="right" w:pos="9026" w:leader="dot"/>
            </w:tabs>
            <w:rPr/>
          </w:pPr>
          <w:hyperlink w:anchor="__RefHeading___Toc657053_2749589250">
            <w:r>
              <w:rPr>
                <w:webHidden/>
                <w:rStyle w:val="IndexLink"/>
                <w:rtl w:val="true"/>
              </w:rPr>
              <w:t>حدّ القذف یورث</w:t>
            </w:r>
            <w:r>
              <w:rPr>
                <w:rStyle w:val="IndexLink"/>
                <w:rtl w:val="true"/>
              </w:rPr>
              <w:tab/>
            </w:r>
            <w:r>
              <w:rPr>
                <w:rStyle w:val="IndexLink"/>
              </w:rPr>
              <w:t>407</w:t>
            </w:r>
          </w:hyperlink>
        </w:p>
        <w:p>
          <w:pPr>
            <w:pStyle w:val="Contents5"/>
            <w:tabs>
              <w:tab w:val="clear" w:pos="7892"/>
              <w:tab w:val="right" w:pos="9026" w:leader="dot"/>
            </w:tabs>
            <w:rPr/>
          </w:pPr>
          <w:hyperlink w:anchor="__RefHeading___Toc657055_2749589250">
            <w:r>
              <w:rPr>
                <w:webHidden/>
                <w:rStyle w:val="IndexLink"/>
                <w:rtl w:val="true"/>
              </w:rPr>
              <w:t>یرثه المناسب لا ذو السّبب و لا یسقط حقّ الآخرین بعفو البعض</w:t>
            </w:r>
            <w:r>
              <w:rPr>
                <w:rStyle w:val="IndexLink"/>
                <w:rtl w:val="true"/>
              </w:rPr>
              <w:tab/>
            </w:r>
            <w:r>
              <w:rPr>
                <w:rStyle w:val="IndexLink"/>
              </w:rPr>
              <w:t>409</w:t>
            </w:r>
          </w:hyperlink>
        </w:p>
        <w:p>
          <w:pPr>
            <w:pStyle w:val="Contents5"/>
            <w:tabs>
              <w:tab w:val="clear" w:pos="7892"/>
              <w:tab w:val="right" w:pos="9026" w:leader="dot"/>
            </w:tabs>
            <w:rPr/>
          </w:pPr>
          <w:hyperlink w:anchor="__RefHeading___Toc657057_2749589250">
            <w:r>
              <w:rPr>
                <w:webHidden/>
                <w:rStyle w:val="IndexLink"/>
                <w:rtl w:val="true"/>
              </w:rPr>
              <w:t>یثبت القذف بالبیّنة و هی عدلان و بالاقرار و یکفی مرّة واحدة</w:t>
            </w:r>
            <w:r>
              <w:rPr>
                <w:rStyle w:val="IndexLink"/>
                <w:rtl w:val="true"/>
              </w:rPr>
              <w:tab/>
            </w:r>
            <w:r>
              <w:rPr>
                <w:rStyle w:val="IndexLink"/>
              </w:rPr>
              <w:t>410</w:t>
            </w:r>
          </w:hyperlink>
        </w:p>
        <w:p>
          <w:pPr>
            <w:pStyle w:val="Contents2"/>
            <w:tabs>
              <w:tab w:val="clear" w:pos="8743"/>
              <w:tab w:val="right" w:pos="9026" w:leader="dot"/>
            </w:tabs>
            <w:rPr/>
          </w:pPr>
          <w:hyperlink w:anchor="__RefHeading___Toc657059_2749589250">
            <w:r>
              <w:rPr>
                <w:webHidden/>
                <w:rStyle w:val="IndexLink"/>
                <w:rtl w:val="true"/>
              </w:rPr>
              <w:t>سبّ النّبی صلی الله علیه و آله</w:t>
            </w:r>
            <w:r>
              <w:rPr>
                <w:rStyle w:val="IndexLink"/>
                <w:rtl w:val="true"/>
              </w:rPr>
              <w:tab/>
            </w:r>
            <w:r>
              <w:rPr>
                <w:rStyle w:val="IndexLink"/>
              </w:rPr>
              <w:t>411</w:t>
            </w:r>
          </w:hyperlink>
        </w:p>
        <w:p>
          <w:pPr>
            <w:pStyle w:val="Contents3"/>
            <w:tabs>
              <w:tab w:val="clear" w:pos="8459"/>
              <w:tab w:val="right" w:pos="9026" w:leader="dot"/>
            </w:tabs>
            <w:rPr/>
          </w:pPr>
          <w:hyperlink w:anchor="__RefHeading___Toc657061_2749589250">
            <w:r>
              <w:rPr>
                <w:webHidden/>
                <w:rStyle w:val="IndexLink"/>
                <w:rtl w:val="true"/>
              </w:rPr>
              <w:t>فیه ابحاث</w:t>
            </w:r>
            <w:r>
              <w:rPr>
                <w:rStyle w:val="IndexLink"/>
                <w:rtl w:val="true"/>
              </w:rPr>
              <w:tab/>
            </w:r>
            <w:r>
              <w:rPr>
                <w:rStyle w:val="IndexLink"/>
              </w:rPr>
              <w:t>411</w:t>
            </w:r>
          </w:hyperlink>
        </w:p>
        <w:p>
          <w:pPr>
            <w:pStyle w:val="Contents4"/>
            <w:tabs>
              <w:tab w:val="clear" w:pos="8176"/>
              <w:tab w:val="right" w:pos="9026" w:leader="dot"/>
            </w:tabs>
            <w:rPr/>
          </w:pPr>
          <w:hyperlink w:anchor="__RefHeading___Toc657063_2749589250">
            <w:r>
              <w:rPr>
                <w:webHidden/>
                <w:rStyle w:val="IndexLink"/>
                <w:rtl w:val="true"/>
              </w:rPr>
              <w:t>الاول</w:t>
            </w:r>
            <w:r>
              <w:rPr>
                <w:rStyle w:val="IndexLink"/>
                <w:rtl w:val="true"/>
              </w:rPr>
              <w:t xml:space="preserve">: </w:t>
            </w:r>
            <w:r>
              <w:rPr>
                <w:rStyle w:val="IndexLink"/>
                <w:rtl w:val="true"/>
              </w:rPr>
              <w:t>سبّ النّبی صلی الله علیه و آله یوجب القتل</w:t>
            </w:r>
            <w:r>
              <w:rPr>
                <w:rStyle w:val="IndexLink"/>
                <w:rtl w:val="true"/>
              </w:rPr>
              <w:tab/>
            </w:r>
            <w:r>
              <w:rPr>
                <w:rStyle w:val="IndexLink"/>
              </w:rPr>
              <w:t>411</w:t>
            </w:r>
          </w:hyperlink>
        </w:p>
        <w:p>
          <w:pPr>
            <w:pStyle w:val="Contents4"/>
            <w:tabs>
              <w:tab w:val="clear" w:pos="8176"/>
              <w:tab w:val="right" w:pos="9026" w:leader="dot"/>
            </w:tabs>
            <w:rPr/>
          </w:pPr>
          <w:hyperlink w:anchor="__RefHeading___Toc657065_2749589250">
            <w:r>
              <w:rPr>
                <w:webHidden/>
                <w:rStyle w:val="IndexLink"/>
                <w:rtl w:val="true"/>
              </w:rPr>
              <w:t>الثّانی</w:t>
            </w:r>
            <w:r>
              <w:rPr>
                <w:rStyle w:val="IndexLink"/>
                <w:rtl w:val="true"/>
              </w:rPr>
              <w:t xml:space="preserve">: </w:t>
            </w:r>
            <w:r>
              <w:rPr>
                <w:rStyle w:val="IndexLink"/>
                <w:rtl w:val="true"/>
              </w:rPr>
              <w:t>سبّ احد الأئمة الطّاهرین علیهم السلام او سبّ الزّهراء سلام الله علیها موجب للقتل</w:t>
            </w:r>
            <w:r>
              <w:rPr>
                <w:rStyle w:val="IndexLink"/>
                <w:rtl w:val="true"/>
              </w:rPr>
              <w:tab/>
            </w:r>
            <w:r>
              <w:rPr>
                <w:rStyle w:val="IndexLink"/>
              </w:rPr>
              <w:t>415</w:t>
            </w:r>
          </w:hyperlink>
        </w:p>
        <w:p>
          <w:pPr>
            <w:pStyle w:val="Contents4"/>
            <w:tabs>
              <w:tab w:val="clear" w:pos="8176"/>
              <w:tab w:val="right" w:pos="9026" w:leader="dot"/>
            </w:tabs>
            <w:rPr/>
          </w:pPr>
          <w:hyperlink w:anchor="__RefHeading___Toc657067_2749589250">
            <w:r>
              <w:rPr>
                <w:webHidden/>
                <w:rStyle w:val="IndexLink"/>
                <w:rtl w:val="true"/>
              </w:rPr>
              <w:t>جواز السّبّ و الشّتم اکراهاً</w:t>
            </w:r>
            <w:r>
              <w:rPr>
                <w:rStyle w:val="IndexLink"/>
                <w:rtl w:val="true"/>
              </w:rPr>
              <w:tab/>
            </w:r>
            <w:r>
              <w:rPr>
                <w:rStyle w:val="IndexLink"/>
              </w:rPr>
              <w:t>419</w:t>
            </w:r>
          </w:hyperlink>
        </w:p>
        <w:p>
          <w:pPr>
            <w:pStyle w:val="Contents4"/>
            <w:tabs>
              <w:tab w:val="clear" w:pos="8176"/>
              <w:tab w:val="right" w:pos="9026" w:leader="dot"/>
            </w:tabs>
            <w:rPr/>
          </w:pPr>
          <w:hyperlink w:anchor="__RefHeading___Toc657069_2749589250">
            <w:r>
              <w:rPr>
                <w:webHidden/>
                <w:rStyle w:val="IndexLink"/>
                <w:rtl w:val="true"/>
              </w:rPr>
              <w:t>لا یجب السّبّ اکراهاً</w:t>
            </w:r>
            <w:r>
              <w:rPr>
                <w:rStyle w:val="IndexLink"/>
                <w:rtl w:val="true"/>
              </w:rPr>
              <w:tab/>
            </w:r>
            <w:r>
              <w:rPr>
                <w:rStyle w:val="IndexLink"/>
              </w:rPr>
              <w:t>422</w:t>
            </w:r>
          </w:hyperlink>
        </w:p>
        <w:p>
          <w:pPr>
            <w:pStyle w:val="Contents4"/>
            <w:tabs>
              <w:tab w:val="clear" w:pos="8176"/>
              <w:tab w:val="right" w:pos="9026" w:leader="dot"/>
            </w:tabs>
            <w:rPr/>
          </w:pPr>
          <w:hyperlink w:anchor="__RefHeading___Toc657071_2749589250">
            <w:r>
              <w:rPr>
                <w:webHidden/>
                <w:rStyle w:val="IndexLink"/>
                <w:rtl w:val="true"/>
              </w:rPr>
              <w:t>و لایجوز البرائة قلباً</w:t>
            </w:r>
            <w:r>
              <w:rPr>
                <w:rStyle w:val="IndexLink"/>
                <w:rtl w:val="true"/>
              </w:rPr>
              <w:tab/>
            </w:r>
            <w:r>
              <w:rPr>
                <w:rStyle w:val="IndexLink"/>
              </w:rPr>
              <w:t>423</w:t>
            </w:r>
          </w:hyperlink>
        </w:p>
        <w:p>
          <w:pPr>
            <w:pStyle w:val="Contents4"/>
            <w:tabs>
              <w:tab w:val="clear" w:pos="8176"/>
              <w:tab w:val="right" w:pos="9026" w:leader="dot"/>
            </w:tabs>
            <w:rPr/>
          </w:pPr>
          <w:hyperlink w:anchor="__RefHeading___Toc657073_2749589250">
            <w:r>
              <w:rPr>
                <w:webHidden/>
                <w:rStyle w:val="IndexLink"/>
                <w:rtl w:val="true"/>
              </w:rPr>
              <w:t>لو عاب النّبی</w:t>
            </w:r>
            <w:r>
              <w:rPr>
                <w:rStyle w:val="IndexLink"/>
                <w:rtl w:val="true"/>
              </w:rPr>
              <w:t>(</w:t>
            </w:r>
            <w:r>
              <w:rPr>
                <w:rStyle w:val="IndexLink"/>
                <w:rtl w:val="true"/>
              </w:rPr>
              <w:t>ص</w:t>
            </w:r>
            <w:r>
              <w:rPr>
                <w:rStyle w:val="IndexLink"/>
                <w:rtl w:val="true"/>
              </w:rPr>
              <w:t xml:space="preserve">) </w:t>
            </w:r>
            <w:r>
              <w:rPr>
                <w:rStyle w:val="IndexLink"/>
                <w:rtl w:val="true"/>
              </w:rPr>
              <w:t>او قذفه او احد المعصومین</w:t>
            </w:r>
            <w:r>
              <w:rPr>
                <w:rStyle w:val="IndexLink"/>
                <w:rtl w:val="true"/>
              </w:rPr>
              <w:t>(</w:t>
            </w:r>
            <w:r>
              <w:rPr>
                <w:rStyle w:val="IndexLink"/>
                <w:rtl w:val="true"/>
              </w:rPr>
              <w:t>ع</w:t>
            </w:r>
            <w:r>
              <w:rPr>
                <w:rStyle w:val="IndexLink"/>
                <w:rtl w:val="true"/>
              </w:rPr>
              <w:t xml:space="preserve">) </w:t>
            </w:r>
            <w:r>
              <w:rPr>
                <w:rStyle w:val="IndexLink"/>
                <w:rtl w:val="true"/>
              </w:rPr>
              <w:t>و آل الی الارتداد فیحکم بحکمه</w:t>
            </w:r>
            <w:r>
              <w:rPr>
                <w:rStyle w:val="IndexLink"/>
                <w:rtl w:val="true"/>
              </w:rPr>
              <w:tab/>
            </w:r>
            <w:r>
              <w:rPr>
                <w:rStyle w:val="IndexLink"/>
              </w:rPr>
              <w:t>424</w:t>
            </w:r>
          </w:hyperlink>
        </w:p>
        <w:p>
          <w:pPr>
            <w:pStyle w:val="Contents4"/>
            <w:tabs>
              <w:tab w:val="clear" w:pos="8176"/>
              <w:tab w:val="right" w:pos="9026" w:leader="dot"/>
            </w:tabs>
            <w:rPr/>
          </w:pPr>
          <w:hyperlink w:anchor="__RefHeading___Toc657075_2749589250">
            <w:r>
              <w:rPr>
                <w:webHidden/>
                <w:rStyle w:val="IndexLink"/>
                <w:rtl w:val="true"/>
              </w:rPr>
              <w:t>فی الحاق سایر الانبیاء و الرّسل بالنّبی صلی الله علیه و آله</w:t>
            </w:r>
            <w:r>
              <w:rPr>
                <w:rStyle w:val="IndexLink"/>
                <w:rtl w:val="true"/>
              </w:rPr>
              <w:tab/>
            </w:r>
            <w:r>
              <w:rPr>
                <w:rStyle w:val="IndexLink"/>
              </w:rPr>
              <w:t>426</w:t>
            </w:r>
          </w:hyperlink>
        </w:p>
        <w:p>
          <w:pPr>
            <w:pStyle w:val="Contents4"/>
            <w:tabs>
              <w:tab w:val="clear" w:pos="8176"/>
              <w:tab w:val="right" w:pos="9026" w:leader="dot"/>
            </w:tabs>
            <w:rPr/>
          </w:pPr>
          <w:hyperlink w:anchor="__RefHeading___Toc657077_2749589250">
            <w:r>
              <w:rPr>
                <w:webHidden/>
                <w:rStyle w:val="IndexLink"/>
                <w:rtl w:val="true"/>
              </w:rPr>
              <w:t>الاشکال فی جبّ الاسلام لقتل السّابّ او توبته</w:t>
            </w:r>
            <w:r>
              <w:rPr>
                <w:rStyle w:val="IndexLink"/>
                <w:rtl w:val="true"/>
              </w:rPr>
              <w:tab/>
            </w:r>
            <w:r>
              <w:rPr>
                <w:rStyle w:val="IndexLink"/>
              </w:rPr>
              <w:t>426</w:t>
            </w:r>
          </w:hyperlink>
        </w:p>
        <w:p>
          <w:pPr>
            <w:pStyle w:val="Contents4"/>
            <w:tabs>
              <w:tab w:val="clear" w:pos="8176"/>
              <w:tab w:val="right" w:pos="9026" w:leader="dot"/>
            </w:tabs>
            <w:rPr/>
          </w:pPr>
          <w:hyperlink w:anchor="__RefHeading___Toc657079_2749589250">
            <w:r>
              <w:rPr>
                <w:webHidden/>
                <w:rStyle w:val="IndexLink"/>
                <w:rtl w:val="true"/>
              </w:rPr>
              <w:t>یثبت السّب بالبیّنة و بالاقرار من الکامل</w:t>
            </w:r>
            <w:r>
              <w:rPr>
                <w:rStyle w:val="IndexLink"/>
                <w:rtl w:val="true"/>
              </w:rPr>
              <w:tab/>
            </w:r>
            <w:r>
              <w:rPr>
                <w:rStyle w:val="IndexLink"/>
              </w:rPr>
              <w:t>427</w:t>
            </w:r>
          </w:hyperlink>
        </w:p>
        <w:p>
          <w:pPr>
            <w:pStyle w:val="Contents3"/>
            <w:tabs>
              <w:tab w:val="clear" w:pos="8459"/>
              <w:tab w:val="right" w:pos="9026" w:leader="dot"/>
            </w:tabs>
            <w:rPr/>
          </w:pPr>
          <w:hyperlink w:anchor="__RefHeading___Toc657081_2749589250">
            <w:r>
              <w:rPr>
                <w:webHidden/>
                <w:rStyle w:val="IndexLink"/>
                <w:rtl w:val="true"/>
              </w:rPr>
              <w:t>(</w:t>
            </w:r>
            <w:r>
              <w:rPr>
                <w:rStyle w:val="IndexLink"/>
                <w:rtl w:val="true"/>
              </w:rPr>
              <w:t>مسائل</w:t>
            </w:r>
            <w:r>
              <w:rPr>
                <w:rStyle w:val="IndexLink"/>
                <w:rtl w:val="true"/>
              </w:rPr>
              <w:t>)</w:t>
              <w:tab/>
            </w:r>
            <w:r>
              <w:rPr>
                <w:rStyle w:val="IndexLink"/>
              </w:rPr>
              <w:t>427</w:t>
            </w:r>
          </w:hyperlink>
        </w:p>
        <w:p>
          <w:pPr>
            <w:pStyle w:val="Contents4"/>
            <w:tabs>
              <w:tab w:val="clear" w:pos="8176"/>
              <w:tab w:val="right" w:pos="9026" w:leader="dot"/>
            </w:tabs>
            <w:rPr/>
          </w:pPr>
          <w:hyperlink w:anchor="__RefHeading___Toc657083_2749589250">
            <w:r>
              <w:rPr>
                <w:webHidden/>
                <w:rStyle w:val="IndexLink"/>
                <w:rtl w:val="true"/>
              </w:rPr>
              <w:t>الاولی</w:t>
            </w:r>
            <w:r>
              <w:rPr>
                <w:rStyle w:val="IndexLink"/>
                <w:rtl w:val="true"/>
              </w:rPr>
              <w:t xml:space="preserve">: </w:t>
            </w:r>
            <w:r>
              <w:rPr>
                <w:rStyle w:val="IndexLink"/>
                <w:rtl w:val="true"/>
              </w:rPr>
              <w:t>من ادّعی النّبوّة وجب قتله</w:t>
            </w:r>
            <w:r>
              <w:rPr>
                <w:rStyle w:val="IndexLink"/>
                <w:rtl w:val="true"/>
              </w:rPr>
              <w:tab/>
            </w:r>
            <w:r>
              <w:rPr>
                <w:rStyle w:val="IndexLink"/>
              </w:rPr>
              <w:t>427</w:t>
            </w:r>
          </w:hyperlink>
        </w:p>
        <w:p>
          <w:pPr>
            <w:pStyle w:val="Contents4"/>
            <w:tabs>
              <w:tab w:val="clear" w:pos="8176"/>
              <w:tab w:val="right" w:pos="9026" w:leader="dot"/>
            </w:tabs>
            <w:rPr/>
          </w:pPr>
          <w:hyperlink w:anchor="__RefHeading___Toc657085_2749589250">
            <w:r>
              <w:rPr>
                <w:webHidden/>
                <w:rStyle w:val="IndexLink"/>
                <w:rtl w:val="true"/>
              </w:rPr>
              <w:t>الثّانیة</w:t>
            </w:r>
            <w:r>
              <w:rPr>
                <w:rStyle w:val="IndexLink"/>
                <w:rtl w:val="true"/>
              </w:rPr>
              <w:t xml:space="preserve">: </w:t>
            </w:r>
            <w:r>
              <w:rPr>
                <w:rStyle w:val="IndexLink"/>
                <w:rtl w:val="true"/>
              </w:rPr>
              <w:t>الشّاک فی نبوّة نبیّنا صلی الله علیه و آله او صدقه</w:t>
            </w:r>
            <w:r>
              <w:rPr>
                <w:rStyle w:val="IndexLink"/>
                <w:rtl w:val="true"/>
              </w:rPr>
              <w:tab/>
            </w:r>
            <w:r>
              <w:rPr>
                <w:rStyle w:val="IndexLink"/>
              </w:rPr>
              <w:t>428</w:t>
            </w:r>
          </w:hyperlink>
        </w:p>
        <w:p>
          <w:pPr>
            <w:pStyle w:val="Contents4"/>
            <w:tabs>
              <w:tab w:val="clear" w:pos="8176"/>
              <w:tab w:val="right" w:pos="9026" w:leader="dot"/>
            </w:tabs>
            <w:rPr/>
          </w:pPr>
          <w:hyperlink w:anchor="__RefHeading___Toc657087_2749589250">
            <w:r>
              <w:rPr>
                <w:webHidden/>
                <w:rStyle w:val="IndexLink"/>
                <w:rtl w:val="true"/>
              </w:rPr>
              <w:t>الثّالثة</w:t>
            </w:r>
            <w:r>
              <w:rPr>
                <w:rStyle w:val="IndexLink"/>
                <w:rtl w:val="true"/>
              </w:rPr>
              <w:t xml:space="preserve">: </w:t>
            </w:r>
            <w:r>
              <w:rPr>
                <w:rStyle w:val="IndexLink"/>
                <w:rtl w:val="true"/>
              </w:rPr>
              <w:t>یحکم بحکم السّبّ لو رجعالیه الشّک فی امامة امیرالمومنین علیه السلام او</w:t>
            </w:r>
            <w:r>
              <w:rPr>
                <w:rStyle w:val="IndexLink"/>
                <w:rtl w:val="true"/>
              </w:rPr>
              <w:tab/>
            </w:r>
            <w:r>
              <w:rPr>
                <w:rStyle w:val="IndexLink"/>
              </w:rPr>
              <w:t>430</w:t>
            </w:r>
          </w:hyperlink>
        </w:p>
        <w:p>
          <w:pPr>
            <w:pStyle w:val="Contents2"/>
            <w:tabs>
              <w:tab w:val="clear" w:pos="8743"/>
              <w:tab w:val="right" w:pos="9026" w:leader="dot"/>
            </w:tabs>
            <w:rPr/>
          </w:pPr>
          <w:hyperlink w:anchor="__RefHeading___Toc657089_2749589250">
            <w:r>
              <w:rPr>
                <w:webHidden/>
                <w:rStyle w:val="IndexLink"/>
                <w:rtl w:val="true"/>
              </w:rPr>
              <w:t>الکلام فی السّحر</w:t>
            </w:r>
            <w:r>
              <w:rPr>
                <w:rStyle w:val="IndexLink"/>
                <w:rtl w:val="true"/>
              </w:rPr>
              <w:tab/>
            </w:r>
            <w:r>
              <w:rPr>
                <w:rStyle w:val="IndexLink"/>
              </w:rPr>
              <w:t>432</w:t>
            </w:r>
          </w:hyperlink>
        </w:p>
        <w:p>
          <w:pPr>
            <w:pStyle w:val="Contents3"/>
            <w:tabs>
              <w:tab w:val="clear" w:pos="8459"/>
              <w:tab w:val="right" w:pos="9026" w:leader="dot"/>
            </w:tabs>
            <w:rPr/>
          </w:pPr>
          <w:hyperlink w:anchor="__RefHeading___Toc657091_2749589250">
            <w:r>
              <w:rPr>
                <w:webHidden/>
                <w:rStyle w:val="IndexLink"/>
                <w:rtl w:val="true"/>
              </w:rPr>
              <w:t>فی مسائل</w:t>
            </w:r>
            <w:r>
              <w:rPr>
                <w:rStyle w:val="IndexLink"/>
                <w:rtl w:val="true"/>
              </w:rPr>
              <w:tab/>
            </w:r>
            <w:r>
              <w:rPr>
                <w:rStyle w:val="IndexLink"/>
              </w:rPr>
              <w:t>432</w:t>
            </w:r>
          </w:hyperlink>
        </w:p>
        <w:p>
          <w:pPr>
            <w:pStyle w:val="Contents4"/>
            <w:tabs>
              <w:tab w:val="clear" w:pos="8176"/>
              <w:tab w:val="right" w:pos="9026" w:leader="dot"/>
            </w:tabs>
            <w:rPr/>
          </w:pPr>
          <w:hyperlink w:anchor="__RefHeading___Toc657093_2749589250">
            <w:r>
              <w:rPr>
                <w:webHidden/>
                <w:rStyle w:val="IndexLink"/>
                <w:rtl w:val="true"/>
              </w:rPr>
              <w:t>الاولی</w:t>
            </w:r>
            <w:r>
              <w:rPr>
                <w:rStyle w:val="IndexLink"/>
                <w:rtl w:val="true"/>
              </w:rPr>
              <w:t xml:space="preserve">: </w:t>
            </w:r>
            <w:r>
              <w:rPr>
                <w:rStyle w:val="IndexLink"/>
                <w:rtl w:val="true"/>
              </w:rPr>
              <w:t>یقتل ساحر المسلمین لا الکفّار</w:t>
            </w:r>
            <w:r>
              <w:rPr>
                <w:rStyle w:val="IndexLink"/>
                <w:rtl w:val="true"/>
              </w:rPr>
              <w:tab/>
            </w:r>
            <w:r>
              <w:rPr>
                <w:rStyle w:val="IndexLink"/>
              </w:rPr>
              <w:t>432</w:t>
            </w:r>
          </w:hyperlink>
        </w:p>
        <w:p>
          <w:pPr>
            <w:pStyle w:val="Contents4"/>
            <w:tabs>
              <w:tab w:val="clear" w:pos="8176"/>
              <w:tab w:val="right" w:pos="9026" w:leader="dot"/>
            </w:tabs>
            <w:rPr/>
          </w:pPr>
          <w:hyperlink w:anchor="__RefHeading___Toc657095_2749589250">
            <w:r>
              <w:rPr>
                <w:webHidden/>
                <w:rStyle w:val="IndexLink"/>
                <w:rtl w:val="true"/>
              </w:rPr>
              <w:t>الثّانیة</w:t>
            </w:r>
            <w:r>
              <w:rPr>
                <w:rStyle w:val="IndexLink"/>
                <w:rtl w:val="true"/>
              </w:rPr>
              <w:t xml:space="preserve">: </w:t>
            </w:r>
            <w:r>
              <w:rPr>
                <w:rStyle w:val="IndexLink"/>
                <w:rtl w:val="true"/>
              </w:rPr>
              <w:t>الاشکال فی القتل بتعلّم السّحر</w:t>
            </w:r>
            <w:r>
              <w:rPr>
                <w:rStyle w:val="IndexLink"/>
                <w:rtl w:val="true"/>
              </w:rPr>
              <w:tab/>
            </w:r>
            <w:r>
              <w:rPr>
                <w:rStyle w:val="IndexLink"/>
              </w:rPr>
              <w:t>436</w:t>
            </w:r>
          </w:hyperlink>
        </w:p>
        <w:p>
          <w:pPr>
            <w:pStyle w:val="Contents4"/>
            <w:tabs>
              <w:tab w:val="clear" w:pos="8176"/>
              <w:tab w:val="right" w:pos="9026" w:leader="dot"/>
            </w:tabs>
            <w:rPr/>
          </w:pPr>
          <w:hyperlink w:anchor="__RefHeading___Toc657097_2749589250">
            <w:r>
              <w:rPr>
                <w:webHidden/>
                <w:rStyle w:val="IndexLink"/>
                <w:rtl w:val="true"/>
              </w:rPr>
              <w:t>الثّالثة</w:t>
            </w:r>
            <w:r>
              <w:rPr>
                <w:rStyle w:val="IndexLink"/>
                <w:rtl w:val="true"/>
              </w:rPr>
              <w:t xml:space="preserve">: </w:t>
            </w:r>
            <w:r>
              <w:rPr>
                <w:rStyle w:val="IndexLink"/>
                <w:rtl w:val="true"/>
              </w:rPr>
              <w:t>الاشکال فی کون المراد به من اتّخذه عملاً له و حرفة و ان لم یقع منه</w:t>
            </w:r>
            <w:r>
              <w:rPr>
                <w:rStyle w:val="IndexLink"/>
                <w:rtl w:val="true"/>
              </w:rPr>
              <w:tab/>
            </w:r>
            <w:r>
              <w:rPr>
                <w:rStyle w:val="IndexLink"/>
              </w:rPr>
              <w:t>437</w:t>
            </w:r>
          </w:hyperlink>
        </w:p>
        <w:p>
          <w:pPr>
            <w:pStyle w:val="Contents4"/>
            <w:tabs>
              <w:tab w:val="clear" w:pos="8176"/>
              <w:tab w:val="right" w:pos="9026" w:leader="dot"/>
            </w:tabs>
            <w:rPr/>
          </w:pPr>
          <w:hyperlink w:anchor="__RefHeading___Toc657099_2749589250">
            <w:r>
              <w:rPr>
                <w:webHidden/>
                <w:rStyle w:val="IndexLink"/>
                <w:rtl w:val="true"/>
              </w:rPr>
              <w:t>الرّابعة</w:t>
            </w:r>
            <w:r>
              <w:rPr>
                <w:rStyle w:val="IndexLink"/>
                <w:rtl w:val="true"/>
              </w:rPr>
              <w:t xml:space="preserve">: </w:t>
            </w:r>
            <w:r>
              <w:rPr>
                <w:rStyle w:val="IndexLink"/>
                <w:rtl w:val="true"/>
              </w:rPr>
              <w:t>یثبت بالبیّنة و هی شهادة العدلین و بالاقرار مرّة واحدة</w:t>
            </w:r>
            <w:r>
              <w:rPr>
                <w:rStyle w:val="IndexLink"/>
                <w:rtl w:val="true"/>
              </w:rPr>
              <w:tab/>
            </w:r>
            <w:r>
              <w:rPr>
                <w:rStyle w:val="IndexLink"/>
              </w:rPr>
              <w:t>438</w:t>
            </w:r>
          </w:hyperlink>
        </w:p>
        <w:p>
          <w:pPr>
            <w:pStyle w:val="Contents4"/>
            <w:tabs>
              <w:tab w:val="clear" w:pos="8176"/>
              <w:tab w:val="right" w:pos="9026" w:leader="dot"/>
            </w:tabs>
            <w:rPr/>
          </w:pPr>
          <w:hyperlink w:anchor="__RefHeading___Toc657101_2749589250">
            <w:r>
              <w:rPr>
                <w:webHidden/>
                <w:rStyle w:val="IndexLink"/>
                <w:rtl w:val="true"/>
              </w:rPr>
              <w:t>الخامسة</w:t>
            </w:r>
            <w:r>
              <w:rPr>
                <w:rStyle w:val="IndexLink"/>
                <w:rtl w:val="true"/>
              </w:rPr>
              <w:t xml:space="preserve">: </w:t>
            </w:r>
            <w:r>
              <w:rPr>
                <w:rStyle w:val="IndexLink"/>
                <w:rtl w:val="true"/>
              </w:rPr>
              <w:t>فی حقیقة و انّ ما یعدّ فی العرف سحراً محکوم بحکمه</w:t>
            </w:r>
            <w:r>
              <w:rPr>
                <w:rStyle w:val="IndexLink"/>
                <w:rtl w:val="true"/>
              </w:rPr>
              <w:tab/>
            </w:r>
            <w:r>
              <w:rPr>
                <w:rStyle w:val="IndexLink"/>
              </w:rPr>
              <w:t>438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023_22395"/>
      <w:bookmarkStart w:id="1" w:name="pg3023_22395"/>
      <w:bookmarkEnd w:id="1"/>
    </w:p>
    <w:p>
      <w:pPr>
        <w:pStyle w:val="Heading2"/>
        <w:numPr>
          <w:ilvl w:val="1"/>
          <w:numId w:val="1"/>
        </w:numPr>
        <w:rPr/>
      </w:pPr>
      <w:bookmarkStart w:id="2" w:name="pg3023_22395"/>
      <w:bookmarkStart w:id="3" w:name="__RefHeading___Toc656629_274958925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رحمتی، محمد</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الحدود و التعزیرات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لمولفه محمد الرحمتی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الرحمتی،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۸۰۰۰</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تعزیرات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۱۹۵</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۷۴۹۱</w:t>
      </w:r>
    </w:p>
    <w:p>
      <w:pPr>
        <w:pStyle w:val="Heading2"/>
        <w:numPr>
          <w:ilvl w:val="1"/>
          <w:numId w:val="1"/>
        </w:numPr>
        <w:rPr/>
      </w:pPr>
      <w:bookmarkStart w:id="5" w:name="__RefHeading___Toc656631_2749589250"/>
      <w:bookmarkStart w:id="6" w:name="_Toc2"/>
      <w:bookmarkEnd w:id="5"/>
      <w:r>
        <w:rPr>
          <w:rtl w:val="true"/>
        </w:rPr>
        <w:t>مقدمة المؤلف</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 الصّلاة والسّلام علی خیر خلقه و افضل بریّته محمد وآله اجمعین، واللّعنة علی اعدائهم الی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الجزء الأوّل من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 و التّعزیرات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ویتلوه الجزء الثّانی انشاء الله ثمّ مباحث القصاص و الدّیات و ما یتعلّق بذلک، و هی سلسلة محاضرات القیناها علی اصحاب البحث خلال بعض سنوات بعد مباحث القضاء و الشّهادات، جدّدنا النّظر فی موارد قلیلة و اضفنا الیها احیاناً بعض ما سنح بالبال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نلفت نظر المراجع لهذا الکتاب الی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مطالب هذا الکتاب و مباحثه لیست متناً ولا شرحاً لأیّ کتاب مؤلف فی الفقه، و انکانت علی مناهج کتب اصحابنا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و تعرّضنا لأقاویل العامّة تبعاً لذکر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لأرائهم فی کتابی الخلاف و المبسوط، و اعتمدنا فی ذالک علی کتابی الفقه علی المذاهب الأربعة للجزیریّ والمغنی لأبن قدّامة، لأشتهار هما و تناول اهل العلم لهما ازید من غیر هما، و اقتصرنا علی نقل الأقوال غالباً، و لم نذکر ادلّتهم الاّ نادراً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لم نقتصر فی الأستدلال علای روایات وسائل الشّیعة وحدها، بل ذکرنا ما اورده العالمان الجلیلان البحّاثان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المجلسیّ و المحدّث العلاّمة النّوری قدّس الله تربتهما، فی موسوعة البحار الأوّل و مستدرک الوسائل للثّانی شکر الله سعیهما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حرصاً علی استقصاء الرّوایات و احتفاظاً و تقدیراً لآثار السّلف، و لعلّه قد فاتنا شیئ من الرّوایات فیما یتعلّق بالکتابین، یعثر الباحث علیه</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بیّنا المصادر ذیل الصّفحات بالأرقام و اعتمدنا فی تخریج روایات لوسائل علی طبعتها فی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 لا علی طبعتها فی ثلاثة اجزاء، و لا علی ثلاثین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تخریج روایات المستدرک علی طبعتها الأولی فی ثلاثة اجزاء، و فی روایات البحار علی طبعتها فی ـ</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جزءاً الّا فی موارد قلیلة؛ فعلی غیرها، اشرنا الیها فی مواضعها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لیس الغرض من ایراد روایات البحار و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الأعتماد الکامل فی الأستدلال علیها، بل فی غالب الموارد هی مؤیّدات، خصوصاً ماننقله عن دعائم الأسلام و 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کثیراً فی ما ننقل من هاتین الموسوعتین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 و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صحیحة و معتبرة تمسّکنا بها دلیلاً و سنداً یعرف ذلک المراجع لهذا الکتاب، و لعلّنا ان ساعدنا التّوفیق فی الآتی نلمّ بأسناد روایات الجعفریّات بالخصوص فی اخبار المستدرک الماماً تامّاً نتعرّض لنقد اسانیدها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جهدنا ان لا یفوتنا التّعرّض لما ذکره السّیّد الأستاذالعلّامة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مبانی تکملته من المسائل المهمّة وادلّتها، و ووافقناه طاب رمسه فی ما ساقنا لیه الدّلیل و لم یمکننا فی موارد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الختام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ان نبرز شکرناً علی جهود الّذین و ازرونا علی طبع هذا الکتاب و اخراجه بهذه الصّورة الأنیقة، لا سیمّا قرّة عینی الفاضل حجّة الأسلام السِّیّد علیّ العمادیّ و حجّة الأسلام السّیّد مجتبی حفید استاذنا الأعظم العلاّمة الکبیر الحاج السّیّد محمود الشّاهرودیّ قدّس الله نفسه الزّکیّة، فقد تعبا وجدّا باشتیاق و ولع علی الجهود المبذولة جزاهما الله خیر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ارجو ان ینتفع به العلماء و المتدرّسون عامّة، و ینفعنی الله تعالی خاصّة یوم لا ینفع مال و بنون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انا العبد الشّیخ محمد الشّهیر بالرّحمتی السّیرجانیّ نزیل قم المشرّفة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ذی القعدة الحرام </w:t>
      </w:r>
      <w:r>
        <w:rPr>
          <w:rFonts w:eastAsia="IRNazanin" w:cs="IRNazanin"/>
          <w:color w:val="111111"/>
          <w:sz w:val="28"/>
          <w:szCs w:val="28"/>
          <w:lang w:bidi="fa-IR"/>
        </w:rPr>
        <w:t>1415</w:t>
      </w:r>
      <w:bookmarkStart w:id="7" w:name="pg3023_22397"/>
    </w:p>
    <w:p>
      <w:pPr>
        <w:pStyle w:val="Heading2"/>
        <w:numPr>
          <w:ilvl w:val="1"/>
          <w:numId w:val="1"/>
        </w:numPr>
        <w:rPr/>
      </w:pPr>
      <w:bookmarkStart w:id="8" w:name="__RefHeading___Toc656633_2749589250"/>
      <w:bookmarkStart w:id="9" w:name="_Toc3"/>
      <w:bookmarkEnd w:id="7"/>
      <w:bookmarkEnd w:id="8"/>
      <w:r>
        <w:rPr>
          <w:rtl w:val="true"/>
        </w:rPr>
        <w:t>تعریف الحدّ والتّعزیر</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الحدود و التّعزیرات</w:t>
      </w:r>
    </w:p>
    <w:p>
      <w:pPr>
        <w:pStyle w:val="BookText"/>
        <w:rPr/>
      </w:pPr>
      <w:r>
        <w:rPr>
          <w:rFonts w:ascii="IRNazanin" w:hAnsi="IRNazanin" w:eastAsia="IRNazanin"/>
          <w:color w:val="111111"/>
          <w:sz w:val="28"/>
          <w:sz w:val="28"/>
          <w:szCs w:val="28"/>
          <w:rtl w:val="true"/>
          <w:lang w:bidi="fa-IR"/>
        </w:rPr>
        <w:t>الحّد لغة یطلق علی معانی متعّددة،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الحاجز بین شیئین،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الشّیء، حدّة الشّیء، الدّفع، المنع، الفصل، حدود الدّار تفصلها عن غیرها، ما یعتری الإنسان من الغضب و النّزق و عن المسالک و غیره و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 الشّرعیّ لکونه ذریعة إلی دفع النّاس عن فعل معصیة خشیة من وقوعه، و الظّاهر إنّ الأصل هو المنع و الباقی سوی الأخیر یلازمه و قد استعمل فی الکتاب الکریم فی موارد متعدّدة کفوله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یحلّ لکم أن تاخذوا ممّا اتیتموهنّ شیئاً أالاّ أن یخافا اَلاّ یقیما حدود الله فان خفتم الاّ یقیما حدود الله فلا جناح علیها فیها افتدت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حدود الله فلا تعتدوها و من یتعدّ حدود الله فاولئک هم 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ظنّا أن یقیما حدود الله و تلک حدود الله یبیّنها لقوم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تعالی عقیب آیات الارث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حدود الله و من یطع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التّالیة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یعص الله و رسوله و یتعدّ حدوده یدخله ناراً خالداً فیها و له عذاب 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شأن النساء المطلّقات</w:t>
      </w:r>
      <w:r>
        <w:rPr>
          <w:rStyle w:val="FootnoteAnchor"/>
          <w:rtl w:val="true"/>
        </w:rPr>
        <w:footnoteReference w:id="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تخرجوهنّ من بیوتهنّ و لا یخرجن الاّ أن یأتین بفاحشة مبیّنة و تلک حدود الله و من یتعدّ حدود الله فقد ظلم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ما</w:t>
      </w:r>
    </w:p>
    <w:p>
      <w:pPr>
        <w:pStyle w:val="BookText"/>
        <w:rPr/>
      </w:pPr>
      <w:r>
        <w:rPr>
          <w:rFonts w:ascii="IRNazanin" w:hAnsi="IRNazanin" w:eastAsia="IRNazanin"/>
          <w:color w:val="111111"/>
          <w:sz w:val="28"/>
          <w:sz w:val="28"/>
          <w:szCs w:val="28"/>
          <w:rtl w:val="true"/>
          <w:lang w:bidi="fa-IR"/>
        </w:rPr>
        <w:t>لبعض المفسّرین من تفسیر الحدود فی الآیة الاُولی بأوامره و نواهیه یرجع إلی بعض ماذکر و ما عن بعض آخر من تفسیره بالطّاعة أو الشّروط أو الأمکنة لیس علی ما ینبغی إلاّ بتأویل و تشبیه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التّعزیر مصدر باب التّفعیل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 التّعزیر ضرب دون الحدّ أو هو أشدّ الضّرب و التّفخیم و التّعظیم و الاعانة و التّقویة و النّصر و العزر المنع ـ الی ـ والتّوقیف علی باب الدین و الفرائض و الأحکام و التّأدیب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فی ثلاثة موارد من الکتاب العزیز قال الله تعالی</w:t>
      </w:r>
      <w:r>
        <w:rPr>
          <w:rFonts w:eastAsia="IRNazanin" w:cs="IRNazanin"/>
          <w:color w:val="111111"/>
          <w:sz w:val="28"/>
          <w:szCs w:val="28"/>
          <w:rtl w:val="true"/>
          <w:lang w:bidi="fa-IR"/>
        </w:rPr>
        <w:t>: (</w:t>
      </w:r>
      <w:r>
        <w:rPr>
          <w:rStyle w:val="FootnoteAnchor"/>
          <w:rtl w:val="true"/>
        </w:rPr>
        <w:footnoteReference w:id="3"/>
      </w:r>
      <w:r>
        <w:rPr>
          <w:rFonts w:ascii="IRNazanin" w:hAnsi="IRNazanin" w:eastAsia="IRNazanin"/>
          <w:color w:val="111111"/>
          <w:sz w:val="28"/>
          <w:sz w:val="28"/>
          <w:szCs w:val="28"/>
          <w:rtl w:val="true"/>
          <w:lang w:bidi="fa-IR"/>
        </w:rPr>
        <w:t>و لقد أخذ الله میثاق بنی اسرائیل ـ الی ـ لئن اقمتم الصّلوة و آتیتم الزّکاة و آمنتم برسلی و عزّر تموهم و اقرضتم الله قرضاً حسناً لا کفّرنّ عنکم سیّئاتکم ـ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Style w:val="FootnoteAnchor"/>
          <w:rtl w:val="true"/>
        </w:rPr>
        <w:footnoteReference w:id="4"/>
      </w:r>
      <w:r>
        <w:rPr>
          <w:rFonts w:ascii="IRNazanin" w:hAnsi="IRNazanin" w:eastAsia="IRNazanin"/>
          <w:color w:val="111111"/>
          <w:sz w:val="28"/>
          <w:sz w:val="28"/>
          <w:szCs w:val="28"/>
          <w:rtl w:val="true"/>
          <w:lang w:bidi="fa-IR"/>
        </w:rPr>
        <w:t>الّذین یتّبعون الرّسول النّبیّ الامّیّ الّذی یجدونه مکتوباً عندهم فی التّوراة و النجییل ـ إلی ـ فالّذِین امنوا به و عزّروه و نصروه و اتّبعوا الّنور الّذی انزل معه فأولئک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فسّر فی الآیتین بالنّصر و التّعظیم و التّوقیر و الاطاعة و منع الأعداء و هو مناسب للرّدّ و المنع کما فی اللّغة و یناسب المعنی الا صطلاحیّ علی ما سیجیء</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فالأوّل فی اصطلاح الفقهاء عقوبة خاصّة تتعلّق بایلام البدن لتلبّس المکلّف بمعصیة خاصّة عیّن الشّارع کمّیّتها فی جمیع افراده و فی الشّرائع کّل</w:t>
      </w:r>
      <w:r>
        <w:rPr>
          <w:rStyle w:val="FootnoteAnchor"/>
          <w:rtl w:val="true"/>
        </w:rPr>
        <w:footnoteReference w:id="5"/>
      </w:r>
      <w:r>
        <w:rPr>
          <w:rFonts w:ascii="Amiri" w:hAnsi="Amiri" w:eastAsia="Amiri" w:cs="Amiri"/>
          <w:color w:val="111111"/>
          <w:sz w:val="28"/>
          <w:sz w:val="28"/>
          <w:szCs w:val="28"/>
          <w:rtl w:val="true"/>
          <w:lang w:bidi="ar-SA"/>
        </w:rPr>
        <w:t>ما له عقوبة مقدّرة یسمّی حدّاً و ما لیس کذلک یسمّی تعزیراً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والثّانی عقوبة أو اهانة لا تقدیر لها باصل الشّرع غالباً أو بدون القید الأخیر، و فی کلا التّعریفین مناقشات کأکثر التّعاریف أو کلّها، لکنّ الّذی جدیر بالذّکر أنّ النّفی الّذی هو أحد اجزاء الحدّ فی بعض موارد الزّنا أو وطی البهیمة وأحد افراده فی المحارب لیس ایلاماً للبدن بل انسب بایلام الرّوح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لکلّ من الحدّ و التّعزیر موجبات، فموجب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الزّنا و اللّواط و توابعهما و القیادة و السّحق و السّرقة و القذف و شرب المسکر و قطع الطّریق والارتداد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موجب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معصیة کبیرة أو مطلقا بناء علی ماسیجیء فی باب التّعزیرات انشاء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عموم التّعزیر لکلّ معصیة لم یرد فیها عقوبة مخصوصة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نکتة اشار إلیها فی الجواهر و هی اندراج ما لا مقدّر له شرعاً تحت اسم الحدّ فی موارد متعدّدة کدر الحدّ بالّشبهة و عدم الیمین فی الحدّ و عدم الکفالة فیه وانّ للامام العفو عن الحدّ فیما أذا ثبت موجبه بالاقرار دون البیّنة و عدم قبوله الشّفاعة أو عدم اندراجه کما عن ظاهر الاصحاب هنا وفی مالو اعترف بحدّ ولم یبیّنه ـ الخ</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الّذی ینبغی أن یقال، انه استعمل الحدّ فی کلا المعنیین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الخاصّ و الاعمّ من التّعزیر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استشهد لذلک بما ورد </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جعل لکلّ شیء حدّاً و جعل لمن تعدّی ذلک الحدّ حدّاً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نحوه ذیل خبر سماعة بن مهران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درست ابن أبی منصور</w:t>
      </w:r>
      <w:r>
        <w:rPr>
          <w:rStyle w:val="FootnoteAnchor"/>
          <w:rtl w:val="true"/>
        </w:rPr>
        <w:footnoteReference w:id="7"/>
      </w:r>
      <w:r>
        <w:rPr>
          <w:rFonts w:ascii="IRNazanin" w:hAnsi="IRNazanin" w:eastAsia="IRNazanin"/>
          <w:color w:val="111111"/>
          <w:sz w:val="28"/>
          <w:sz w:val="28"/>
          <w:szCs w:val="28"/>
          <w:rtl w:val="true"/>
          <w:lang w:bidi="fa-IR"/>
        </w:rPr>
        <w:t xml:space="preserve">، لکن فی دوران الأمر بین ارادة المعنی الحقیقّی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سواء کان مجازیّاً أو الأعمّ یکون المتعیّن الرّجوع إلی اصالة</w:t>
      </w:r>
    </w:p>
    <w:p>
      <w:pPr>
        <w:pStyle w:val="BookText"/>
        <w:rPr/>
      </w:pPr>
      <w:r>
        <w:rPr>
          <w:rFonts w:ascii="IRNazanin" w:hAnsi="IRNazanin" w:eastAsia="IRNazanin"/>
          <w:color w:val="111111"/>
          <w:sz w:val="28"/>
          <w:sz w:val="28"/>
          <w:szCs w:val="28"/>
          <w:rtl w:val="true"/>
          <w:lang w:bidi="fa-IR"/>
        </w:rPr>
        <w:t>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لامجال لها إذا علم المستعمل فیه کما فی صحیحة الحلبیّ</w:t>
      </w:r>
      <w:r>
        <w:rPr>
          <w:rStyle w:val="FootnoteAnchor"/>
          <w:rtl w:val="true"/>
        </w:rPr>
        <w:footnoteReference w:id="8"/>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ان فی کتاب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یضرب بالسّوط و بنصف السّوط و ببعضه فی الحدود و کان إذا أتی بغلام و جاریة لم یدرکا لا یبطل حدّاً من حدود الله عزّوجلّ، قیل له و کیف کان یضرب؟ کان یأخذ السّوط بیده من وسطه أو من ثلثه ثمّ یضرب به علی قدر اسنانهم و لا یبطل حدّاً من حدود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بمعنی التّعزیر کما لا یبعد ارادة معناه الخاصّ فی عدّة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منها معتبرات کروایة حنّان بن سدیر</w:t>
      </w:r>
      <w:r>
        <w:rPr>
          <w:rStyle w:val="FootnoteAnchor"/>
          <w:rtl w:val="true"/>
        </w:rPr>
        <w:footnoteReference w:id="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 یقام فی الأرض ازکی فیها من مطر أربعین لیلة و ایّامها و روایة عبد الرّحمن بن الحجّاج</w:t>
      </w:r>
      <w:r>
        <w:rPr>
          <w:rStyle w:val="FootnoteAnchor"/>
          <w:rtl w:val="true"/>
        </w:rPr>
        <w:footnoteReference w:id="10"/>
      </w:r>
      <w:r>
        <w:rPr>
          <w:rFonts w:ascii="IRNazanin" w:hAnsi="IRNazanin" w:eastAsia="IRNazanin"/>
          <w:color w:val="111111"/>
          <w:sz w:val="28"/>
          <w:sz w:val="28"/>
          <w:szCs w:val="28"/>
          <w:rtl w:val="true"/>
          <w:lang w:bidi="fa-IR"/>
        </w:rPr>
        <w:t xml:space="preserve">عن أبی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لأقامة الحدّ</w:t>
      </w:r>
      <w:r>
        <w:rPr>
          <w:rStyle w:val="FootnoteAnchor"/>
          <w:rtl w:val="true"/>
        </w:rPr>
        <w:footnoteReference w:id="11"/>
      </w:r>
      <w:r>
        <w:rPr>
          <w:rFonts w:ascii="IRNazanin" w:hAnsi="IRNazanin" w:eastAsia="IRNazanin"/>
          <w:color w:val="111111"/>
          <w:sz w:val="28"/>
          <w:sz w:val="28"/>
          <w:szCs w:val="28"/>
          <w:rtl w:val="true"/>
          <w:lang w:bidi="fa-IR"/>
        </w:rPr>
        <w:t>فیه انفع فی الأرض من القطر أربعین صباحاً، و روایة السّکونی</w:t>
      </w:r>
      <w:r>
        <w:rPr>
          <w:rStyle w:val="FootnoteAnchor"/>
          <w:rtl w:val="true"/>
        </w:rPr>
        <w:footnoteReference w:id="12"/>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اقامة حدّ خیر من مطر أربعین صباحاً و قریب منه فی مرفوعة</w:t>
      </w:r>
      <w:r>
        <w:rPr>
          <w:rStyle w:val="FootnoteAnchor"/>
          <w:rtl w:val="true"/>
        </w:rPr>
        <w:footnoteReference w:id="13"/>
      </w:r>
      <w:r>
        <w:rPr>
          <w:rFonts w:ascii="IRNazanin" w:hAnsi="IRNazanin" w:eastAsia="IRNazanin"/>
          <w:color w:val="111111"/>
          <w:sz w:val="28"/>
          <w:sz w:val="28"/>
          <w:szCs w:val="28"/>
          <w:rtl w:val="true"/>
          <w:lang w:bidi="fa-IR"/>
        </w:rPr>
        <w:t xml:space="preserve">حفص بن عون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ذیل روایة میثم</w:t>
      </w:r>
      <w:r>
        <w:rPr>
          <w:rStyle w:val="FootnoteAnchor"/>
          <w:rtl w:val="true"/>
        </w:rPr>
        <w:footnoteReference w:id="14"/>
      </w:r>
      <w:r>
        <w:rPr>
          <w:rFonts w:ascii="IRNazanin" w:hAnsi="IRNazanin" w:eastAsia="IRNazanin"/>
          <w:color w:val="111111"/>
          <w:sz w:val="28"/>
          <w:sz w:val="28"/>
          <w:szCs w:val="28"/>
          <w:rtl w:val="true"/>
          <w:lang w:bidi="fa-IR"/>
        </w:rPr>
        <w:t xml:space="preserve">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عطّل حدّاً من حدودی فقد عاندنی و طلب بذلک مضادّتی و عن لبّ اللّباب</w:t>
      </w:r>
      <w:r>
        <w:rPr>
          <w:rStyle w:val="FootnoteAnchor"/>
          <w:rtl w:val="true"/>
        </w:rPr>
        <w:footnoteReference w:id="15"/>
      </w:r>
      <w:r>
        <w:rPr>
          <w:rFonts w:ascii="IRNazanin" w:hAnsi="IRNazanin" w:eastAsia="IRNazanin"/>
          <w:color w:val="111111"/>
          <w:sz w:val="28"/>
          <w:sz w:val="28"/>
          <w:szCs w:val="28"/>
          <w:rtl w:val="true"/>
          <w:lang w:bidi="fa-IR"/>
        </w:rPr>
        <w:t xml:space="preserve">للّرواندی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واحد من سلطان عادل خیر من مطر اربعین یوماً وحدّ یقام فی الأرض ازکی من عبادة ستّین سنة</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ارادة الأعمّ من موثّقة حمران</w:t>
      </w:r>
      <w:r>
        <w:rPr>
          <w:rStyle w:val="FootnoteAnchor"/>
          <w:rtl w:val="true"/>
        </w:rPr>
        <w:footnoteReference w:id="16"/>
      </w:r>
      <w:r>
        <w:rPr>
          <w:rFonts w:ascii="IRNazanin" w:hAnsi="IRNazanin" w:eastAsia="IRNazanin"/>
          <w:color w:val="111111"/>
          <w:sz w:val="28"/>
          <w:sz w:val="28"/>
          <w:szCs w:val="28"/>
          <w:rtl w:val="true"/>
          <w:lang w:bidi="fa-IR"/>
        </w:rPr>
        <w:t xml:space="preserve">قال 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اُقیم علیه الحدّ فی الدّنیا ایعاقب فی الآخرة؟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اکرم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روایة عمرو بن قیس الماصر</w:t>
      </w:r>
      <w:r>
        <w:rPr>
          <w:rStyle w:val="FootnoteAnchor"/>
          <w:rtl w:val="true"/>
        </w:rPr>
        <w:footnoteReference w:id="17"/>
      </w: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لم یدع شیئاً تحتاج إلیه الأمّة إلی یوم القیامة إلاّ أنزله فی کتابه و بیّنه لرسوله و جعل لکلّ شیء 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علیه دلیلاً یدّل علیه و جعل علی من تعدّی الحدّ حدّاً</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فی صحیحة داود بن فرقد</w:t>
      </w:r>
      <w:r>
        <w:rPr>
          <w:rStyle w:val="FootnoteAnchor"/>
          <w:rtl w:val="true"/>
        </w:rPr>
        <w:footnoteReference w:id="1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إنّ أصحاب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لسعد بن عبادة یا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لو وجدت علی بطن امرأتک رجلاً ما کنت تصنع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أضربه بالسّیف، قال فخرج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یا سعد؟ فقال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لی لو وجدت علی بطن امرأتک رجلاً ما کنت تفعل 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اضربه بالسّیف، فقال یا سعد، فکیف بالشّهود الأربعة؟ فقال یا رسول الله بعد رأی عینی و علم الله اَنّه قد فعل؟ فقال نعم، لأنّ الله قد جعل لکلّ شیء حدّاً و جعل علی من تعدّی الحدّ حدّاً و نحوها روایة أبی مخلد</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أوردها فی الوسائل بلا وساطة أبی مخلد أیضاً</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bookmarkStart w:id="10" w:name="pg3023_22402"/>
    </w:p>
    <w:p>
      <w:pPr>
        <w:pStyle w:val="Heading2"/>
        <w:numPr>
          <w:ilvl w:val="1"/>
          <w:numId w:val="1"/>
        </w:numPr>
        <w:rPr/>
      </w:pPr>
      <w:bookmarkStart w:id="11" w:name="__RefHeading___Toc656635_2749589250"/>
      <w:bookmarkStart w:id="12" w:name="_Toc4"/>
      <w:bookmarkEnd w:id="10"/>
      <w:bookmarkEnd w:id="11"/>
      <w:r>
        <w:rPr>
          <w:rtl w:val="true"/>
        </w:rPr>
        <w:t>الکلام فی الزّنا</w:t>
      </w:r>
      <w:bookmarkEnd w:id="12"/>
    </w:p>
    <w:p>
      <w:pPr>
        <w:pStyle w:val="Heading3"/>
        <w:numPr>
          <w:ilvl w:val="2"/>
          <w:numId w:val="1"/>
        </w:numPr>
        <w:rPr/>
      </w:pPr>
      <w:bookmarkStart w:id="13" w:name="__RefHeading___Toc656637_2749589250"/>
      <w:bookmarkStart w:id="14" w:name="_Toc5"/>
      <w:bookmarkEnd w:id="13"/>
      <w:r>
        <w:rPr>
          <w:rtl w:val="true"/>
        </w:rPr>
        <w:t>(</w:t>
      </w:r>
      <w:r>
        <w:rPr>
          <w:rtl w:val="true"/>
        </w:rPr>
        <w:t>تعریف الزّنا</w:t>
      </w:r>
      <w:r>
        <w:rPr>
          <w:rtl w:val="true"/>
        </w:rPr>
        <w:t>)</w:t>
      </w:r>
      <w:bookmarkEnd w:id="14"/>
    </w:p>
    <w:p>
      <w:pPr>
        <w:pStyle w:val="BookText"/>
        <w:rPr/>
      </w:pPr>
      <w:r>
        <w:rPr>
          <w:rFonts w:ascii="IRNazanin" w:hAnsi="IRNazanin" w:eastAsia="IRNazanin"/>
          <w:color w:val="111111"/>
          <w:sz w:val="28"/>
          <w:sz w:val="28"/>
          <w:szCs w:val="28"/>
          <w:rtl w:val="true"/>
          <w:lang w:bidi="fa-IR"/>
        </w:rPr>
        <w:t>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ایلاج الإنسان ذکره فی فرج امرأة محرّمة علیه من غیر عقد و لا شبهة و لا ملک أو تسبّب المرأة لا یلاج ذکر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فرجها محرّم علیها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من غیر عقد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تفصیل الحدود</w:t>
      </w:r>
    </w:p>
    <w:p>
      <w:pPr>
        <w:pStyle w:val="BookText"/>
        <w:rPr/>
      </w:pPr>
      <w:r>
        <w:rPr>
          <w:rFonts w:ascii="IRNazanin" w:hAnsi="IRNazanin" w:eastAsia="IRNazanin"/>
          <w:color w:val="111111"/>
          <w:sz w:val="28"/>
          <w:sz w:val="28"/>
          <w:szCs w:val="28"/>
          <w:rtl w:val="true"/>
          <w:lang w:bidi="fa-IR"/>
        </w:rPr>
        <w:t>البحث فی تعریفه و شرائطة و طریق ثبوته وفی الحدّ</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 الزّنا قصراً و مدّاً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أما التّعریف فعن غیر واحد هو ایلاج الإنسان ذکره فی فرج امرأة محرّمة علیه من غیر عقد و لا شبهة و لا 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زاد فی المبانی الحشفة إلی الذّکر و عن الرّیاض و فی المهذّب قید الذّکر بالأصلّی و فی الاّول بعد قوله محرّمة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قیدّ فی الثّانی الحرمة بالذّانیّة بلا مجوّز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التّعریف یشمل الإدخال فی الدّبر کالقبل و المناقشة فی خروج الصّغیر و المجنون و إدخال ذکر الخنثی و فرجها و احتیاج الأوّلین إلی زیادة قید المکلّف فی الإنسان فیکون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ایلاج الإنسان المکلّف ذکره ـ الخ</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الأخیرین ألی قید الأصلّی فی الذّکر و الفرج لا تهمّ کما لا یهمّ تکلّف اخراجٍ ایلاج المکره أو الا یلاج فیها بلا سقوط الحدّ عنهما کما یأتی سواء کان اخراجاً حکمیّاً کما هو الظّاهر أو موضوعیّاً و ذلک لعدم جامعیّة التّعریف لعدم شموله زنا المرأة بل الزّنا بهاء، و لو ارید زناها لقیل تسبّب المرأة لا یلاج ذکر انسان مکلّف فی فرجها محرّم علیها من غیر عقد ـ الخ، أو زید بأو فی التّعریف الأوّل</w:t>
      </w:r>
      <w:r>
        <w:rPr>
          <w:rFonts w:eastAsia="IRNazanin" w:cs="IRNazanin"/>
          <w:color w:val="111111"/>
          <w:sz w:val="28"/>
          <w:szCs w:val="28"/>
          <w:rtl w:val="true"/>
          <w:lang w:bidi="fa-IR"/>
        </w:rPr>
        <w:t>.</w:t>
      </w:r>
      <w:bookmarkStart w:id="15" w:name="pg3023_22403"/>
    </w:p>
    <w:p>
      <w:pPr>
        <w:pStyle w:val="Heading3"/>
        <w:numPr>
          <w:ilvl w:val="2"/>
          <w:numId w:val="1"/>
        </w:numPr>
        <w:rPr/>
      </w:pPr>
      <w:bookmarkStart w:id="16" w:name="__RefHeading___Toc656639_2749589250"/>
      <w:bookmarkStart w:id="17" w:name="_Toc6"/>
      <w:bookmarkEnd w:id="15"/>
      <w:bookmarkEnd w:id="16"/>
      <w:r>
        <w:rPr>
          <w:rtl w:val="true"/>
        </w:rPr>
        <w:t>وطی الشّبهه</w:t>
      </w:r>
      <w:bookmarkEnd w:id="17"/>
    </w:p>
    <w:p>
      <w:pPr>
        <w:pStyle w:val="BookText"/>
        <w:rPr/>
      </w:pPr>
      <w:r>
        <w:rPr>
          <w:rFonts w:ascii="IRNazanin" w:hAnsi="IRNazanin" w:eastAsia="IRNazanin"/>
          <w:color w:val="111111"/>
          <w:sz w:val="28"/>
          <w:sz w:val="28"/>
          <w:szCs w:val="28"/>
          <w:rtl w:val="true"/>
          <w:lang w:bidi="fa-IR"/>
        </w:rPr>
        <w:t xml:space="preserve">و یخرج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التّعریف الوطی بالشّبهة سواء بالنّسبة إلی أحد هما أو کلیهما، و هل هو خرج موضوعّی أو تخصیص فی دلیل الحدّ؟ و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و لعدم کفایة أو وضوح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اخراج و طی المحرّمة بالعارض عن التّعریف لحیض أو نفاس أو ظهار أو ایلاء أو احرام أو صوم لو قلنا بتحریم و طی المحرمة و الصّائمة لزوجهما اضاف بعضهم فی التّعریف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ربما یکتفی فی الخروج بکفایة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بالعقد ظاهراً هو الصّحیح منه دون مطلقه و لو فاسداً فلا یشمل مالو اعتقد الحنفیّ</w:t>
      </w:r>
      <w:r>
        <w:rPr>
          <w:rStyle w:val="FootnoteAnchor"/>
          <w:rtl w:val="true"/>
        </w:rPr>
        <w:footnoteReference w:id="21"/>
      </w:r>
      <w:r>
        <w:rPr>
          <w:rFonts w:ascii="IRNazanin" w:hAnsi="IRNazanin" w:eastAsia="IRNazanin"/>
          <w:color w:val="111111"/>
          <w:sz w:val="28"/>
          <w:sz w:val="28"/>
          <w:szCs w:val="28"/>
          <w:rtl w:val="true"/>
          <w:lang w:bidi="fa-IR"/>
        </w:rPr>
        <w:t>جواز الوطی بالاستیجار و انّما خرج بالشّبهة کما لو اباحته نفسها و اعتقد الحلّ بها، و الملک أعمّ من ملک الیمین أو المنفعة بالتّحلیل</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شبهة، یخرج عن التّعریف الوطی بالشّبهة إذ لا اشکال و لا خلاف فی نفی الحدّ فیها سواء تحقّقت بالنّسبة إلی أحد هما أو هما أو کلیهما و هل هو خروج موضوعّی فلا یشمل الزّنا الوطی شبهة بالّنسبة إلی المشتبه أو المشتبهة أو تخصیص فی دلیل الحدّ؟ و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المشهوران وطی الشّبهة هو الوطی الّذی لیس بمستحقّ مع ظنّ الاستحقاق و فیه کلام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ظاهر التّعریف هو الأوّل و الّذی استظهره فی المستمسک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المسألة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المحرّمات بالمصاهرة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المیل من بعض کلمات صاحب الجواهر إلی بعضه کون الزّنا لغة و عرفاً مطلق الوطی غیر المستحقّ و أن کان شبهة الا تقابل الزّنا لکن فی عرف الشّارع و المتشرّعة فأنّ الزّنا یقابل و طی الشّبهة، و وطی الشّبهة الوطی غیر المستحقّ لشبهة بحیث تکون الشّبهة من علل وجوده و إذا کان الوطی غیر مستحق و لم تکن الشّبهة دخیلة فی وجوده فهو زنا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فرّع علی ذلک ثبوت أحکام الزّنا الأربعة المشهورة و ترتّبها علیه من نفی العدّة و نفی المهر و النّسب و ثبوت الحدّ إلاّ أن تقوم القرینة علی الختصاص بنوع دون نوع أو بحال دون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استظهر من أدلّة الحدّ اختصاصه بالمعصیة فلا یشمل صورة ارتفاع التّکلیف مضافاً إلی ما ورد فی الموارد الخاصّة من نفی الحدّ علی المجنون حتّی یفیق و علی الصّبی حتی یدرک و علی النّائم حتی یستیقظ و ما ورد فی الصّبی و المستکره و غِیر 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الجواهر لوطی الشّبهة تحدیدات ثلاث</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الوطی الّذی لیس بمستحقّ مع ظنّ الستحقاق و یطابقه ما فی الشرّائع و قریب منه ما فی القواعد وعن التّحریر و النّهایة و غیر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الشّرائع و لو تزوّج امرأة بظنّ أنّها خالیة لظنّها موت الزّوج أو طلاقه فبان أنّه لم یمت و لم</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یطلّق ردّت علی الأوّل بعد الاعتاد من الثّانی و اختصّ الثّانی بالأولاد مع الشّرائط سواء استندت فی ذلک إلی حکم حاکم أو شهادة شهود أو اخبار مخبر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مع تقیید الظّن إذا استند إلی اخبار مخبر واحد بما لو ظنّا جواز التّعویل علیه جهلاً بالحکم فلو علما بعدم الجواز کانا زانیین کما یظهر من محکیّ المسالک و شرح النّافع للسّید صاحب الرّیاض و الفکایة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ارتضاه صاحب الجواهر أخیراً بعد ذکره أوّلاً عن مصابیح العلاّمة الطّباطبائی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الوطی الّذی لیس بمستحقّ فی نفس الأمر مع اعتقاد فاعله الاستحقاق أو صدوره عنه بجهالة مغتفرة فی الشّرع أو مع ارتفاع التّکلیف بسبب غیر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لکن مع تعمیم الاعتقاد للقطع و الظّن الّذی  لم یتنبّه صاحبه إلی عدم جواز العمل به ولو مع التّقصیر منه فی المقدّمات و تعمیمه أیضاً للمقصّر فیما اقتضاه کأهل المذاهب الفاسدة و غیره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اخرج قبل ذلک وطی الجاهل الّذی لیس بمعذور فی جهالته و إن ظنّ الاستحقاق أذا کان لا یجوز التّعویل علی ظنّه کتزویج المفقود زوجها من دون فحص و لا رفع إلی الحاکم بمجرد ظنّ وفاته لطول المدّة أو تعویلاً علی اخبار من لا یوثق به أو شهادة العدل الواحد و کتزویج امرأة فی عدّتها مع جهله بأنّها کم هی أو تزویج من اشتبه علیه أمرها لشبهة رضاع أو مصاهرة أو غیرهما من أسباب التّحریم من دون اجتهاد أو تقلید من الصّور الّتی یجب فیها الفحص و السّؤال و لا یعذر فیها الجاهل و جعل ذلک کلّه زنا إلاّ إذا اعتقد جواز النّکاح لشبهة محتملة فی</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حقّه فإنّه حینئذ یکون و طوء 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استناداً إلی أنّ الأصل فی ذلک أنّ الفروج لا تستباح إلاّ بسبب شرعیّ فمالم یتحققّ فیه السّبب المبیح فهو داخل فی الزّنا، و انّما اباح لشّارع الوطی بشرط العلم بالاستحقاق أو حصول أمارة للحلّ و بدونهما یکون 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وطّبق علی ذلک معتبرة</w:t>
      </w:r>
      <w:r>
        <w:rPr>
          <w:rStyle w:val="FootnoteAnchor"/>
          <w:rtl w:val="true"/>
        </w:rPr>
        <w:footnoteReference w:id="22"/>
      </w:r>
      <w:r>
        <w:rPr>
          <w:rFonts w:ascii="IRNazanin" w:hAnsi="IRNazanin" w:eastAsia="IRNazanin"/>
          <w:color w:val="111111"/>
          <w:sz w:val="28"/>
          <w:sz w:val="28"/>
          <w:szCs w:val="28"/>
          <w:rtl w:val="true"/>
          <w:lang w:bidi="fa-IR"/>
        </w:rPr>
        <w:t>یزید الکناسیّ</w:t>
      </w:r>
      <w:r>
        <w:rPr>
          <w:rStyle w:val="FootnoteAnchor"/>
          <w:rtl w:val="true"/>
        </w:rPr>
        <w:footnoteReference w:id="23"/>
      </w: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 أبی عبیدة</w:t>
      </w:r>
      <w:r>
        <w:rPr>
          <w:rStyle w:val="FootnoteAnchor"/>
          <w:rtl w:val="true"/>
        </w:rPr>
        <w:footnoteReference w:id="24"/>
      </w:r>
      <w:r>
        <w:rPr>
          <w:rFonts w:ascii="IRNazanin" w:hAnsi="IRNazanin" w:eastAsia="IRNazanin"/>
          <w:color w:val="111111"/>
          <w:sz w:val="28"/>
          <w:sz w:val="28"/>
          <w:szCs w:val="28"/>
          <w:rtl w:val="true"/>
          <w:lang w:bidi="fa-IR"/>
        </w:rPr>
        <w:t>الحذّاء قال فی الأولی</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سألت</w:t>
      </w:r>
      <w:r>
        <w:rPr>
          <w:rStyle w:val="FootnoteAnchor"/>
          <w:rtl w:val="true"/>
        </w:rPr>
        <w:footnoteReference w:id="25"/>
      </w:r>
      <w:r>
        <w:rPr>
          <w:rFonts w:ascii="IRNazanin" w:hAnsi="IRNazanin" w:eastAsia="IRNazanin"/>
          <w:color w:val="111111"/>
          <w:sz w:val="28"/>
          <w:sz w:val="28"/>
          <w:szCs w:val="28"/>
          <w:rtl w:val="true"/>
          <w:lang w:bidi="fa-IR"/>
        </w:rPr>
        <w:t xml:space="preserve">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امرأة تزوّجت فی عدّتها، قال إن کانت تزّوجت فی عدّة طلاق لزوجها علیها الرّجعة فانّ علیها الرّجم و إن کانت تزوّجت فی عدة لیس لزوجها علیها الرّجعة فإنّ علیها حدّ الزانی غیر المحصن و إن کانت تزوّجت فی عدّة بعد موت زوجها من قبل انقضاء الأربعة اشهر و العشرة أیام فلا رجم علیها و علیها ضرب مائة جلدة،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أن کان ذلک بجهالة؟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امرأة الیوم من نساء المسلمین إلاّ وهی تعلم أنّ علیها عدّة فی طلاق أو موت، و لقد کنّ نساء الجاهلیّة یعرفن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تعلم أنّ علیها عدّة و لا تدری کم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أذا علمت أنّ علیها عدّة لزمتها الحجّة فتسأل حتی 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و قریب منها روایة الدّعائم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الصّحیحة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امرأة تزّوجت رجلاً و لها زوج،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زوجها الأوّل مقیماً معها فی المصر الّتی هی فیه تصل إلیه و یصل إلیها، فإنّ علیها ما علی الزّانی المحصن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الزّانیة المحصنة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الرّجم و إن کان زوجها الأوّل غائباً عنها أو کان مقیماً معها فی المصر لا یصل إلیها و لا تصل إلیه، فانّ علیها ما علی الزّانیة غیر المحصنة و لا لعان بینهما ـ إلی ـ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جاهلة بما صنعت،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ألیس هی فی دار الهجرة؟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امرأة الیوم من نساء المسلمین إلاّ و هی تعلم أنّ المرأة المسلمة لا یحلّ لها أن تتزوّج زوجین،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أنّ المرأة إذا فجرت قالت لم ادر أو جهلت إنّ الذی فعلت حرام و لم یقم علیها الحدّ اذاً لتعطّلت الحدود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تعریف آخر یکون هو الرّابع عن المسالک بالوطی الّذی لیس بمستحقّ مع عدم العلم بالتّحریم و مقتضاه کما فی الجواهر حصولها بمجّرد الاحتمال المساوی أو المرجوح فکیف بالرّاجع و قوّی ماقد یقال من کون المراد بالعلم بالتّحریم ما یعمّ الظّن المعتبر و العلم بالحکم الظّاهری و إن کان متنبّهاً للسّؤال لکنّه اثم و اقدم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صرّح بعدم الدّلیل علی اعتبار المعذوریّة فی الوطی غیر المتسحقّ فی تحقّق الشّبهة و لم یرتض ما قوّاه صاحب الجواهر فی المستمسک بل رأی مصحّحة یزید</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نافیاً له و للتّعریف الأوّل المنسوب إلی المشهور من کونه هو الوطی غیر المستحقّ مع ظنّ الاستحقاق کما أنّ صحیحة</w:t>
      </w:r>
      <w:r>
        <w:rPr>
          <w:rStyle w:val="FootnoteAnchor"/>
          <w:rtl w:val="true"/>
        </w:rPr>
        <w:footnoteReference w:id="28"/>
      </w:r>
      <w:r>
        <w:rPr>
          <w:rFonts w:ascii="IRNazanin" w:hAnsi="IRNazanin" w:eastAsia="IRNazanin"/>
          <w:color w:val="111111"/>
          <w:sz w:val="28"/>
          <w:sz w:val="28"/>
          <w:szCs w:val="28"/>
          <w:rtl w:val="true"/>
          <w:lang w:bidi="fa-IR"/>
        </w:rPr>
        <w:t>أبی عبیدة ظاهرة فی دعوی الشّبهة و أنّها غیر مسموعة و لا تعرّض فیها للحدّ و انّما تعرّضت لوجوب السّؤال إلاّ أن یُراد أنّ سماع الدّعوی لا یستوجب رفع الحدّ فیختصّ الحدّ بالجاهل المتردّد لا الجاهل الغافل و إن کان مقصّراً و مأثوماً و موثّقة زرارة تدّل علی کون الاعتداد مبنیّاً علی اعتقاد الحجیّة غفلة أو اعتقاد صدق المخبر و لو فرض الا طلاق فیقیّد بمصحّح الکناسیّ بناء علی ثبوت الحدّ مع التردّد کتقیید سائر النّصوص الّتی فی الجواهر اطلاقها من حیث وجود الحّجة الشّرعیّة و عدمها و التردّد فی الحجّیة و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استنتج من ذلک تمامیّة ما ذکره فی المسالک و من وافقه من اعتبار عدم التردّد فی الحجِّیّة فی ثبوت الشّبهة و ان کان الواطی مقصراً و استحصل فی نهایة کلامه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وطی الشّبهة ما ذکر فی المسالک و هو الوطی غیر المستحقّ مع البناء علی الاستحقاق و لو کان جاهلاً مقصّراً و الزّنا ما عداه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أحکام الزّنا علی الزّنا بهذا المعنی إلاّ إذا لم یتمّ دلیل الحکم فیقتصر علی القدر المتیقّن</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فرض کون الزّنا لغة و عرفاً هو وطی الأجنبیّة و غیر المستحقّ فکما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یتحقّق فی صورة الاختیار و العمد و الطّوع و العلم کذلک یتحقّق حال الأجبار و الخطأ و النّسیان و الاکراه و الجهل و متقضی ما ورد فی حکمه کتاباً و سنّة هو الأخذ بالاطلاق مالم یرد مقیّد أو حاکم علی الخلاف فقوله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تقربوا الزّنا أنّه کان فاحشة و ساء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 بالعدل و الإحسان و ایتاء ذی القربی و ینهی عن الفحشاء و المنکر و البغی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الّلاتی یأتین الفاحشة من نساءکم فاستشهدوا علیهنّ أربعة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الزّانیة و الزّانی فاجلد و اکلّ واحد منهما مأة جلدة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ورد فی الرّوایات موضوعها الزّنا العرفیّ و یتقیّد فی ناحیة الاجبار بالدّلیل العقلیّ إذا لم یستند إلی المکلّف فإذا اجبر و لم یکن له اختیار علی الزّنا فاعلاً و مفعولاً فهو خارج عن حکم الزّنا فی باب الحدّ لعدم تعلّق التّکلیف بما لا یطاق و ما هو خارج عن نطاق القدرة فلا تکلیف فلا حدّ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ناحیة الإکراه یتقیّد بالدّلیل الشّرعی کسائر ما ورد فی رفعه حدیث الرّفع إذا کان المرفوع من النّسیان و الخطأ و الإکراه و الجهل موضوعاً و الاضطرار من علل وجوده بحیث لو لم یکن أحد هذه الأمور لم ِیتحقّق الوطی و یمکن تعمیم الرّفع لما کان له دخل فیه لکون المکلّف له داعی شهویّ أو غیره علی الوطی و الوقوع علی الأجنبیّة أو الّتمکین للأجنبیّ و لم یکن تمام العلّة النّسیان و الخطأ بل له الدّخل فالّزنا عن اکراه أو خطاء أو نسیان أو اضطرار مرفوع لا یترتّب علیه الحدّ و إذا عمّمنا اثر الرّفع و أخذنا بالاطلاق فوجود الفعل کالعدم لا یترتّب علیه أیّ 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 أنّ ما کان منه عذراً عند العقلاء فیقیّد به دلیل الحدّ فلو تیقّنت کون الواطی زوجها أو تیقّن کون الموطوئة زوجته فلا حدّ علی أیّ منهما، و کذلک إذا قام طریق و حجّة شرعیة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نعم فی ما یتحقّق به الإضطرار کلام لیس هنا محلّه کالمناقشة فی تحقّق الإکراه بالنّسبة للرّجل و هل الاضطرار إلیه عند دوران الأمر بین الزّنا و بین ما هو أهمّ منه کحفظ النّفس أو هو مساوق للضّرر بترکه و أنّ ذلک یرفع الحکم أو أن الضّرر المرفوع ما یلزم من تشریع حکم کالوضوء و الغسل الضّررییّن و هکذا فی العسر و الحرج و لا عموم لدلیله و لا دلیل آخر علی ما إذا یلزم الضّرر من عدم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هذه العناوین نافیات للحکم لا أنّها مثبتات مرخّصات مجوّزات فلا یجور الزّنا إذا ِتضرّر بترکه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ها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الاضطرار لیس مساوقاً للضّرر بترکه و إن کان یلازمه غالباً أو کثیراً کما أن عنوان الضّرر کالعسر و الحرج غیر الاضطرار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الکلام فی رفع الحکم من الصبیّ و النّائم و المجنون أو الجاهل بالحرمة کما سیجیء أن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بالنّسبة إلی الجهل الذی یحقّق الشّبهة فیمکن أن یقال إنّ ما کان منه عذراً عند العقلاء فیقیّد به دلیل الحدّ إذ مناسبة الحکم و الموضوع ترشدنا ألی کون الحدّ خاصّاً بالمعصیة و الجهل العذریّ لا معصیة منه أذا کان بالنّسبة للموضوع</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اشتبهت الأجنبیّة أو الأمة مثلاً بحیث تیقّنت هی کون الواطی زوجها أو تیقّن کون الموطوئة زوجته فلا حدّ علی أیّ منهما و یشهد لذلک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روایة الدّعائم</w:t>
      </w:r>
      <w:r>
        <w:rPr>
          <w:rStyle w:val="FootnoteAnchor"/>
          <w:rtl w:val="true"/>
        </w:rPr>
        <w:footnoteReference w:id="29"/>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تزویج امرأة لها زوج و فی ذیلها و إن احصنا جلدا جمیعاً و رجما یعنی إذا علم الرّجل إنّ المرأة ذات زوج و إن لم یعلم فلا حدّ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بالنّسبة إلی الحکم فله موارد ثلاثة فإنّه إمّا أن یقوم عندها طریق و حجّة شرعیّة أو طریق عقلیّ أو لیس أحد هما بل یتردّد و یشکّ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شهد شاهدان عدلان بالطّلاق أو موت الزّوج و اعتدّت المرأَة أو تزوّج الرّجل بالخامسة أذا شهد شاهدان بموت زوجته أو اخبرت المرأة بأنّها خلیّة، فتزوّجها و تبّین الکذب فلا اشکال فی المعذوریّة لوجود الحجّة و الطّریق و ما فی بعض الرّوایات کروایة البحار</w:t>
      </w:r>
      <w:r>
        <w:rPr>
          <w:rStyle w:val="FootnoteAnchor"/>
          <w:rtl w:val="true"/>
        </w:rPr>
        <w:footnoteReference w:id="30"/>
      </w:r>
      <w:r>
        <w:rPr>
          <w:rFonts w:ascii="IRNazanin" w:hAnsi="IRNazanin" w:eastAsia="IRNazanin"/>
          <w:color w:val="111111"/>
          <w:sz w:val="28"/>
          <w:sz w:val="28"/>
          <w:szCs w:val="28"/>
          <w:rtl w:val="true"/>
          <w:lang w:bidi="fa-IR"/>
        </w:rPr>
        <w:t xml:space="preserve">انّه قضی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المرأة لها بعل لحقت بقوم فأخبرتهم أنّها ایّم فنکحها أحدهم ثمّ جاء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لها الصّداق و أمر بها إذا وضعت و ولدها أن ترجم فمردود غیر معمول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مثلها روایة أبی بصیر عن أِ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آخرها</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أخبرها کاذبان أو کاذب و صادق و اعتقدت الصّدق فکذلک لا اشکال فی نفی الحدّ عنها إذا تزوّجت بعد العدّة لشمول دلیل رفع الخطأ و ما لا یعلمون لتزویجها</w:t>
      </w:r>
      <w:r>
        <w:rPr>
          <w:rFonts w:eastAsia="IRNazanin" w:cs="IRNazanin"/>
          <w:color w:val="111111"/>
          <w:sz w:val="28"/>
          <w:szCs w:val="28"/>
          <w:rtl w:val="true"/>
          <w:lang w:bidi="fa-IR"/>
        </w:rPr>
        <w:t>.</w:t>
      </w:r>
      <w:bookmarkStart w:id="18" w:name="pg3023_22412"/>
    </w:p>
    <w:p>
      <w:pPr>
        <w:pStyle w:val="Heading3"/>
        <w:numPr>
          <w:ilvl w:val="2"/>
          <w:numId w:val="1"/>
        </w:numPr>
        <w:rPr/>
      </w:pPr>
      <w:bookmarkStart w:id="19" w:name="__RefHeading___Toc656641_2749589250"/>
      <w:bookmarkStart w:id="20" w:name="_Toc7"/>
      <w:bookmarkEnd w:id="18"/>
      <w:bookmarkEnd w:id="19"/>
      <w:r>
        <w:rPr>
          <w:rtl w:val="true"/>
        </w:rPr>
        <w:t>اذا احتملت الکذب فی اخبار غیر البینة و تزوجّت</w:t>
      </w:r>
      <w:bookmarkEnd w:id="20"/>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أذا احتملت الکذب فی اخبار غیر البینّة أو تردّدت فلا یجوز تزویجها و لا یکون جهلها شبهة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احتملت الکذب و ترددّت فی ذلک و تزوجّت بعد العدّة فلا رافع لحرمة الفعل و لا مرخصّ لها بعنوان الجهل و هکذا اذا علمت أنّها فی العدّة و لم تدرکم هی و بنت علی تمامها و تزوّجت فی العدّة و یشهد لهذا التّفصیل غیر واحد من الرّوایات مضافاً إلی ما تقدّم من روایة</w:t>
      </w:r>
      <w:r>
        <w:rPr>
          <w:rStyle w:val="FootnoteAnchor"/>
          <w:rtl w:val="true"/>
        </w:rPr>
        <w:footnoteReference w:id="32"/>
      </w:r>
      <w:r>
        <w:rPr>
          <w:rFonts w:ascii="IRNazanin" w:hAnsi="IRNazanin" w:eastAsia="IRNazanin"/>
          <w:color w:val="111111"/>
          <w:sz w:val="28"/>
          <w:sz w:val="28"/>
          <w:szCs w:val="28"/>
          <w:rtl w:val="true"/>
          <w:lang w:bidi="fa-IR"/>
        </w:rPr>
        <w:t>یزید و یقّید مطلقها بمقّیدها ففی روایة زرارة</w:t>
      </w:r>
      <w:r>
        <w:rPr>
          <w:rStyle w:val="FootnoteAnchor"/>
          <w:rtl w:val="true"/>
        </w:rPr>
        <w:footnoteReference w:id="33"/>
      </w: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نعی الرّجل إلی أهله أو اخبروها أنّه قد طلّقها فاعتدّت ثمّ تزوّجت فجاء زوجها الإوّل فإنّ الإوّل أحقّ بها من هذا الأخیر، دخل بها الإوّل أو لم یدخل بها و لیس للآخر أن یتزوّجها ابداً و لها المهر بما استحل من فرجها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معتبرة</w:t>
      </w:r>
      <w:r>
        <w:rPr>
          <w:rStyle w:val="FootnoteAnchor"/>
          <w:rtl w:val="true"/>
        </w:rPr>
        <w:footnoteReference w:id="34"/>
      </w:r>
      <w:r>
        <w:rPr>
          <w:rFonts w:ascii="IRNazanin" w:hAnsi="IRNazanin" w:eastAsia="IRNazanin"/>
          <w:color w:val="111111"/>
          <w:sz w:val="28"/>
          <w:sz w:val="28"/>
          <w:szCs w:val="28"/>
          <w:rtl w:val="true"/>
          <w:lang w:bidi="fa-IR"/>
        </w:rPr>
        <w:t>محمّد بن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حسب أهله أنّه قد مات أو قتل فنکحت أمرأته أو تزوّجت سرّیته ـ إلی ـ فجاء زوجها الأوّل و مولی السریّة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یأخذ امرأته فهو أحقّ بها و نحوها معتبرته الاُخری</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صحیحة محمّد بن مسلم</w:t>
      </w:r>
      <w:r>
        <w:rPr>
          <w:rStyle w:val="FootnoteAnchor"/>
          <w:rtl w:val="true"/>
        </w:rPr>
        <w:footnoteReference w:id="36"/>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رجلین شهدا علی رجل</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غابت عنه امرأته أنّه طلّقها فاعتدّت المرأة و تزوّجت، ثمّ إن الزّوج الغائب قدم فزعم أنّه لم یطلّقها و اکذب نفسه أحد الشّاهدین،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سبیل للأخیر علیها و یؤخذ الصّداق من الّذی شهد و رجع فیردّ علی الأخیر و الأوّل املک بها و تعتدّ من الأخیر و لا یقربها الأوّل حتی تنقضی عدّتها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قرِب منها روایة الدّعائم عن أبی جعفر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فی موثّقة</w:t>
      </w:r>
      <w:r>
        <w:rPr>
          <w:rStyle w:val="FootnoteAnchor"/>
          <w:rtl w:val="true"/>
        </w:rPr>
        <w:footnoteReference w:id="38"/>
      </w:r>
      <w:r>
        <w:rPr>
          <w:rFonts w:ascii="IRNazanin" w:hAnsi="IRNazanin" w:eastAsia="IRNazanin"/>
          <w:color w:val="111111"/>
          <w:sz w:val="28"/>
          <w:sz w:val="28"/>
          <w:szCs w:val="28"/>
          <w:rtl w:val="true"/>
          <w:lang w:bidi="fa-IR"/>
        </w:rPr>
        <w:t xml:space="preserve">أبی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شاهدین شهدا علی امرأة بأنّ زوجها مات أو طلّقها فتزوّجت ثمّ جاء زوجها فأنکر الطّلاق، قال یضربان الحدّ و یضمنان الصّداق للزّوج ممّا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غرّاه ثمّ تعتدّ و ترجع إلی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یشهد للتّقیید أو عدم الاطلاق ما رواه أبو بصیر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فی رجل تزوّج امرأة لها زوج فرجم المرأة وضرب الرّجل الحدّ،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علمت أنّکَ علمت لفضختُ رأسک بالحجارة</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نحوها روایة العلل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أنّه ترجم المرأة و یضرب الرّجل الحدّ و قال لو علمت ـ الخ</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و لأبی بصیر</w:t>
      </w:r>
      <w:r>
        <w:rPr>
          <w:rStyle w:val="FootnoteAnchor"/>
          <w:rtl w:val="true"/>
        </w:rPr>
        <w:footnoteReference w:id="41"/>
      </w:r>
      <w:r>
        <w:rPr>
          <w:rFonts w:ascii="IRNazanin" w:hAnsi="IRNazanin" w:eastAsia="IRNazanin"/>
          <w:color w:val="111111"/>
          <w:sz w:val="28"/>
          <w:sz w:val="28"/>
          <w:szCs w:val="28"/>
          <w:rtl w:val="true"/>
          <w:lang w:bidi="fa-IR"/>
        </w:rPr>
        <w:t xml:space="preserve">روایة اُخری مسندة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فیها یضرب الرّجل مائة سوط لانّه لم یسأل و ذیلها دخول شعیب بن یعقوب العقرقوقی علی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سؤاله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و جوابه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علی الرّجل یراد به ما فی الرّوایة الاُخری</w:t>
      </w:r>
      <w:r>
        <w:rPr>
          <w:rStyle w:val="FootnoteAnchor"/>
          <w:rtl w:val="true"/>
        </w:rPr>
        <w:footnoteReference w:id="42"/>
      </w:r>
      <w:r>
        <w:rPr>
          <w:rFonts w:ascii="IRNazanin" w:hAnsi="IRNazanin" w:eastAsia="IRNazanin"/>
          <w:color w:val="111111"/>
          <w:sz w:val="28"/>
          <w:sz w:val="28"/>
          <w:szCs w:val="28"/>
          <w:rtl w:val="true"/>
          <w:lang w:bidi="fa-IR"/>
        </w:rPr>
        <w:t xml:space="preserve">لشعیب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سؤاله بأنّ الرّجل المتزوّج لم یعلم و فی الجواب تصریح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 لیس علی الرّجل شیء إذا لم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أنّ الواقعة واحدة و إن خلت الاٌولی عن زیادة جواب أبی بصیر لشعیب حین بیّن له جواب الإمام عن المسألة بقوله، قال لی ـ ولله ـ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 المرأة و یجلد الرّجل الحدّ و فی ذیل الُاولی فمسح صدره و قال ما اظنّ صاحبنا تناهی حکمه یعدو فی الثّانیة فضرب بیده علی صدره یحکّها، اظنّ صاحبنا ما تکامل علمه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لقد اجاد العلاّمة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معجمه</w:t>
      </w:r>
      <w:r>
        <w:rPr>
          <w:rStyle w:val="FootnoteAnchor"/>
          <w:rtl w:val="true"/>
        </w:rPr>
        <w:footnoteReference w:id="43"/>
      </w:r>
      <w:r>
        <w:rPr>
          <w:rFonts w:ascii="IRNazanin" w:hAnsi="IRNazanin" w:eastAsia="IRNazanin"/>
          <w:color w:val="111111"/>
          <w:sz w:val="28"/>
          <w:sz w:val="28"/>
          <w:szCs w:val="28"/>
          <w:rtl w:val="true"/>
          <w:lang w:bidi="fa-IR"/>
        </w:rPr>
        <w:t xml:space="preserve">بعد الّطعن فی سند الُاولی بالارسال و فی الثّانیة بالضّعف لعدم توثیق علی بن محمّد و محمّد بن الحسن و جهالة 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رجال فی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ایراده الأخیرة بسندین معتبرین عن التّهذیب و الاستبصار حیث ردّ علم الرّوایتین إلی أهله و بنی علی تحقّق الشّبهة لأبی بصیر فی قصور معرفته بعلم الأمام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bookmarkStart w:id="21" w:name="pg3023_22415"/>
    </w:p>
    <w:p>
      <w:pPr>
        <w:pStyle w:val="Heading3"/>
        <w:numPr>
          <w:ilvl w:val="2"/>
          <w:numId w:val="1"/>
        </w:numPr>
        <w:rPr/>
      </w:pPr>
      <w:bookmarkStart w:id="22" w:name="__RefHeading___Toc656643_2749589250"/>
      <w:bookmarkStart w:id="23" w:name="_Toc8"/>
      <w:bookmarkEnd w:id="21"/>
      <w:bookmarkEnd w:id="22"/>
      <w:r>
        <w:rPr>
          <w:rtl w:val="true"/>
        </w:rPr>
        <w:t>مختار السّیّد الحکیم اقرب ممّا فی الجواهر</w:t>
      </w:r>
      <w:bookmarkEnd w:id="23"/>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و قریب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أبی بصیر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معتبرته</w:t>
      </w:r>
      <w:r>
        <w:rPr>
          <w:rStyle w:val="FootnoteAnchor"/>
          <w:rtl w:val="true"/>
        </w:rPr>
        <w:footnoteReference w:id="44"/>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بزیادة تعلیل الجلد و الرّجم بأنّه تقدّم بعلم و تقدّمت هی بعلم و کفّارته ـ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 روایة الدّعائم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من تزوّج امرأة لها زوج الخ، و قد تقدّمت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الصّفحة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صحیحة</w:t>
      </w:r>
      <w:r>
        <w:rPr>
          <w:rStyle w:val="FootnoteAnchor"/>
          <w:rtl w:val="true"/>
        </w:rPr>
        <w:footnoteReference w:id="45"/>
      </w:r>
      <w:r>
        <w:rPr>
          <w:rFonts w:ascii="IRNazanin" w:hAnsi="IRNazanin" w:eastAsia="IRNazanin"/>
          <w:color w:val="111111"/>
          <w:sz w:val="28"/>
          <w:sz w:val="28"/>
          <w:szCs w:val="28"/>
          <w:rtl w:val="true"/>
          <w:lang w:bidi="fa-IR"/>
        </w:rPr>
        <w:t xml:space="preserve">عبد الرّحمن بن الحجّاج عن أبی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تزویج المرأة فی عدّتها بجهالة،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الجهالتین یعذر، بجهالته إنّ ذلک محرّم علیه أم بجهالته أنّها فی عدّة؟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إحدی الجهالتین أهون من الاُخری، الجهالة بأن الله حرّم ذلک علیه و ذلک باَنّه لا یقدر علی الاحتیاط معها ـ إلی ـ فقلت فان کان أحد هما متعمّداً و الأخر یجهل،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تعمّد لا یحلّ ان یرجع الی صاحبه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کلّه إذ کان الزّنا لغة و عرفاً و طی أجنبیّة أو الأجنبیّ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أذا کان موضوعه أخصّ کما لا یبعد فلا یشمل دلیل الزّنا بعض موارد و طیء الأجنبیّة أو الأجنبیّ و حینئذ فالأمر اوضح کما إذا شککنا فی سعة المفهوم وضیقه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کان فمختار السّیّد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عن المسالک غیره أنسب و أقرب مما قوّاه فی الجواهر، و ینطبق علیه ما عرّف به فی المبانی الشّبهة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فی مسأله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ـ المراد بالشّبهة الموجبة لسقوط الحدّ هو الجهل عن قصور أو تقصیر فی المقدّمات مع اعتقاد الحلّیّة حال الواطی و امّا من کان حاهلاً بالحکم عن تقصیر و ملتفتاً إلی جهله حال العمل حکم علیه بالزّنا و ثبوت الحدّ و علّله بکونه عالماً بالحکم الظّاهری و جهله بالواقع لا یکون عذراً فلا تشمله الا طلاقات الدّالة علی نفی الحدّ من الجاهل مؤکّداً ذلک بصحیحة یزید الکناسیّ فانّها تدلّ علی عدم سقوط الحدّ علی من لزمته الحجّة و لابدّ له من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کان لا فرق بینه و بین ماعن العلاّمة الطّباطبائی فی مورد التّطبیق إلاّ فی تصریح تعریف العلاّمة بکون الوطی فی صورة ارتفاع التّکلیف بسبب غیر محرّم کوطی النّائم و المجنون و السّکران بسبب محلّل شبهة و عدم تعرّض تعریف المسالک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یظنّ باصحاب هذا التّعریف المناقشة فی 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کعدم تعّرضه لما صرّح به من وطی من ارتفع عنه التّکلیف بسبب محرّم کالسّکر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فالمشهور ان وطیه زنا یثبت به الحدّ و قیل لم یعرف مخالف سوی العلاّمة فی التّحریر</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استراح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هذه المناقشات فی القواعد حیث عدل عن تعریف ازّنا إلی الموجب للحدّ و حدّه بایلاج الإنسان ذکره حتّی تغیب الحشفة عالماً بالتّحریم مختاراَ بالغاً عاقلاً فی فرج امرأة قبلاً أو دبراً مع تحریمها علیه من غیر عقد و لا شبهة عقد و ملک، کما أنّ الأمر کذلک فی تعریف المهذّب بکونه ادخال الرّجل ذکره الأصلیّ فی فرج امرأة محرّمة علیه ذاتاً بلا مجّوز شرعاً، لکنّه مجمل یحتاج إلی تفسیر کامل موضح</w:t>
      </w:r>
      <w:r>
        <w:rPr>
          <w:rFonts w:eastAsia="IRNazanin" w:cs="IRNazanin"/>
          <w:color w:val="111111"/>
          <w:sz w:val="28"/>
          <w:szCs w:val="28"/>
          <w:rtl w:val="true"/>
          <w:lang w:bidi="fa-IR"/>
        </w:rPr>
        <w:t>.</w:t>
      </w:r>
      <w:bookmarkStart w:id="24" w:name="pg3023_22417"/>
    </w:p>
    <w:p>
      <w:pPr>
        <w:pStyle w:val="Heading3"/>
        <w:numPr>
          <w:ilvl w:val="2"/>
          <w:numId w:val="1"/>
        </w:numPr>
        <w:rPr/>
      </w:pPr>
      <w:bookmarkStart w:id="25" w:name="__RefHeading___Toc656645_2749589250"/>
      <w:bookmarkStart w:id="26" w:name="_Toc9"/>
      <w:bookmarkEnd w:id="24"/>
      <w:bookmarkEnd w:id="25"/>
      <w:r>
        <w:rPr>
          <w:rtl w:val="true"/>
        </w:rPr>
        <w:t>عدم الفرق فی الزّنا بین القبل والدّبر</w:t>
      </w:r>
      <w:bookmarkEnd w:id="26"/>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فی الزّنا بین القبل والدّبر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ینبغی ذکر أمور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الزّنا الموجب للحدّ بین الا یلاج فی القبل و الدّبر کما هو المشهور بل فی الجواهر لم یجد فیه خلافاً و اعترف به فی الرّیاض و یدلّ علیه ما فی غیر واحد من الرّوایات من ترتّب الغسل و المهر و الرّجم علی الإدخال الّذی یشمل الّدبر کما یشمل القبل کصحیحة</w:t>
      </w:r>
      <w:r>
        <w:rPr>
          <w:rStyle w:val="FootnoteAnchor"/>
          <w:rtl w:val="true"/>
        </w:rPr>
        <w:footnoteReference w:id="46"/>
      </w:r>
      <w:r>
        <w:rPr>
          <w:rFonts w:ascii="IRNazanin" w:hAnsi="IRNazanin" w:eastAsia="IRNazanin"/>
          <w:color w:val="111111"/>
          <w:sz w:val="28"/>
          <w:sz w:val="28"/>
          <w:szCs w:val="28"/>
          <w:rtl w:val="true"/>
          <w:lang w:bidi="fa-IR"/>
        </w:rPr>
        <w:t xml:space="preserve">محمّد بن مسلم عن أحد 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متی یجب الغسل علی الرّجل و المرأة،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أدخله فقد وجب الغسل و المهر و الرّجم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عوالی اللّئالی و فی آخر إذا أدخله فقد وجب الغسل</w:t>
      </w:r>
      <w:r>
        <w:rPr>
          <w:rStyle w:val="FootnoteAnchor"/>
          <w:rtl w:val="true"/>
        </w:rPr>
        <w:footnoteReference w:id="47"/>
      </w:r>
      <w:r>
        <w:rPr>
          <w:rFonts w:ascii="IRNazanin" w:hAnsi="IRNazanin" w:eastAsia="IRNazanin"/>
          <w:color w:val="111111"/>
          <w:sz w:val="28"/>
          <w:sz w:val="28"/>
          <w:szCs w:val="28"/>
          <w:rtl w:val="true"/>
          <w:lang w:bidi="fa-IR"/>
        </w:rPr>
        <w:t>و عن نوادر البزنطیّ</w:t>
      </w:r>
      <w:r>
        <w:rPr>
          <w:rStyle w:val="FootnoteAnchor"/>
          <w:rtl w:val="true"/>
        </w:rPr>
        <w:footnoteReference w:id="48"/>
      </w:r>
      <w:r>
        <w:rPr>
          <w:rFonts w:ascii="IRNazanin" w:hAnsi="IRNazanin" w:eastAsia="IRNazanin"/>
          <w:color w:val="111111"/>
          <w:sz w:val="28"/>
          <w:sz w:val="28"/>
          <w:szCs w:val="28"/>
          <w:rtl w:val="true"/>
          <w:lang w:bidi="fa-IR"/>
        </w:rPr>
        <w:t xml:space="preserve">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أولجه و چب الغسل و المهر و الرّجم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التّعلیل فی صحیحة</w:t>
      </w:r>
      <w:r>
        <w:rPr>
          <w:rStyle w:val="FootnoteAnchor"/>
          <w:rtl w:val="true"/>
        </w:rPr>
        <w:footnoteReference w:id="49"/>
      </w:r>
      <w:r>
        <w:rPr>
          <w:rFonts w:ascii="IRNazanin" w:hAnsi="IRNazanin" w:eastAsia="IRNazanin"/>
          <w:color w:val="111111"/>
          <w:sz w:val="28"/>
          <w:sz w:val="28"/>
          <w:szCs w:val="28"/>
          <w:rtl w:val="true"/>
          <w:lang w:bidi="fa-IR"/>
        </w:rPr>
        <w:t xml:space="preserve">اُخری لا بن مسلم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و جوب الغسل علی الجماع دون الفرج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لم یدخله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المبانی اکتفی باطلاق الزّنا و الفجور و اصابة الفاحشة و المجامعة و المواقعة و الأتیان الواردة فی الرّوایات الدّالة علی لزوم الحدّ من رجم أو جلد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یشکل اطلاق الزّنا علی و طی الدّبر لکن فی اطلاق الباقی کفایة، و یشهد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لذلک ما فی روایات کثیرة لا بأس بذکر نموذج منها، کقوله فی روایة عمرو بین قیس</w:t>
      </w:r>
      <w:r>
        <w:rPr>
          <w:rStyle w:val="FootnoteAnchor"/>
          <w:rtl w:val="true"/>
        </w:rPr>
        <w:footnoteReference w:id="50"/>
      </w:r>
      <w:r>
        <w:rPr>
          <w:rFonts w:ascii="IRNazanin" w:hAnsi="IRNazanin" w:eastAsia="IRNazanin"/>
          <w:color w:val="111111"/>
          <w:sz w:val="28"/>
          <w:sz w:val="28"/>
          <w:szCs w:val="28"/>
          <w:rtl w:val="true"/>
          <w:lang w:bidi="fa-IR"/>
        </w:rPr>
        <w:t>و انّ الله حدّ أن لا ینکح النّکاح إلا من حلّه و من فعل غیر ذلک ان کان عزباً حدّ و ان کان محصناً رجم لمجاوزته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روایة أبی العباّس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دمیم قصیر قد فجر بأمرأة، و فیها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بعذق فقدّه مائة، ثم ضربه بشماریخه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روایة</w:t>
      </w:r>
      <w:r>
        <w:rPr>
          <w:rStyle w:val="FootnoteAnchor"/>
          <w:rtl w:val="true"/>
        </w:rPr>
        <w:footnoteReference w:id="51"/>
      </w:r>
      <w:r>
        <w:rPr>
          <w:rFonts w:ascii="IRNazanin" w:hAnsi="IRNazanin" w:eastAsia="IRNazanin"/>
          <w:color w:val="111111"/>
          <w:sz w:val="28"/>
          <w:sz w:val="28"/>
          <w:szCs w:val="28"/>
          <w:rtl w:val="true"/>
          <w:lang w:bidi="fa-IR"/>
        </w:rPr>
        <w:t xml:space="preserve">علی بن جعفر عن أخیه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مرأة مریضة ورجل أجرب مریض قد بدت عروق فخذیه قد فجر بأمراة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جلده بغیر بیّنه مائة شمراخ ضربة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صحیحة</w:t>
      </w:r>
      <w:r>
        <w:rPr>
          <w:rStyle w:val="FootnoteAnchor"/>
          <w:rtl w:val="true"/>
        </w:rPr>
        <w:footnoteReference w:id="52"/>
      </w:r>
      <w:r>
        <w:rPr>
          <w:rFonts w:ascii="IRNazanin" w:hAnsi="IRNazanin" w:eastAsia="IRNazanin"/>
          <w:color w:val="111111"/>
          <w:sz w:val="28"/>
          <w:sz w:val="28"/>
          <w:szCs w:val="28"/>
          <w:rtl w:val="true"/>
          <w:lang w:bidi="fa-IR"/>
        </w:rPr>
        <w:t>أبی عبیدة عن أبی جعفر</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الذی له امرأه بالبصرة ففجر بالکوفة أن یدرأ عنه الرّجم و یضرب حدّ الزانی</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ما رواه الحلبی</w:t>
      </w:r>
      <w:r>
        <w:rPr>
          <w:rStyle w:val="FootnoteAnchor"/>
          <w:rtl w:val="true"/>
        </w:rPr>
        <w:footnoteReference w:id="54"/>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زوّج أمته رجلاً ثمّ وقع علیها، قال یضرب الحدّ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و فی صحیحة زرارة</w:t>
      </w:r>
      <w:r>
        <w:rPr>
          <w:rStyle w:val="FootnoteAnchor"/>
          <w:rtl w:val="true"/>
        </w:rPr>
        <w:footnoteReference w:id="55"/>
      </w: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برجل قد اقرّ علی نفسه بالفجور، و فی ذیلها فرجمه من بقی منهم بأمره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w:t>
      </w:r>
      <w:r>
        <w:rPr>
          <w:rStyle w:val="FootnoteAnchor"/>
          <w:rtl w:val="true"/>
        </w:rPr>
        <w:footnoteReference w:id="56"/>
      </w:r>
      <w:r>
        <w:rPr>
          <w:rFonts w:ascii="IRNazanin" w:hAnsi="IRNazanin" w:eastAsia="IRNazanin"/>
          <w:color w:val="111111"/>
          <w:sz w:val="28"/>
          <w:sz w:val="28"/>
          <w:szCs w:val="28"/>
          <w:rtl w:val="true"/>
          <w:lang w:bidi="fa-IR"/>
        </w:rPr>
        <w:t xml:space="preserve">محمّد بن مسلم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الّذی یأتی ولیده امرأته بغیر اذنها، علیه مثل ما علی الزّانی یجلد مائة جلدة الحدیث</w:t>
      </w:r>
      <w:r>
        <w:rPr>
          <w:rFonts w:eastAsia="IRNazanin" w:cs="IRNazanin"/>
          <w:color w:val="111111"/>
          <w:sz w:val="28"/>
          <w:szCs w:val="28"/>
          <w:rtl w:val="true"/>
          <w:lang w:bidi="fa-IR"/>
        </w:rPr>
        <w:t>.</w:t>
      </w:r>
      <w:bookmarkStart w:id="27" w:name="pg3023_22420"/>
    </w:p>
    <w:p>
      <w:pPr>
        <w:pStyle w:val="BookText"/>
        <w:rPr/>
      </w:pPr>
      <w:bookmarkEnd w:id="27"/>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زنا بإدخال الآلة المقطوعة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656647_2749589250"/>
      <w:bookmarkStart w:id="29" w:name="_Toc10"/>
      <w:bookmarkEnd w:id="28"/>
      <w:r>
        <w:rPr>
          <w:rtl w:val="true"/>
        </w:rPr>
        <w:t>اعتبار ایلاج الحشفة فی زنا القبل</w:t>
      </w:r>
      <w:bookmarkEnd w:id="29"/>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یعتبر الایلاج الحشفة فی زنا القبل لا الدّبر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تذییل</w:t>
      </w:r>
    </w:p>
    <w:p>
      <w:pPr>
        <w:pStyle w:val="BookText"/>
        <w:rPr/>
      </w:pPr>
      <w:r>
        <w:rPr>
          <w:rFonts w:ascii="IRNazanin" w:hAnsi="IRNazanin" w:eastAsia="IRNazanin"/>
          <w:color w:val="111111"/>
          <w:sz w:val="28"/>
          <w:sz w:val="28"/>
          <w:szCs w:val="28"/>
          <w:rtl w:val="true"/>
          <w:lang w:bidi="fa-IR"/>
        </w:rPr>
        <w:t>قد ورد عنوان الجماع</w:t>
      </w:r>
      <w:r>
        <w:rPr>
          <w:rStyle w:val="FootnoteAnchor"/>
          <w:rtl w:val="true"/>
        </w:rPr>
        <w:footnoteReference w:id="57"/>
      </w:r>
      <w:r>
        <w:rPr>
          <w:rFonts w:ascii="IRNazanin" w:hAnsi="IRNazanin" w:eastAsia="IRNazanin"/>
          <w:color w:val="111111"/>
          <w:sz w:val="28"/>
          <w:sz w:val="28"/>
          <w:szCs w:val="28"/>
          <w:rtl w:val="true"/>
          <w:lang w:bidi="fa-IR"/>
        </w:rPr>
        <w:t>و الوطی</w:t>
      </w:r>
      <w:r>
        <w:rPr>
          <w:rStyle w:val="FootnoteAnchor"/>
          <w:rtl w:val="true"/>
        </w:rPr>
        <w:footnoteReference w:id="58"/>
      </w:r>
      <w:r>
        <w:rPr>
          <w:rFonts w:ascii="IRNazanin" w:hAnsi="IRNazanin" w:eastAsia="IRNazanin"/>
          <w:color w:val="111111"/>
          <w:sz w:val="28"/>
          <w:sz w:val="28"/>
          <w:szCs w:val="28"/>
          <w:rtl w:val="true"/>
          <w:lang w:bidi="fa-IR"/>
        </w:rPr>
        <w:t>و الفجور</w:t>
      </w:r>
      <w:r>
        <w:rPr>
          <w:rStyle w:val="FootnoteAnchor"/>
          <w:rtl w:val="true"/>
        </w:rPr>
        <w:footnoteReference w:id="59"/>
      </w:r>
      <w:r>
        <w:rPr>
          <w:rFonts w:ascii="IRNazanin" w:hAnsi="IRNazanin" w:eastAsia="IRNazanin"/>
          <w:color w:val="111111"/>
          <w:sz w:val="28"/>
          <w:sz w:val="28"/>
          <w:szCs w:val="28"/>
          <w:rtl w:val="true"/>
          <w:lang w:bidi="fa-IR"/>
        </w:rPr>
        <w:t>و الوقوع</w:t>
      </w:r>
      <w:r>
        <w:rPr>
          <w:rStyle w:val="FootnoteAnchor"/>
          <w:rtl w:val="true"/>
        </w:rPr>
        <w:footnoteReference w:id="60"/>
      </w:r>
      <w:r>
        <w:rPr>
          <w:rFonts w:ascii="IRNazanin" w:hAnsi="IRNazanin" w:eastAsia="IRNazanin"/>
          <w:color w:val="111111"/>
          <w:sz w:val="28"/>
          <w:sz w:val="28"/>
          <w:szCs w:val="28"/>
          <w:rtl w:val="true"/>
          <w:lang w:bidi="fa-IR"/>
        </w:rPr>
        <w:t>و الایلاج</w:t>
      </w:r>
      <w:r>
        <w:rPr>
          <w:rStyle w:val="FootnoteAnchor"/>
          <w:rtl w:val="true"/>
        </w:rPr>
        <w:footnoteReference w:id="61"/>
      </w:r>
      <w:r>
        <w:rPr>
          <w:rFonts w:ascii="IRNazanin" w:hAnsi="IRNazanin" w:eastAsia="IRNazanin"/>
          <w:color w:val="111111"/>
          <w:sz w:val="28"/>
          <w:sz w:val="28"/>
          <w:szCs w:val="28"/>
          <w:rtl w:val="true"/>
          <w:lang w:bidi="fa-IR"/>
        </w:rPr>
        <w:t>و الخروج</w:t>
      </w:r>
      <w:r>
        <w:rPr>
          <w:rStyle w:val="FootnoteAnchor"/>
          <w:rtl w:val="true"/>
        </w:rPr>
        <w:footnoteReference w:id="62"/>
      </w:r>
      <w:r>
        <w:rPr>
          <w:rFonts w:ascii="IRNazanin" w:hAnsi="IRNazanin" w:eastAsia="IRNazanin"/>
          <w:color w:val="111111"/>
          <w:sz w:val="28"/>
          <w:sz w:val="28"/>
          <w:szCs w:val="28"/>
          <w:rtl w:val="true"/>
          <w:lang w:bidi="fa-IR"/>
        </w:rPr>
        <w:t>و الإدخال و الإخراج</w:t>
      </w:r>
      <w:r>
        <w:rPr>
          <w:rStyle w:val="FootnoteAnchor"/>
          <w:rtl w:val="true"/>
        </w:rPr>
        <w:footnoteReference w:id="63"/>
      </w:r>
      <w:r>
        <w:rPr>
          <w:rFonts w:ascii="IRNazanin" w:hAnsi="IRNazanin" w:eastAsia="IRNazanin"/>
          <w:color w:val="111111"/>
          <w:sz w:val="28"/>
          <w:sz w:val="28"/>
          <w:szCs w:val="28"/>
          <w:rtl w:val="true"/>
          <w:lang w:bidi="fa-IR"/>
        </w:rPr>
        <w:t>و الإتیان</w:t>
      </w:r>
      <w:r>
        <w:rPr>
          <w:rStyle w:val="FootnoteAnchor"/>
          <w:rtl w:val="true"/>
        </w:rPr>
        <w:footnoteReference w:id="64"/>
      </w:r>
      <w:r>
        <w:rPr>
          <w:rFonts w:ascii="IRNazanin" w:hAnsi="IRNazanin" w:eastAsia="IRNazanin"/>
          <w:color w:val="111111"/>
          <w:sz w:val="28"/>
          <w:sz w:val="28"/>
          <w:szCs w:val="28"/>
          <w:rtl w:val="true"/>
          <w:lang w:bidi="fa-IR"/>
        </w:rPr>
        <w:t>فی روایات عدیدة ترتّب علیها الحدّ و فی بعضها نفیه یستفاد منها حکم الإتیان فی دبر المرأة کقبلها روی شطراً منها فی الدّعائم و الباقی فی کتاب مثّنی بن الولید الحنّاط و نوادر أحد بن محمّد بن عیسی و الجعفریّات و العوالی تصلح للّتأیید اکثرها أو کلّها ضعاف الّسند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اشکال فی انسباق الآلة المتّصلة من الذّکر فلو قطعت و أدخلها فلا زنا منه و لا للمرأة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اشکال فی تحقّق التقاء الختانین بالمعنی المراد منه فی وطی القبل فلا یترتّب اثر الزّنا بإدخال أقلّ من کلّ الحشفة المفسّر بغیبو بتها الإلتقاء</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صحیحة</w:t>
      </w:r>
      <w:r>
        <w:rPr>
          <w:rStyle w:val="FootnoteAnchor"/>
          <w:rtl w:val="true"/>
        </w:rPr>
        <w:footnoteReference w:id="65"/>
      </w:r>
      <w:r>
        <w:rPr>
          <w:rFonts w:ascii="IRNazanin" w:hAnsi="IRNazanin" w:eastAsia="IRNazanin"/>
          <w:color w:val="111111"/>
          <w:sz w:val="28"/>
          <w:sz w:val="28"/>
          <w:szCs w:val="28"/>
          <w:rtl w:val="true"/>
          <w:lang w:bidi="fa-IR"/>
        </w:rPr>
        <w:t>محمّد بن إسماعیل بن بزیع و مثلها</w:t>
      </w:r>
      <w:r>
        <w:rPr>
          <w:rStyle w:val="FootnoteAnchor"/>
          <w:rtl w:val="true"/>
        </w:rPr>
        <w:footnoteReference w:id="66"/>
      </w:r>
      <w:r>
        <w:rPr>
          <w:rFonts w:ascii="IRNazanin" w:hAnsi="IRNazanin" w:eastAsia="IRNazanin"/>
          <w:color w:val="111111"/>
          <w:sz w:val="28"/>
          <w:sz w:val="28"/>
          <w:szCs w:val="28"/>
          <w:rtl w:val="true"/>
          <w:lang w:bidi="fa-IR"/>
        </w:rPr>
        <w:t xml:space="preserve"> ـ </w:t>
      </w:r>
      <w:r>
        <w:rPr>
          <w:rStyle w:val="FootnoteAnchor"/>
          <w:rtl w:val="true"/>
        </w:rPr>
        <w:footnoteReference w:id="67"/>
      </w:r>
      <w:r>
        <w:rPr>
          <w:rFonts w:ascii="IRNazanin" w:hAnsi="IRNazanin" w:eastAsia="IRNazanin"/>
          <w:color w:val="111111"/>
          <w:sz w:val="28"/>
          <w:sz w:val="28"/>
          <w:szCs w:val="28"/>
          <w:rtl w:val="true"/>
          <w:lang w:bidi="fa-IR"/>
        </w:rPr>
        <w:t>روایتا کتاب درست بن أبی منصور و الدّعائم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لواجدها و یأتی لاکلام فی مقطوعها</w:t>
      </w:r>
      <w:r>
        <w:rPr>
          <w:rFonts w:eastAsia="IRNazanin" w:cs="IRNazanin"/>
          <w:color w:val="111111"/>
          <w:sz w:val="28"/>
          <w:szCs w:val="28"/>
          <w:rtl w:val="true"/>
          <w:lang w:bidi="fa-IR"/>
        </w:rPr>
        <w:t>.</w:t>
      </w:r>
      <w:bookmarkStart w:id="30" w:name="pg3023_22421"/>
    </w:p>
    <w:p>
      <w:pPr>
        <w:pStyle w:val="Heading3"/>
        <w:numPr>
          <w:ilvl w:val="2"/>
          <w:numId w:val="1"/>
        </w:numPr>
        <w:rPr/>
      </w:pPr>
      <w:bookmarkStart w:id="31" w:name="__RefHeading___Toc656649_2749589250"/>
      <w:bookmarkStart w:id="32" w:name="_Toc11"/>
      <w:bookmarkEnd w:id="30"/>
      <w:bookmarkEnd w:id="31"/>
      <w:r>
        <w:rPr>
          <w:rtl w:val="true"/>
        </w:rPr>
        <w:t>لا حدّ علی الجاهل بحرمة الزّنا</w:t>
      </w:r>
      <w:bookmarkEnd w:id="32"/>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حدّ علی الجاهل بحرمة الزنا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و أمّا فی وطی الدّبر فلا موضوع لمحاذاة ختانها فلا التقاء و لذلک یشکل اعتبار غیبوبتها لو کانت تفسیراً لوطی القبل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فأمّا أن یکتفی بمجرّد الإدخال و الا یلاج کما فی صحیحة ابن مسلم و روایة البزنطیّ المتقدّ متین و إن لم یکن بتمامها أو لابدّ من الاستیعاب للآلة کما ربّما یترائی من اطلاق الإدخال و الأیلاج الظّاهر فی الکلّ و التّقیید یختصّ فی ناحیة القبل بغیبوبة الحشفة و یحتمل کفایة مقدار معتبر ولو باقلّ من کلّ الحشفة ازید من المسمّی فی صدق الزّنا أو الفجور و التّقیید بالإلتقاء لکونه الأغلب فی المواقعة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مجرّد الایقاب فی حدّ اللّواط و فی حرمة أمّ الملوط و اخته و بنته علی الّلاطی لا یرتبط بما نحن فیه و الأمر ان الّا و لان و الأخیر انسب بمقطوع الحشفة فلا یعتبر الاستیعاب کما هو أحد الأقوال فی باب الجنابة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أحد هما جاهلاً بتحریم الزّنا فلا حدّ علیه علی المشهور بل فی الجواهر یمکن تحصیل الإجماع علیه فضلاً عن محکیّة و یدلّ علیه عدّة من الرّوایات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الحلبیّ</w:t>
      </w:r>
      <w:r>
        <w:rPr>
          <w:rStyle w:val="FootnoteAnchor"/>
          <w:rtl w:val="true"/>
        </w:rPr>
        <w:footnoteReference w:id="68"/>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رجلاً دخل فی الإسلام و اقرّ به ثمّ شرب الخمر وزنی و اکل الرّبا و لم یتبیّن له شیء من الحلال و الحرام لم اقم علیه الحدّ إذا کان جاهلاً إلاّ أن تقوم البیّنة أنّه قرء السّورة الّتی فیها الزّنا و الخمر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و اکل الربّا، و إذا جهل ذلک اعلمته و أخبرته فان رکبه بعد ذلک جلدته و اقمت علیه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w:t>
      </w:r>
      <w:r>
        <w:rPr>
          <w:rStyle w:val="FootnoteAnchor"/>
          <w:rtl w:val="true"/>
        </w:rPr>
        <w:footnoteReference w:id="69"/>
      </w:r>
      <w:r>
        <w:rPr>
          <w:rFonts w:ascii="IRNazanin" w:hAnsi="IRNazanin" w:eastAsia="IRNazanin"/>
          <w:color w:val="111111"/>
          <w:sz w:val="28"/>
          <w:sz w:val="28"/>
          <w:szCs w:val="28"/>
          <w:rtl w:val="true"/>
          <w:lang w:bidi="fa-IR"/>
        </w:rPr>
        <w:t>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دعوناه إلی جملة الإسلامه فأقرّ به ثمّ الخمر وزنی و اکل الرّبا و لم یتبیّن له شیء من الحلال و الحرام اقیم علیه الحدّ إذا جهله؟ قال لا، الاّ أن تقوم علیه بیّنة أنّه قد أقرّ بتحریمها و قریب منها صحیحة أبی عبیدة الحذّاء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فیها لم یأته شیء من التّفسیر زنی أو سرق أو شرب خمراً</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مصححة</w:t>
      </w:r>
      <w:r>
        <w:rPr>
          <w:rStyle w:val="FootnoteAnchor"/>
          <w:rtl w:val="true"/>
        </w:rPr>
        <w:footnoteReference w:id="71"/>
      </w:r>
      <w:r>
        <w:rPr>
          <w:rFonts w:ascii="IRNazanin" w:hAnsi="IRNazanin" w:eastAsia="IRNazanin"/>
          <w:color w:val="111111"/>
          <w:sz w:val="28"/>
          <w:sz w:val="28"/>
          <w:szCs w:val="28"/>
          <w:rtl w:val="true"/>
          <w:lang w:bidi="fa-IR"/>
        </w:rPr>
        <w:t xml:space="preserve">عبد الصّمد بن بشیر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اعجمیّاً دخل المسجد ِیلبّی و علیه قمیصه، فقال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أنّی کنت رجلاً اعمل بیدی و اجتمعت لی نفقة فحیث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احجّ لم أسأل أحداً عن شیء و افتونی هؤلاء أن اشقّ قمیصی و انزعه من قبل رجلی و إن حجّی فاسد و أنّ علیّ بدنة فقال له متی لبست قمیصک؟ أبعد ما لبّیت أم قبل؟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رجل رکب امراً بجهالة فلا شیء علیه طف بالبیت سبعاً، وصلّ رکعتین عند مقام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واسع بین الصّفا و المروة و قصّر من شعرک، فإذا کان یوم التّرویة فاغتسل و اهلّ با حجّ و اصنع کما یصنع النّاس</w:t>
      </w:r>
      <w:r>
        <w:rPr>
          <w:rFonts w:eastAsia="IRNazanin" w:cs="IRNazanin"/>
          <w:color w:val="111111"/>
          <w:sz w:val="28"/>
          <w:szCs w:val="28"/>
          <w:rtl w:val="true"/>
          <w:lang w:bidi="fa-IR"/>
        </w:rPr>
        <w:t>.</w:t>
      </w:r>
      <w:bookmarkStart w:id="33" w:name="pg3023_22423"/>
    </w:p>
    <w:p>
      <w:pPr>
        <w:pStyle w:val="BookText"/>
        <w:rPr/>
      </w:pPr>
      <w:bookmarkEnd w:id="33"/>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الشّبهة قد تکون من جانب واحد و قد تکون منهما فلو اخبرته بکونها خلیّة فتزوّجها و وطئها ثمّ تبیّن أنّ لها زوجاض فهط زانیة دون الرّجل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34" w:name="__RefHeading___Toc656651_2749589250"/>
      <w:bookmarkStart w:id="35" w:name="_Toc12"/>
      <w:bookmarkEnd w:id="34"/>
      <w:r>
        <w:rPr>
          <w:rtl w:val="true"/>
        </w:rPr>
        <w:t>نکاح المجوس للمحارم شبهة دون وطیها من الحنفّی و الشّافعّی</w:t>
      </w:r>
      <w:bookmarkEnd w:id="35"/>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نکاح المجوس للمحارم شبهة دون و طیها من الحنفیّ أو الشّافعیّ إذا ملکها عالماً بالتّحریم إذا اعتقد الحلّ بحیث خرج عن التردّد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و منها معتبرة أبی بصیر المتقدّم إلیها الاشارة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المعلّلة للجلد و الرّجم بقوله لأنّه تقدّم بعلم و تقدّمت هی بعلم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 ممّا ذکر فی تعریف الزّنا خروج و طی الشّبهة عنه موضوعاً أو حکماً علی احتمال و هی کما تکون فی الحکم کذلک تتحقّق فی الموضوع فإذا اشتبهت الا جنبیّة بامرأته أو أمته فوطئها بزعم کونها حلیلته فلا حدّ علیه کما ینسب ألیه الولد و یرث منه و یرثه و کذلک لو اشتبه علیها زوجها فتمکّنت للأجنبیّ بزعم کونه زوجها أو لم یعلما أو أحد هما بتحقّق نسب محرّم بینهما أو سبب من رضاع أو مصاهرة فتزوّجا و بعد أن وطئها علم أو علما، فالشّبهة کما تکون من جانب واحد قد تکون من الطّرفین و لکلّ منهما حکمه فالعالم أو العالمة زان أو زانیة و الآخر مشتبه کما لوا خبرته بکونها خلیّة فتزوّجها و وطئها ثمّ تبیّن انّ لها زوجاً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ذکرنا ظهر خروج نکاح المحارم عند المجوس عن کونه زنا لا عتقادهم حقیّة مذهبهم و کونهم مقصّرین غیر معذورین فی التّدیّن بالمجوسیّة لا یوجب کون ذلک النّکاح زنا،  مضافاً إلی أن لکلّ قوم نکاحاً و کذلک لا یکون و طی ذات المحرم التّی ملکها کالاُمّ و البنت و الأخت و العمّة و الخالة نسباً أو رضاعاً عالماً بالتّحریم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الشّبهة فما</w:t>
      </w:r>
      <w:r>
        <w:rPr>
          <w:rStyle w:val="FootnoteAnchor"/>
          <w:rtl w:val="true"/>
        </w:rPr>
        <w:footnoteReference w:id="72"/>
      </w:r>
      <w:r>
        <w:rPr>
          <w:rFonts w:ascii="IRNazanin" w:hAnsi="IRNazanin" w:eastAsia="IRNazanin"/>
          <w:color w:val="111111"/>
          <w:sz w:val="28"/>
          <w:sz w:val="28"/>
          <w:szCs w:val="28"/>
          <w:rtl w:val="true"/>
          <w:lang w:bidi="fa-IR"/>
        </w:rPr>
        <w:t>عن أبی حنیفة</w:t>
      </w:r>
      <w:r>
        <w:rPr>
          <w:rStyle w:val="FootnoteAnchor"/>
          <w:rtl w:val="true"/>
        </w:rPr>
        <w:footnoteReference w:id="73"/>
      </w:r>
      <w:r>
        <w:rPr>
          <w:rFonts w:ascii="IRNazanin" w:hAnsi="IRNazanin" w:eastAsia="IRNazanin"/>
          <w:color w:val="111111"/>
          <w:sz w:val="28"/>
          <w:sz w:val="28"/>
          <w:szCs w:val="28"/>
          <w:rtl w:val="true"/>
          <w:lang w:bidi="fa-IR"/>
        </w:rPr>
        <w:t xml:space="preserve">واحد قولی قولی الشافعیّ  من عدم الحدّ لا وجه له إذ مجرّد الملک حتّی لو کان باستقراره علی ذات محرم لا یکون شبهة لکفایة الحرمة نسباً أو رضاعاً فی الحرمة و ثبوت الحدّ کما أنّ ما یشعر به عبارة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کفایة استقرار الملک فی جواز الوطی و إن ذهب الی الأنعتاق و عدم استقرار الملک مخدوش و ذلک لأنّ الملک لا یبطل حکم التّحریم نسباً أو رضاعاً مع تحقّق الخلاف فی استقرار ملک العمودین</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یمکن انّ یقال انّ فتویها ربّما تحقّق الشّبهة عند مقلّدیهما کسائر الموارد التّی افتی الأوّل بنفی الحدّ مثل</w:t>
      </w:r>
      <w:r>
        <w:rPr>
          <w:rStyle w:val="FootnoteAnchor"/>
          <w:rtl w:val="true"/>
        </w:rPr>
        <w:footnoteReference w:id="74"/>
      </w:r>
      <w:r>
        <w:rPr>
          <w:rFonts w:ascii="IRNazanin" w:hAnsi="IRNazanin" w:eastAsia="IRNazanin"/>
          <w:color w:val="111111"/>
          <w:sz w:val="28"/>
          <w:sz w:val="28"/>
          <w:szCs w:val="28"/>
          <w:rtl w:val="true"/>
          <w:lang w:bidi="fa-IR"/>
        </w:rPr>
        <w:t>ما إذا استأجر امرأة للوطی لا للخدمة فإن وطئها فعلیه الحدّ</w:t>
      </w:r>
      <w:r>
        <w:rPr>
          <w:rStyle w:val="FootnoteAnchor"/>
          <w:rtl w:val="true"/>
        </w:rPr>
        <w:footnoteReference w:id="75"/>
      </w:r>
      <w:r>
        <w:rPr>
          <w:rFonts w:ascii="IRNazanin" w:hAnsi="IRNazanin" w:eastAsia="IRNazanin"/>
          <w:color w:val="111111"/>
          <w:sz w:val="28"/>
          <w:sz w:val="28"/>
          <w:szCs w:val="28"/>
          <w:rtl w:val="true"/>
          <w:lang w:bidi="fa-IR"/>
        </w:rPr>
        <w:t>أو عقد النّکاح</w:t>
      </w:r>
      <w:r>
        <w:rPr>
          <w:rStyle w:val="FootnoteAnchor"/>
          <w:rtl w:val="true"/>
        </w:rPr>
        <w:footnoteReference w:id="76"/>
      </w:r>
      <w:r>
        <w:rPr>
          <w:rFonts w:ascii="IRNazanin" w:hAnsi="IRNazanin" w:eastAsia="IRNazanin"/>
          <w:color w:val="111111"/>
          <w:sz w:val="28"/>
          <w:sz w:val="28"/>
          <w:szCs w:val="28"/>
          <w:rtl w:val="true"/>
          <w:lang w:bidi="fa-IR"/>
        </w:rPr>
        <w:t>علی إحدی محارمه کالاُمّ أو البنت و الاُخت و العمّة و الخالة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نسباً أو رضاعاً أو امرأة ابنه أو أبیه أو تزوّج بخامسة أو امرأة لها زوج و وطنها أو وطی امرأة بانت باللّعان أو بالطّلاق ثلاثاً مع العلم بالتّحریم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فکل هذه الموارد الوطی فیها زنا و لا یستثنی من الحدّ لا الحنفیّ و لا سائر من یخالفه فی هذه</w:t>
      </w:r>
    </w:p>
    <w:p>
      <w:pPr>
        <w:pStyle w:val="BookText"/>
        <w:rPr/>
      </w:pPr>
      <w:r>
        <w:rPr>
          <w:rFonts w:ascii="IRNazanin" w:hAnsi="IRNazanin" w:eastAsia="IRNazanin"/>
          <w:color w:val="111111"/>
          <w:sz w:val="28"/>
          <w:sz w:val="28"/>
          <w:szCs w:val="28"/>
          <w:rtl w:val="true"/>
          <w:lang w:bidi="fa-IR"/>
        </w:rPr>
        <w:t>الفتاوی مع العلم بالتّحریم فیحدّ المخالف للأمامیّ کالإمامیّ بل فی الجواهر دعوی الإجماع بقسمیه علیه قال بل یمکن دعوی الضّرورة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اتفّق أنّ الحنفیّ أو غیره امامیاً کان أم لا اعتقد الحلّ بحیث خرج عن التّردد کالجاهل المرکّب فلا حدّ علیه لتحقّق الشّبهة فی حقّه و مثله مالو ابا حته الخلیّة نفسها و اعتقد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یکون من هذا القبیل ماشاع بین بعض العوام من الإمامیّة من تزویج المطلّقة فی عدّتها بدعوی هبة الزّوج للعدّة کلاًّ أو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تشبّهت له فعلیها الحدّ بوطئها دونه لکونها زانیة دونه و ما فی روایة أبی روح</w:t>
      </w:r>
      <w:r>
        <w:rPr>
          <w:rStyle w:val="FootnoteAnchor"/>
          <w:rtl w:val="true"/>
        </w:rPr>
        <w:footnoteReference w:id="77"/>
      </w:r>
      <w:r>
        <w:rPr>
          <w:rFonts w:ascii="Amiri" w:hAnsi="Amiri" w:eastAsia="Amiri" w:cs="Amiri"/>
          <w:color w:val="111111"/>
          <w:sz w:val="28"/>
          <w:sz w:val="28"/>
          <w:szCs w:val="28"/>
          <w:rtl w:val="true"/>
          <w:lang w:bidi="ar-SA"/>
        </w:rPr>
        <w:t xml:space="preserve">و نحوها عن نهایة الشّیخ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78"/>
      </w:r>
      <w:r>
        <w:rPr>
          <w:rFonts w:ascii="IRNazanin" w:hAnsi="IRNazanin" w:eastAsia="IRNazanin"/>
          <w:color w:val="111111"/>
          <w:sz w:val="28"/>
          <w:sz w:val="28"/>
          <w:szCs w:val="28"/>
          <w:rtl w:val="true"/>
          <w:lang w:bidi="fa-IR"/>
        </w:rPr>
        <w:t>فمتروک لضعفها مهجور</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امرأة تشبّهت بامة الرجل و ذلک لیلاً فواقعها و هو یری أنّها جارِیته، فرفع إلی عمر فأرسل ألی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 الرّجل حدّاً فی السّرّ و اضرب المرأة فی العلانیة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القاضی العمل بها و هو غیر وجیه و عن نکت النّهایة أنّه سمع بعض فقهائنا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ایهام الحاضرین الأمر باقامة الحدّ علی الرّجل سرّاً و لم یقم علیه الحدّ استصلاحاً و حسماً للمادّة لئلاّ یتخذ الجاهل الشّبهة عذراً و فی الجواهر هذا ممکن</w:t>
      </w:r>
      <w:r>
        <w:rPr>
          <w:rFonts w:eastAsia="IRNazanin" w:cs="IRNazanin"/>
          <w:color w:val="111111"/>
          <w:sz w:val="28"/>
          <w:szCs w:val="28"/>
          <w:rtl w:val="true"/>
          <w:lang w:bidi="fa-IR"/>
        </w:rPr>
        <w:t>.</w:t>
      </w:r>
      <w:bookmarkStart w:id="36" w:name="pg3023_22427"/>
    </w:p>
    <w:p>
      <w:pPr>
        <w:pStyle w:val="Heading3"/>
        <w:numPr>
          <w:ilvl w:val="2"/>
          <w:numId w:val="1"/>
        </w:numPr>
        <w:rPr/>
      </w:pPr>
      <w:bookmarkStart w:id="37" w:name="__RefHeading___Toc656653_2749589250"/>
      <w:bookmarkStart w:id="38" w:name="_Toc13"/>
      <w:bookmarkEnd w:id="36"/>
      <w:bookmarkEnd w:id="37"/>
      <w:r>
        <w:rPr>
          <w:rtl w:val="true"/>
        </w:rPr>
        <w:t>الکلام فی ما یشترط فی الحدّ</w:t>
      </w:r>
      <w:bookmarkEnd w:id="38"/>
    </w:p>
    <w:p>
      <w:pPr>
        <w:pStyle w:val="Heading4"/>
        <w:numPr>
          <w:ilvl w:val="3"/>
          <w:numId w:val="1"/>
        </w:numPr>
        <w:rPr/>
      </w:pPr>
      <w:bookmarkStart w:id="39" w:name="__RefHeading___Toc656655_2749589250"/>
      <w:bookmarkStart w:id="40" w:name="_Toc14"/>
      <w:bookmarkEnd w:id="39"/>
      <w:r>
        <w:rPr>
          <w:rtl w:val="true"/>
        </w:rPr>
        <w:t>من شرایط حدّ الزّنا البلوغ و العقل و الاختیار</w:t>
      </w:r>
      <w:bookmarkEnd w:id="4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المسئلة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حدّ الزّنا البلوغ و العقل و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حدّ علی الصّبیّ و المجنون اذا زنی  احد منهما نعم یجلد الأوّل دون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شییء علی المکروه اذا زنی و کذ لک لا حدّ علی الجاریة الّتی لم تبلغ اذا زنت و المجنونة و المکرهة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الحدّ مضافاً الی العلم بتحریم الزّنا کما سبق صدوره حال البلوغ و العقل و الأختیار بالأجماع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فی الزّانی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البلوغ بالنّسبة الی الزّانی فیدلّ علیه مضافاً الی ما دلّ علی رفع القلم عن الغلام و الصّبیّ قبل بلوغه خمسة عشر سنة او ان یحتلم او یشعر و ینبت کما فی روایة ابن ظبیان</w:t>
      </w:r>
      <w:r>
        <w:rPr>
          <w:rStyle w:val="FootnoteAnchor"/>
          <w:rtl w:val="true"/>
        </w:rPr>
        <w:footnoteReference w:id="79"/>
      </w:r>
      <w:r>
        <w:rPr>
          <w:rFonts w:ascii="IRNazanin" w:hAnsi="IRNazanin" w:eastAsia="IRNazanin"/>
          <w:color w:val="111111"/>
          <w:sz w:val="28"/>
          <w:sz w:val="28"/>
          <w:szCs w:val="28"/>
          <w:rtl w:val="true"/>
          <w:lang w:bidi="fa-IR"/>
        </w:rPr>
        <w:t>و روایة حمران</w:t>
      </w:r>
      <w:r>
        <w:rPr>
          <w:rStyle w:val="FootnoteAnchor"/>
          <w:rtl w:val="true"/>
        </w:rPr>
        <w:footnoteReference w:id="80"/>
      </w:r>
      <w:r>
        <w:rPr>
          <w:rFonts w:ascii="Amiri" w:hAnsi="Amiri" w:eastAsia="Amiri" w:cs="Amiri"/>
          <w:color w:val="111111"/>
          <w:sz w:val="28"/>
          <w:sz w:val="28"/>
          <w:szCs w:val="28"/>
          <w:rtl w:val="true"/>
          <w:lang w:bidi="ar-SA"/>
        </w:rPr>
        <w:t xml:space="preserve">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موثّقة عمّار السّاباطیّ</w:t>
      </w:r>
      <w:r>
        <w:rPr>
          <w:rStyle w:val="FootnoteAnchor"/>
          <w:rtl w:val="true"/>
        </w:rPr>
        <w:footnoteReference w:id="81"/>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 صحیحة یزید الکناسیّ</w:t>
      </w:r>
      <w:r>
        <w:rPr>
          <w:rStyle w:val="FootnoteAnchor"/>
          <w:rtl w:val="true"/>
        </w:rPr>
        <w:footnoteReference w:id="82"/>
      </w: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الجاریة اذا بلغت تسع سنین ذهب عنها الیتم و زوّجت و اقیمت علیها الحدود التّامّة لها و علیها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الغلام اذا زوّجه ابوه و دخل باهله و هو غیر مدرک اتقام علیه الحدود علی تلک الحال؟ قال امّا الحدود الکاملة الّتی یؤخذ بها الرّجال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یجلد فی الحدود کلّها علی مبلغ سنّه و لا تبطل حدود الله فی خلقه و لا تبطل حقوق المسلمین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رواه حمّاد بن عیسی</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وصفها فی الجواهر و المهذّب بالصّحة لعلّه لیس علی ما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عن ابیه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حدّ علی مجنون حتّی یفیق و لا علی صبیّ حتّی یدرک و لا علی النّائم حتّی یستیقظ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صحیحة أبی بصیر</w:t>
      </w:r>
      <w:r>
        <w:rPr>
          <w:rStyle w:val="FootnoteAnchor"/>
          <w:rtl w:val="true"/>
        </w:rPr>
        <w:footnoteReference w:id="84"/>
      </w:r>
      <w:r>
        <w:rPr>
          <w:rFonts w:ascii="IRNazanin" w:hAnsi="IRNazanin" w:eastAsia="IRNazanin"/>
          <w:color w:val="111111"/>
          <w:sz w:val="28"/>
          <w:sz w:val="28"/>
          <w:szCs w:val="28"/>
          <w:rtl w:val="true"/>
          <w:lang w:bidi="fa-IR"/>
        </w:rPr>
        <w:t>و معتبرة أبی مریم</w:t>
      </w:r>
      <w:r>
        <w:rPr>
          <w:rStyle w:val="FootnoteAnchor"/>
          <w:rtl w:val="true"/>
        </w:rPr>
        <w:footnoteReference w:id="85"/>
      </w:r>
      <w:r>
        <w:rPr>
          <w:rFonts w:ascii="IRNazanin" w:hAnsi="IRNazanin" w:eastAsia="IRNazanin"/>
          <w:color w:val="111111"/>
          <w:sz w:val="28"/>
          <w:sz w:val="28"/>
          <w:szCs w:val="28"/>
          <w:rtl w:val="true"/>
          <w:lang w:bidi="fa-IR"/>
        </w:rPr>
        <w:t xml:space="preserve">أو صحیحته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اسناد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روایة أبی العبّاس</w:t>
      </w:r>
      <w:r>
        <w:rPr>
          <w:rStyle w:val="FootnoteAnchor"/>
          <w:rtl w:val="true"/>
        </w:rPr>
        <w:footnoteReference w:id="86"/>
      </w:r>
      <w:r>
        <w:rPr>
          <w:rFonts w:ascii="IRNazanin" w:hAnsi="IRNazanin" w:eastAsia="IRNazanin"/>
          <w:color w:val="111111"/>
          <w:sz w:val="28"/>
          <w:sz w:val="28"/>
          <w:szCs w:val="28"/>
          <w:rtl w:val="true"/>
          <w:lang w:bidi="fa-IR"/>
        </w:rPr>
        <w:t xml:space="preserve">کلّها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غلام صغیر لم یدرک أبن عشر سنین زنی بامرأة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اوغلام لم یبلغ الحلم وقع علی امرأة و فجر بامرأة قال یجلد الغلام دون الحدّ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یضرب الغلام دون الحدّ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الثّالثة و فی الثّالثة لا یحدّ الصّبیّ اذا وقع علی المرأة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هذه الرّوایات اخبار عدّة او ردها فی المستدرک و البحار و یستفاد منها ثبوت التّعزیر لغیر البالغ اذا زنی ونفی الحدّ عنه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ما</w:t>
      </w:r>
      <w:r>
        <w:rPr>
          <w:rStyle w:val="FootnoteAnchor"/>
          <w:rtl w:val="true"/>
        </w:rPr>
        <w:footnoteReference w:id="87"/>
      </w:r>
      <w:r>
        <w:rPr>
          <w:rFonts w:ascii="IRNazanin" w:hAnsi="IRNazanin" w:eastAsia="IRNazanin"/>
          <w:color w:val="111111"/>
          <w:sz w:val="28"/>
          <w:sz w:val="28"/>
          <w:szCs w:val="28"/>
          <w:rtl w:val="true"/>
          <w:lang w:bidi="fa-IR"/>
        </w:rPr>
        <w:t>عن نوادر أحمد بن محمّد بن عیسی من نفی الحدّ علی البالغ</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و البالغة مثله ما عن فقه الرّضا عن الرّجل یقع علی الصّبیّة قال لا یجلد الرّجل</w:t>
      </w:r>
      <w:r>
        <w:rPr>
          <w:rStyle w:val="FootnoteAnchor"/>
          <w:rtl w:val="true"/>
        </w:rPr>
        <w:footnoteReference w:id="88"/>
      </w:r>
      <w:r>
        <w:rPr>
          <w:rFonts w:ascii="IRNazanin" w:hAnsi="IRNazanin" w:eastAsia="IRNazanin"/>
          <w:color w:val="111111"/>
          <w:sz w:val="28"/>
          <w:sz w:val="28"/>
          <w:szCs w:val="28"/>
          <w:rtl w:val="true"/>
          <w:lang w:bidi="fa-IR"/>
        </w:rPr>
        <w:t xml:space="preserve">مردود مضافاً الی اضمار الرّوایة و ضعف الرّضویّ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سنداً بمعار ضتها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بغیرها من الرّوایات المعتبرة و غیرها لموجبة للحدّ علی البالغ و البالغة و ان کان الآخر غیر بالغ منها روایة قرب الأسناد</w:t>
      </w:r>
      <w:r>
        <w:rPr>
          <w:rStyle w:val="FootnoteAnchor"/>
          <w:rtl w:val="true"/>
        </w:rPr>
        <w:footnoteReference w:id="89"/>
      </w:r>
      <w:r>
        <w:rPr>
          <w:rFonts w:ascii="IRNazanin" w:hAnsi="IRNazanin" w:eastAsia="IRNazanin"/>
          <w:color w:val="111111"/>
          <w:sz w:val="28"/>
          <w:sz w:val="28"/>
          <w:szCs w:val="28"/>
          <w:rtl w:val="true"/>
          <w:lang w:bidi="fa-IR"/>
        </w:rPr>
        <w:t xml:space="preserve">عن علیّ بن جعفر عن أخیه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وقع علی صبیّة ما علیه؟ قال الحدّ وسألته عن صبیّ وقع علی امرأة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تجلد المرئة و لیس علی الصّبیّ شیء</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اعتبار العقل لحدّ الزّانی و نفی الحدّ عن المجنون کما هو المشهور بل حکی علیه الأجماع مضافاً الی ما سبق فی الأمر الأوّل من روایة حمّاد بن عیسی</w:t>
      </w:r>
      <w:r>
        <w:rPr>
          <w:rStyle w:val="FootnoteAnchor"/>
          <w:rtl w:val="true"/>
        </w:rPr>
        <w:footnoteReference w:id="90"/>
      </w:r>
      <w:r>
        <w:rPr>
          <w:rFonts w:ascii="IRNazanin" w:hAnsi="IRNazanin" w:eastAsia="IRNazanin"/>
          <w:color w:val="111111"/>
          <w:sz w:val="28"/>
          <w:sz w:val="28"/>
          <w:szCs w:val="28"/>
          <w:rtl w:val="true"/>
          <w:lang w:bidi="fa-IR"/>
        </w:rPr>
        <w:t xml:space="preserve">و یؤیدّها ما فی روایة 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الأرشاد</w:t>
      </w:r>
      <w:r>
        <w:rPr>
          <w:rStyle w:val="FootnoteAnchor"/>
          <w:rtl w:val="true"/>
        </w:rPr>
        <w:footnoteReference w:id="91"/>
      </w:r>
      <w:r>
        <w:rPr>
          <w:rFonts w:ascii="IRNazanin" w:hAnsi="IRNazanin" w:eastAsia="IRNazanin"/>
          <w:color w:val="111111"/>
          <w:sz w:val="28"/>
          <w:sz w:val="28"/>
          <w:szCs w:val="28"/>
          <w:rtl w:val="true"/>
          <w:lang w:bidi="fa-IR"/>
        </w:rPr>
        <w:t xml:space="preserve">من قول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رفع القلم عن المجنون و ما فی روایة الأصبغ بن نباته فی</w:t>
      </w:r>
      <w:r>
        <w:rPr>
          <w:rStyle w:val="FootnoteAnchor"/>
          <w:rtl w:val="true"/>
        </w:rPr>
        <w:footnoteReference w:id="92"/>
      </w:r>
      <w:r>
        <w:rPr>
          <w:rFonts w:ascii="IRNazanin" w:hAnsi="IRNazanin" w:eastAsia="IRNazanin"/>
          <w:color w:val="111111"/>
          <w:sz w:val="28"/>
          <w:sz w:val="28"/>
          <w:szCs w:val="28"/>
          <w:rtl w:val="true"/>
          <w:lang w:bidi="fa-IR"/>
        </w:rPr>
        <w:t xml:space="preserve">خمسة نفر أخذوا فی الزّنا و اعتراض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امر عمر؛ ان یقال علی کلّ واحد منهم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فأقم أنت الحدّ علیهم ـ ألی ـ و قدّم الخامس فعزّره فتحیّر عمر و تعّجب النّاس من فعله ـ الی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امّا الخامس فمجنون مغلوب علی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مرسلة علیّ بن أبراهیم</w:t>
      </w:r>
      <w:r>
        <w:rPr>
          <w:rStyle w:val="FootnoteAnchor"/>
          <w:rtl w:val="true"/>
        </w:rPr>
        <w:footnoteReference w:id="93"/>
      </w:r>
      <w:r>
        <w:rPr>
          <w:rFonts w:ascii="IRNazanin" w:hAnsi="IRNazanin" w:eastAsia="IRNazanin"/>
          <w:color w:val="111111"/>
          <w:sz w:val="28"/>
          <w:sz w:val="28"/>
          <w:szCs w:val="28"/>
          <w:rtl w:val="true"/>
          <w:lang w:bidi="fa-IR"/>
        </w:rPr>
        <w:t>ستّة نفر وفی ذیلها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و أمّا السّادس فمجنون مغلوب علی عقله سقط عنه التّکلیف و یؤیّدها بعض ما تقدّمت الأشارة الیه فی البلوغ و التّعلیل فی نفی الحدّ</w:t>
      </w:r>
      <w:r>
        <w:rPr>
          <w:rStyle w:val="FootnoteAnchor"/>
          <w:rtl w:val="true"/>
        </w:rPr>
        <w:footnoteReference w:id="94"/>
      </w:r>
      <w:r>
        <w:rPr>
          <w:rFonts w:ascii="IRNazanin" w:hAnsi="IRNazanin" w:eastAsia="IRNazanin"/>
          <w:color w:val="111111"/>
          <w:sz w:val="28"/>
          <w:sz w:val="28"/>
          <w:szCs w:val="28"/>
          <w:rtl w:val="true"/>
          <w:lang w:bidi="fa-IR"/>
        </w:rPr>
        <w:t>عن المستکرهة فی الرّوایات الأتیة و عن المجنونة فی صحیحة محمّد بن قیس</w:t>
      </w:r>
      <w:r>
        <w:rPr>
          <w:rStyle w:val="FootnoteAnchor"/>
          <w:rtl w:val="true"/>
        </w:rPr>
        <w:footnoteReference w:id="95"/>
      </w:r>
      <w:r>
        <w:rPr>
          <w:rFonts w:ascii="IRNazanin" w:hAnsi="IRNazanin" w:eastAsia="IRNazanin"/>
          <w:color w:val="111111"/>
          <w:sz w:val="28"/>
          <w:sz w:val="28"/>
          <w:szCs w:val="28"/>
          <w:rtl w:val="true"/>
          <w:lang w:bidi="fa-IR"/>
        </w:rPr>
        <w:t>و ابن مسلم</w:t>
      </w:r>
      <w:r>
        <w:rPr>
          <w:rStyle w:val="FootnoteAnchor"/>
          <w:rtl w:val="true"/>
        </w:rPr>
        <w:footnoteReference w:id="96"/>
      </w:r>
      <w:r>
        <w:rPr>
          <w:rFonts w:ascii="IRNazanin" w:hAnsi="IRNazanin" w:eastAsia="IRNazanin"/>
          <w:color w:val="111111"/>
          <w:sz w:val="28"/>
          <w:sz w:val="28"/>
          <w:szCs w:val="28"/>
          <w:rtl w:val="true"/>
          <w:lang w:bidi="fa-IR"/>
        </w:rPr>
        <w:t>الأتیین؛ صحیحة فضیل بن یسار</w:t>
      </w:r>
      <w:r>
        <w:rPr>
          <w:rStyle w:val="FootnoteAnchor"/>
          <w:rtl w:val="true"/>
        </w:rPr>
        <w:footnoteReference w:id="97"/>
      </w:r>
      <w:r>
        <w:rPr>
          <w:rFonts w:ascii="IRNazanin" w:hAnsi="IRNazanin" w:eastAsia="IRNazanin"/>
          <w:color w:val="111111"/>
          <w:sz w:val="28"/>
          <w:sz w:val="28"/>
          <w:szCs w:val="28"/>
          <w:rtl w:val="true"/>
          <w:lang w:bidi="fa-IR"/>
        </w:rPr>
        <w:t xml:space="preserve">قال 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حدّ لمن لا حدّ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لو إنّ مجنونا قذف رجلاً لم ار علیه شیئاً  و لو قذفه رجل فقال یا زانی لم یکن علیه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نحوها معتبرة اسحاق بن عمّار</w:t>
      </w:r>
      <w:r>
        <w:rPr>
          <w:rStyle w:val="FootnoteAnchor"/>
          <w:rtl w:val="true"/>
        </w:rPr>
        <w:footnoteReference w:id="98"/>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یؤیّدها ما فی مرسلة الدّعائم</w:t>
      </w:r>
      <w:r>
        <w:rPr>
          <w:rStyle w:val="FootnoteAnchor"/>
          <w:rtl w:val="true"/>
        </w:rPr>
        <w:footnoteReference w:id="99"/>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حدّ لمن لا حدّ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أشتراط العلم بالحرمة المفقود فی المجنون کاف فی رفع الحدّ عنه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ظهر ضعف المحکیّ عن الشّیخین و الصّدوق و القاضِی و ابن سعید من وجوب الحدّ رجماً أو جلداً لو وطیء المجنون عاقلة استناداً الی روایة أبان بن تغلب</w:t>
      </w:r>
      <w:r>
        <w:rPr>
          <w:rStyle w:val="FootnoteAnchor"/>
          <w:rtl w:val="true"/>
        </w:rPr>
        <w:footnoteReference w:id="10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زنی المجنون او المعتوه جلد الحدّ و ان کان محصناً 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الفق بین المجنون و المجنونة و المعتوه و المعتوهة؟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فقال المرأة أنماتؤتی و الرّجل یأتی و انّما یزنی اذا عقل کیف یأتی الّلذّة و انّ المرأة أنّما تستکره و یفعل بها وهی لا تعقل ما یفعل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لکنّها مضافاً الی ضعف السّند باشتماله علی أبراهیم بن الفضل ولم یرد فیه توثیق و لا مدح و ربّما مال بعضهم</w:t>
      </w:r>
      <w:r>
        <w:rPr>
          <w:rStyle w:val="FootnoteAnchor"/>
          <w:rtl w:val="true"/>
        </w:rPr>
        <w:footnoteReference w:id="101"/>
      </w:r>
      <w:r>
        <w:rPr>
          <w:rFonts w:ascii="IRNazanin" w:hAnsi="IRNazanin" w:eastAsia="IRNazanin"/>
          <w:color w:val="111111"/>
          <w:sz w:val="28"/>
          <w:sz w:val="28"/>
          <w:szCs w:val="28"/>
          <w:rtl w:val="true"/>
          <w:lang w:bidi="fa-IR"/>
        </w:rPr>
        <w:t>الی توثیقه ضعیف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فیها اشارة بل ظهوراً فی انّ له من العقل و الشّعور ما یعقل اللّذة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یبعد ما فی الأیضاح عن المختلف بکون المراد المجنون فی الرّوایة من یعتوره اذا زنی بعد تحصینه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تعلیله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أختلف القائلون بثبوت الحدّ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أبی الصّباح علیه الجلد محصناً کان اولا و استثنی المطبق الّذی لا یفیق و لا یهتدی شیئاً فلا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فصّل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المحصن فالرّجم و غیره فالجلد کما عن ابن البرّاج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المبسوط</w:t>
      </w:r>
      <w:r>
        <w:rPr>
          <w:rStyle w:val="FootnoteAnchor"/>
          <w:rtl w:val="true"/>
        </w:rPr>
        <w:footnoteReference w:id="102"/>
      </w:r>
      <w:r>
        <w:rPr>
          <w:rFonts w:ascii="IRNazanin" w:hAnsi="IRNazanin" w:eastAsia="IRNazanin"/>
          <w:color w:val="111111"/>
          <w:sz w:val="28"/>
          <w:sz w:val="28"/>
          <w:szCs w:val="28"/>
          <w:rtl w:val="true"/>
          <w:lang w:bidi="fa-IR"/>
        </w:rPr>
        <w:t>و الخلاف</w:t>
      </w:r>
      <w:r>
        <w:rPr>
          <w:rStyle w:val="FootnoteAnchor"/>
          <w:rtl w:val="true"/>
        </w:rPr>
        <w:footnoteReference w:id="103"/>
      </w:r>
      <w:r>
        <w:rPr>
          <w:rFonts w:ascii="IRNazanin" w:hAnsi="IRNazanin" w:eastAsia="IRNazanin"/>
          <w:color w:val="111111"/>
          <w:sz w:val="28"/>
          <w:sz w:val="28"/>
          <w:szCs w:val="28"/>
          <w:rtl w:val="true"/>
          <w:lang w:bidi="fa-IR"/>
        </w:rPr>
        <w:t>ما یفید عدم تحقّق الأحصان فی المجنون کما عن ابن الجنید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اشتراط الأختیار قبال الأکراه و رفع الحدّ عن الزّانی المکره حدیث الرّفع</w:t>
      </w:r>
      <w:r>
        <w:rPr>
          <w:rStyle w:val="FootnoteAnchor"/>
          <w:rtl w:val="true"/>
        </w:rPr>
        <w:footnoteReference w:id="104"/>
      </w:r>
      <w:r>
        <w:rPr>
          <w:rFonts w:ascii="IRNazanin" w:hAnsi="IRNazanin" w:eastAsia="IRNazanin"/>
          <w:color w:val="111111"/>
          <w:sz w:val="28"/>
          <w:sz w:val="28"/>
          <w:szCs w:val="28"/>
          <w:rtl w:val="true"/>
          <w:lang w:bidi="fa-IR"/>
        </w:rPr>
        <w:t>بل یمکن دلالة الأیة الشّریفة</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کفر بالله من بعد ایمانه الاّ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اکره و قبله مطمئنّ بالأیمان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بفحواها ولو بقرینة ما ورد فی تفسیرها من الرّوایات المعتبرة کروایة مسعدة بن صدقة</w:t>
      </w:r>
      <w:r>
        <w:rPr>
          <w:rStyle w:val="FootnoteAnchor"/>
          <w:rtl w:val="true"/>
        </w:rPr>
        <w:footnoteReference w:id="106"/>
      </w:r>
      <w:r>
        <w:rPr>
          <w:rFonts w:ascii="IRNazanin" w:hAnsi="IRNazanin" w:eastAsia="IRNazanin"/>
          <w:color w:val="111111"/>
          <w:sz w:val="28"/>
          <w:sz w:val="28"/>
          <w:szCs w:val="28"/>
          <w:rtl w:val="true"/>
          <w:lang w:bidi="fa-IR"/>
        </w:rPr>
        <w:t>و محمّد بن مروان</w:t>
      </w:r>
      <w:r>
        <w:rPr>
          <w:rStyle w:val="FootnoteAnchor"/>
          <w:rtl w:val="true"/>
        </w:rPr>
        <w:footnoteReference w:id="107"/>
      </w:r>
      <w:r>
        <w:rPr>
          <w:rFonts w:ascii="Amiri" w:hAnsi="Amiri" w:eastAsia="Amiri" w:cs="Amiri"/>
          <w:color w:val="111111"/>
          <w:sz w:val="28"/>
          <w:sz w:val="28"/>
          <w:szCs w:val="28"/>
          <w:rtl w:val="true"/>
          <w:lang w:bidi="ar-SA"/>
        </w:rPr>
        <w:t xml:space="preserve"> و ما رواه العیّاشیّ</w:t>
      </w:r>
      <w:r>
        <w:rPr>
          <w:rStyle w:val="FootnoteAnchor"/>
          <w:rtl w:val="true"/>
        </w:rPr>
        <w:footnoteReference w:id="108"/>
      </w:r>
      <w:r>
        <w:rPr>
          <w:rFonts w:ascii="IRNazanin" w:hAnsi="IRNazanin" w:eastAsia="IRNazanin"/>
          <w:color w:val="111111"/>
          <w:sz w:val="28"/>
          <w:sz w:val="28"/>
          <w:szCs w:val="28"/>
          <w:rtl w:val="true"/>
          <w:lang w:bidi="fa-IR"/>
        </w:rPr>
        <w:t>فی تفسیره، و یظهر من غیره واحد الأستیناس او الأستدلال بما ورد فی رفع الحدّ عن الزّانیة المستکرهة و یؤیّد الحکم روایة الجعفریّات</w:t>
      </w:r>
      <w:r>
        <w:rPr>
          <w:rStyle w:val="FootnoteAnchor"/>
          <w:rtl w:val="true"/>
        </w:rPr>
        <w:footnoteReference w:id="109"/>
      </w:r>
      <w:r>
        <w:rPr>
          <w:rFonts w:ascii="IRNazanin" w:hAnsi="IRNazanin" w:eastAsia="IRNazanin"/>
          <w:color w:val="111111"/>
          <w:sz w:val="28"/>
          <w:sz w:val="28"/>
          <w:szCs w:val="28"/>
          <w:rtl w:val="true"/>
          <w:lang w:bidi="fa-IR"/>
        </w:rPr>
        <w:t xml:space="preserve">بسندها عن جعفر بن محمّد عن أبیه عن جدّه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یقول لیس علی المستکره 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نوادر الرّاوندی</w:t>
      </w:r>
      <w:r>
        <w:rPr>
          <w:rStyle w:val="FootnoteAnchor"/>
          <w:rtl w:val="true"/>
        </w:rPr>
        <w:footnoteReference w:id="110"/>
      </w:r>
      <w:r>
        <w:rPr>
          <w:rFonts w:ascii="IRNazanin" w:hAnsi="IRNazanin" w:eastAsia="IRNazanin"/>
          <w:color w:val="111111"/>
          <w:sz w:val="28"/>
          <w:sz w:val="28"/>
          <w:szCs w:val="28"/>
          <w:rtl w:val="true"/>
          <w:lang w:bidi="fa-IR"/>
        </w:rPr>
        <w:t xml:space="preserve">باسناده عن موسی بن جعفر عن آبائه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المکره لاحدّ علیها و علیه مهر مثلها، هذا لو أرید بالأکراه مالا یسلب الأختیار و امّا لو ارید به ذلک فواضح خروجه عن محلّ الکلام لعدم تعلّق التّکلیف بما لا قدرة للمکلّف علیه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 المقام شبهة تکرّر ذکرها فی کتب الأصحاب ترجع الی المناقشة فی تحقّق الأکراه علی الزّنا بالنّسبة الی الرّجل و لعلّ منشأها دلالة مادّة الکره علی حمل الإنسان علی خلاف ما یریده و یشتهیه وله صارف نفسانیّ عنه و هذا لا یناسب الأنعاظ و أنتشار الآلة المتوقّف علیه الزّنا لتسبّبه عن الشّهوة المنافیة للخوف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و أجیب عنها بوجوه،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تحقّق الأکراه حین الأنعاظ و الأنتشار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توقف دخول الحشفة عل الأنتشار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 لا یخاف منه فلا یمنع الأنتشار و التخوّف بترکه کما عن 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الأکراه لما یعرض من میل الطّبع المزجور لاشّرع کما فی یع و عن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الأولی ما أشار الیه فی الجواهر من عدم توقّف امتثال النّهی عن الزّنا علی ذلک حتّی یناقش فی تحقّقه بل یکفی فیه عدم وقوع الفعل منه ولو مع المیل الطّبیعی الیه فحینئذ لو هدّد بالقتل و نحوه ممّا یجب علیه الفعل معه یتحقّق منه بعد فرض حصول المیل الطّبیعیّ الذی هو غیر مکلّف برفعه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و انکان لا یخلو عن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فلا یصحّ تعلیل نفی الحدّ علیه بنفی 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الاّلزم تکلیف ما لا یطاق و الّتمسّک آخر الأمر بتحقّق الشّبهة و درئها کما فی الأیضاح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فی المقام الثّانی و هو اشتراط الحدّ فی طرف الزّانیة بالبلوغ و العقل و الأختیار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فالبحث عنه ایضاً فی موارد ثلثة</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البلوغ و یدلّ علیه مضافاً الی الأتّفاق و الأجمع و ما تقدّم من روایة حمران</w:t>
      </w:r>
      <w:r>
        <w:rPr>
          <w:rStyle w:val="FootnoteAnchor"/>
          <w:rtl w:val="true"/>
        </w:rPr>
        <w:footnoteReference w:id="111"/>
      </w:r>
      <w:r>
        <w:rPr>
          <w:rFonts w:ascii="Amiri" w:hAnsi="Amiri" w:eastAsia="Amiri" w:cs="Amiri"/>
          <w:color w:val="111111"/>
          <w:sz w:val="28"/>
          <w:sz w:val="28"/>
          <w:szCs w:val="28"/>
          <w:rtl w:val="true"/>
          <w:lang w:bidi="ar-SA"/>
        </w:rPr>
        <w:t>و موثّقة عمّار</w:t>
      </w:r>
      <w:r>
        <w:rPr>
          <w:rStyle w:val="FootnoteAnchor"/>
          <w:rtl w:val="true"/>
        </w:rPr>
        <w:footnoteReference w:id="112"/>
      </w:r>
      <w:r>
        <w:rPr>
          <w:rFonts w:ascii="IRNazanin" w:hAnsi="IRNazanin" w:eastAsia="IRNazanin"/>
          <w:color w:val="111111"/>
          <w:sz w:val="28"/>
          <w:sz w:val="28"/>
          <w:szCs w:val="28"/>
          <w:rtl w:val="true"/>
          <w:lang w:bidi="fa-IR"/>
        </w:rPr>
        <w:t xml:space="preserve">ففی الأولی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الجاریة اذا تزوّجت و دخل بها ولها تسع سنین ذهب عنها الیتم و دفع الیها مالها و جاز امرها 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الشّراء و البیع و اقیمت علیها الحدود التّامّة ـ الحدیث ـ</w:t>
      </w:r>
    </w:p>
    <w:p>
      <w:pPr>
        <w:pStyle w:val="BookText"/>
        <w:rPr/>
      </w:pPr>
      <w:r>
        <w:rPr>
          <w:rFonts w:ascii="IRNazanin" w:hAnsi="IRNazanin" w:eastAsia="IRNazanin"/>
          <w:color w:val="111111"/>
          <w:sz w:val="28"/>
          <w:sz w:val="28"/>
          <w:szCs w:val="28"/>
          <w:rtl w:val="true"/>
          <w:lang w:bidi="fa-IR"/>
        </w:rPr>
        <w:t>و فی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الجاریة مثل ذلک أن أتی لها ثلاث عشر سنة أو حاضت قبل ذلک فقد و جبت علیها الصّلاة و جری علیها القلم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فی صحیحة یزید الکناسیّ</w:t>
      </w:r>
      <w:r>
        <w:rPr>
          <w:rStyle w:val="FootnoteAnchor"/>
          <w:rtl w:val="true"/>
        </w:rPr>
        <w:footnoteReference w:id="113"/>
      </w:r>
      <w:r>
        <w:rPr>
          <w:rFonts w:ascii="IRNazanin" w:hAnsi="IRNazanin" w:eastAsia="IRNazanin"/>
          <w:color w:val="111111"/>
          <w:sz w:val="28"/>
          <w:sz w:val="28"/>
          <w:szCs w:val="28"/>
          <w:rtl w:val="true"/>
          <w:lang w:bidi="fa-IR"/>
        </w:rPr>
        <w:t>فی اشتراط اقمة الحدود علیها بالبلوغ و ما فی صحیحة أبی مریم</w:t>
      </w:r>
      <w:r>
        <w:rPr>
          <w:rStyle w:val="FootnoteAnchor"/>
          <w:rtl w:val="true"/>
        </w:rPr>
        <w:footnoteReference w:id="114"/>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جاریة لم تبلغ وجدت مع رجل یفجر بها؟ قال تضرب الجاریة دون الحدّ و یقام علی الرّجل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فی اشتراط البلوغ للزّانی ما یدلّ</w:t>
      </w:r>
      <w:r>
        <w:rPr>
          <w:rStyle w:val="FootnoteAnchor"/>
          <w:rtl w:val="true"/>
        </w:rPr>
        <w:footnoteReference w:id="115"/>
      </w:r>
      <w:r>
        <w:rPr>
          <w:rFonts w:ascii="IRNazanin" w:hAnsi="IRNazanin" w:eastAsia="IRNazanin"/>
          <w:color w:val="111111"/>
          <w:sz w:val="28"/>
          <w:sz w:val="28"/>
          <w:szCs w:val="28"/>
          <w:rtl w:val="true"/>
          <w:lang w:bidi="fa-IR"/>
        </w:rPr>
        <w:t>علی اعتباره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و یدلّ علی اعتباره فی الزّانیة لثبوت الحّد مضافاً الی الأتّفاق بل الأجماع و ما تقدّم فی اعتبار العقل بالنّسبة الی الزّانی من الرّوایات و اعتبار العلم باحرمة فی الحدّ و لا علم لمن لا عقل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روایات ورادة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صحیحة محمّد بن مسلم</w:t>
      </w:r>
      <w:r>
        <w:rPr>
          <w:rStyle w:val="FootnoteAnchor"/>
          <w:rtl w:val="true"/>
        </w:rPr>
        <w:footnoteReference w:id="116"/>
      </w:r>
      <w:r>
        <w:rPr>
          <w:rFonts w:ascii="IRNazanin" w:hAnsi="IRNazanin" w:eastAsia="IRNazanin"/>
          <w:color w:val="111111"/>
          <w:sz w:val="28"/>
          <w:sz w:val="28"/>
          <w:szCs w:val="28"/>
          <w:rtl w:val="true"/>
          <w:lang w:bidi="fa-IR"/>
        </w:rPr>
        <w:t xml:space="preserve">عن أحد 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امرأة مجنونة زنت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أنّها لا تملک امرها، لیس علیها شیء</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صحیحة اخری له</w:t>
      </w:r>
      <w:r>
        <w:rPr>
          <w:rStyle w:val="FootnoteAnchor"/>
          <w:rtl w:val="true"/>
        </w:rPr>
        <w:footnoteReference w:id="117"/>
      </w:r>
      <w:r>
        <w:rPr>
          <w:rFonts w:ascii="IRNazanin" w:hAnsi="IRNazanin" w:eastAsia="IRNazanin"/>
          <w:color w:val="111111"/>
          <w:sz w:val="28"/>
          <w:sz w:val="28"/>
          <w:szCs w:val="28"/>
          <w:rtl w:val="true"/>
          <w:lang w:bidi="fa-IR"/>
        </w:rPr>
        <w:t xml:space="preserve">عن أحد 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فی أمراة زنت و هی مجنونة قال أنّها لا تملک امرها و لیس علیها رجم و لا نفی ـ الحدیث ـ</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و منها صحیحة محمّد بن قیس</w:t>
      </w:r>
      <w:r>
        <w:rPr>
          <w:rStyle w:val="FootnoteAnchor"/>
          <w:rtl w:val="true"/>
        </w:rPr>
        <w:footnoteReference w:id="118"/>
      </w: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امرأة مجنونة زنت فحبلت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مثل السّابئة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تملک امرها ولیس علیها رجم و لا جلد و لا 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یؤیّد ذلک ما اورده 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 xml:space="preserve">فی الأرشاد قال روت العامّة و الخاصّة انّ مجنونة فجر بها رجل و قامت البیّنة علیها فامر عمر بجلدها الحدّ فمرّ بها علیّ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ما بال مجنونة آل فلان تقتل؟ فقیل له انّ رجلاً فجر بها فهرب و قامت البیّنة علیها فأمر عمر بجلدها فقال لهم ردّوها الیه و قولوا له اما علمت انّ هذه مجنونة آل فلان و 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رفع القلم عن المجنون حتّی یفیق و انّها مغلوبة علی عقلها و نفسها فردّوها الیه فدرء عنها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فی اشتراط عقل الزّانی عقل الزّانی ما دلّ علی الحکم هنا مضافاً الی روایة الأختصاص</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المورد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أشتراط الأختیار فی حدّ الزّانیة</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یدلّ علیه بعد الأتّفاق بل الأجماع و ما دلّ علی رفع ما استکرهوا علیه خصوص روایات معتبرة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أبی عبیدة</w:t>
      </w:r>
      <w:r>
        <w:rPr>
          <w:rStyle w:val="FootnoteAnchor"/>
          <w:rtl w:val="true"/>
        </w:rPr>
        <w:footnoteReference w:id="121"/>
      </w: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بامرأة مع رجل فجر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استکر هنی و الله یا أمیر المؤمنین فدرء عنها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سئل هؤلاء عن ذلک لقالوا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تصدّق و قد و الله فعله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ما فی ذیل صحیحة محمّد بن مسلم</w:t>
      </w:r>
      <w:r>
        <w:rPr>
          <w:rStyle w:val="FootnoteAnchor"/>
          <w:rtl w:val="true"/>
        </w:rPr>
        <w:footnoteReference w:id="122"/>
      </w:r>
      <w:r>
        <w:rPr>
          <w:rFonts w:ascii="IRNazanin" w:hAnsi="IRNazanin" w:eastAsia="IRNazanin"/>
          <w:color w:val="111111"/>
          <w:sz w:val="28"/>
          <w:sz w:val="28"/>
          <w:szCs w:val="28"/>
          <w:rtl w:val="true"/>
          <w:lang w:bidi="fa-IR"/>
        </w:rPr>
        <w:t xml:space="preserve">عن أحد 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تقدّم صدرها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امرأة اقرّت علی نفسها أنّه استکرهها رجل علی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هی مثّل السّائبة لا تملک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شاء قتلها، لیس علیها جلد و لا نفی ولا رجم و قریب منها روایة المحاسن</w:t>
      </w:r>
      <w:r>
        <w:rPr>
          <w:rStyle w:val="FootnoteAnchor"/>
          <w:rtl w:val="true"/>
        </w:rPr>
        <w:footnoteReference w:id="123"/>
      </w:r>
      <w:r>
        <w:rPr>
          <w:rFonts w:ascii="IRNazanin" w:hAnsi="IRNazanin" w:eastAsia="IRNazanin"/>
          <w:color w:val="111111"/>
          <w:sz w:val="28"/>
          <w:sz w:val="28"/>
          <w:szCs w:val="28"/>
          <w:rtl w:val="true"/>
          <w:lang w:bidi="fa-IR"/>
        </w:rPr>
        <w:t xml:space="preserve">عن أبی بصیر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قضی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امرأة ـ الخ ـ</w:t>
      </w:r>
    </w:p>
    <w:p>
      <w:pPr>
        <w:pStyle w:val="BookText"/>
        <w:rPr/>
      </w:pPr>
      <w:r>
        <w:rPr>
          <w:rFonts w:ascii="IRNazanin" w:hAnsi="IRNazanin" w:eastAsia="IRNazanin"/>
          <w:color w:val="111111"/>
          <w:sz w:val="28"/>
          <w:sz w:val="28"/>
          <w:szCs w:val="28"/>
          <w:rtl w:val="true"/>
          <w:lang w:bidi="fa-IR"/>
        </w:rPr>
        <w:t xml:space="preserve">و مثلها ذیل صحیحة محمّد بن قیس </w:t>
      </w:r>
      <w:r>
        <w:rPr>
          <w:rStyle w:val="FootnoteAnchor"/>
          <w:rtl w:val="true"/>
        </w:rPr>
        <w:footnoteReference w:id="124"/>
      </w: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تقدّم صدرها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معتبرة طلحة بن زید</w:t>
      </w:r>
      <w:r>
        <w:rPr>
          <w:rStyle w:val="FootnoteAnchor"/>
          <w:rtl w:val="true"/>
        </w:rPr>
        <w:footnoteReference w:id="125"/>
      </w:r>
      <w:r>
        <w:rPr>
          <w:rFonts w:ascii="IRNazanin" w:hAnsi="IRNazanin" w:eastAsia="IRNazanin"/>
          <w:color w:val="111111"/>
          <w:sz w:val="28"/>
          <w:sz w:val="28"/>
          <w:szCs w:val="28"/>
          <w:rtl w:val="true"/>
          <w:lang w:bidi="fa-IR"/>
        </w:rPr>
        <w:t xml:space="preserve">عن جعفر عن أبیه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لیس علی زان عقر ولا علی مستکرهة حدّ و نی مضمره موسی بن بکر</w:t>
      </w:r>
      <w:r>
        <w:rPr>
          <w:rStyle w:val="FootnoteAnchor"/>
          <w:rtl w:val="true"/>
        </w:rPr>
        <w:footnoteReference w:id="126"/>
      </w:r>
      <w:r>
        <w:rPr>
          <w:rFonts w:ascii="IRNazanin" w:hAnsi="IRNazanin" w:eastAsia="IRNazanin"/>
          <w:color w:val="111111"/>
          <w:sz w:val="28"/>
          <w:sz w:val="28"/>
          <w:szCs w:val="28"/>
          <w:rtl w:val="true"/>
          <w:lang w:bidi="fa-IR"/>
        </w:rPr>
        <w:t>قال سمعته و هو یقول لیس علی المستکرهه حدّ اذا قالت انّما استکرهت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الحکم عدّة روایات</w:t>
      </w:r>
      <w:r>
        <w:rPr>
          <w:rStyle w:val="FootnoteAnchor"/>
          <w:rtl w:val="true"/>
        </w:rPr>
        <w:footnoteReference w:id="127"/>
      </w:r>
      <w:r>
        <w:rPr>
          <w:rFonts w:ascii="IRNazanin" w:hAnsi="IRNazanin" w:eastAsia="IRNazanin"/>
          <w:color w:val="111111"/>
          <w:sz w:val="28"/>
          <w:sz w:val="28"/>
          <w:szCs w:val="28"/>
          <w:rtl w:val="true"/>
          <w:lang w:bidi="fa-IR"/>
        </w:rPr>
        <w:t>اورها فی المستدرک متّفقة علی نفی الحدّ علی المتسکرهة</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 الأختیار قبال الأکراه و امّا الأختیار قبال الأجبار الّذی یسلب الأختیار فلا اشکال فی اعتباره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لأشتراط التّکلیف بالقدره و لا قدرة للمجبور و المجبوره</w:t>
      </w:r>
      <w:r>
        <w:rPr>
          <w:rFonts w:eastAsia="IRNazanin" w:cs="IRNazanin"/>
          <w:color w:val="111111"/>
          <w:sz w:val="28"/>
          <w:szCs w:val="28"/>
          <w:rtl w:val="true"/>
          <w:lang w:bidi="fa-IR"/>
        </w:rPr>
        <w:t>.</w:t>
      </w:r>
      <w:bookmarkStart w:id="41" w:name="pg3023_22437"/>
    </w:p>
    <w:p>
      <w:pPr>
        <w:pStyle w:val="Heading4"/>
        <w:numPr>
          <w:ilvl w:val="3"/>
          <w:numId w:val="1"/>
        </w:numPr>
        <w:rPr/>
      </w:pPr>
      <w:bookmarkStart w:id="42" w:name="__RefHeading___Toc656657_2749589250"/>
      <w:bookmarkStart w:id="43" w:name="_Toc15"/>
      <w:bookmarkEnd w:id="41"/>
      <w:bookmarkEnd w:id="42"/>
      <w:r>
        <w:rPr>
          <w:rtl w:val="true"/>
        </w:rPr>
        <w:t>قبول دعوی الاکراه علی الزّنا</w:t>
      </w:r>
      <w:bookmarkEnd w:id="43"/>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تقبل دعواها الأکراه علی الزّنا و فی قبول دعوا الرّجل اشکال و لایبعد القبول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تنبیهار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صرّح فی بعض نصوص نفی الحدّ عن المرأة المستکرهة علی الزّنا بقبول دعواها الأکراه و الأشکال فی قبول دعوی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قبول دعواه أمّا لأنّه اعرف بنفسه، او لعدم تحقّق موضوع الحدّ و لا یکتفی فیه بجریان اصل عدم الأکراه اذا ثبت زناه بالأقرار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اذا شهدت البیّنة بعدم الأکراه فلا یخلو دعواه الأکراه عن الأشکال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القبول لدرء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جزم فی المهذّب بنفی الحدّ عن مدّعی الأکراه استناداً الی حدیث الرّفع و الأصل و الأجماع وصحیحة أبی عبیدة المتقدّمة</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ِشعر اقتصار صاحب المبانی علی قبول دعوی المرأة الأکراه عدم قبوله من الزّانی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القویّ اختصاص کلامه فی المسألة </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بالمفعول به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التّحقیق عدم سقوط الحدّ لو منعنا الأکراه فی جانب الرّجل علی الزّنا و امّا لو بنینا علی امکانه فاللاّزم فی ثبوت الحدّ تحقّق موضوعه و لیس مجرّد ادخال العضو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 تعریف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کافیاً فی لزوم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مقتضی الجمع بین آدلة الحدّ علی الزّانی و الزّانیة و ما ورد من رفع الخطأ و النّسیان و الأکراه و ما شابه ذلک تقیّد موضوع الحدّ بقید عدمیّ بالنّسبة لکلّ واحد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یکفی مجرّد الدّعوی بعد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أحراز الموضوع کسایر الموارد أمّا بالوجدان أو بضمّه الی الأصل لترکّیه کسایر الموضوعات المرکّبة من القیود او الأجزاء الوجودیّة و العدمیّة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ثبت فی ناحیة المرأة قبول دعواها ویساعده الأعتبار و ظاهر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اشیر فی اخبار اکراهها و رفع الحدّ عن المجنونة الی ضعفها و عدم قدرة علی الدّفاع و ملک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منتیفان فی حقّ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الّتمسّک بحدیث الرّفع أنّما یفید اذا ثبت الأکراه و الاّ فهو تمسّک بالعامّ فی الشّبهة المصداقیّة و لا اصل للأصل کالأجماع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الرّوایة أنّها واردة فی المرئة و لا ملازمة بین قبول دعواها الأکراه و بین قبول دعوی الرّجل نعم لو تحقّقت الشّبهة و احتملنا فی حقّه الصّدق و انّه لیس ذلک لخوف اجراء الحدّ علیه یمکن الّتمسّک بحدیث</w:t>
      </w:r>
      <w:r>
        <w:rPr>
          <w:rStyle w:val="FootnoteAnchor"/>
          <w:rtl w:val="true"/>
        </w:rPr>
        <w:footnoteReference w:id="129"/>
      </w:r>
      <w:r>
        <w:rPr>
          <w:rFonts w:ascii="IRNazanin" w:hAnsi="IRNazanin" w:eastAsia="IRNazanin"/>
          <w:color w:val="111111"/>
          <w:sz w:val="28"/>
          <w:sz w:val="28"/>
          <w:szCs w:val="28"/>
          <w:rtl w:val="true"/>
          <w:lang w:bidi="fa-IR"/>
        </w:rPr>
        <w:t>ادرئوا الحدود بالشّبهات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للسّیّد العلاّمة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المناقشة فی سند الحدیث فی غیر مورد و لا تورث القرائن المتکثّرة لصدورها و الوثوق بمضمونها احتمالاً فة نفسه الشّریفه و لا انعطافاً لها فقد ذکره 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الفقیه بنحو ارسال المسلّم فقال</w:t>
      </w:r>
      <w:r>
        <w:rPr>
          <w:rStyle w:val="FootnoteAnchor"/>
          <w:rtl w:val="true"/>
        </w:rPr>
        <w:footnoteReference w:id="130"/>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ادرئوا الحدود بالشّبهات و قد اعتمد</w:t>
      </w:r>
      <w:r>
        <w:rPr>
          <w:rStyle w:val="FootnoteAnchor"/>
          <w:rtl w:val="true"/>
        </w:rPr>
        <w:footnoteReference w:id="131"/>
      </w:r>
      <w:r>
        <w:rPr>
          <w:rFonts w:ascii="IRNazanin" w:hAnsi="IRNazanin" w:eastAsia="IRNazanin"/>
          <w:color w:val="111111"/>
          <w:sz w:val="28"/>
          <w:sz w:val="28"/>
          <w:szCs w:val="28"/>
          <w:rtl w:val="true"/>
          <w:lang w:bidi="fa-IR"/>
        </w:rPr>
        <w:t>علی مرا سیله غیر واحد من الأعلام و وصفوها بالصّحّة بل یری غیر واحد منهم انّها لا تقصر عن مراسیل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العلاّمة فی المختلف و الشّهید فی شرح الأرشاد و السّیّد المحقّق الدّاماد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و رواه فی الدّعائم</w:t>
      </w:r>
      <w:r>
        <w:rPr>
          <w:rStyle w:val="FootnoteAnchor"/>
          <w:rtl w:val="true"/>
        </w:rPr>
        <w:footnoteReference w:id="132"/>
      </w:r>
      <w:r>
        <w:rPr>
          <w:rFonts w:ascii="IRNazanin" w:hAnsi="IRNazanin" w:eastAsia="IRNazanin"/>
          <w:color w:val="111111"/>
          <w:sz w:val="28"/>
          <w:sz w:val="28"/>
          <w:szCs w:val="28"/>
          <w:rtl w:val="true"/>
          <w:lang w:bidi="fa-IR"/>
        </w:rPr>
        <w:t xml:space="preserve">مرسلاً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آبائه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ادرئوا الحدود بالشّبهات و کذا فی المقنع</w:t>
      </w:r>
      <w:r>
        <w:rPr>
          <w:rStyle w:val="FootnoteAnchor"/>
          <w:rtl w:val="true"/>
        </w:rPr>
        <w:footnoteReference w:id="133"/>
      </w:r>
      <w:r>
        <w:rPr>
          <w:rFonts w:ascii="IRNazanin" w:hAnsi="IRNazanin" w:eastAsia="IRNazanin"/>
          <w:color w:val="111111"/>
          <w:sz w:val="28"/>
          <w:sz w:val="28"/>
          <w:szCs w:val="28"/>
          <w:rtl w:val="true"/>
          <w:lang w:bidi="fa-IR"/>
        </w:rPr>
        <w:t xml:space="preserve">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اورد الحدیث فی کتاب الخلاف</w:t>
      </w:r>
      <w:r>
        <w:rPr>
          <w:rStyle w:val="FootnoteAnchor"/>
          <w:rtl w:val="true"/>
        </w:rPr>
        <w:footnoteReference w:id="134"/>
      </w:r>
      <w:r>
        <w:rPr>
          <w:rFonts w:ascii="IRNazanin" w:hAnsi="IRNazanin" w:eastAsia="IRNazanin"/>
          <w:color w:val="111111"/>
          <w:sz w:val="28"/>
          <w:sz w:val="28"/>
          <w:szCs w:val="28"/>
          <w:rtl w:val="true"/>
          <w:lang w:bidi="fa-IR"/>
        </w:rPr>
        <w:t>فی غیر مقام و استند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ابن ادریس فی موارد متعدّدة</w:t>
      </w:r>
      <w:r>
        <w:rPr>
          <w:rStyle w:val="FootnoteAnchor"/>
          <w:rtl w:val="true"/>
        </w:rPr>
        <w:footnoteReference w:id="135"/>
      </w:r>
      <w:r>
        <w:rPr>
          <w:rFonts w:ascii="IRNazanin" w:hAnsi="IRNazanin" w:eastAsia="IRNazanin"/>
          <w:color w:val="111111"/>
          <w:sz w:val="28"/>
          <w:sz w:val="28"/>
          <w:szCs w:val="28"/>
          <w:rtl w:val="true"/>
          <w:lang w:bidi="fa-IR"/>
        </w:rPr>
        <w:t>قال فی طیّ کلام له من کان له جاریة یشرکه فیها غیره فوطأها مع علمه انّه لا یجوز له و طؤها وله فیها شریک کان علیه الحدّ بحساب مالا یملک منها و یدرء عنه الحدّ بحساب ما یملکه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ان اشتبه الأمر علیه و ادّعی الشّبهة علیه فی ذلک فأنّه یدرء عنه الحدّ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ادرئوا الحدود بالشّبهات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وطاً جاریه من المغنم قبل ان تقسّم و ادّعی الشّبهة فی ذلک فأنّه یدراً عنه الحدّ للخبر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المذکرو المجمع علیه و هو ما قدّمناه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فاذ لیس فی المقام ما یدلّ علی نفی الحدّ الأمسندة الجعفریّات</w:t>
      </w:r>
      <w:r>
        <w:rPr>
          <w:rStyle w:val="FootnoteAnchor"/>
          <w:rtl w:val="true"/>
        </w:rPr>
        <w:footnoteReference w:id="136"/>
      </w:r>
      <w:r>
        <w:rPr>
          <w:rFonts w:ascii="IRNazanin" w:hAnsi="IRNazanin" w:eastAsia="IRNazanin"/>
          <w:color w:val="111111"/>
          <w:sz w:val="28"/>
          <w:sz w:val="28"/>
          <w:szCs w:val="28"/>
          <w:rtl w:val="true"/>
          <w:lang w:bidi="fa-IR"/>
        </w:rPr>
        <w:t xml:space="preserve">الّتی تقدّم الیها الأشارة و فی سندها اشکال قال اخبرنا عبدالله اخبرنا محمّد حدّثنی موسی قال حدّثنا أبی عن أبیه عن جدّه جعفر بن محمّد عن أبیه عن جدّه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المستکره حدّ و لا علی مستکرهة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جریان اصل عدم الأکراه و ثبوت الحدّ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موضوع الحدّ الزّنا عن طیب نفس فلا یثبت باصل عدم الأکراه ولا یترتّب الحدّ بلا شبهة و یجری ما ذکرناه فی الأکراه بالنّسبة للجهل بالتّحریم فی بعض الموارد</w:t>
      </w:r>
      <w:r>
        <w:rPr>
          <w:rFonts w:eastAsia="IRNazanin" w:cs="IRNazanin"/>
          <w:color w:val="111111"/>
          <w:sz w:val="28"/>
          <w:szCs w:val="28"/>
          <w:rtl w:val="true"/>
          <w:lang w:bidi="fa-IR"/>
        </w:rPr>
        <w:t>.</w:t>
      </w:r>
      <w:bookmarkStart w:id="44" w:name="pg3023_22440"/>
    </w:p>
    <w:p>
      <w:pPr>
        <w:pStyle w:val="Heading4"/>
        <w:numPr>
          <w:ilvl w:val="3"/>
          <w:numId w:val="1"/>
        </w:numPr>
        <w:rPr/>
      </w:pPr>
      <w:bookmarkStart w:id="45" w:name="__RefHeading___Toc656659_2749589250"/>
      <w:bookmarkStart w:id="46" w:name="_Toc16"/>
      <w:bookmarkEnd w:id="44"/>
      <w:bookmarkEnd w:id="45"/>
      <w:r>
        <w:rPr>
          <w:rtl w:val="true"/>
        </w:rPr>
        <w:t>ثبوت مهر المثل للموطوئة اکراه</w:t>
      </w:r>
      <w:bookmarkEnd w:id="46"/>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الموطوئة اکراها لها مهر مثلها سواء کانت بکراً او ثیباً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اختلف کلامهم فی ثبوت مهر المثل للموطوئة اکراها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فأثبته لها فی الشّرائع و القواعد و المبسوط</w:t>
      </w:r>
      <w:r>
        <w:rPr>
          <w:rStyle w:val="FootnoteAnchor"/>
          <w:rtl w:val="true"/>
        </w:rPr>
        <w:footnoteReference w:id="137"/>
      </w:r>
      <w:r>
        <w:rPr>
          <w:rFonts w:ascii="IRNazanin" w:hAnsi="IRNazanin" w:eastAsia="IRNazanin"/>
          <w:color w:val="111111"/>
          <w:sz w:val="28"/>
          <w:sz w:val="28"/>
          <w:szCs w:val="28"/>
          <w:rtl w:val="true"/>
          <w:lang w:bidi="fa-IR"/>
        </w:rPr>
        <w:t>فی غیر موضع و فی الخلاف</w:t>
      </w:r>
      <w:r>
        <w:rPr>
          <w:rStyle w:val="FootnoteAnchor"/>
          <w:rtl w:val="true"/>
        </w:rPr>
        <w:footnoteReference w:id="138"/>
      </w:r>
      <w:r>
        <w:rPr>
          <w:rFonts w:ascii="IRNazanin" w:hAnsi="IRNazanin" w:eastAsia="IRNazanin"/>
          <w:color w:val="111111"/>
          <w:sz w:val="28"/>
          <w:sz w:val="28"/>
          <w:szCs w:val="28"/>
          <w:rtl w:val="true"/>
          <w:lang w:bidi="fa-IR"/>
        </w:rPr>
        <w:t>، کتاب الدّیات و فی الجواهر علی الأشهر بل المشهور، و نفاه فی غیر موضع من المبسوط</w:t>
      </w:r>
      <w:r>
        <w:rPr>
          <w:rStyle w:val="FootnoteAnchor"/>
          <w:rtl w:val="true"/>
        </w:rPr>
        <w:footnoteReference w:id="139"/>
      </w:r>
      <w:r>
        <w:rPr>
          <w:rFonts w:ascii="IRNazanin" w:hAnsi="IRNazanin" w:eastAsia="IRNazanin"/>
          <w:color w:val="111111"/>
          <w:sz w:val="28"/>
          <w:sz w:val="28"/>
          <w:szCs w:val="28"/>
          <w:rtl w:val="true"/>
          <w:lang w:bidi="fa-IR"/>
        </w:rPr>
        <w:t>و فی کتاب الحدود من الخلاف</w:t>
      </w:r>
      <w:r>
        <w:rPr>
          <w:rStyle w:val="FootnoteAnchor"/>
          <w:rtl w:val="true"/>
        </w:rPr>
        <w:footnoteReference w:id="140"/>
      </w:r>
      <w:r>
        <w:rPr>
          <w:rFonts w:ascii="IRNazanin" w:hAnsi="IRNazanin" w:eastAsia="IRNazanin"/>
          <w:color w:val="111111"/>
          <w:sz w:val="28"/>
          <w:sz w:val="28"/>
          <w:szCs w:val="28"/>
          <w:rtl w:val="true"/>
          <w:lang w:bidi="fa-IR"/>
        </w:rPr>
        <w:t>و ربّما نسب الیه التّفصیل بین البکر و الثّیّب فنفاه فی الثّانیة و اثبته</w:t>
      </w:r>
      <w:r>
        <w:rPr>
          <w:rStyle w:val="FootnoteAnchor"/>
          <w:rtl w:val="true"/>
        </w:rPr>
        <w:footnoteReference w:id="141"/>
      </w:r>
      <w:r>
        <w:rPr>
          <w:rFonts w:ascii="IRNazanin" w:hAnsi="IRNazanin" w:eastAsia="IRNazanin"/>
          <w:color w:val="111111"/>
          <w:sz w:val="28"/>
          <w:sz w:val="28"/>
          <w:szCs w:val="28"/>
          <w:rtl w:val="true"/>
          <w:lang w:bidi="fa-IR"/>
        </w:rPr>
        <w:t>للأولی مع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المبسوط</w:t>
      </w:r>
      <w:r>
        <w:rPr>
          <w:rStyle w:val="FootnoteAnchor"/>
          <w:rtl w:val="true"/>
        </w:rPr>
        <w:footnoteReference w:id="142"/>
      </w:r>
      <w:r>
        <w:rPr>
          <w:rFonts w:ascii="IRNazanin" w:hAnsi="IRNazanin" w:eastAsia="IRNazanin"/>
          <w:color w:val="111111"/>
          <w:sz w:val="28"/>
          <w:sz w:val="28"/>
          <w:szCs w:val="28"/>
          <w:rtl w:val="true"/>
          <w:lang w:bidi="fa-IR"/>
        </w:rPr>
        <w:t>اذا استکره امرأة عل الزّنا فلا حدّ علیها لأنها لیست بزانیة وعلیه الحدّ لأنّه زان</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المهر فلها مهر مثلها عند قوم و قال آخرون لا مهر لها و هو مذهبنا لأنّ  الأصل برائة الذّمّة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اسطر؛ طیّ الأحکام الّتی تتعلّق بالوطی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المهر فمعتبر بها فمتی حدّت فلا مهر و اذا سقط الحدّ وجب لها المهر و قال فی طیّ بیان دیة الأفضاء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کانت مکرهة فعلیه الحدّ لأنه زان و لا حدّ علیها لأنّها مکرهة و لها المهر و علیه الدّیة بالأفضاء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 جملات نفی المهر لوجوب الحدّ و بعد اسطر علّله بکونه زناً و قال فی الخلاف</w:t>
      </w:r>
      <w:r>
        <w:rPr>
          <w:rStyle w:val="FootnoteAnchor"/>
          <w:rtl w:val="true"/>
        </w:rPr>
        <w:footnoteReference w:id="143"/>
      </w:r>
      <w:r>
        <w:rPr>
          <w:rFonts w:ascii="IRNazanin" w:hAnsi="IRNazanin" w:eastAsia="IRNazanin"/>
          <w:color w:val="111111"/>
          <w:sz w:val="28"/>
          <w:sz w:val="28"/>
          <w:szCs w:val="28"/>
          <w:rtl w:val="true"/>
          <w:lang w:bidi="fa-IR"/>
        </w:rPr>
        <w:t>اذا استکره امرأة علی الزّنا فلا حدّ علیها بلا خلاف وعلیه الحدّ و لا مهرلها و به قال ابو حنیفة و قال الشّافعیّ لها مهر مثلها</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ثمّ استدلّ بعد اجماع الفرقة و اخبارهم، باصل برائة الذّمّة و روایتین عامّیّتین ثانیتهما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نهی عن مهر الغیّ و روی البغاء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فالبغاء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الزّنا و البغیّ الزّانیة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موضع آخر</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وطیء امرأة مکرهة فافضاها وجب علیه الحدّ لأنّه زان و وجب علیه مهرها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لوطِیها و وجب علیه الدّیة لأنّه افضاها و بعد نقل وفاق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موضع آخر</w:t>
      </w:r>
      <w:r>
        <w:rPr>
          <w:rStyle w:val="FootnoteAnchor"/>
          <w:rtl w:val="true"/>
        </w:rPr>
        <w:footnoteReference w:id="146"/>
      </w:r>
      <w:r>
        <w:rPr>
          <w:rFonts w:ascii="IRNazanin" w:hAnsi="IRNazanin" w:eastAsia="IRNazanin"/>
          <w:color w:val="111111"/>
          <w:sz w:val="28"/>
          <w:sz w:val="28"/>
          <w:szCs w:val="28"/>
          <w:rtl w:val="true"/>
          <w:lang w:bidi="fa-IR"/>
        </w:rPr>
        <w:t>الشّافعیّة قالوا اذا استکره الرّجل المرأة علی الزّنا اقیم علیه الحدّ و لا یقام علیها لأنّها مستکرهة مغلوبة علی أمرها ولها مهر مثلها حرّة کانت اوامة و ِیثبت النّسب منه اذا حملت المراة و علیها العدّة</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المغنی</w:t>
      </w:r>
      <w:r>
        <w:rPr>
          <w:rStyle w:val="FootnoteAnchor"/>
          <w:rtl w:val="true"/>
        </w:rPr>
        <w:footnoteReference w:id="147"/>
      </w:r>
      <w:r>
        <w:rPr>
          <w:rFonts w:ascii="IRNazanin" w:hAnsi="IRNazanin" w:eastAsia="IRNazanin"/>
          <w:color w:val="111111"/>
          <w:sz w:val="28"/>
          <w:sz w:val="28"/>
          <w:szCs w:val="28"/>
          <w:rtl w:val="true"/>
          <w:lang w:bidi="fa-IR"/>
        </w:rPr>
        <w:t>و ان اکره امرأة علی الزّنا فأضاها لزمه ثلث دیتها و مهر مثلها لأنّه حصل بوطیء غیر مستحقّ و لا مأذون فیه فلزمه ضمان ما تلف به کسایر الجنایات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یلزمه ارش البکارة مع ذلک؟ فیه روایتان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اهما لایلزمه لأنّ ارش البکارة داخل فی مهر المثل فأنّ مهر البکر اکثر من مهر الثّیب فالتّفاوت بینهما هو عوض ارش البکارة فلم یضمنه مرّتین کما فی حقّ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الثّانیة یضمنه لأنّه محلّ اتلفه بعد و انه فلزمه ارشه لو اتلفه بأصبعه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الشافّعی و خلاف أبی حنیفة استدلّ علی مختاره باجماع الفرقة و اخبارهم و قال</w:t>
      </w:r>
      <w:r>
        <w:rPr>
          <w:rStyle w:val="FootnoteAnchor"/>
          <w:rtl w:val="true"/>
        </w:rPr>
        <w:footnoteReference w:id="148"/>
      </w:r>
      <w:r>
        <w:rPr>
          <w:rFonts w:ascii="IRNazanin" w:hAnsi="IRNazanin" w:eastAsia="IRNazanin"/>
          <w:color w:val="111111"/>
          <w:sz w:val="28"/>
          <w:sz w:val="28"/>
          <w:szCs w:val="28"/>
          <w:rtl w:val="true"/>
          <w:lang w:bidi="fa-IR"/>
        </w:rPr>
        <w:t>طیّ الأستدلال فی المسئلة التّالیة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ایضاً وجوب المهر ثابت و دخوله فة الدّیة یحتاج الی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 علی أبی حنیفة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فی کلام الشّیخ الأستدلال لنفی المهر بالأصل و بأنّه لا مهر لبغیّ</w:t>
      </w:r>
      <w:r>
        <w:rPr>
          <w:rStyle w:val="FootnoteAnchor"/>
          <w:rtl w:val="true"/>
        </w:rPr>
        <w:footnoteReference w:id="149"/>
      </w:r>
      <w:r>
        <w:rPr>
          <w:rFonts w:ascii="IRNazanin" w:hAnsi="IRNazanin" w:eastAsia="IRNazanin"/>
          <w:color w:val="111111"/>
          <w:sz w:val="28"/>
          <w:sz w:val="28"/>
          <w:szCs w:val="28"/>
          <w:rtl w:val="true"/>
          <w:lang w:bidi="fa-IR"/>
        </w:rPr>
        <w:t>و الأصل محکوم بالدّلیل و الرّوایة عل ارسالها لم ترد بهذا اللّفظ من طرقنا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الوارد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الزّانیة</w:t>
      </w:r>
      <w:r>
        <w:rPr>
          <w:rStyle w:val="FootnoteAnchor"/>
          <w:rtl w:val="true"/>
        </w:rPr>
        <w:footnoteReference w:id="150"/>
      </w:r>
      <w:r>
        <w:rPr>
          <w:rFonts w:ascii="IRNazanin" w:hAnsi="IRNazanin" w:eastAsia="IRNazanin"/>
          <w:color w:val="111111"/>
          <w:sz w:val="28"/>
          <w:sz w:val="28"/>
          <w:szCs w:val="28"/>
          <w:rtl w:val="true"/>
          <w:lang w:bidi="fa-IR"/>
        </w:rPr>
        <w:t>أو مهرها</w:t>
      </w:r>
      <w:r>
        <w:rPr>
          <w:rStyle w:val="FootnoteAnchor"/>
          <w:rtl w:val="true"/>
        </w:rPr>
        <w:footnoteReference w:id="151"/>
      </w:r>
      <w:r>
        <w:rPr>
          <w:rFonts w:ascii="IRNazanin" w:hAnsi="IRNazanin" w:eastAsia="IRNazanin"/>
          <w:color w:val="111111"/>
          <w:sz w:val="28"/>
          <w:sz w:val="28"/>
          <w:szCs w:val="28"/>
          <w:rtl w:val="true"/>
          <w:lang w:bidi="fa-IR"/>
        </w:rPr>
        <w:t>أو مهر البغّی</w:t>
      </w:r>
      <w:r>
        <w:rPr>
          <w:rStyle w:val="FootnoteAnchor"/>
          <w:rtl w:val="true"/>
        </w:rPr>
        <w:footnoteReference w:id="152"/>
      </w:r>
      <w:r>
        <w:rPr>
          <w:rFonts w:ascii="IRNazanin" w:hAnsi="IRNazanin" w:eastAsia="IRNazanin"/>
          <w:color w:val="111111"/>
          <w:sz w:val="28"/>
          <w:sz w:val="28"/>
          <w:szCs w:val="28"/>
          <w:rtl w:val="true"/>
          <w:lang w:bidi="fa-IR"/>
        </w:rPr>
        <w:t>أو اجور الفواجر</w:t>
      </w:r>
      <w:r>
        <w:rPr>
          <w:rStyle w:val="FootnoteAnchor"/>
          <w:rtl w:val="true"/>
        </w:rPr>
        <w:footnoteReference w:id="153"/>
      </w:r>
      <w:r>
        <w:rPr>
          <w:rFonts w:ascii="IRNazanin" w:hAnsi="IRNazanin" w:eastAsia="IRNazanin"/>
          <w:color w:val="111111"/>
          <w:sz w:val="28"/>
          <w:sz w:val="28"/>
          <w:szCs w:val="28"/>
          <w:rtl w:val="true"/>
          <w:lang w:bidi="fa-IR"/>
        </w:rPr>
        <w:t>من السّحت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واحد منها معتبر الأسناد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مجال للأستدلال بها لعدم کون المکرهة زانیة او فاجرة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انکر علی الشّیخ کونها بغیّاً فی السّرایر</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الأستدلال لنفی المهر بمعتبرة طلحة بن زید</w:t>
      </w:r>
      <w:r>
        <w:rPr>
          <w:rStyle w:val="FootnoteAnchor"/>
          <w:rtl w:val="true"/>
        </w:rPr>
        <w:footnoteReference w:id="155"/>
      </w:r>
      <w:r>
        <w:rPr>
          <w:rFonts w:ascii="IRNazanin" w:hAnsi="IRNazanin" w:eastAsia="IRNazanin"/>
          <w:color w:val="111111"/>
          <w:sz w:val="28"/>
          <w:sz w:val="28"/>
          <w:szCs w:val="28"/>
          <w:rtl w:val="true"/>
          <w:lang w:bidi="fa-IR"/>
        </w:rPr>
        <w:t xml:space="preserve">المتقدّمة فی صفحة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زان عقر ولا علی مستکرة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قریب منها روایة الجعفریّات</w:t>
      </w:r>
      <w:r>
        <w:rPr>
          <w:rStyle w:val="FootnoteAnchor"/>
          <w:rtl w:val="true"/>
        </w:rPr>
        <w:footnoteReference w:id="156"/>
      </w:r>
      <w:r>
        <w:rPr>
          <w:rFonts w:ascii="IRNazanin" w:hAnsi="IRNazanin" w:eastAsia="IRNazanin"/>
          <w:color w:val="111111"/>
          <w:sz w:val="28"/>
          <w:sz w:val="28"/>
          <w:szCs w:val="28"/>
          <w:rtl w:val="true"/>
          <w:lang w:bidi="fa-IR"/>
        </w:rPr>
        <w:t xml:space="preserve">بالأسناد المتقدّم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اذا استکره الرجل الجاریة اقیم علیه الحدّ و لم یکن لها 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ِشعرما فی الرّوایات المستفیضة المعتبرة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فی الرّجل یغصب المرأة فرجها أو نفسها او یکابرها علی نفسها و انّه یقتل او یضرب ضربة بالسّیف مع تصریح بعضها بعدم الفرق بین المحصن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السّکوت عن المهر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مع أنّ فی سند الجعفریّات اشکالاً یعارض معتبرة طلحة روایات عدّة بعضها اوضح سنداً منها واظهر 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موثّقة طلحة بن زید</w:t>
      </w:r>
      <w:r>
        <w:rPr>
          <w:rStyle w:val="FootnoteAnchor"/>
          <w:rtl w:val="true"/>
        </w:rPr>
        <w:footnoteReference w:id="157"/>
      </w:r>
      <w:r>
        <w:rPr>
          <w:rFonts w:ascii="IRNazanin" w:hAnsi="IRNazanin" w:eastAsia="IRNazanin"/>
          <w:color w:val="111111"/>
          <w:sz w:val="28"/>
          <w:sz w:val="28"/>
          <w:szCs w:val="28"/>
          <w:rtl w:val="true"/>
          <w:lang w:bidi="fa-IR"/>
        </w:rPr>
        <w:t xml:space="preserve">عن جعفر بن محمّد عن أبیه 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اغتصبت امة فافتضّت فعلیه عشر قیمتها، فاذا کانت حرّة فعلیه الصّداق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الأشکال فی عمومها للثیّب بالمناقشة فی الأطلاق لو لم تکن ظاهرة فی البکر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تشبّت للعموم فی الجواهر من مفهوم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لامهر لبغیّ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ورد فی الشّبهة و غیرها من ضمان منفعة البضع فی غیر الزّنا لا یسمن و لا یغنی من جوع لما ذکرنا من عدم ثبوت الرّوایة  اوّلاً و عدم المفهوم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فرضه فلیس علی حدّ الدّلالة المعتبرة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 الأشکال و الکلام فی عدم شمول ما ورد فی الشّبهة للّزنا و ان کانت المرأة مکرهة و لم یکن زناً من جهتها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الظّاهر عدم ورود الأشکال و عموم المعتبرة للثیّب للتّعبیر فی لحرّة بالصّداق و لو کان لأزالة البکارة بغیر حقّ کان الأنسب التّعبیر بالدّیة او الارش فتأمّل</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نظیر الأشکال و الجواب یرد علی صحیحة عبدالله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ابن سنان</w:t>
      </w:r>
      <w:r>
        <w:rPr>
          <w:rStyle w:val="FootnoteAnchor"/>
          <w:rtl w:val="true"/>
        </w:rPr>
        <w:footnoteReference w:id="158"/>
      </w:r>
      <w:r>
        <w:rPr>
          <w:rFonts w:ascii="IRNazanin" w:hAnsi="IRNazanin" w:eastAsia="IRNazanin"/>
          <w:color w:val="111111"/>
          <w:sz w:val="28"/>
          <w:sz w:val="28"/>
          <w:szCs w:val="28"/>
          <w:rtl w:val="true"/>
          <w:lang w:bidi="fa-IR"/>
        </w:rPr>
        <w:t xml:space="preserve">و غیره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امرأة اقتضّت جاریة بیدها، قال علیها المهر و تضرب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الحقّ الفرق بین الموردین و المهر فی المورد لأزالة البکارة و لو بالید فیقرب کونه دیة و تحقیق الحال فی باب الدّیات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صحیحة عبدالله بن سنان</w:t>
      </w:r>
      <w:r>
        <w:rPr>
          <w:rStyle w:val="FootnoteAnchor"/>
          <w:rtl w:val="true"/>
        </w:rPr>
        <w:footnoteReference w:id="159"/>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سارق دخل علی امرأة لیسرق متاعها فلمّا جمع الثّیاب تبعتها نفسه فو اقعها فتحّرک ابنها فقام فقتله بفأس کان معه فلمّا فرغ حمل الثّیاب و ذهب لیخرج حملت علیه بالفأس فقتلته، فجاء اهله یطلبون بدمه من الغد، 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یضمن موالیه الّذین طلبوا بدمه دیة الغلام و یضمن السّارق فیها ترک اربعة آلاف درهم بما کابرها علی فرجها لأنّه زان و هو فی ماله یغرمه و لیس علیها فی قتلها أیّاه شیء لأنّه سارق</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قریب منها روایة عبدالله بن طلحة</w:t>
      </w:r>
      <w:r>
        <w:rPr>
          <w:rStyle w:val="FootnoteAnchor"/>
          <w:rtl w:val="true"/>
        </w:rPr>
        <w:footnoteReference w:id="160"/>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یضرّ تعیین اربعة آلاف درهم، لأنّ الظاّهر أنّه مهر مثل المرأة ذلک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 ذلک ما رواه فی الدّعائم</w:t>
      </w:r>
      <w:r>
        <w:rPr>
          <w:rStyle w:val="FootnoteAnchor"/>
          <w:rtl w:val="true"/>
        </w:rPr>
        <w:footnoteReference w:id="161"/>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آبائه أنّ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فی رجل دخل علی امرئة فاستکرهها علی نفسها فجا معها وقتل ابنها فلمّا خرج قامت الیه بفأس فأدرکته فضربته و قتلبه فأهدر دمه و قضی بعقرها و دیة ابنها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فی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قواعد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ایجاب اربعة آلاف لأنّه مهر مثلها فرضاً و لا یتقدّر مهر المثل هنا بخمسین دیناراً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نحوه فی الشّرایع</w:t>
      </w:r>
      <w:r>
        <w:rPr>
          <w:rStyle w:val="FootnoteAnchor"/>
          <w:rtl w:val="true"/>
        </w:rPr>
        <w:footnoteReference w:id="163"/>
      </w:r>
      <w:r>
        <w:rPr>
          <w:rFonts w:ascii="Amiri" w:hAnsi="Amiri" w:eastAsia="Amiri" w:cs="Amiri"/>
          <w:color w:val="111111"/>
          <w:sz w:val="28"/>
          <w:sz w:val="28"/>
          <w:szCs w:val="28"/>
          <w:rtl w:val="true"/>
          <w:lang w:bidi="ar-SA"/>
        </w:rPr>
        <w:t>و للعاملیّ</w:t>
      </w:r>
      <w:r>
        <w:rPr>
          <w:rStyle w:val="FootnoteAnchor"/>
          <w:rtl w:val="true"/>
        </w:rPr>
        <w:footnoteReference w:id="1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حاشیة الکشف</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دفع ما ربّما یستشکل فی کونه قتل عمد و لا معنی لضمان موالیه دیة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الظّاهر اداء الدّیة من مال المقتول الّذی بأیدیهم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طلبو بدمه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دیة الخطأ لم یکن کلّ الموالی طالبین بل مطلوبین و بعضهم من الورثة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سیجیئ فی باب القصاص تعیّن الدّیة اذا تعذّر القصاص کما فی المقام لقتل السّارق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فالتّرجیح لروایات ثبوت مهر المثل مضافاً الی الأجماع و الأتّفاق الّذی یدّل علیه کلام ابن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المستکرهه علی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حدّ علیها بلا خلاف و علیه الحدّ و لها مهر المثل عندنا و هو العقر الّذی رواه اصحابنا انّه دیة الفرج المغصوب</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bookmarkStart w:id="47" w:name="pg3023_22446"/>
    </w:p>
    <w:p>
      <w:pPr>
        <w:pStyle w:val="Heading4"/>
        <w:numPr>
          <w:ilvl w:val="3"/>
          <w:numId w:val="1"/>
        </w:numPr>
        <w:rPr/>
      </w:pPr>
      <w:bookmarkStart w:id="48" w:name="__RefHeading___Toc656661_2749589250"/>
      <w:bookmarkStart w:id="49" w:name="_Toc17"/>
      <w:bookmarkEnd w:id="47"/>
      <w:bookmarkEnd w:id="48"/>
      <w:r>
        <w:rPr>
          <w:rtl w:val="true"/>
        </w:rPr>
        <w:t>التّفصیل فی حدّ الزّنا حال السّکر</w:t>
      </w:r>
      <w:bookmarkEnd w:id="49"/>
    </w:p>
    <w:p>
      <w:pPr>
        <w:pStyle w:val="BookText"/>
        <w:rPr/>
      </w:pPr>
      <w:r>
        <w:rPr>
          <w:rFonts w:ascii="IRNazanin" w:hAnsi="IRNazanin" w:eastAsia="IRNazanin"/>
          <w:i/>
          <w:i/>
          <w:iCs/>
          <w:color w:val="111111"/>
          <w:sz w:val="28"/>
          <w:sz w:val="28"/>
          <w:szCs w:val="28"/>
          <w:rtl w:val="true"/>
          <w:lang w:bidi="fa-IR"/>
        </w:rPr>
        <w:t>فروع</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یحدّ الزّانی و الزّانیه اذا کان زناهما حال السّکر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فیه کلام و 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السّکران او السّکری اذا حصل منها الزّنا یحدّان ان بقی لهما حال الزّنا من الشّعور ما یدرکان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کذالک اذا لم یبق و قصدا ذلک قبل استعمال المسکر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حدّ علی احد هما اذا لم یشربا باختیار هما او شربا و لم یقصدا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نفة الحدّ علیه عن السّرایر راجع الی ما نفینا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القواهد و الکشف ثبوته علیه اذا تعمّد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وفاقاً للشّیخین و بنی زهرة و ادریس</w:t>
      </w:r>
      <w:r>
        <w:rPr>
          <w:rStyle w:val="FootnoteAnchor"/>
          <w:rtl w:val="true"/>
        </w:rPr>
        <w:footnoteReference w:id="166"/>
      </w:r>
      <w:r>
        <w:rPr>
          <w:rFonts w:ascii="IRNazanin" w:hAnsi="IRNazanin" w:eastAsia="IRNazanin"/>
          <w:color w:val="111111"/>
          <w:sz w:val="28"/>
          <w:sz w:val="28"/>
          <w:szCs w:val="28"/>
          <w:rtl w:val="true"/>
          <w:lang w:bidi="fa-IR"/>
        </w:rPr>
        <w:t>و سعید و سلاّر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تعّرضنا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لصحیحة محمّد بن قیس</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رواه السّکونی</w:t>
      </w:r>
      <w:r>
        <w:rPr>
          <w:rStyle w:val="FootnoteAnchor"/>
          <w:rtl w:val="true"/>
        </w:rPr>
        <w:footnoteReference w:id="168"/>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شربوا مسکراً فاقتتلو او کانوا یشربون فیسکرون فیباعجون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فمات منهم اثنان و بقی اثنان و انّ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بدیة المقتولین علی المجروحین الّا دیة جراحة المجروحین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الثّانیة جعل دیتها علی قبائل الأربعة و اخذ دیة جراحة المجروحین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دیة المقتولین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هما روایتا الجعفریّات</w:t>
      </w:r>
      <w:r>
        <w:rPr>
          <w:rStyle w:val="FootnoteAnchor"/>
          <w:rtl w:val="true"/>
        </w:rPr>
        <w:footnoteReference w:id="169"/>
      </w:r>
      <w:r>
        <w:rPr>
          <w:rFonts w:ascii="Amiri" w:hAnsi="Amiri" w:eastAsia="Amiri" w:cs="Amiri"/>
          <w:color w:val="111111"/>
          <w:sz w:val="28"/>
          <w:sz w:val="28"/>
          <w:szCs w:val="28"/>
          <w:rtl w:val="true"/>
          <w:lang w:bidi="ar-SA"/>
        </w:rPr>
        <w:t>و الدّعائم</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القصاص من ابحاثنا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قلنا انّ السّکر له موجبات و مراتب فی بعضها لا تکلیف علی السّکران و لا یکون متعمّداً فی جنایة و فی بعض حالاته یکون کالمتعمّد فلیراجع فأنّه یفید فیما نحن فیه</w:t>
      </w:r>
      <w:r>
        <w:rPr>
          <w:rFonts w:eastAsia="IRNazanin" w:cs="IRNazanin"/>
          <w:color w:val="111111"/>
          <w:sz w:val="28"/>
          <w:szCs w:val="28"/>
          <w:rtl w:val="true"/>
          <w:lang w:bidi="fa-IR"/>
        </w:rPr>
        <w:t>.</w:t>
      </w:r>
      <w:bookmarkStart w:id="50" w:name="pg3023_22447"/>
    </w:p>
    <w:p>
      <w:pPr>
        <w:pStyle w:val="BookText"/>
        <w:rPr/>
      </w:pPr>
      <w:bookmarkEnd w:id="50"/>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الأعمی کالبصیر اذا زنی یحدّ ایّاما کان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51" w:name="__RefHeading___Toc656663_2749589250"/>
      <w:bookmarkStart w:id="52" w:name="_Toc18"/>
      <w:bookmarkEnd w:id="51"/>
      <w:r>
        <w:rPr>
          <w:rtl w:val="true"/>
        </w:rPr>
        <w:t>لا حدّ فی الزّنا حال النّوم</w:t>
      </w:r>
      <w:bookmarkEnd w:id="5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حدّ اذا حصل الزّنا حال النّوم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الفرع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الأعمی کالبصیر اذا زنی یحدّ ایّاً ما کان جلداً أو رجماً او قتلاً کما یحدّ للّواط و غیره لأطلاق الأدلّة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لو ادّعی الشّبهة فی الموضع و احتملت فی حقّه فعن الشّیخین و ابن البّراج و سلاّر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کان ینبغی له ا یتحرّز و یتحفّظ من الفجور، فأذا ادّعی أنّه اشتبه علیه الأمر فظنّ اشتبه علیه الأمر فظنّ الموطوئة زوجته لم یسقط الحدّ و عن المشهور، القبول مع احتمال صدقه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مقتضی درء الحدّ بالشّبهة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اعتبر ابن ادریس</w:t>
      </w:r>
      <w:r>
        <w:rPr>
          <w:rStyle w:val="FootnoteAnchor"/>
          <w:rtl w:val="true"/>
        </w:rPr>
        <w:footnoteReference w:id="171"/>
      </w:r>
      <w:r>
        <w:rPr>
          <w:rFonts w:ascii="IRNazanin" w:hAnsi="IRNazanin" w:eastAsia="IRNazanin"/>
          <w:color w:val="111111"/>
          <w:sz w:val="28"/>
          <w:sz w:val="28"/>
          <w:szCs w:val="28"/>
          <w:rtl w:val="true"/>
          <w:lang w:bidi="fa-IR"/>
        </w:rPr>
        <w:t>شهادة الحال بمدّعاه فی القبول، بأن وجدها علی فراشه، امّا اذا شهدت الحال بالخلاف لم یصدّق و اقیم علیه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التّقیید بکونه عدلاً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یظهر من صاحب المبانی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قبول دعواه الشّبهة و القبول مع الأحتمال اولی</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الفرع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وجد منها او منه الزّنا حال النّوم او استدخلت ذکره کذلک فلا حدّ علی النّائم لما سبق من رفع القلم عنه مضافاً الی اشتراط التّکلیف بالأختیار و الأرادة</w:t>
      </w:r>
      <w:r>
        <w:rPr>
          <w:rFonts w:eastAsia="IRNazanin" w:cs="IRNazanin"/>
          <w:color w:val="111111"/>
          <w:sz w:val="28"/>
          <w:szCs w:val="28"/>
          <w:rtl w:val="true"/>
          <w:lang w:bidi="fa-IR"/>
        </w:rPr>
        <w:t>.</w:t>
      </w:r>
      <w:bookmarkStart w:id="53" w:name="pg3023_22448"/>
    </w:p>
    <w:p>
      <w:pPr>
        <w:pStyle w:val="Heading3"/>
        <w:numPr>
          <w:ilvl w:val="2"/>
          <w:numId w:val="1"/>
        </w:numPr>
        <w:rPr/>
      </w:pPr>
      <w:bookmarkStart w:id="54" w:name="__RefHeading___Toc656665_2749589250"/>
      <w:bookmarkStart w:id="55" w:name="_Toc19"/>
      <w:bookmarkEnd w:id="53"/>
      <w:bookmarkEnd w:id="54"/>
      <w:r>
        <w:rPr>
          <w:rtl w:val="true"/>
        </w:rPr>
        <w:t>الکلام فی ما یثبت به الزّنا</w:t>
      </w:r>
      <w:bookmarkEnd w:id="55"/>
    </w:p>
    <w:p>
      <w:pPr>
        <w:pStyle w:val="Heading4"/>
        <w:numPr>
          <w:ilvl w:val="3"/>
          <w:numId w:val="1"/>
        </w:numPr>
        <w:rPr/>
      </w:pPr>
      <w:bookmarkStart w:id="56" w:name="__RefHeading___Toc656667_2749589250"/>
      <w:bookmarkStart w:id="57" w:name="_Toc20"/>
      <w:bookmarkEnd w:id="56"/>
      <w:r>
        <w:rPr>
          <w:rtl w:val="true"/>
        </w:rPr>
        <w:t>فی ثبوت الزّنا بالاقرار</w:t>
      </w:r>
      <w:bookmarkEnd w:id="57"/>
    </w:p>
    <w:p>
      <w:pPr>
        <w:pStyle w:val="Heading5"/>
        <w:numPr>
          <w:ilvl w:val="4"/>
          <w:numId w:val="1"/>
        </w:numPr>
        <w:rPr/>
      </w:pPr>
      <w:bookmarkStart w:id="58" w:name="__RefHeading___Toc656669_2749589250"/>
      <w:bookmarkStart w:id="59" w:name="_Toc21"/>
      <w:bookmarkEnd w:id="58"/>
      <w:r>
        <w:rPr>
          <w:rtl w:val="true"/>
        </w:rPr>
        <w:t>اشارة</w:t>
      </w:r>
      <w:bookmarkEnd w:id="59"/>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الزّنا بالأقرار و البیّنة، و یعتبر فی الأقرار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و العقل و الحرّیّة و الأختیار و القصد، فلا یحدّ الصّبیّ او الصّبیّة لو اقرّا بالزّنا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عبرة باقرار المجنون و المجنونة و المملوک و المکره و من لا قصد له بما یکون اقراراً کالسّاهی و الغافل و النّائم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الکلام فی ما یثبت به الزّنا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الزّنا بالأقرار و البیّنة بلا اشکال و لا خلاف بل الأجماع بقسمیه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یعتبر فی کلّ منهما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فالکلام یقع فی 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فیما یعتبر فی الأقرار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والثّانی فی ما یعتبر فی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فیعتبر فی الأقرار بالزّنا امور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و العقل و الحرّیة و الأختیار و 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اقرّ الصّبیّ او  الصّبیّه غیر البالغین بالزّنا فلا یحدّ أحد هما ولو قاربا 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قبول اقراره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عدم تکلیفه کما سبق فی شرایط اصل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فی الجواهرو القواعد من تأدیب الصّبیّ لکذبه او صدور الفعل منه لا یخلو من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لا عبرة باقرار المجنون و المجنونة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 یؤخذان علی ما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لواقّر المجنون الأدواریّ فی دور افاقته ثلاث مرّات و الرّابعة مجنوناً لا یحدّ لو افاق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افاق و کان اقراره فی دور افاقته کصدور الفعل فبحدّ و لو اعتراه المجنون کما سیأتی الکلام علیه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نفی الحدّ علی المکره علی الأقرار مع انّه لا خلاف فیه و لا اشکال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حدیث الرّفع المعروف</w:t>
      </w:r>
      <w:r>
        <w:rPr>
          <w:rStyle w:val="FootnoteAnchor"/>
          <w:rtl w:val="true"/>
        </w:rPr>
        <w:footnoteReference w:id="172"/>
      </w:r>
      <w:r>
        <w:rPr>
          <w:rFonts w:ascii="IRNazanin" w:hAnsi="IRNazanin" w:eastAsia="IRNazanin"/>
          <w:color w:val="111111"/>
          <w:sz w:val="28"/>
          <w:sz w:val="28"/>
          <w:szCs w:val="28"/>
          <w:rtl w:val="true"/>
          <w:lang w:bidi="fa-IR"/>
        </w:rPr>
        <w:t>و التّعلیل فی صحیحة سلیمان بن خالد</w:t>
      </w:r>
      <w:r>
        <w:rPr>
          <w:rStyle w:val="FootnoteAnchor"/>
          <w:rtl w:val="true"/>
        </w:rPr>
        <w:footnoteReference w:id="17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سرق سرقة فکابر عنها فضرب، فجاء بها بعینها هل یجب علیه القطع؟ 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لو اعترف و لم یجیء بالسّرقة لم تقطع یده لأنّه اعترف علی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 ضعیفة أبی البختری</w:t>
      </w:r>
      <w:r>
        <w:rPr>
          <w:rStyle w:val="FootnoteAnchor"/>
          <w:rtl w:val="true"/>
        </w:rPr>
        <w:footnoteReference w:id="174"/>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اقرّ عند تجرید او تخویف او حبس او تهدید فلا حدّ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وروایة الدّعائم</w:t>
      </w:r>
      <w:r>
        <w:rPr>
          <w:rStyle w:val="FootnoteAnchor"/>
          <w:rtl w:val="true"/>
        </w:rPr>
        <w:footnoteReference w:id="175"/>
      </w:r>
      <w:r>
        <w:rPr>
          <w:rFonts w:ascii="IRNazanin" w:hAnsi="IRNazanin" w:eastAsia="IRNazanin"/>
          <w:color w:val="111111"/>
          <w:sz w:val="28"/>
          <w:sz w:val="28"/>
          <w:szCs w:val="28"/>
          <w:rtl w:val="true"/>
          <w:lang w:bidi="fa-IR"/>
        </w:rPr>
        <w:t xml:space="preserve">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اقرّ بحدّ علی تخویف او حبس اوضرب لم یجز ذالک علیه و لم یحدّ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اعتبار القصد بعد اتّفاق العقلاء، عدم تحقّق الکلام و الأقرار بدونه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غلط أو سهی أو غفل و اقرّ فلا عبرة به کما اذالم یعقل و اقرّ جال السکّر او النّوم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یدّل علی اعتبار احرّیّة فی الأقرار بالزّنا مضافاً الی الأجماع المنقول عن التّذکرة و السّرائر و المبسوط و الخلاف و جامع المقاصد و الغنیة، عدم العبرة باقرار المملوک لأنّه لا مال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فرض فهو محجور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بدنه مملوک لغیره، فأقراره انّما هو اقرار فی حقّ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اذا لم یصدقّه مولاه</w:t>
      </w:r>
      <w:r>
        <w:rPr>
          <w:rFonts w:eastAsia="IRNazanin" w:cs="IRNazanin"/>
          <w:color w:val="111111"/>
          <w:sz w:val="28"/>
          <w:szCs w:val="28"/>
          <w:rtl w:val="true"/>
          <w:lang w:bidi="fa-IR"/>
        </w:rPr>
        <w:t>.</w:t>
      </w:r>
      <w:bookmarkStart w:id="60" w:name="pg3023_22450"/>
    </w:p>
    <w:p>
      <w:pPr>
        <w:pStyle w:val="Heading5"/>
        <w:numPr>
          <w:ilvl w:val="4"/>
          <w:numId w:val="1"/>
        </w:numPr>
        <w:rPr/>
      </w:pPr>
      <w:bookmarkStart w:id="61" w:name="__RefHeading___Toc656671_2749589250"/>
      <w:bookmarkStart w:id="62" w:name="_Toc22"/>
      <w:bookmarkEnd w:id="60"/>
      <w:bookmarkEnd w:id="61"/>
      <w:r>
        <w:rPr>
          <w:rtl w:val="true"/>
        </w:rPr>
        <w:t>فروع</w:t>
      </w:r>
      <w:bookmarkEnd w:id="62"/>
    </w:p>
    <w:p>
      <w:pPr>
        <w:pStyle w:val="Heading6"/>
        <w:numPr>
          <w:ilvl w:val="5"/>
          <w:numId w:val="1"/>
        </w:numPr>
        <w:rPr/>
      </w:pPr>
      <w:bookmarkStart w:id="63" w:name="__RefHeading___Toc656673_2749589250"/>
      <w:bookmarkStart w:id="64" w:name="_Toc23"/>
      <w:bookmarkEnd w:id="63"/>
      <w:r>
        <w:rPr>
          <w:rtl w:val="true"/>
        </w:rPr>
        <w:t>الأول</w:t>
      </w:r>
      <w:bookmarkEnd w:id="64"/>
    </w:p>
    <w:p>
      <w:pPr>
        <w:pStyle w:val="BookText"/>
        <w:rPr/>
      </w:pPr>
      <w:r>
        <w:rPr>
          <w:rFonts w:ascii="IRNazanin" w:hAnsi="IRNazanin" w:eastAsia="IRNazanin"/>
          <w:color w:val="111111"/>
          <w:sz w:val="28"/>
          <w:sz w:val="28"/>
          <w:szCs w:val="28"/>
          <w:rtl w:val="true"/>
          <w:lang w:bidi="fa-IR"/>
        </w:rPr>
        <w:t>لو اقرّ المملوک و صدّقه المولی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یکفی تصدیقه مرّة واحدة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اقرّ و صدّقه لمولی قبل بلا خلاف و لا اشکال وحدّ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لأرتفاع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یلزم فی ثبوت الحدّ باقراره اربعاً تصدیق المولی له ایضاً اربع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لدّلیل لا یقتضی ازید من تصدیقة و هو یحصل مرّة واحدة بلا حاجة الی التّعدّد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بما ذکرنا یظهر عدم اختصاص الأشتراط بحدّ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یعمّ کلّ ما یوجب حدّأ او قصاصاً او 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علیه فی باب السّرقة صحیحة الفضیل بن یسار</w:t>
      </w:r>
      <w:r>
        <w:rPr>
          <w:rStyle w:val="FootnoteAnchor"/>
          <w:rtl w:val="true"/>
        </w:rPr>
        <w:footnoteReference w:id="176"/>
      </w:r>
      <w:r>
        <w:rPr>
          <w:rFonts w:ascii="IRNazanin" w:hAnsi="IRNazanin" w:eastAsia="IRNazanin"/>
          <w:color w:val="111111"/>
          <w:sz w:val="28"/>
          <w:sz w:val="28"/>
          <w:szCs w:val="28"/>
          <w:rtl w:val="true"/>
          <w:lang w:bidi="fa-IR"/>
        </w:rPr>
        <w:t xml:space="preserve">قال 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اذا اقرّ المملوک علی نفسه بالسّرقة لم یقطع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شهد علیه شاهدان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فی صحیحة ضریس</w:t>
      </w:r>
      <w:r>
        <w:rPr>
          <w:rStyle w:val="FootnoteAnchor"/>
          <w:rtl w:val="true"/>
        </w:rPr>
        <w:footnoteReference w:id="177"/>
      </w: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کفایة اقرار العبد بالسّرقة مرّة فی القطع و کذلک الأمة اذا اقرّت قطعت، یراد به ما اذا صدّقة المولی و تکرّر الأقرار علی المشهور او محمول علی التّقیّة</w:t>
      </w:r>
      <w:r>
        <w:rPr>
          <w:rStyle w:val="FootnoteAnchor"/>
          <w:rtl w:val="true"/>
        </w:rPr>
        <w:footnoteReference w:id="178"/>
      </w:r>
      <w:r>
        <w:rPr>
          <w:rFonts w:ascii="IRNazanin" w:hAnsi="IRNazanin" w:eastAsia="IRNazanin"/>
          <w:color w:val="111111"/>
          <w:sz w:val="28"/>
          <w:sz w:val="28"/>
          <w:szCs w:val="28"/>
          <w:rtl w:val="true"/>
          <w:lang w:bidi="fa-IR"/>
        </w:rPr>
        <w:t>کصحیحة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اخری لفضیل</w:t>
      </w:r>
      <w:r>
        <w:rPr>
          <w:rStyle w:val="FootnoteAnchor"/>
          <w:rtl w:val="true"/>
        </w:rPr>
        <w:footnoteReference w:id="179"/>
      </w:r>
      <w:r>
        <w:rPr>
          <w:rFonts w:ascii="IRNazanin" w:hAnsi="IRNazanin" w:eastAsia="IRNazanin"/>
          <w:color w:val="111111"/>
          <w:sz w:val="28"/>
          <w:sz w:val="28"/>
          <w:szCs w:val="28"/>
          <w:rtl w:val="true"/>
          <w:lang w:bidi="fa-IR"/>
        </w:rPr>
        <w:t xml:space="preserve">قال 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من اقرّ علی نفسه عند الأمام بحقّ من حدود الله مرّة واحدة حرّاً کان او عبداً او حرّة کانت او امة فعلی الأمام ان یقیم الحدّ علیه للّذی اقرّبه علی نفسه کائناً من کان الأ الزّانی المحصن ـ الحدیث ـ لمخالفتها لما هو المسلّم عندنا من جهات کما سنتعرّض لها فی المباحث الأتیة انشاء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ذکرنا فی صحیحة ضریس یعرف الجواب عن روایة الجعفریّات</w:t>
      </w:r>
      <w:r>
        <w:rPr>
          <w:rStyle w:val="FootnoteAnchor"/>
          <w:rtl w:val="true"/>
        </w:rPr>
        <w:footnoteReference w:id="180"/>
      </w:r>
      <w:r>
        <w:rPr>
          <w:rFonts w:ascii="IRNazanin" w:hAnsi="IRNazanin" w:eastAsia="IRNazanin"/>
          <w:color w:val="111111"/>
          <w:sz w:val="28"/>
          <w:sz w:val="28"/>
          <w:szCs w:val="28"/>
          <w:rtl w:val="true"/>
          <w:lang w:bidi="fa-IR"/>
        </w:rPr>
        <w:t xml:space="preserve">فی ضرب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 و قطعه جمیعاً فی مکان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قد سرق وزنی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ضعف السّند</w:t>
      </w:r>
      <w:r>
        <w:rPr>
          <w:rFonts w:eastAsia="IRNazanin" w:cs="IRNazanin"/>
          <w:color w:val="111111"/>
          <w:sz w:val="28"/>
          <w:szCs w:val="28"/>
          <w:rtl w:val="true"/>
          <w:lang w:bidi="fa-IR"/>
        </w:rPr>
        <w:t>.</w:t>
      </w:r>
      <w:bookmarkStart w:id="65" w:name="pg3023_22452"/>
    </w:p>
    <w:p>
      <w:pPr>
        <w:pStyle w:val="BookText"/>
        <w:rPr/>
      </w:pPr>
      <w:bookmarkEnd w:id="65"/>
      <w:r>
        <w:rPr>
          <w:rFonts w:ascii="IRNazanin" w:hAnsi="IRNazanin" w:eastAsia="IRNazanin"/>
          <w:color w:val="111111"/>
          <w:sz w:val="28"/>
          <w:sz w:val="28"/>
          <w:szCs w:val="28"/>
          <w:rtl w:val="true"/>
          <w:lang w:bidi="fa-IR"/>
        </w:rPr>
        <w:t>فروع</w:t>
      </w:r>
    </w:p>
    <w:p>
      <w:pPr>
        <w:pStyle w:val="Heading6"/>
        <w:numPr>
          <w:ilvl w:val="5"/>
          <w:numId w:val="1"/>
        </w:numPr>
        <w:rPr/>
      </w:pPr>
      <w:bookmarkStart w:id="66" w:name="__RefHeading___Toc656675_2749589250"/>
      <w:bookmarkStart w:id="67" w:name="_Toc24"/>
      <w:bookmarkEnd w:id="66"/>
      <w:r>
        <w:rPr>
          <w:rtl w:val="true"/>
        </w:rPr>
        <w:t>الثانی</w:t>
      </w:r>
      <w:r>
        <w:rPr>
          <w:rtl w:val="true"/>
        </w:rPr>
        <w:t>:</w:t>
      </w:r>
      <w:bookmarkEnd w:id="67"/>
    </w:p>
    <w:p>
      <w:pPr>
        <w:pStyle w:val="BookText"/>
        <w:rPr/>
      </w:pPr>
      <w:r>
        <w:rPr>
          <w:rFonts w:ascii="Amiri" w:hAnsi="Amiri" w:eastAsia="Amiri" w:cs="Amiri"/>
          <w:color w:val="111111"/>
          <w:sz w:val="28"/>
          <w:sz w:val="28"/>
          <w:szCs w:val="28"/>
          <w:rtl w:val="true"/>
          <w:lang w:bidi="ar-SA"/>
        </w:rPr>
        <w:t xml:space="preserve">لو اقرّ بعد العتق فیحدّ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68" w:name="__RefHeading___Toc656677_2749589250"/>
      <w:bookmarkStart w:id="69" w:name="_Toc25"/>
      <w:bookmarkEnd w:id="68"/>
      <w:r>
        <w:rPr>
          <w:rtl w:val="true"/>
        </w:rPr>
        <w:t>الثالث</w:t>
      </w:r>
      <w:r>
        <w:rPr>
          <w:rtl w:val="true"/>
        </w:rPr>
        <w:t>:</w:t>
      </w:r>
      <w:bookmarkEnd w:id="69"/>
    </w:p>
    <w:p>
      <w:pPr>
        <w:pStyle w:val="BookText"/>
        <w:rPr/>
      </w:pPr>
      <w:r>
        <w:rPr>
          <w:rFonts w:ascii="IRNazanin" w:hAnsi="IRNazanin" w:eastAsia="IRNazanin"/>
          <w:color w:val="111111"/>
          <w:sz w:val="28"/>
          <w:sz w:val="28"/>
          <w:szCs w:val="28"/>
          <w:rtl w:val="true"/>
          <w:lang w:bidi="fa-IR"/>
        </w:rPr>
        <w:t xml:space="preserve">لو انعتق بعد الأقرار فهل یحدّ؟ و جهان بل قولان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اقرّ بعد العتق فلا اشکال فی ترتّب الأثر علی اقراره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فیحدّ و لا مجال للأشکلال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انعتق فهل یؤثّر فی اقراره حال الرّقّیة فیحدّ لأرتفاع المانع کما فی اقراره بالمالیّات ام لا لعدم العبرة به حین صدوره و لا دلیل علی اعتباره بعد ذلک کأقرار المجنون او الصّبیّ؟ و جهان بل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القواعد، الأقرب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کشف اللّثام و الجواهر اتّجاهه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ووجّهه فی الأیضاح بثبوت المقتضی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اقرار العاقل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زوال المانع و هو حقّ المولی فیثبت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ابتناء الحدود علی التّخفیف و کون الملک السّبب لسلبه الأهلیة للأقرار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الکشف و تبعه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اقرار الصّبیّ لا یقبل لنقصه ذاتاً و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الجواهر لسلب عبارته دون المملوک، و سلک صاحب المبانی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طریقاً آخر لنفی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وجوب الجلد او الرّجم ان ثبت فلا یتاخرّ عن الأقرار و ان لم یثبت عند الأقرار فلا دلیل علی ثبوته بعد العتق الاّ ان یقرّبه ثانیاً و فرق بین الأقرار بالزّنا او السّرقة و بین الأقرار علی مال، فیثبت الضّمان من حیث الأقرار و یکلّف بتفریغ الذّمة بعد العتق</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المناقشة فیه بکون الأقرار اقلّ من مرّة فی مایجب فیه التّعدد کذلک، کما انّ عقد المکروه لا یؤثّر حال صدوره و انّما اثره بعد زوال المانع بحصول طیب النّفس</w:t>
      </w:r>
      <w:r>
        <w:rPr>
          <w:rFonts w:eastAsia="IRNazanin" w:cs="IRNazanin"/>
          <w:color w:val="111111"/>
          <w:sz w:val="28"/>
          <w:szCs w:val="28"/>
          <w:rtl w:val="true"/>
          <w:lang w:bidi="fa-IR"/>
        </w:rPr>
        <w:t>.</w:t>
      </w:r>
      <w:bookmarkStart w:id="70" w:name="pg3023_22453"/>
    </w:p>
    <w:p>
      <w:pPr>
        <w:pStyle w:val="Heading6"/>
        <w:numPr>
          <w:ilvl w:val="5"/>
          <w:numId w:val="1"/>
        </w:numPr>
        <w:rPr/>
      </w:pPr>
      <w:bookmarkStart w:id="71" w:name="__RefHeading___Toc656679_2749589250"/>
      <w:bookmarkStart w:id="72" w:name="_Toc26"/>
      <w:bookmarkEnd w:id="70"/>
      <w:bookmarkEnd w:id="71"/>
      <w:r>
        <w:rPr>
          <w:rtl w:val="true"/>
        </w:rPr>
        <w:t>الرّابع</w:t>
      </w:r>
      <w:r>
        <w:rPr>
          <w:rtl w:val="true"/>
        </w:rPr>
        <w:t>:</w:t>
      </w:r>
      <w:bookmarkEnd w:id="72"/>
    </w:p>
    <w:p>
      <w:pPr>
        <w:pStyle w:val="BookText"/>
        <w:rPr/>
      </w:pPr>
      <w:r>
        <w:rPr>
          <w:rFonts w:ascii="IRNazanin" w:hAnsi="IRNazanin" w:eastAsia="IRNazanin"/>
          <w:color w:val="111111"/>
          <w:sz w:val="28"/>
          <w:sz w:val="28"/>
          <w:szCs w:val="28"/>
          <w:rtl w:val="true"/>
          <w:lang w:bidi="fa-IR"/>
        </w:rPr>
        <w:t xml:space="preserve">لا فرق فی المملوک بین اقسامه وفی المبعّض و جهان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73" w:name="__RefHeading___Toc656681_2749589250"/>
      <w:bookmarkStart w:id="74" w:name="_Toc27"/>
      <w:bookmarkEnd w:id="73"/>
      <w:r>
        <w:rPr>
          <w:rtl w:val="true"/>
        </w:rPr>
        <w:t>یعتبر الاقرار اربع مرّات فی الحدّ</w:t>
      </w:r>
      <w:bookmarkEnd w:id="7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یعتبر الأقرار اربع مرّات فی ترتّب الحدّ ایّاً ما کان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المملوک بین القنّ و المد بّروامّ الولد و المکاتب بقسمیه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المشروط و المطلق الّذی لم یؤدّ شیئاً بلا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الّذی ادّی بعضاً فتحرّر بعضه و بعبارة اخری المبعّض ففیه و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 فی القواعد و الکشف و ظاهر الأیضاح انّه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الثّانی علّله بتعلّق حقّ المولی بالکلّ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اشکال اذ لا مانع من اجرائه مجری الحرّ فی القسم المتحرّر منه کما فی الحدّ اذا ثبت بالبیّنة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اغفل فی المهذّب السّید السّبزواری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الحرّیة فی شرایط قبول الأقرار هنا و اثبته فی باب الأقرار باللّواط فاعلاً و مفعولاً و اشار الی أنّ  اقراره اقرار فی حقّ الغیر فلا یقبل من هذه الجهة و ان اجتمع فیه سائر الشّرایط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ترکه منا احالة علی ما تعرّض له فی باب الأقرار و غیره فی الشرایط العامة</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ترتّب الحدّ علی اقرار المقرّ تکراره ثلاثاً یتمّ الأقرار اربع مرّات علی المشهور شهرة عظیمة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الخلاف</w:t>
      </w:r>
      <w:r>
        <w:rPr>
          <w:rStyle w:val="FootnoteAnchor"/>
          <w:rtl w:val="true"/>
        </w:rPr>
        <w:footnoteReference w:id="181"/>
      </w:r>
      <w:r>
        <w:rPr>
          <w:rFonts w:ascii="IRNazanin" w:hAnsi="IRNazanin" w:eastAsia="IRNazanin"/>
          <w:color w:val="111111"/>
          <w:sz w:val="28"/>
          <w:sz w:val="28"/>
          <w:szCs w:val="28"/>
          <w:rtl w:val="true"/>
          <w:lang w:bidi="fa-IR"/>
        </w:rPr>
        <w:t>الأجماع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یجیب الحدّ بالزّنا الّا باقرار اربع مرّات فی اربعة 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دفعة واحدة فلا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یثبت به علی حال و به قال أبو حنیفة٭ و قال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اقرّ دفعة واحدة لزمه الحدّ بکراً کان او ثیّباً و به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مسألة</w:t>
      </w:r>
      <w:r>
        <w:rPr>
          <w:rFonts w:eastAsia="Amiri" w:cs="Amiri" w:ascii="Amiri" w:hAnsi="Amiri"/>
          <w:color w:val="111111"/>
          <w:sz w:val="28"/>
          <w:szCs w:val="28"/>
          <w:rtl w:val="true"/>
          <w:lang w:bidi="ar-SA"/>
        </w:rPr>
        <w:t>:</w:t>
      </w:r>
      <w:r>
        <w:rPr>
          <w:rStyle w:val="FootnoteAnchor"/>
          <w:rtl w:val="true"/>
        </w:rPr>
        <w:footnoteReference w:id="182"/>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یجب علیه ممّن ذکرت من اقرّ بالزّنا أربع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وجملته انّ الحدّ لا یجب الاّ بأحد شیئین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او بیّنة فأن ثبت باقرار اعتبر اقرار اربع مرّات وبهذا قال الحکم وابن أبی لیلی واصحاب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الحسن وحمّاد ومالک والشّافعیّ وابو ثور وابن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یحدّ باقراره مرّة لقول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واغد یا انیس الی امرأة هذا فأن اعترفت فارجمها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موضع آخر</w:t>
      </w:r>
      <w:r>
        <w:rPr>
          <w:rFonts w:eastAsia="IRNazanin" w:cs="IRNazanin"/>
          <w:color w:val="111111"/>
          <w:sz w:val="28"/>
          <w:szCs w:val="28"/>
          <w:rtl w:val="true"/>
          <w:lang w:bidi="fa-IR"/>
        </w:rPr>
        <w:t>.</w:t>
      </w:r>
      <w:r>
        <w:rPr>
          <w:rStyle w:val="FootnoteAnchor"/>
          <w:rtl w:val="true"/>
        </w:rPr>
        <w:footnoteReference w:id="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وسواء کان فی مجلس واحد او مجالس متفرّقة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الأثرم سمعت ابا عبدالله یسأل عن الزّانی یردّد اربع مرّات؟ قال نعم علی حدیث ما عز هو احوط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مجلس واحد او فی مجالس شتّی؟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الأحادیث فلیست تدلّ الاّ علی مجلس واحد الاّ ذاک الشّیخ بشیر بن مهاجر مجالس شتّی؟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الأحادیث فلیست تدلّ الاّ علی مجلس واحد الاّ ذاک الشّیخ بشیر بن مهاجر عن عبدالله بن بریدة عن ابیه وذاک عندی منکر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یثبت الاّ بأربع اقرارات فی أربعة مجالس لأنّ ما عزاً اقرّ فی اربعة مجالس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الحنفیّة</w:t>
      </w:r>
      <w:r>
        <w:rPr>
          <w:rStyle w:val="FootnoteAnchor"/>
          <w:rtl w:val="true"/>
        </w:rPr>
        <w:footnoteReference w:id="184"/>
      </w:r>
      <w:r>
        <w:rPr>
          <w:rFonts w:ascii="IRNazanin" w:hAnsi="IRNazanin" w:eastAsia="IRNazanin"/>
          <w:color w:val="111111"/>
          <w:sz w:val="28"/>
          <w:sz w:val="28"/>
          <w:szCs w:val="28"/>
          <w:rtl w:val="true"/>
          <w:lang w:bidi="fa-IR"/>
        </w:rPr>
        <w:t>والحنابلة وابن أبی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یشترط العدد فی الأقرار بالزّنا ولا یثبت الاّ بأقراره اربع مرّات علی نفسه مرّة بعد مرّة مع وجود العقل و البلوغ ـ الی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المالکیّ ظة والشّافعیّة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یکفی فی وجوب الحدّ علیه اقراره بالزّنا مرّة واحدة ولا یشترط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کغیره من سایر الأحکام کالقتل والسّرقة وشرب الخمر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قال داود والحسن البصریّ والطّبریّ وجماعة من العلماء المحقّقین فی الفقه ـ الی ـ والّذین قالوا باشتراط العدد فی الأقرار اختلفوا فی کونه فی اربعة 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الحنابلة وابن أبی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یکتفی بالأقرار أربع مرّات ولو فی مجالس واحد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الحنفیّة قالوا یشترط کون الأقرار اربع مرّات فی اربعة مجالس من مجالس المقرّ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فی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بکرو عمر، و فی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بین أبی سلیمان و مالک وقال ابن ابی لیلی لا یثبت الاّ بأن یعترف اربع مرّات سواء کان فی اربع مجالس او مجلس واحد ثمّ استدلّ باجماع الفرقة و اخبارهم و اصل البرائة و اصل عدم استحقاقه بالأقرار مرّة و روایتین عامّیّتین</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حکی عن أبن أبی عقیل انّه اکتفی بالأقرار مرّة فی ثبوتا الحدّ و ضعفه ظاهر کضعف ما یمکن استناده الیه 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اذهی صحیحة الفضیل</w:t>
      </w:r>
      <w:r>
        <w:rPr>
          <w:rStyle w:val="FootnoteAnchor"/>
          <w:rtl w:val="true"/>
        </w:rPr>
        <w:footnoteReference w:id="185"/>
      </w:r>
      <w:r>
        <w:rPr>
          <w:rFonts w:ascii="IRNazanin" w:hAnsi="IRNazanin" w:eastAsia="IRNazanin"/>
          <w:color w:val="111111"/>
          <w:sz w:val="28"/>
          <w:sz w:val="28"/>
          <w:szCs w:val="28"/>
          <w:rtl w:val="true"/>
          <w:lang w:bidi="fa-IR"/>
        </w:rPr>
        <w:t>المتقدّمة لمامرّ من حملها علی التّقیّة و یشهد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اشتماها علی اعتبار اقرار العبد فی الحدّ و قد عرفت أنّه خلاف اجماعنا موافق للعامّة، و عدم رجم المقرّ اربعاً حتّی یشهد علیه الشّهود الأربعة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و یدلّ علی المشهور عدّة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معتبرة الأصبغ بن نباتة</w:t>
      </w:r>
      <w:r>
        <w:rPr>
          <w:rStyle w:val="FootnoteAnchor"/>
          <w:rtl w:val="true"/>
        </w:rPr>
        <w:footnoteReference w:id="186"/>
      </w:r>
      <w:r>
        <w:rPr>
          <w:rFonts w:ascii="IRNazanin" w:hAnsi="IRNazanin" w:eastAsia="IRNazanin"/>
          <w:color w:val="111111"/>
          <w:sz w:val="28"/>
          <w:sz w:val="28"/>
          <w:szCs w:val="28"/>
          <w:rtl w:val="true"/>
          <w:lang w:bidi="fa-IR"/>
        </w:rPr>
        <w:t xml:space="preserve">قال اتت امرأة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یا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زنیت فطهّرنی طهّرک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عذاب الدّنیا ایسر من عذاب الأخرة الّذی لا ینقطع الی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انّه قد اثبت ذلک علیها اربع شهادات ـ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انّه رجمها و رواها فی المحاسن</w:t>
      </w:r>
      <w:r>
        <w:rPr>
          <w:rStyle w:val="FootnoteAnchor"/>
          <w:rtl w:val="true"/>
        </w:rPr>
        <w:footnoteReference w:id="187"/>
      </w:r>
      <w:r>
        <w:rPr>
          <w:rFonts w:ascii="IRNazanin" w:hAnsi="IRNazanin" w:eastAsia="IRNazanin"/>
          <w:color w:val="111111"/>
          <w:sz w:val="28"/>
          <w:sz w:val="28"/>
          <w:szCs w:val="28"/>
          <w:rtl w:val="true"/>
          <w:lang w:bidi="fa-IR"/>
        </w:rPr>
        <w:t>بسند آخر عن میثم و رواها الکلینّی</w:t>
      </w:r>
      <w:r>
        <w:rPr>
          <w:rStyle w:val="FootnoteAnchor"/>
          <w:rtl w:val="true"/>
        </w:rPr>
        <w:footnoteReference w:id="1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الکافی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صحیحة أبی بصیر</w:t>
      </w:r>
      <w:r>
        <w:rPr>
          <w:rStyle w:val="FootnoteAnchor"/>
          <w:rtl w:val="true"/>
        </w:rPr>
        <w:footnoteReference w:id="189"/>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اتاه رجل بالکوفة فقال یا أمیر المؤمنین انّی زنیت فطهرّنی ـ الی ـ فرجع الیه الرّابعة فلمّا اقرّ 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لقنبر، احتفظ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غضب ـ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انّه 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صحیحة أبی مریم</w:t>
      </w:r>
      <w:r>
        <w:rPr>
          <w:rStyle w:val="FootnoteAnchor"/>
          <w:rtl w:val="true"/>
        </w:rPr>
        <w:footnoteReference w:id="190"/>
      </w:r>
      <w:r>
        <w:rPr>
          <w:rFonts w:ascii="IRNazanin" w:hAnsi="IRNazanin" w:eastAsia="IRNazanin"/>
          <w:color w:val="111111"/>
          <w:sz w:val="28"/>
          <w:sz w:val="28"/>
          <w:szCs w:val="28"/>
          <w:rtl w:val="true"/>
          <w:lang w:bidi="fa-IR"/>
        </w:rPr>
        <w:t xml:space="preserve">الأتیة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 الرّجم و فیها اتیان المرأة عند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 مرّات و اعترافها بالزّنا و اعراضه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 ثلاثاً و فی الرّابعة امر بها فحبست و کانت حاملاً فتربّص بها حتّی و ضعت الی أن ادخلها الحفیرة الی الحقو و موضع الثّدیین و اغلق باب الرّحبة فرماها بحجر ـ الی ـ فعادوا حتّی قضت ـ الخ</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ما فی ذیل روایة جمیل</w:t>
      </w:r>
      <w:r>
        <w:rPr>
          <w:rStyle w:val="FootnoteAnchor"/>
          <w:rtl w:val="true"/>
        </w:rPr>
        <w:footnoteReference w:id="191"/>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یرجم الزّانی حتّی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یقرّ اربع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روایة المحاسن</w:t>
      </w:r>
      <w:r>
        <w:rPr>
          <w:rStyle w:val="FootnoteAnchor"/>
          <w:rtl w:val="true"/>
        </w:rPr>
        <w:footnoteReference w:id="192"/>
      </w:r>
      <w:r>
        <w:rPr>
          <w:rFonts w:ascii="IRNazanin" w:hAnsi="IRNazanin" w:eastAsia="IRNazanin"/>
          <w:color w:val="111111"/>
          <w:sz w:val="28"/>
          <w:sz w:val="28"/>
          <w:szCs w:val="28"/>
          <w:rtl w:val="true"/>
          <w:lang w:bidi="fa-IR"/>
        </w:rPr>
        <w:t xml:space="preserve">عن أبی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ذیلها فأمر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بالرّجا الذّی اقرۀ اربع مرّات بالزّنا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یرجم و حفر له حفرة فرجموه ـ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الحک روایات الدّعائم</w:t>
      </w:r>
      <w:r>
        <w:rPr>
          <w:rStyle w:val="FootnoteAnchor"/>
          <w:rtl w:val="true"/>
        </w:rPr>
        <w:footnoteReference w:id="193"/>
      </w:r>
      <w:r>
        <w:rPr>
          <w:rFonts w:ascii="IRNazanin" w:hAnsi="IRNazanin" w:eastAsia="IRNazanin"/>
          <w:color w:val="111111"/>
          <w:sz w:val="28"/>
          <w:sz w:val="28"/>
          <w:szCs w:val="28"/>
          <w:rtl w:val="true"/>
          <w:lang w:bidi="fa-IR"/>
        </w:rPr>
        <w:t xml:space="preserve">و 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عوالی اللّئالی کلّها فی 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فی روایات العامّة فی رجم ما عزبن مالک اقراره اربع مرّات</w:t>
      </w:r>
      <w:r>
        <w:rPr>
          <w:rStyle w:val="FootnoteAnchor"/>
          <w:rtl w:val="true"/>
        </w:rPr>
        <w:footnoteReference w:id="194"/>
      </w:r>
      <w:r>
        <w:rPr>
          <w:rFonts w:ascii="IRNazanin" w:hAnsi="IRNazanin" w:eastAsia="IRNazanin"/>
          <w:color w:val="111111"/>
          <w:sz w:val="28"/>
          <w:sz w:val="28"/>
          <w:szCs w:val="28"/>
          <w:rtl w:val="true"/>
          <w:lang w:bidi="fa-IR"/>
        </w:rPr>
        <w:t>و 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مرّتین و فی بعضها</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علی نفسک اربع شهادات و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به فارجموه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اخری</w:t>
      </w:r>
      <w:r>
        <w:rPr>
          <w:rStyle w:val="FootnoteAnchor"/>
          <w:rtl w:val="true"/>
        </w:rPr>
        <w:footnoteReference w:id="196"/>
      </w:r>
      <w:r>
        <w:rPr>
          <w:rFonts w:ascii="IRNazanin" w:hAnsi="IRNazanin" w:eastAsia="IRNazanin"/>
          <w:color w:val="111111"/>
          <w:sz w:val="28"/>
          <w:sz w:val="28"/>
          <w:szCs w:val="28"/>
          <w:rtl w:val="true"/>
          <w:lang w:bidi="fa-IR"/>
        </w:rPr>
        <w:t xml:space="preserve">بعد ما اعترف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اعترفت الرّابعة رجمتک</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کلّ هذه فی ما یوجب الرّجم دون غیره من سائر اقسام الحدّ من القتل و الجلد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صحیح البخاری اورد روایات یستفاد منها اعتبار الأقرار رابع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اثنتان منها</w:t>
      </w:r>
      <w:r>
        <w:rPr>
          <w:rStyle w:val="FootnoteAnchor"/>
          <w:rtl w:val="true"/>
        </w:rPr>
        <w:footnoteReference w:id="197"/>
      </w:r>
      <w:r>
        <w:rPr>
          <w:rStyle w:val="FootnoteAnchor"/>
          <w:rtl w:val="true"/>
        </w:rPr>
        <w:footnoteReference w:id="198"/>
      </w:r>
      <w:r>
        <w:rPr>
          <w:rFonts w:ascii="IRNazanin" w:hAnsi="IRNazanin" w:eastAsia="IRNazanin"/>
          <w:color w:val="111111"/>
          <w:sz w:val="28"/>
          <w:sz w:val="28"/>
          <w:szCs w:val="28"/>
          <w:rtl w:val="true"/>
          <w:lang w:bidi="fa-IR"/>
        </w:rPr>
        <w:t>روایة جابر و فی احدیهما بعد ان اعترف بالزّنا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فأعرض عنه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شهد علی نفسه اربع مرّات ـ الی ـ فأمر به فرجم بالمصلّی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الرّجل محصناً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اثنتان</w:t>
      </w:r>
      <w:r>
        <w:rPr>
          <w:rStyle w:val="FootnoteAnchor"/>
          <w:rtl w:val="true"/>
        </w:rPr>
        <w:footnoteReference w:id="199"/>
      </w:r>
      <w:r>
        <w:rPr>
          <w:rStyle w:val="FootnoteAnchor"/>
          <w:rtl w:val="true"/>
        </w:rPr>
        <w:footnoteReference w:id="200"/>
      </w:r>
      <w:r>
        <w:rPr>
          <w:rFonts w:ascii="IRNazanin" w:hAnsi="IRNazanin" w:eastAsia="IRNazanin"/>
          <w:color w:val="111111"/>
          <w:sz w:val="28"/>
          <w:sz w:val="28"/>
          <w:szCs w:val="28"/>
          <w:rtl w:val="true"/>
          <w:lang w:bidi="fa-IR"/>
        </w:rPr>
        <w:t>روایة أبی هریرة قریبة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روایات مسلم ممّا یدلّ علی اعتبار اربع مرّات قریب من عشر روایات او ازید</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الی</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و استند فی المبانی لأعتبار اربع مرّات فی الجلد الی و 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روایاتنا من جعل الأقرار فی الزّنا بمنزلة الشّهادة و علیه کما لا یثبت الرّجم الاّ با ربع شهدات، کذلک لا یئبت الجلد ایضاً الاّ بها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هذه الرّوایات من تأخیر الحدّ حتّی الاُقرار اربعاً، اذ لو کان یکفی فی الجلد المرّة، لم یکن وجه للتّاخیر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الی صحیحة محمّد بن مسلم</w:t>
      </w:r>
      <w:r>
        <w:rPr>
          <w:rStyle w:val="FootnoteAnchor"/>
          <w:rtl w:val="true"/>
        </w:rPr>
        <w:footnoteReference w:id="202"/>
      </w:r>
      <w:r>
        <w:rPr>
          <w:rFonts w:ascii="IRNazanin" w:hAnsi="IRNazanin" w:eastAsia="IRNazanin"/>
          <w:color w:val="111111"/>
          <w:sz w:val="28"/>
          <w:sz w:val="28"/>
          <w:szCs w:val="28"/>
          <w:rtl w:val="true"/>
          <w:lang w:bidi="fa-IR"/>
        </w:rPr>
        <w:t xml:space="preserve">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لأمرأته یا زانیة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زنیت بک،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حدّ واحد لقذفه ایّاها و امّا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زنیت بک فلا حدّ فیه الاّ ان یشهد علی نفسه اربع شهادات بالزّنا عند الأمام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قریب منها مرسلة الصّدوق</w:t>
      </w:r>
      <w:r>
        <w:rPr>
          <w:rStyle w:val="FootnoteAnchor"/>
          <w:rtl w:val="true"/>
        </w:rPr>
        <w:footnoteReference w:id="203"/>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روایة الدّعائم</w:t>
      </w:r>
      <w:r>
        <w:rPr>
          <w:rStyle w:val="FootnoteAnchor"/>
          <w:rtl w:val="true"/>
        </w:rPr>
        <w:footnoteReference w:id="204"/>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فأنّها تدلّ علی انّ الحدّ رجماً کان اوجلداً او غیر همالا یترتّب علی الأقرار مرّة واحدة بل لابدّ من اقرار اربع مرّات عندالأمام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مجال للأشکال علیه بأنّه کان ذا زوجة و الکلام فی الأعمّ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قوله انا زنیت بک یدلّ علی تحقّق الزّنا قبل تزویجهاو ترک التّفصیل بین کونه ذا زوجة حال الزّنا و غیره یدلّ علی الأعتبار فی الموردین</w:t>
      </w:r>
      <w:r>
        <w:rPr>
          <w:rFonts w:eastAsia="IRNazanin" w:cs="IRNazanin"/>
          <w:color w:val="111111"/>
          <w:sz w:val="28"/>
          <w:szCs w:val="28"/>
          <w:rtl w:val="true"/>
          <w:lang w:bidi="fa-IR"/>
        </w:rPr>
        <w:t>.</w:t>
      </w:r>
      <w:bookmarkStart w:id="75" w:name="pg3023_22459"/>
    </w:p>
    <w:p>
      <w:pPr>
        <w:pStyle w:val="BookText"/>
        <w:rPr/>
      </w:pPr>
      <w:bookmarkEnd w:id="75"/>
      <w:r>
        <w:rPr>
          <w:rFonts w:ascii="IRNazanin" w:hAnsi="IRNazanin" w:eastAsia="IRNazanin"/>
          <w:color w:val="111111"/>
          <w:sz w:val="28"/>
          <w:sz w:val="28"/>
          <w:szCs w:val="28"/>
          <w:rtl w:val="true"/>
          <w:lang w:bidi="fa-IR"/>
        </w:rPr>
        <w:t xml:space="preserve">و لا فرق فی ذالک بین الرّجل و المرئة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76" w:name="__RefHeading___Toc656683_2749589250"/>
      <w:bookmarkStart w:id="77" w:name="_Toc28"/>
      <w:bookmarkEnd w:id="76"/>
      <w:r>
        <w:rPr>
          <w:rtl w:val="true"/>
        </w:rPr>
        <w:t>فی عدم اشتراط تعدّد المجالس</w:t>
      </w:r>
      <w:bookmarkEnd w:id="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لایشترط تعدّد المجالس علی الأظهر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 لا فرق فی ذالک بین الرجّل و المرأة و الرّوایات اشتملت علی کلتا الّطائفتین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فی الأقرار تعدّد المجالس و فاقاً للمحکیّ عن اطلاق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الرّیاض نسبته الی کافّی المتأخّرین لأطلاق ادلّة الأقرار من غیر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ورد فی غیر واحد من روایات الأقرار من تعدّد المجلس فهو اتّفاق لا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بعضها ما یظهر اتحّاده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الخلاف</w:t>
      </w:r>
      <w:r>
        <w:rPr>
          <w:rStyle w:val="FootnoteAnchor"/>
          <w:rtl w:val="true"/>
        </w:rPr>
        <w:footnoteReference w:id="205"/>
      </w:r>
      <w:r>
        <w:rPr>
          <w:rFonts w:ascii="IRNazanin" w:hAnsi="IRNazanin" w:eastAsia="IRNazanin"/>
          <w:color w:val="111111"/>
          <w:sz w:val="28"/>
          <w:sz w:val="28"/>
          <w:szCs w:val="28"/>
          <w:rtl w:val="true"/>
          <w:lang w:bidi="fa-IR"/>
        </w:rPr>
        <w:t>و المبسوط</w:t>
      </w:r>
      <w:r>
        <w:rPr>
          <w:rStyle w:val="FootnoteAnchor"/>
          <w:rtl w:val="true"/>
        </w:rPr>
        <w:footnoteReference w:id="206"/>
      </w:r>
      <w:r>
        <w:rPr>
          <w:rFonts w:ascii="IRNazanin" w:hAnsi="IRNazanin" w:eastAsia="IRNazanin"/>
          <w:color w:val="111111"/>
          <w:sz w:val="28"/>
          <w:sz w:val="28"/>
          <w:szCs w:val="28"/>
          <w:rtl w:val="true"/>
          <w:lang w:bidi="fa-IR"/>
        </w:rPr>
        <w:t xml:space="preserve">و عن ابن حمزة اعتبار اربع مجالس قال فی الأوّل لا یجب الحدّ بالزّنا ـ الی آخر تقّدم فی صفحة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60</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اعتبر ابن ادریس</w:t>
      </w:r>
      <w:r>
        <w:rPr>
          <w:rStyle w:val="FootnoteAnchor"/>
          <w:rtl w:val="true"/>
        </w:rPr>
        <w:footnoteReference w:id="207"/>
      </w:r>
      <w:r>
        <w:rPr>
          <w:rFonts w:ascii="IRNazanin" w:hAnsi="IRNazanin" w:eastAsia="IRNazanin"/>
          <w:color w:val="111111"/>
          <w:sz w:val="28"/>
          <w:sz w:val="28"/>
          <w:szCs w:val="28"/>
          <w:rtl w:val="true"/>
          <w:lang w:bidi="fa-IR"/>
        </w:rPr>
        <w:t>اقرار اربع مرّات فی اربعة اوقات دفعة بعد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الأظهر و الأقوی ماعلیه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اجماع الشیخ موهون بمخالفة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الرّوایتان عامّیّتان لا تد لأن علیه</w:t>
      </w:r>
      <w:r>
        <w:rPr>
          <w:rFonts w:eastAsia="IRNazanin" w:cs="IRNazanin"/>
          <w:color w:val="111111"/>
          <w:sz w:val="28"/>
          <w:szCs w:val="28"/>
          <w:rtl w:val="true"/>
          <w:lang w:bidi="fa-IR"/>
        </w:rPr>
        <w:t>.</w:t>
      </w:r>
      <w:bookmarkStart w:id="78" w:name="pg3023_22460"/>
    </w:p>
    <w:p>
      <w:pPr>
        <w:pStyle w:val="BookText"/>
        <w:rPr/>
      </w:pPr>
      <w:bookmarkEnd w:id="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p>
    <w:p>
      <w:pPr>
        <w:pStyle w:val="Heading4"/>
        <w:numPr>
          <w:ilvl w:val="3"/>
          <w:numId w:val="1"/>
        </w:numPr>
        <w:rPr/>
      </w:pPr>
      <w:bookmarkStart w:id="79" w:name="__RefHeading___Toc656685_2749589250"/>
      <w:bookmarkStart w:id="80" w:name="_Toc29"/>
      <w:bookmarkEnd w:id="79"/>
      <w:r>
        <w:rPr>
          <w:rtl w:val="true"/>
        </w:rPr>
        <w:t>یکفی فی اقرار الاخرس و الخرساء الاشارة المفیدة</w:t>
      </w:r>
      <w:bookmarkEnd w:id="80"/>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اقرار الأخرس و الخرساء اشارتهما المفیدة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احتیج الی التّرجمة فشهادة مترجمین عدلین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 زنیت بفلانة فلا یوجب الحدّ للزّنا اقلّ من اربع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یکون قذفاً لو عیّن المرأة؟ قیب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لا و هو قویّ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الأخرس کالخرساء یقبل اقراره کغیره و یعتبر فیه اربع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اقرار هما اشارتهما المفیده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یکفی شهادة مترجمین عدلین اذا لم تکن مفهمة مفیدة، لأطلاق دلیل اعتبار الشّهادة و لایکفی اقلّ من عدلین العدم الدّلیل و فی الجواهر لأنّها شهادة لا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یشکل الحدّ لوحصل الأطمئنان من قول مترجم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المهذّب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 زنیت بفلانة فلا یوجب الحدّ اقلّ من اربع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لقذف المرئة لو عیّنها فلا یعتبر 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یحدّ ؟ قیب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لظهوره عرفاً و لأنّه هتک لحرمتها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العمدة معتبرة السّکونی</w:t>
      </w:r>
      <w:r>
        <w:rPr>
          <w:rStyle w:val="FootnoteAnchor"/>
          <w:rtl w:val="true"/>
        </w:rPr>
        <w:footnoteReference w:id="208"/>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اذا سألت الفاجرة من فجر بک؟ فقالت فلان، جلدتها 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 للفجور و حدًّ الفریتها علی ارّجل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روایة العیون</w:t>
      </w:r>
      <w:r>
        <w:rPr>
          <w:rStyle w:val="FootnoteAnchor"/>
          <w:rtl w:val="true"/>
        </w:rPr>
        <w:footnoteReference w:id="209"/>
      </w:r>
      <w:r>
        <w:rPr>
          <w:rFonts w:ascii="Amiri" w:hAnsi="Amiri" w:eastAsia="Amiri" w:cs="Amiri"/>
          <w:color w:val="111111"/>
          <w:sz w:val="28"/>
          <w:sz w:val="28"/>
          <w:szCs w:val="28"/>
          <w:rtl w:val="true"/>
          <w:lang w:bidi="ar-SA"/>
        </w:rPr>
        <w:t>و معتبرة اخری لسّکونیّ</w:t>
      </w:r>
      <w:r>
        <w:rPr>
          <w:rStyle w:val="FootnoteAnchor"/>
          <w:rtl w:val="true"/>
        </w:rPr>
        <w:footnoteReference w:id="210"/>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تسألوا الفاجرة من فجربک؟ فکما هان علیها الفجور یهون علیها ان ترمی البرئ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قریب منها اونحوهاروایات الجعفریّات</w:t>
      </w:r>
      <w:r>
        <w:rPr>
          <w:rStyle w:val="FootnoteAnchor"/>
          <w:rtl w:val="true"/>
        </w:rPr>
        <w:footnoteReference w:id="211"/>
      </w:r>
      <w:r>
        <w:rPr>
          <w:rFonts w:ascii="Amiri" w:hAnsi="Amiri" w:eastAsia="Amiri" w:cs="Amiri"/>
          <w:color w:val="111111"/>
          <w:sz w:val="28"/>
          <w:sz w:val="28"/>
          <w:szCs w:val="28"/>
          <w:rtl w:val="true"/>
          <w:lang w:bidi="ar-SA"/>
        </w:rPr>
        <w:t>و الدّعائم</w:t>
      </w:r>
      <w:r>
        <w:rPr>
          <w:rStyle w:val="FootnoteAnchor"/>
          <w:rtl w:val="true"/>
        </w:rPr>
        <w:footnoteReference w:id="212"/>
      </w:r>
      <w:r>
        <w:rPr>
          <w:rFonts w:ascii="IRNazanin" w:hAnsi="IRNazanin" w:eastAsia="IRNazanin"/>
          <w:color w:val="111111"/>
          <w:sz w:val="28"/>
          <w:sz w:val="28"/>
          <w:szCs w:val="28"/>
          <w:rtl w:val="true"/>
          <w:lang w:bidi="fa-IR"/>
        </w:rPr>
        <w:t>و صحیفة</w:t>
      </w:r>
      <w:r>
        <w:rPr>
          <w:rStyle w:val="FootnoteAnchor"/>
          <w:rtl w:val="true"/>
        </w:rPr>
        <w:footnoteReference w:id="213"/>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 لا لأن نسبة الزّنا الی نفسه لا یستلزم زناها لکونها اعمّ لأحتمال الأکراه و الأشتباه فی جانب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اقراره قذفاً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هتک الحرمة اعمّ من القذف فلا یوجب 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تقدّم فی صحیحة محمّد بن مسلم</w:t>
      </w:r>
      <w:r>
        <w:rPr>
          <w:rStyle w:val="FootnoteAnchor"/>
          <w:rtl w:val="true"/>
        </w:rPr>
        <w:footnoteReference w:id="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الصفحة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ترتّب الحدّ لتصریحه خطا بالزوجته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زانیة لا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زنیت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نفی عنه الأمام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 و ان احتمل فیه ان یکون قذفا تکرارً القوله یا زانیة و لا یحدّ حدّین لکنّه خلاف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ما فی الرّوایات المتقدّمة من حدّ القذف ایضاً لا مساس له بمورد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للتّصریح فیها بالفجور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رمت مسلماً بالفجور فعلیها الحدّله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بما ذکرنا ظهر قوّة الوجه الثّانی کضعف ما ذکر سنداً للوجه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کأنّه مال الیه فی محکّی  المسالک و حکی عن الشّیخین</w:t>
      </w:r>
      <w:r>
        <w:rPr>
          <w:rStyle w:val="FootnoteAnchor"/>
          <w:rtl w:val="true"/>
        </w:rPr>
        <w:footnoteReference w:id="215"/>
      </w:r>
      <w:r>
        <w:rPr>
          <w:rFonts w:ascii="IRNazanin" w:hAnsi="IRNazanin" w:eastAsia="IRNazanin"/>
          <w:color w:val="111111"/>
          <w:sz w:val="28"/>
          <w:sz w:val="28"/>
          <w:szCs w:val="28"/>
          <w:rtl w:val="true"/>
          <w:lang w:bidi="fa-IR"/>
        </w:rPr>
        <w:t>و ابن ادریس</w:t>
      </w:r>
      <w:r>
        <w:rPr>
          <w:rStyle w:val="FootnoteAnchor"/>
          <w:rtl w:val="true"/>
        </w:rPr>
        <w:footnoteReference w:id="216"/>
      </w:r>
      <w:r>
        <w:rPr>
          <w:rFonts w:ascii="IRNazanin" w:hAnsi="IRNazanin" w:eastAsia="IRNazanin"/>
          <w:color w:val="111111"/>
          <w:sz w:val="28"/>
          <w:sz w:val="28"/>
          <w:szCs w:val="28"/>
          <w:rtl w:val="true"/>
          <w:lang w:bidi="fa-IR"/>
        </w:rPr>
        <w:t>لظهوره فی القذف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الأصل عدم الشّبهة و الأکراه ان قبل فی المسالک تفسیره بالأکراه و الشّبهه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قال فی الخلاف</w:t>
      </w:r>
      <w:r>
        <w:rPr>
          <w:rStyle w:val="FootnoteAnchor"/>
          <w:rtl w:val="true"/>
        </w:rPr>
        <w:footnoteReference w:id="217"/>
      </w:r>
      <w:r>
        <w:rPr>
          <w:rFonts w:ascii="IRNazanin" w:hAnsi="IRNazanin" w:eastAsia="IRNazanin"/>
          <w:color w:val="111111"/>
          <w:sz w:val="28"/>
          <w:sz w:val="28"/>
          <w:szCs w:val="28"/>
          <w:rtl w:val="true"/>
          <w:lang w:bidi="fa-IR"/>
        </w:rPr>
        <w:t>اذا قال زنیت بفلانة او قال زنی بک فلان و جب علیه حدّان و قال ابو حنیفة یجب علیه حدّ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الشَافعی فی القدیم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الجدید فیها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هما حدّان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من اقّر انّه زنی بفانة و کذّبته و قالت لا اعرفه، اختلف العلماء فی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الأمام ابو حنیفة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یقام الحدّ علی الرّجل و لا علی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لوجود شبهة تدرء الحدب و هو الأنکار و یقام علیه حدّ الفریة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ثمانین جلدة</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المالکیّة و الشّافعیّة و الحنابلة و الصّاحبان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یقام الحدّ علی الرّجل فقط و هو حدّ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یؤخذ اقراره حجّة علی المرأة الّتی زنی بها و لا یقام علیه حدّالقذف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Style w:val="FootnoteAnchor"/>
          <w:rtl w:val="true"/>
        </w:rPr>
        <w:footnoteReference w:id="219"/>
      </w:r>
      <w:r>
        <w:rPr>
          <w:rFonts w:ascii="IRNazanin" w:hAnsi="IRNazanin" w:eastAsia="IRNazanin"/>
          <w:color w:val="111111"/>
          <w:sz w:val="28"/>
          <w:sz w:val="28"/>
          <w:szCs w:val="28"/>
          <w:rtl w:val="true"/>
          <w:lang w:bidi="fa-IR"/>
        </w:rPr>
        <w:t xml:space="preserve">بعد اسطر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 اذا اقرّت المرأة بالزّنا اربع مرّات عند الحاکم وقابت مع فلان و ذکرت اسمه، و کذّبها الرّجل  و قال ما زنیت بها و لا اعرفها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الأمام ابو حنیفة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یقام الحدّ علی المرأة و لا علی الرّجل ـ الی ـ المالکیّة و الشّافعیّة و الحنابلة و الصّاحبان،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یقام الحدّ علی المرأة المقرّة بالزّنا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الأقرار حجّة فی حقّ المقرّ و عدم ثبوت الزّنا فی حقّ المقرّ ـ الخ</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w:t>
      </w:r>
      <w:r>
        <w:rPr>
          <w:rStyle w:val="FootnoteAnchor"/>
          <w:rtl w:val="true"/>
        </w:rPr>
        <w:footnoteReference w:id="220"/>
      </w:r>
      <w:r>
        <w:rPr>
          <w:rFonts w:ascii="IRNazanin" w:hAnsi="IRNazanin" w:eastAsia="IRNazanin"/>
          <w:color w:val="111111"/>
          <w:sz w:val="28"/>
          <w:sz w:val="28"/>
          <w:szCs w:val="28"/>
          <w:rtl w:val="true"/>
          <w:lang w:bidi="fa-IR"/>
        </w:rPr>
        <w:t>فأن اقرّ انّه زنی بأمرأة فکذّبته فعلیه حدّ واحد 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الشّافعی و قال ابو حنیفة و ابو یوسف لا حدّ علیه، لأنّا صدّقناها فی انکارها فصار محکوما بکذبه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وکصدرکلامه قوله فی المبسوط</w:t>
      </w:r>
      <w:r>
        <w:rPr>
          <w:rStyle w:val="FootnoteAnchor"/>
          <w:rtl w:val="true"/>
        </w:rPr>
        <w:footnoteReference w:id="221"/>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 علیه حدّ واحد ـ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قریب من کلامه کلام ابن ادریس</w:t>
      </w:r>
      <w:r>
        <w:rPr>
          <w:rStyle w:val="FootnoteAnchor"/>
          <w:rtl w:val="true"/>
        </w:rPr>
        <w:footnoteReference w:id="222"/>
      </w:r>
      <w:r>
        <w:rPr>
          <w:rFonts w:ascii="IRNazanin" w:hAnsi="IRNazanin" w:eastAsia="IRNazanin"/>
          <w:color w:val="111111"/>
          <w:sz w:val="28"/>
          <w:sz w:val="28"/>
          <w:szCs w:val="28"/>
          <w:rtl w:val="true"/>
          <w:lang w:bidi="fa-IR"/>
        </w:rPr>
        <w:t xml:space="preserve">لکنّه اختار القول الثّانی و جعل قول القاذف بالنّسبة الی المرأة و الرّجل المفعول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لوقال لطت بفلان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الشّبهة و لا یحدّ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واورد علی استدلال المسالک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بأنّ الأصل المزبور لا یحقّق موضوع القذف بعد عدم دلالة الّلفظ علیه فی ثانی النّظر ـ الخ</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کلام متین لاغبار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یتوهّم منه عدم جریان الحدب علی من اقرّ اذا احتمل فی حقّه الأکراه للفرق بین ما نحن فیه و ذاک المورد، بتما میّة اقراره هناک علی الزّنا و انبما احتمل صدوره عن اکراه و عدم دعواه فی اعترافه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نحن فیه لنقص الأقرار فی کونه قذفاً لا سیّما اذا لم یکن الزّنا بها عن اکراه او شبهة زناً کما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وصلت النّوبة الی الشّبهة و قلنا بدرء الحدّبها فلا تفصیل بین حقّ النّاس و حقّ الله تعالی</w:t>
      </w:r>
      <w:r>
        <w:rPr>
          <w:rFonts w:eastAsia="IRNazanin" w:cs="IRNazanin"/>
          <w:color w:val="111111"/>
          <w:sz w:val="28"/>
          <w:szCs w:val="28"/>
          <w:rtl w:val="true"/>
          <w:lang w:bidi="fa-IR"/>
        </w:rPr>
        <w:t>.</w:t>
      </w:r>
      <w:bookmarkStart w:id="81" w:name="pg3023_22464"/>
    </w:p>
    <w:p>
      <w:pPr>
        <w:pStyle w:val="BookText"/>
        <w:rPr/>
      </w:pPr>
      <w:bookmarkEnd w:id="81"/>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اقرّبوطی امرأة و ادّعی انّها زوجته فلاحدّ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انکرت الزّوجیة و الوطی فلا مهر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اعترفت بالوطی و لم یظهر زناه بها فلها المهر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82" w:name="__RefHeading___Toc656687_2749589250"/>
      <w:bookmarkStart w:id="83" w:name="_Toc30"/>
      <w:bookmarkEnd w:id="82"/>
      <w:r>
        <w:rPr>
          <w:rtl w:val="true"/>
        </w:rPr>
        <w:t>لو اقرّ بالزّنا بامرأة اربعاً و کذّبته یحدّ دونها</w:t>
      </w:r>
      <w:bookmarkEnd w:id="83"/>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لواقرّ بالزّنا بامرأة اربعاً فکذّبته فیحدّدون المرأة و لوادّعی مطاوعت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اقرّ بروطی امرأة وادّعی انّنها زوجته فیقبل و یسقط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یکلّف المدّعی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یمینا بلا خلاف و لا اشکال لأنّ مجرّد الوطی لیس زنا ولا یجب الفحص و یمکن صدقة فیقبل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 انکرت الزّوجیة و الوطی فلا حدّ علیه و لا مهروان اقّر اربعاً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کونه اقراراً بالزّنا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أنّها انکرت الوطی فلیس لها 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اعترفت بالوطی فأن لم یتبیّن انّه زنی بها مطاوعة فلها المهر للوطی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شبهة او اکراهاً او للزّوجیّة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یختلف مقتضی الأوّلین عن الأخیر فی مقدار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اذا ادّعت انّه اشتبه علیها او اکرهها فلها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فلا یحدب و 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یقرّ اربع مرّات بالزّنا بحدوده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اقرّبا الزّنا بامرأة فکذّبته فلا یرتفع عنه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تحدّ المرأة بلا اشکال و لوادّعی علیها المطاوعة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بکونها دعوی فاسق، و لا اعتراف من المرأة، و لا شاهد علی الزّنا، و لا تؤخذ باقرار غیرها</w:t>
      </w:r>
      <w:r>
        <w:rPr>
          <w:rFonts w:eastAsia="IRNazanin" w:cs="IRNazanin"/>
          <w:color w:val="111111"/>
          <w:sz w:val="28"/>
          <w:szCs w:val="28"/>
          <w:rtl w:val="true"/>
          <w:lang w:bidi="fa-IR"/>
        </w:rPr>
        <w:t>.</w:t>
      </w:r>
      <w:bookmarkStart w:id="84" w:name="pg3023_22465"/>
    </w:p>
    <w:p>
      <w:pPr>
        <w:pStyle w:val="Heading4"/>
        <w:numPr>
          <w:ilvl w:val="3"/>
          <w:numId w:val="1"/>
        </w:numPr>
        <w:rPr/>
      </w:pPr>
      <w:bookmarkStart w:id="85" w:name="__RefHeading___Toc656689_2749589250"/>
      <w:bookmarkStart w:id="86" w:name="_Toc31"/>
      <w:bookmarkEnd w:id="84"/>
      <w:bookmarkEnd w:id="85"/>
      <w:r>
        <w:rPr>
          <w:rtl w:val="true"/>
        </w:rPr>
        <w:t>«</w:t>
      </w:r>
      <w:r>
        <w:rPr>
          <w:rtl w:val="true"/>
        </w:rPr>
        <w:t>فی ثبوت الزّنا بالبیّنة</w:t>
      </w:r>
      <w:r>
        <w:rPr>
          <w:rtl w:val="true"/>
        </w:rPr>
        <w:t>»</w:t>
      </w:r>
      <w:bookmarkEnd w:id="86"/>
    </w:p>
    <w:p>
      <w:pPr>
        <w:pStyle w:val="Heading5"/>
        <w:numPr>
          <w:ilvl w:val="4"/>
          <w:numId w:val="1"/>
        </w:numPr>
        <w:rPr/>
      </w:pPr>
      <w:bookmarkStart w:id="87" w:name="__RefHeading___Toc656691_2749589250"/>
      <w:bookmarkStart w:id="88" w:name="_Toc32"/>
      <w:bookmarkEnd w:id="87"/>
      <w:r>
        <w:rPr>
          <w:rtl w:val="true"/>
        </w:rPr>
        <w:t>ما یعتبر فی ثبوت الزّنا بالبینة و هی شهادة اربعه رجال عدول او</w:t>
      </w:r>
      <w:bookmarkEnd w:id="88"/>
    </w:p>
    <w:p>
      <w:pPr>
        <w:pStyle w:val="BookText"/>
        <w:rPr/>
      </w:pPr>
      <w:r>
        <w:rPr>
          <w:rFonts w:ascii="IRNazanin" w:hAnsi="IRNazanin" w:eastAsia="IRNazanin"/>
          <w:color w:val="111111"/>
          <w:sz w:val="28"/>
          <w:sz w:val="28"/>
          <w:szCs w:val="28"/>
          <w:rtl w:val="true"/>
          <w:lang w:bidi="fa-IR"/>
        </w:rPr>
        <w:t>ثلاثة و امرأتین عادلتین و یثبت بشهادة رجلین و اربع نسوة الجلد</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ثبوت الزّنا بالبیّنة شهادة اربعة رجال عدول، او ثلاثة و امرأتین، و یحدّ المشهود علیه حتّی الرّجم و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یثبت بشهادة رجلین عدلین و اربع نسوة عدلات الجلد دون غیره ممّا یوجب القتل او الرّجم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المقام الثّانی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ثبوت الزّنا بالبیّنة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ثبوته شهادة اربعة رجال عدول، او ثلاثة و امرأتان عادلتان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یثبت بذلک الزّنا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موجبا للرّجم او القتل او غیر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یثبت برجلین و اربع نسوة الزّنا الموجب للجلد خاصّة، دون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الحکمین مضافاً الی الأجماع فی اوّلهما و ایتی النّور</w:t>
      </w:r>
      <w:r>
        <w:rPr>
          <w:rStyle w:val="FootnoteAnchor"/>
          <w:rtl w:val="true"/>
        </w:rPr>
        <w:footnoteReference w:id="223"/>
      </w:r>
      <w:r>
        <w:rPr>
          <w:rFonts w:ascii="IRNazanin" w:hAnsi="IRNazanin" w:eastAsia="IRNazanin"/>
          <w:color w:val="111111"/>
          <w:sz w:val="28"/>
          <w:sz w:val="28"/>
          <w:szCs w:val="28"/>
          <w:rtl w:val="true"/>
          <w:lang w:bidi="fa-IR"/>
        </w:rPr>
        <w:t>و آیة النّساء</w:t>
      </w:r>
      <w:r>
        <w:rPr>
          <w:rStyle w:val="FootnoteAnchor"/>
          <w:rtl w:val="true"/>
        </w:rPr>
        <w:footnoteReference w:id="224"/>
      </w:r>
      <w:r>
        <w:rPr>
          <w:rFonts w:ascii="IRNazanin" w:hAnsi="IRNazanin" w:eastAsia="IRNazanin"/>
          <w:color w:val="111111"/>
          <w:sz w:val="28"/>
          <w:sz w:val="28"/>
          <w:szCs w:val="28"/>
          <w:rtl w:val="true"/>
          <w:lang w:bidi="fa-IR"/>
        </w:rPr>
        <w:t>و الشّهرة العظیمة فی الثّانی، الرّوایات المستفیضه بل المتواترة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 صحیحة الحلبیّ</w:t>
      </w:r>
      <w:r>
        <w:rPr>
          <w:rStyle w:val="FootnoteAnchor"/>
          <w:rtl w:val="true"/>
        </w:rPr>
        <w:footnoteReference w:id="225"/>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شهادة النّساء فی الرّجم، فقال اذا کان ثلاثة رجال و امرأتان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کان رجلان و اربع نسوة لم تجز فی 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ذیل مضمرة ابی بصیر</w:t>
      </w:r>
      <w:r>
        <w:rPr>
          <w:rStyle w:val="FootnoteAnchor"/>
          <w:rtl w:val="true"/>
        </w:rPr>
        <w:footnoteReference w:id="226"/>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انّها تجوز شهادتها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 الزّنا اذا کان ثلاثة رجال و امرأتان و لا تجوز شهادة رجلین و اربع نسوة</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ذیل روایة ابراهیم الحارقی</w:t>
      </w:r>
      <w:r>
        <w:rPr>
          <w:rStyle w:val="FootnoteAnchor"/>
          <w:rtl w:val="true"/>
        </w:rPr>
        <w:footnoteReference w:id="2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تجوز عی حدّ الزّنا اذا کان ثلاثة رجال و امرأتان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تجوز اذا کان رجلان و اربع نسوة و لا تجوز شهادتهنّ فی الرّجم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و قریب منها ما فی روایة محمّد بن الفضیل</w:t>
      </w:r>
      <w:r>
        <w:rPr>
          <w:rStyle w:val="FootnoteAnchor"/>
          <w:rtl w:val="true"/>
        </w:rPr>
        <w:footnoteReference w:id="228"/>
      </w:r>
      <w:r>
        <w:rPr>
          <w:rFonts w:ascii="IRNazanin" w:hAnsi="IRNazanin" w:eastAsia="IRNazanin"/>
          <w:color w:val="111111"/>
          <w:sz w:val="28"/>
          <w:sz w:val="28"/>
          <w:szCs w:val="28"/>
          <w:rtl w:val="true"/>
          <w:lang w:bidi="fa-IR"/>
        </w:rPr>
        <w:t xml:space="preserve">عن أبی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تجوز شهادة رجلین و لا اربع نسوة فی الزّنا و 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صحیحة عبدالله بن سنان</w:t>
      </w:r>
      <w:r>
        <w:rPr>
          <w:rStyle w:val="FootnoteAnchor"/>
          <w:rtl w:val="true"/>
        </w:rPr>
        <w:footnoteReference w:id="229"/>
      </w:r>
      <w:r>
        <w:rPr>
          <w:rFonts w:ascii="IRNazanin" w:hAnsi="IRNazanin" w:eastAsia="IRNazanin"/>
          <w:color w:val="111111"/>
          <w:sz w:val="28"/>
          <w:sz w:val="28"/>
          <w:szCs w:val="28"/>
          <w:rtl w:val="true"/>
          <w:lang w:bidi="fa-IR"/>
        </w:rPr>
        <w:t xml:space="preserve">و فیها قول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فی الرّجم شهادة رجلین و لا اربع نسوی و یجوز فی ذلک ثلاثة رجال و امرأتان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قریب منها روایة زرارة</w:t>
      </w:r>
      <w:r>
        <w:rPr>
          <w:rStyle w:val="FootnoteAnchor"/>
          <w:rtl w:val="true"/>
        </w:rPr>
        <w:footnoteReference w:id="230"/>
      </w: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الدّعائم</w:t>
      </w:r>
      <w:r>
        <w:rPr>
          <w:rStyle w:val="FootnoteAnchor"/>
          <w:rtl w:val="true"/>
        </w:rPr>
        <w:footnoteReference w:id="231"/>
      </w:r>
      <w:r>
        <w:rPr>
          <w:rFonts w:ascii="IRNazanin" w:hAnsi="IRNazanin" w:eastAsia="IRNazanin"/>
          <w:color w:val="111111"/>
          <w:sz w:val="28"/>
          <w:sz w:val="28"/>
          <w:szCs w:val="28"/>
          <w:rtl w:val="true"/>
          <w:lang w:bidi="fa-IR"/>
        </w:rPr>
        <w:t xml:space="preserve">عن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شهد ثلثة رجال و امرأتان و جب بهم الحدّ و لا یجب برجلین و اربعة نسوة و یضربون حدّ القاذف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لا تقبل شهادة النّساء فی الحدود الاّ اذا شهدت امرأتان و ثلاثة رجال و لا تقبل شهادتّهن اذا کنّ اربع نسوة و رجلین</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بالتّفصیل فی جواز الرّجم بشهاده ثلاثة رجال و امر أتین، و عدمه بشهادة رجلین و اربع نسوة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أبی الصّباح الکنانّی</w:t>
      </w:r>
      <w:r>
        <w:rPr>
          <w:rStyle w:val="FootnoteAnchor"/>
          <w:rtl w:val="true"/>
        </w:rPr>
        <w:footnoteReference w:id="233"/>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روایة زید الشّحّام</w:t>
      </w: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الشّیخ عن أبی بصیر</w:t>
      </w:r>
      <w:r>
        <w:rPr>
          <w:rStyle w:val="FootnoteAnchor"/>
          <w:rtl w:val="true"/>
        </w:rPr>
        <w:footnoteReference w:id="235"/>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یجب الرّجم حتّی یقوم البیّنة الأربعة بأن قد رأی یجامعها و قریب منها مارواء محمّد بن الفضیل</w:t>
      </w:r>
      <w:r>
        <w:rPr>
          <w:rStyle w:val="FootnoteAnchor"/>
          <w:rtl w:val="true"/>
        </w:rPr>
        <w:footnoteReference w:id="236"/>
      </w:r>
      <w:r>
        <w:rPr>
          <w:rFonts w:ascii="IRNazanin" w:hAnsi="IRNazanin" w:eastAsia="IRNazanin"/>
          <w:color w:val="111111"/>
          <w:sz w:val="28"/>
          <w:sz w:val="28"/>
          <w:szCs w:val="28"/>
          <w:rtl w:val="true"/>
          <w:lang w:bidi="fa-IR"/>
        </w:rPr>
        <w:t>و منها الرّوایات المتعدّدة</w:t>
      </w:r>
      <w:r>
        <w:rPr>
          <w:rStyle w:val="FootnoteAnchor"/>
          <w:rtl w:val="true"/>
        </w:rPr>
        <w:footnoteReference w:id="237"/>
      </w:r>
      <w:r>
        <w:rPr>
          <w:rFonts w:ascii="IRNazanin" w:hAnsi="IRNazanin" w:eastAsia="IRNazanin"/>
          <w:color w:val="111111"/>
          <w:sz w:val="28"/>
          <w:sz w:val="28"/>
          <w:szCs w:val="28"/>
          <w:rtl w:val="true"/>
          <w:lang w:bidi="fa-IR"/>
        </w:rPr>
        <w:t>فیهما الصّحیح و غیره عن أبی جعفر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 الرّجم و انّه یشهد اربعة انّهم رأوه یدخل و یخرج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ماورد</w:t>
      </w:r>
      <w:r>
        <w:rPr>
          <w:rStyle w:val="FootnoteAnchor"/>
          <w:rtl w:val="true"/>
        </w:rPr>
        <w:footnoteReference w:id="238"/>
      </w:r>
      <w:r>
        <w:rPr>
          <w:rFonts w:ascii="IRNazanin" w:hAnsi="IRNazanin" w:eastAsia="IRNazanin"/>
          <w:color w:val="111111"/>
          <w:sz w:val="28"/>
          <w:sz w:val="28"/>
          <w:szCs w:val="28"/>
          <w:rtl w:val="true"/>
          <w:lang w:bidi="fa-IR"/>
        </w:rPr>
        <w:t>فی رجوع احد الأربعة بعد الرّجم و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ذکرنا من هذه المقیّدات تقیّد المطلقات نفیاً و اثباتاً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یجمع بینهما علی ما هو مقتضی القاعدة و شهادة بعضها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جمیل و محمّد بن حمران</w:t>
      </w:r>
      <w:r>
        <w:rPr>
          <w:rStyle w:val="FootnoteAnchor"/>
          <w:rtl w:val="true"/>
        </w:rPr>
        <w:footnoteReference w:id="239"/>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اتجوز شهادة النّساء فی الحدود؟ فقال فی القتل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 لا یبطل دم امرء مسلم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روایة عبد الرّحمن</w:t>
      </w:r>
      <w:r>
        <w:rPr>
          <w:rStyle w:val="FootnoteAnchor"/>
          <w:rtl w:val="true"/>
        </w:rPr>
        <w:footnoteReference w:id="240"/>
      </w:r>
      <w:r>
        <w:rPr>
          <w:rFonts w:ascii="IRNazanin" w:hAnsi="IRNazanin" w:eastAsia="IRNazanin"/>
          <w:color w:val="111111"/>
          <w:sz w:val="28"/>
          <w:sz w:val="28"/>
          <w:szCs w:val="28"/>
          <w:rtl w:val="true"/>
          <w:lang w:bidi="fa-IR"/>
        </w:rPr>
        <w:t xml:space="preserve">قال سألت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المرأة یحضرها الموت و لیس عندها الاّ امرأة تجوز شهادتها؟ قال تجوز شهادة النّساء فی العذرة و المنفوس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تجوز شهادة النّساء فی الحدود مع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قریب منها مضمرة عبدالله بن سنان</w:t>
      </w:r>
      <w:r>
        <w:rPr>
          <w:rStyle w:val="FootnoteAnchor"/>
          <w:rtl w:val="true"/>
        </w:rPr>
        <w:footnoteReference w:id="2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ذیلها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لا تجوز شهادتها الّا فی المنفوس و العذرة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معتبرة غیاث بن ابراهیم</w:t>
      </w:r>
      <w:r>
        <w:rPr>
          <w:rStyle w:val="FootnoteAnchor"/>
          <w:rtl w:val="true"/>
        </w:rPr>
        <w:footnoteReference w:id="242"/>
      </w:r>
      <w:r>
        <w:rPr>
          <w:rFonts w:ascii="IRNazanin" w:hAnsi="IRNazanin" w:eastAsia="IRNazanin"/>
          <w:color w:val="111111"/>
          <w:sz w:val="28"/>
          <w:sz w:val="28"/>
          <w:szCs w:val="28"/>
          <w:rtl w:val="true"/>
          <w:lang w:bidi="fa-IR"/>
        </w:rPr>
        <w:t xml:space="preserve">عن جعفر بن محمّد عن ابیه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لا تجوز شهادة النّساء فی الحدود و لا فی القود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ما رواه محمّد بن محمّد بن الأشعث</w:t>
      </w:r>
      <w:r>
        <w:rPr>
          <w:rStyle w:val="FootnoteAnchor"/>
          <w:rtl w:val="true"/>
        </w:rPr>
        <w:footnoteReference w:id="243"/>
      </w:r>
      <w:r>
        <w:rPr>
          <w:rFonts w:ascii="IRNazanin" w:hAnsi="IRNazanin" w:eastAsia="IRNazanin"/>
          <w:color w:val="111111"/>
          <w:sz w:val="28"/>
          <w:sz w:val="28"/>
          <w:szCs w:val="28"/>
          <w:rtl w:val="true"/>
          <w:lang w:bidi="fa-IR"/>
        </w:rPr>
        <w:t xml:space="preserve">عن موسی بن جعفر عن ابیه عن أبائه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لا تجوز شهادة النّساء فی الحدود و لا القود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روایة الجعفرّیات</w:t>
      </w:r>
      <w:r>
        <w:rPr>
          <w:rStyle w:val="FootnoteAnchor"/>
          <w:rtl w:val="true"/>
        </w:rPr>
        <w:footnoteReference w:id="244"/>
      </w:r>
      <w:r>
        <w:rPr>
          <w:rFonts w:ascii="IRNazanin" w:hAnsi="IRNazanin" w:eastAsia="IRNazanin"/>
          <w:color w:val="111111"/>
          <w:sz w:val="28"/>
          <w:sz w:val="28"/>
          <w:szCs w:val="28"/>
          <w:rtl w:val="true"/>
          <w:lang w:bidi="fa-IR"/>
        </w:rPr>
        <w:t>بسند آخر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 منها معتبرة السّکونیّ</w:t>
      </w:r>
      <w:r>
        <w:rPr>
          <w:rStyle w:val="FootnoteAnchor"/>
          <w:rtl w:val="true"/>
        </w:rPr>
        <w:footnoteReference w:id="245"/>
      </w:r>
      <w:r>
        <w:rPr>
          <w:rFonts w:ascii="IRNazanin" w:hAnsi="IRNazanin" w:eastAsia="IRNazanin"/>
          <w:color w:val="111111"/>
          <w:sz w:val="28"/>
          <w:sz w:val="28"/>
          <w:szCs w:val="28"/>
          <w:rtl w:val="true"/>
          <w:lang w:bidi="fa-IR"/>
        </w:rPr>
        <w:t xml:space="preserve">عن جعفر عن ابیه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النّساء لا تجوز فی طلاق و لا نکاح و لا حدود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الدّعائم</w:t>
      </w:r>
      <w:r>
        <w:rPr>
          <w:rStyle w:val="FootnoteAnchor"/>
          <w:rtl w:val="true"/>
        </w:rPr>
        <w:footnoteReference w:id="246"/>
      </w:r>
      <w:r>
        <w:rPr>
          <w:rFonts w:ascii="IRNazanin" w:hAnsi="IRNazanin" w:eastAsia="IRNazanin"/>
          <w:color w:val="111111"/>
          <w:sz w:val="28"/>
          <w:sz w:val="28"/>
          <w:szCs w:val="28"/>
          <w:rtl w:val="true"/>
          <w:lang w:bidi="fa-IR"/>
        </w:rPr>
        <w:t xml:space="preserve">عن امیر المؤمنین و أبی جعفر و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تجوز شهادة النّساء فی الطّلاق و لا فی الحدود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امیر المؤمنین</w:t>
      </w:r>
      <w:r>
        <w:rPr>
          <w:rStyle w:val="FootnoteAnchor"/>
          <w:rtl w:val="true"/>
        </w:rPr>
        <w:footnoteReference w:id="2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 قال لا تجوز شهادة النّساء فی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نها ما فی روایة محمّد بن سنان</w:t>
      </w:r>
      <w:r>
        <w:rPr>
          <w:rStyle w:val="FootnoteAnchor"/>
          <w:rtl w:val="true"/>
        </w:rPr>
        <w:footnoteReference w:id="248"/>
      </w:r>
      <w:r>
        <w:rPr>
          <w:rFonts w:ascii="IRNazanin" w:hAnsi="IRNazanin" w:eastAsia="IRNazanin"/>
          <w:color w:val="111111"/>
          <w:sz w:val="28"/>
          <w:sz w:val="28"/>
          <w:szCs w:val="28"/>
          <w:rtl w:val="true"/>
          <w:lang w:bidi="fa-IR"/>
        </w:rPr>
        <w:t xml:space="preserve">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فلذلک لا تجوز شهادتهنّ الاّفی موضوع ضرورةـ الخبرـ</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فتحمل مضمرة عبدالله بن سنان</w:t>
      </w:r>
      <w:r>
        <w:rPr>
          <w:rStyle w:val="FootnoteAnchor"/>
          <w:rtl w:val="true"/>
        </w:rPr>
        <w:footnoteReference w:id="2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بعدها</w:t>
      </w:r>
      <w:r>
        <w:rPr>
          <w:rStyle w:val="FootnoteAnchor"/>
          <w:rtl w:val="true"/>
        </w:rPr>
        <w:footnoteReference w:id="250"/>
      </w:r>
      <w:r>
        <w:rPr>
          <w:rFonts w:ascii="IRNazanin" w:hAnsi="IRNazanin" w:eastAsia="IRNazanin"/>
          <w:color w:val="111111"/>
          <w:sz w:val="28"/>
          <w:sz w:val="28"/>
          <w:szCs w:val="28"/>
          <w:rtl w:val="true"/>
          <w:lang w:bidi="fa-IR"/>
        </w:rPr>
        <w:t>من الرّوایات النّافیة للقبول علی غیر مورد المثبتات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تبقی صحیحة محمّدبن مسلم</w:t>
      </w:r>
      <w:r>
        <w:rPr>
          <w:rStyle w:val="FootnoteAnchor"/>
          <w:rtl w:val="true"/>
        </w:rPr>
        <w:footnoteReference w:id="251"/>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اذا شهد ثلثة رجال و امرأتان لم تجز فی الرّجم، و لا تجوز شهادة النّساء فی القتل؛ معرضة لتلک المعتبرات المثبتة و غیرها المجیزة شهادة ثلاثة رجال و امر أتین فی الرّجم الموجبة للقطع او الوثوق بصدور مضمونها من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بأس بجملها علی التّقیّة، لما فی الخلاف</w:t>
      </w:r>
      <w:r>
        <w:rPr>
          <w:rStyle w:val="FootnoteAnchor"/>
          <w:rtl w:val="true"/>
        </w:rPr>
        <w:footnoteReference w:id="252"/>
      </w:r>
      <w:r>
        <w:rPr>
          <w:rFonts w:ascii="IRNazanin" w:hAnsi="IRNazanin" w:eastAsia="IRNazanin"/>
          <w:color w:val="111111"/>
          <w:sz w:val="28"/>
          <w:sz w:val="28"/>
          <w:szCs w:val="28"/>
          <w:rtl w:val="true"/>
          <w:lang w:bidi="fa-IR"/>
        </w:rPr>
        <w:t>من مخالفة الفقهاء فی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ولو لا ذلک لکانت هی المعمول بها لموافقتها للکتاب</w:t>
      </w:r>
      <w:r>
        <w:rPr>
          <w:rStyle w:val="FootnoteAnchor"/>
          <w:rtl w:val="true"/>
        </w:rPr>
        <w:footnoteReference w:id="253"/>
      </w:r>
      <w:r>
        <w:rPr>
          <w:rFonts w:ascii="IRNazanin" w:hAnsi="IRNazanin" w:eastAsia="IRNazanin"/>
          <w:color w:val="111111"/>
          <w:sz w:val="28"/>
          <w:sz w:val="28"/>
          <w:szCs w:val="28"/>
          <w:rtl w:val="true"/>
          <w:lang w:bidi="fa-IR"/>
        </w:rPr>
        <w:t>و اطلاق مادلّ علی عدم قبول شهادتهنّ فی الحدود و مخالفة تلک لما دلّ علی اعتبار اربعة رجال و للآیة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یضعف خلاف العمّانیّ و المفید و الدّیلمیّ فی القبول لضعف مستند هم لوکانت هی الصّحیحة و اطلاق الکتاب و الرّوایات النّافیة کما هو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خلاف الصّدوقین و القاضی و الحلبیّ و العلاّمة فی المختلف بالنّسبة الی قبول شهادة رجلین و اربع نسوة و ایجابها الجلد، استناداً الی ما فی روایة محمّد بن الفضیل</w:t>
      </w:r>
      <w:r>
        <w:rPr>
          <w:rStyle w:val="FootnoteAnchor"/>
          <w:rtl w:val="true"/>
        </w:rPr>
        <w:footnoteReference w:id="2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المصحّحة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تجوز شهادة رجلین و اربع نسوة فی الزّنا و الرّجم و لا تجوز شهادتهنّ فی الّطلاق و لا فی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یؤیّدها بعض المطلقات کتاباً و سنّةً مضافاً الی الأصل و الی انّه لو ثبت بشهادتهنّ الزّنا لثبت الرّجم و التّالی باطل للأخبار الکثیره الدّالّة علی نفیه، فا لمقدّم مثله و عن المسالک استیجاهه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و ذلک لصحیحة الحلبی</w:t>
      </w:r>
      <w:r>
        <w:rPr>
          <w:rStyle w:val="FootnoteAnchor"/>
          <w:rtl w:val="true"/>
        </w:rPr>
        <w:footnoteReference w:id="255"/>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رجل محصن فجر بامرأة فشهد علیه ثلاثة رجال و امر أتان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وجب علیه الرّجم فأن شهد علیه رجلان و اربع نسوة فلا تجوز شهادتهم و لا یرجم و لکن یضرب الحدّ، حدّ الزّانی</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فأنّها صریحة فی الجلد و تلک ظاهرة فی 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یمکن منع الظّهور لأحتمال کون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تفسیراً للزّنا احتمالاً مساویً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 الصّحیحة علیها لو کانت هی معتبرة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لا سیمّا بقرینة ما فی غیر واحد من لرّوایات المتقدّمة من تقیید عدم القبول بخصوص الرّجم، و الأصل یخرج منه بالدّلیل، و الملازمة ممنوعة، و المطلقات تقیّد بالصحیحة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فما عن الأسکافیّ و الشّیخ و ابنی حمزة و ادری و الفاضل فی القواعد وغیره و الشّهیدین علی ما حکی عن بعضهم، بل نسب الی المشهور من القبول و ایجابه الجلد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الصّحیح الّذی یرکن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فی الخلاف من وجوب الرّجم بشهادة رجلین واربع نسوة و انده الی روایة اصحابنا و ادّعی اجماع الفرقة علیه منظور فیه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الله تعالی کلّها لا تثبت بشهادة النّساء الّا الشّهادة بالزّنا، فأنّه روی اصحابنا انّه یجب الرّجم بشهادة رجلین و اربع نسوة و ثلاث رجال و امرأتین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الحدّ دون الرّجم بشهادة رجل واحد و ستّ نسوة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خالف جمیع الفقهاء</w:t>
      </w:r>
      <w:r>
        <w:rPr>
          <w:rStyle w:val="FootnoteAnchor"/>
          <w:rtl w:val="true"/>
        </w:rPr>
        <w:footnoteReference w:id="257"/>
      </w:r>
      <w:r>
        <w:rPr>
          <w:rFonts w:ascii="IRNazanin" w:hAnsi="IRNazanin" w:eastAsia="IRNazanin"/>
          <w:color w:val="111111"/>
          <w:sz w:val="28"/>
          <w:sz w:val="28"/>
          <w:szCs w:val="28"/>
          <w:rtl w:val="true"/>
          <w:lang w:bidi="fa-IR"/>
        </w:rPr>
        <w:t>فی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قالو لا یثبت شیئ منها بشهادة النّساء لا علی الأنفراد و لا علی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دلیلنا اجماع الفرقة و اخبارهم و قد اوردناها</w:t>
      </w:r>
      <w:r>
        <w:rPr>
          <w:rFonts w:eastAsia="IRNazanin" w:cs="IRNazanin"/>
          <w:color w:val="111111"/>
          <w:sz w:val="28"/>
          <w:szCs w:val="28"/>
          <w:rtl w:val="true"/>
          <w:lang w:bidi="fa-IR"/>
        </w:rPr>
        <w:t>.</w:t>
      </w:r>
      <w:bookmarkStart w:id="89" w:name="pg3023_22472"/>
    </w:p>
    <w:p>
      <w:pPr>
        <w:pStyle w:val="Heading5"/>
        <w:numPr>
          <w:ilvl w:val="4"/>
          <w:numId w:val="1"/>
        </w:numPr>
        <w:rPr/>
      </w:pPr>
      <w:bookmarkStart w:id="90" w:name="__RefHeading___Toc656693_2749589250"/>
      <w:bookmarkStart w:id="91" w:name="_Toc33"/>
      <w:bookmarkEnd w:id="89"/>
      <w:bookmarkEnd w:id="90"/>
      <w:r>
        <w:rPr>
          <w:rtl w:val="true"/>
        </w:rPr>
        <w:t>لا ثبت بشهادة رجل واحد و ستّ نساء او ازید</w:t>
      </w:r>
      <w:bookmarkEnd w:id="91"/>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یثبت الزّنا بشهادة رجل واحد و ستّ نساء او ازید، و لا بشهادة رجلین عدلین و لا بشاهد و یمین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نقص عدد الشّهود عن النّصاب المعتبر فیحدّون للقذف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فی 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یثبت الزّنا بشهادة رجل واحد مع النّساء ستّا کنّ او ازید فضلا عن اقلّ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یثبت بشهادة رجلین عدلین و لا بشاهد و یمین بلا اشکال و لا خلاف الاّ ما سبق فی عبارة الخلاف من وجوب الحدّ دون ارّجم بشهادة رجل واحد و ستّ نسوة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العجیب استدلاله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مدّعاه باجماع الفرقة و اخبارهم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الظاّهر اتّفاق الأصحاب علی عدم ثبوت الزّنا مطلقاً بشهادة النّساء منفردات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یکفی دلیلا علیه ما سبق فی باب الشّهادات و بعض ما تقدّم فی اوّل المبحث</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مورد لم یقبل شهادة شهود الزّنا لنقص عددهم عن العدد المعتبر فیحدّون للقذف، کما سنتعرضّ له فة محلّه انشاء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علیه ذیل صحیحة ابن قیس الأتیة و معتبرة السّکونیّ</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bookmarkStart w:id="92" w:name="pg3023_22473"/>
    </w:p>
    <w:p>
      <w:pPr>
        <w:pStyle w:val="Heading4"/>
        <w:numPr>
          <w:ilvl w:val="3"/>
          <w:numId w:val="1"/>
        </w:numPr>
        <w:rPr/>
      </w:pPr>
      <w:bookmarkStart w:id="93" w:name="__RefHeading___Toc656695_2749589250"/>
      <w:bookmarkStart w:id="94" w:name="_Toc34"/>
      <w:bookmarkEnd w:id="92"/>
      <w:bookmarkEnd w:id="93"/>
      <w:r>
        <w:rPr>
          <w:rtl w:val="true"/>
        </w:rPr>
        <w:t>فی ما یعتبر فی الشّهادة</w:t>
      </w:r>
      <w:r>
        <w:rPr>
          <w:rtl w:val="true"/>
        </w:rPr>
        <w:t xml:space="preserve">: </w:t>
      </w:r>
      <w:r>
        <w:rPr>
          <w:rtl w:val="true"/>
        </w:rPr>
        <w:t>الاوّل</w:t>
      </w:r>
      <w:r>
        <w:rPr>
          <w:rtl w:val="true"/>
        </w:rPr>
        <w:t xml:space="preserve">: </w:t>
      </w:r>
      <w:r>
        <w:rPr>
          <w:rtl w:val="true"/>
        </w:rPr>
        <w:t>الشّهادة بالادخال و الاخراج</w:t>
      </w:r>
      <w:bookmarkEnd w:id="94"/>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شهود الزّنا مضافاً الی العدالة فی مطلق الشّاهد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الشّهادة بلأدخال و الأخراج کالمیل فی المکحلة و لا فرق فی ذلک بین الزّنا الموجب للجلد او 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المعتبرات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الشّهادة بالرّؤیة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یحدّ اذا قال الشّاهد انّه جلس منها مجلس الرّجل من امرأته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قبول شهادتهم مضافا الی اعتبار العدالة فی مطلق الشّاهد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شهادتهم بمعاینة الأدخال و الأخراج فی الفرج کالمیل فی المکحلة، کما هو ظاهر القواعد و الشّرایع بل علی المشهور شهرة عظیمة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الجواهر بلا خلاف معتدّ به اجده فیه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المهذّب </w:t>
      </w:r>
      <w:r>
        <w:rPr>
          <w:rFonts w:eastAsia="IRNazanin" w:cs="IRNazanin"/>
          <w:color w:val="111111"/>
          <w:sz w:val="28"/>
          <w:szCs w:val="28"/>
          <w:rtl w:val="true"/>
          <w:lang w:bidi="fa-IR"/>
        </w:rPr>
        <w:t>(</w:t>
      </w:r>
      <w:r>
        <w:rPr>
          <w:rFonts w:eastAsia="IRNazanin" w:cs="IRNazanin"/>
          <w:color w:val="111111"/>
          <w:sz w:val="28"/>
          <w:szCs w:val="28"/>
          <w:lang w:bidi="fa-IR"/>
        </w:rPr>
        <w:t>27/315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الأجماع علیه و یدلّ علی ذلک فی الزّنا الموجب للرّجم، روایات متعددّة مستفیضة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صحیحة الحلبیّ</w:t>
      </w:r>
      <w:r>
        <w:rPr>
          <w:rStyle w:val="FootnoteAnchor"/>
          <w:rtl w:val="true"/>
        </w:rPr>
        <w:footnoteReference w:id="259"/>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 الرّجم ان یشهد اربع انّهم رأوه یدخل و یخرج</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قریب منها روایة ابی بصیر</w:t>
      </w:r>
      <w:r>
        <w:rPr>
          <w:rStyle w:val="FootnoteAnchor"/>
          <w:rtl w:val="true"/>
        </w:rPr>
        <w:footnoteReference w:id="260"/>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صحیحة محمّد بن قیس</w:t>
      </w:r>
      <w:r>
        <w:rPr>
          <w:rStyle w:val="FootnoteAnchor"/>
          <w:rtl w:val="true"/>
        </w:rPr>
        <w:footnoteReference w:id="261"/>
      </w:r>
      <w:r>
        <w:rPr>
          <w:rFonts w:ascii="IRNazanin" w:hAnsi="IRNazanin" w:eastAsia="IRNazanin"/>
          <w:color w:val="111111"/>
          <w:sz w:val="28"/>
          <w:sz w:val="28"/>
          <w:szCs w:val="28"/>
          <w:rtl w:val="true"/>
          <w:lang w:bidi="fa-IR"/>
        </w:rPr>
        <w:t xml:space="preserve">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یرجم رجل و لا امرأة حتّی یشهد علیه اربعة شهود علی الأیلاج و الأخراج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نحوها روایة العلل</w:t>
      </w:r>
      <w:r>
        <w:rPr>
          <w:rStyle w:val="FootnoteAnchor"/>
          <w:rtl w:val="true"/>
        </w:rPr>
        <w:footnoteReference w:id="262"/>
      </w:r>
      <w:r>
        <w:rPr>
          <w:rFonts w:ascii="IRNazanin" w:hAnsi="IRNazanin" w:eastAsia="IRNazanin"/>
          <w:color w:val="111111"/>
          <w:sz w:val="28"/>
          <w:sz w:val="28"/>
          <w:szCs w:val="28"/>
          <w:rtl w:val="true"/>
          <w:lang w:bidi="fa-IR"/>
        </w:rPr>
        <w:t xml:space="preserve">و فی ذیلها قال و قال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احبّ ان اکون اوبل الشّهود الأربعة علی الزّنا، اخشی ان ینکل بعضهم فأجلد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روایة ابی بصیر</w:t>
      </w:r>
      <w:r>
        <w:rPr>
          <w:rStyle w:val="FootnoteAnchor"/>
          <w:rtl w:val="true"/>
        </w:rPr>
        <w:footnoteReference w:id="263"/>
      </w:r>
      <w:r>
        <w:rPr>
          <w:rFonts w:ascii="IRNazanin" w:hAnsi="IRNazanin" w:eastAsia="IRNazanin"/>
          <w:color w:val="111111"/>
          <w:sz w:val="28"/>
          <w:sz w:val="28"/>
          <w:szCs w:val="28"/>
          <w:rtl w:val="true"/>
          <w:lang w:bidi="fa-IR"/>
        </w:rPr>
        <w:t xml:space="preserve">الموثقّة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بعلیّ بن ابی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یحب الرّجم حتّی یشهد الشّهود الأربع انّهم قد رأوه یجامعها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 منها موثّقتة الثّانیة</w:t>
      </w:r>
      <w:r>
        <w:rPr>
          <w:rStyle w:val="FootnoteAnchor"/>
          <w:rtl w:val="true"/>
        </w:rPr>
        <w:footnoteReference w:id="26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یرجم الرّجل و المرأة حتّی یشهد علیها اربعة شهدآء علی الجماع و الأیلاج و الأدخال کالمیل فی المکحلة و کصحیحة الحلبیّ بزیادة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الرّجم روایتا معاویة بن عمّار</w:t>
      </w:r>
      <w:r>
        <w:rPr>
          <w:rStyle w:val="FootnoteAnchor"/>
          <w:rtl w:val="true"/>
        </w:rPr>
        <w:footnoteReference w:id="265"/>
      </w:r>
      <w:r>
        <w:rPr>
          <w:rFonts w:ascii="IRNazanin" w:hAnsi="IRNazanin" w:eastAsia="IRNazanin"/>
          <w:color w:val="111111"/>
          <w:sz w:val="28"/>
          <w:sz w:val="28"/>
          <w:szCs w:val="28"/>
          <w:rtl w:val="true"/>
          <w:lang w:bidi="fa-IR"/>
        </w:rPr>
        <w:t xml:space="preserve">و عبدالله بن سنان </w:t>
      </w:r>
      <w:r>
        <w:rPr>
          <w:rStyle w:val="FootnoteAnchor"/>
          <w:rtl w:val="true"/>
        </w:rPr>
        <w:footnoteReference w:id="266"/>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نوادر احمد بن محمّد بن عیسی</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الزّنا الموجب للجلد صحیحة محمّد بن قیس</w:t>
      </w:r>
      <w:r>
        <w:rPr>
          <w:rStyle w:val="FootnoteAnchor"/>
          <w:rtl w:val="true"/>
        </w:rPr>
        <w:footnoteReference w:id="267"/>
      </w:r>
      <w:r>
        <w:rPr>
          <w:rFonts w:ascii="IRNazanin" w:hAnsi="IRNazanin" w:eastAsia="IRNazanin"/>
          <w:color w:val="111111"/>
          <w:sz w:val="28"/>
          <w:sz w:val="28"/>
          <w:szCs w:val="28"/>
          <w:rtl w:val="true"/>
          <w:lang w:bidi="fa-IR"/>
        </w:rPr>
        <w:t xml:space="preserve">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یجلد رجل و لا امرأة حتّی یشهد علیهما اربعة شهود علی الأیلاج و الأخراج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لا اکون اوّل الشّهود الأربعة، اخشی الرّوعة ان ینکل بعضهم فأجلد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یشهد علی اعتباره فی مطلق الزّنا روایة سماعة</w:t>
      </w:r>
      <w:r>
        <w:rPr>
          <w:rStyle w:val="FootnoteAnchor"/>
          <w:rtl w:val="true"/>
        </w:rPr>
        <w:footnoteReference w:id="268"/>
      </w:r>
      <w:r>
        <w:rPr>
          <w:rFonts w:ascii="IRNazanin" w:hAnsi="IRNazanin" w:eastAsia="IRNazanin"/>
          <w:color w:val="111111"/>
          <w:sz w:val="28"/>
          <w:sz w:val="28"/>
          <w:szCs w:val="28"/>
          <w:rtl w:val="true"/>
          <w:lang w:bidi="fa-IR"/>
        </w:rPr>
        <w:t>و ابی بصیر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یحدّ الزّانی حتّی یشهد علیه اربعة شهود علی الجماع و الأیلاج و الخروج کالمیل فی المکحلة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 الحکم فی القسمین ورایة الدّعائم</w:t>
      </w:r>
      <w:r>
        <w:rPr>
          <w:rStyle w:val="FootnoteAnchor"/>
          <w:rtl w:val="true"/>
        </w:rPr>
        <w:footnoteReference w:id="269"/>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لا یرجم الرّجل و لا المرأة حتّی یشهد علیهما اربعة رجال عدول مسلمون انّهم رأوه یجامعها و نظروا الی الأیلاج و الأخراج کالمیل فی المکحلة، و کذلک لا یحدّان ان لم یکونا محصنین الّا بمثل هذهی الشّهادة</w:t>
      </w:r>
      <w:r>
        <w:rPr>
          <w:rFonts w:eastAsia="IRNazanin" w:cs="IRNazanin"/>
          <w:color w:val="111111"/>
          <w:sz w:val="28"/>
          <w:szCs w:val="28"/>
          <w:rtl w:val="true"/>
          <w:lang w:bidi="fa-IR"/>
        </w:rPr>
        <w:t>.</w:t>
      </w:r>
      <w:bookmarkStart w:id="95" w:name="pg3023_22475"/>
    </w:p>
    <w:p>
      <w:pPr>
        <w:pStyle w:val="Heading4"/>
        <w:numPr>
          <w:ilvl w:val="3"/>
          <w:numId w:val="1"/>
        </w:numPr>
        <w:rPr/>
      </w:pPr>
      <w:bookmarkStart w:id="96" w:name="__RefHeading___Toc656697_2749589250"/>
      <w:bookmarkStart w:id="97" w:name="_Toc35"/>
      <w:bookmarkEnd w:id="95"/>
      <w:bookmarkEnd w:id="96"/>
      <w:r>
        <w:rPr>
          <w:rtl w:val="true"/>
        </w:rPr>
        <w:t>اشکال المبانی فی اعتبار المعاینة فی الشّهادة</w:t>
      </w:r>
      <w:bookmarkEnd w:id="9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مقتضی صحیحتی</w:t>
      </w:r>
      <w:r>
        <w:rPr>
          <w:rStyle w:val="FootnoteAnchor"/>
          <w:rtl w:val="true"/>
        </w:rPr>
        <w:footnoteReference w:id="270"/>
      </w:r>
      <w:r>
        <w:rPr>
          <w:rStyle w:val="FootnoteAnchor"/>
          <w:rtl w:val="true"/>
        </w:rPr>
        <w:footnoteReference w:id="271"/>
      </w:r>
      <w:r>
        <w:rPr>
          <w:rFonts w:ascii="IRNazanin" w:hAnsi="IRNazanin" w:eastAsia="IRNazanin"/>
          <w:color w:val="111111"/>
          <w:sz w:val="28"/>
          <w:sz w:val="28"/>
          <w:szCs w:val="28"/>
          <w:rtl w:val="true"/>
          <w:lang w:bidi="fa-IR"/>
        </w:rPr>
        <w:t>ابن قیس و کذا موثّقة ابی بصیر</w:t>
      </w:r>
      <w:r>
        <w:rPr>
          <w:rStyle w:val="FootnoteAnchor"/>
          <w:rtl w:val="true"/>
        </w:rPr>
        <w:footnoteReference w:id="272"/>
      </w:r>
      <w:r>
        <w:rPr>
          <w:rFonts w:ascii="IRNazanin" w:hAnsi="IRNazanin" w:eastAsia="IRNazanin"/>
          <w:color w:val="111111"/>
          <w:sz w:val="28"/>
          <w:sz w:val="28"/>
          <w:szCs w:val="28"/>
          <w:rtl w:val="true"/>
          <w:lang w:bidi="fa-IR"/>
        </w:rPr>
        <w:t>الثّانیة کون العبرة بشهادة الشّهود علی الأیلاج و الأخراج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کصحیحة حریز</w:t>
      </w:r>
      <w:r>
        <w:rPr>
          <w:rStyle w:val="FootnoteAnchor"/>
          <w:rtl w:val="true"/>
        </w:rPr>
        <w:footnoteReference w:id="273"/>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القاذف یجلد ثمانین جلدة و لا تقبل له شهادة ابداً الاّ بعد التّوبة او یکذّب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شهد له ثلاثة و ابی واحد یجلد الثّلاثّة و لا تقبل شهادتهم حتّی یقول اربعة رأینا مثل المیل فی المکحلة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صحیحة الحلبیّ</w:t>
      </w:r>
      <w:r>
        <w:rPr>
          <w:rStyle w:val="FootnoteAnchor"/>
          <w:rtl w:val="true"/>
        </w:rPr>
        <w:footnoteReference w:id="274"/>
      </w:r>
      <w:r>
        <w:rPr>
          <w:rFonts w:ascii="IRNazanin" w:hAnsi="IRNazanin" w:eastAsia="IRNazanin"/>
          <w:color w:val="111111"/>
          <w:sz w:val="28"/>
          <w:sz w:val="28"/>
          <w:szCs w:val="28"/>
          <w:rtl w:val="true"/>
          <w:lang w:bidi="fa-IR"/>
        </w:rPr>
        <w:t>اعتبار تعلّق الشّهادة برؤیتهم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کموثّقة ابی بصیر الأولی</w:t>
      </w:r>
      <w:r>
        <w:rPr>
          <w:rStyle w:val="FootnoteAnchor"/>
          <w:rtl w:val="true"/>
        </w:rPr>
        <w:footnoteReference w:id="275"/>
      </w:r>
      <w:r>
        <w:rPr>
          <w:rFonts w:ascii="IRNazanin" w:hAnsi="IRNazanin" w:eastAsia="IRNazanin"/>
          <w:color w:val="111111"/>
          <w:sz w:val="28"/>
          <w:sz w:val="28"/>
          <w:szCs w:val="28"/>
          <w:rtl w:val="true"/>
          <w:lang w:bidi="fa-IR"/>
        </w:rPr>
        <w:t>و روایة الأخری</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المناط ما یعطیه تلک فلا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لأمکان حصول العلم للشّاهد من مشاهدة المقدّمات و الأمور الملازمة للمشهود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الجماع و الأدخال و الأیلاج و ان لم یعا ین ذلک و کما ربّما یعطیه کلام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اظهر منه ما ذکره فی باب الشّهادات، و الّا فیشکل الأمر لو اعتبر المعاینة علی ما یذکره الطّائفة الأخیرة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تسمع الشّهادة به الّا اذا عوین کذلک</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الأشکال ما اشار الیه فی المبانی من عدم تحقّق ذلک فی الخارج الّا فی فرض نادر و لازمه سدّ باب الشّهادة علی الزّنا نوعاً، مع تحقّعها کثیراً فی زمن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بعده و حدّ المشهود علیه بالارّجم او الجلد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استنتج من ذلک امکان الشّهادة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علی الجماع کسایر الأفعال برؤیة مقدّماته الملازمة له خارجاً الّتی توجب تحقّق صدق الرّأیة و الحسّ بالنّسبة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اعتبار الرّؤیة فی روایة ابی بصیر</w:t>
      </w:r>
      <w:r>
        <w:rPr>
          <w:rStyle w:val="FootnoteAnchor"/>
          <w:rtl w:val="true"/>
        </w:rPr>
        <w:footnoteReference w:id="277"/>
      </w:r>
      <w:r>
        <w:rPr>
          <w:rFonts w:ascii="IRNazanin" w:hAnsi="IRNazanin" w:eastAsia="IRNazanin"/>
          <w:color w:val="111111"/>
          <w:sz w:val="28"/>
          <w:sz w:val="28"/>
          <w:szCs w:val="28"/>
          <w:rtl w:val="true"/>
          <w:lang w:bidi="fa-IR"/>
        </w:rPr>
        <w:t>علی اعتبارها فی الشّهادة و یکفی فیها رؤیة الأفعال الملازمة له فیشهد علی الأدخال واعتبارها فی صحیحة حریز</w:t>
      </w:r>
      <w:r>
        <w:rPr>
          <w:rStyle w:val="FootnoteAnchor"/>
          <w:rtl w:val="true"/>
        </w:rPr>
        <w:footnoteReference w:id="278"/>
      </w:r>
      <w:r>
        <w:rPr>
          <w:rFonts w:ascii="IRNazanin" w:hAnsi="IRNazanin" w:eastAsia="IRNazanin"/>
          <w:color w:val="111111"/>
          <w:sz w:val="28"/>
          <w:sz w:val="28"/>
          <w:szCs w:val="28"/>
          <w:rtl w:val="true"/>
          <w:lang w:bidi="fa-IR"/>
        </w:rPr>
        <w:t>علی رؤیة المقدّمات الملازمة له خارجاً الموجبة لصدقها بالنِسبة الی الجماع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محیص عمّا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الرّویة للأیلاج و الأدخال و الأخراج مستلزمة غالباً للأشراف علی العمل و معاینی العضوین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لا یدخل الاّ بین رجلیها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اشارة</w:t>
      </w:r>
    </w:p>
    <w:p>
      <w:pPr>
        <w:pStyle w:val="BookText"/>
        <w:rPr/>
      </w:pPr>
      <w:r>
        <w:rPr>
          <w:rFonts w:ascii="IRNazanin" w:hAnsi="IRNazanin" w:eastAsia="IRNazanin"/>
          <w:color w:val="111111"/>
          <w:sz w:val="28"/>
          <w:sz w:val="28"/>
          <w:szCs w:val="28"/>
          <w:rtl w:val="true"/>
          <w:lang w:bidi="fa-IR"/>
        </w:rPr>
        <w:t>فی موثّقة زرارة</w:t>
      </w:r>
      <w:r>
        <w:rPr>
          <w:rStyle w:val="FootnoteAnchor"/>
          <w:rtl w:val="true"/>
        </w:rPr>
        <w:footnoteReference w:id="279"/>
      </w:r>
      <w:r>
        <w:rPr>
          <w:rFonts w:ascii="IRNazanin" w:hAnsi="IRNazanin" w:eastAsia="IRNazanin"/>
          <w:color w:val="111111"/>
          <w:sz w:val="28"/>
          <w:sz w:val="28"/>
          <w:szCs w:val="28"/>
          <w:rtl w:val="true"/>
          <w:lang w:bidi="fa-IR"/>
        </w:rPr>
        <w:t xml:space="preserve">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اذا قال الشّاهد انّه قد جلس منها مجلس الرّجل من امرأته اقیم علیه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فرض عدم ارادة التّعزیز من الحدّ و عدم کونها او عدّها من روایات الأجتماع تحت ازار او لحاف واحد فمرجوح قبال تلک الرّوایات الصّریحة فی اعتبار معاینة الأیلاج و الأخراج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ذکر فی الجواهر عدم حکایة العمل به من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عن الشّیخ احتماله فی الجلد دون الرّجم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المجلسیّ</w:t>
      </w:r>
      <w:r>
        <w:rPr>
          <w:rStyle w:val="FootnoteAnchor"/>
          <w:rtl w:val="true"/>
        </w:rPr>
        <w:footnoteReference w:id="2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تبعه، فلم یشترط فی الجلد المعاینة کالمیل فی المکحلة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الأخبار الدّالّة علی ذلک علی اشتراطه فی الرّجم واخبار الأنقص من مأة 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الأجتماع علی التّقیّة</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استفاد من صحیحة عبد الرّحمن بن الحجّاج و امثالها ممّا ورد بالنّاقص حملها علی التّقیّة و احتمل فهم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للخبر کذلک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تبع اباه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282"/>
      </w:r>
      <w:r>
        <w:rPr>
          <w:rFonts w:ascii="IRNazanin" w:hAnsi="IRNazanin" w:eastAsia="IRNazanin"/>
          <w:color w:val="111111"/>
          <w:sz w:val="28"/>
          <w:sz w:val="28"/>
          <w:szCs w:val="28"/>
          <w:rtl w:val="true"/>
          <w:lang w:bidi="fa-IR"/>
        </w:rPr>
        <w:t>فی بعض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سیأتی فی باب الأجتماع فی لحاف او ازار اوثوب واحد الجمع بین اخبار الباب، و انّ ما ذکراه لیس طریقاً للجمع، ضعیف، و لا مانع من حمل الموثّقة علی التّعزیر، او کونها من اخبار الأجتماع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یجمع بینها و بین نصوص الأقلّ من مأة سوط، کما یجمع بینها و بین مادلّ علی المأة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تکمیل</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مقتضی اعتبار الرّؤیة عدم امکان تحقّق الشّهادة من الأعمی و لو لحصول العلم له بحسّ العضوین و ادراک الأیلاج و الأخراج بحاسّة اللاّمسة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حمل ما دلّ علی الأعتبار علی الغالب فلا مانع من القبول، کماانّ مقتضی الجمود علی ما فی روایات الباب عدم کفیة شهادة الأیلاج حتّی یضمّ الأخراج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دخلمه فی ذلک لزیاة الأستظهار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فیکفی شهادة الأیلاج فقط لا سیمّا بالنّظر الی تعریف الزّنا بالأدخال وحده</w:t>
      </w:r>
      <w:r>
        <w:rPr>
          <w:rFonts w:eastAsia="IRNazanin" w:cs="IRNazanin"/>
          <w:color w:val="111111"/>
          <w:sz w:val="28"/>
          <w:szCs w:val="28"/>
          <w:rtl w:val="true"/>
          <w:lang w:bidi="fa-IR"/>
        </w:rPr>
        <w:t>.</w:t>
      </w:r>
      <w:bookmarkStart w:id="98" w:name="pg3023_22478"/>
    </w:p>
    <w:p>
      <w:pPr>
        <w:pStyle w:val="Heading4"/>
        <w:numPr>
          <w:ilvl w:val="3"/>
          <w:numId w:val="1"/>
        </w:numPr>
        <w:rPr/>
      </w:pPr>
      <w:bookmarkStart w:id="99" w:name="__RefHeading___Toc656699_2749589250"/>
      <w:bookmarkStart w:id="100" w:name="_Toc36"/>
      <w:bookmarkEnd w:id="98"/>
      <w:bookmarkEnd w:id="99"/>
      <w:r>
        <w:rPr>
          <w:rtl w:val="true"/>
        </w:rPr>
        <w:t>الثانی</w:t>
      </w:r>
      <w:r>
        <w:rPr>
          <w:rtl w:val="true"/>
        </w:rPr>
        <w:t xml:space="preserve">: </w:t>
      </w:r>
      <w:r>
        <w:rPr>
          <w:rtl w:val="true"/>
        </w:rPr>
        <w:t>اتّفاق الشّهود فی الخصوصیّات</w:t>
      </w:r>
      <w:bookmarkEnd w:id="100"/>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الشّهود فی الخصوصیّات الّتی یتعدد الفعل باختلافها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اختلفو ولم یکن الشّهادة علی امر واحد فیحدّن دون المشهود علیه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شهد اثنان علی کون الزّنا صبحاً، و آخران علی کونه عصراً؛ او شهد اثنان علی کونه فی مکان او بلد؛ و آخران فی مکان آخر او بلد آخر؛ او شهد الأوّلان علی کونهما عاریین، و الآخران علی کونهما کاسیین، حدّوا جمیعت للقذف، ولا یحدّ المشهود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الثّانی ممّا یعتبر فی الشّهادة اتّفاق الشّهود علی الخصوصیّات الّتی یتعدد الفعل بتعدّدها و اختلافها، حتی تکون الشّهادة علی فعل واحد، سواء ذکروها او بعضها، او ذکرها بعض و اطلق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اختلفوا و لم یکن الشّهادة عل امر واحد، حدّوا للقذف بلاشکال و 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تعرّض للمسئلة فی الخلاف و المبسوط</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الخلاف</w:t>
      </w:r>
      <w:r>
        <w:rPr>
          <w:rStyle w:val="FootnoteAnchor"/>
          <w:rtl w:val="true"/>
        </w:rPr>
        <w:footnoteReference w:id="283"/>
      </w:r>
      <w:r>
        <w:rPr>
          <w:rFonts w:ascii="IRNazanin" w:hAnsi="IRNazanin" w:eastAsia="IRNazanin"/>
          <w:color w:val="111111"/>
          <w:sz w:val="28"/>
          <w:sz w:val="28"/>
          <w:szCs w:val="28"/>
          <w:rtl w:val="true"/>
          <w:lang w:bidi="fa-IR"/>
        </w:rPr>
        <w:t>اذا شهد اثنان انّه زنی بالبصرة و اثنان انّه زنی بالکوفة فلا حدّ علی المشهود علیه بلا خلاف، و علی الشّهود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للشّافعیّ فیه قولان احد هما مثل ما قلناه، و الثبانی لا یحدّون و به قال ابو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استدلّ با لأیة الشّریفة</w:t>
      </w:r>
      <w:r>
        <w:rPr>
          <w:rStyle w:val="FootnoteAnchor"/>
          <w:rtl w:val="true"/>
        </w:rPr>
        <w:footnoteReference w:id="284"/>
      </w:r>
      <w:r>
        <w:rPr>
          <w:rFonts w:ascii="IRNazanin" w:hAnsi="IRNazanin" w:eastAsia="IRNazanin"/>
          <w:color w:val="111111"/>
          <w:sz w:val="28"/>
          <w:sz w:val="28"/>
          <w:szCs w:val="28"/>
          <w:rtl w:val="true"/>
          <w:lang w:bidi="fa-IR"/>
        </w:rPr>
        <w:t>و الّذین یرمون المحصنات ـ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المسئلة التّالیة</w:t>
      </w:r>
      <w:r>
        <w:rPr>
          <w:rStyle w:val="FootnoteAnchor"/>
          <w:rtl w:val="true"/>
        </w:rPr>
        <w:footnoteReference w:id="285"/>
      </w:r>
      <w:r>
        <w:rPr>
          <w:rFonts w:ascii="IRNazanin" w:hAnsi="IRNazanin" w:eastAsia="IRNazanin"/>
          <w:color w:val="111111"/>
          <w:sz w:val="28"/>
          <w:sz w:val="28"/>
          <w:szCs w:val="28"/>
          <w:rtl w:val="true"/>
          <w:lang w:bidi="fa-IR"/>
        </w:rPr>
        <w:t>اذا شهد اربعة علی رجل انّه زنی فی هذا البیت، و اضاف کلّ واحد منهم شهادته الی زاویة منه مخالفة للأخری، فأنّه لا حدّ علی المشهود علیه، و یحدّون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کذالک ان شهد اثنان علی زاویة و آخران یشهدان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آخران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زاویة اخری لا یختلف الحکم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وافقنا الشّافعی فی سقوط الحدّ عن المشهود علیه و قال فی الحدّ علیهم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ابو حنیفة القیاس انّه لا حدّ علی المشهود علیه، لکن اجلده ان کان بکراً او ارجمه 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کان ثیّباً استحساناً</w:t>
      </w:r>
      <w:r>
        <w:rPr>
          <w:rStyle w:val="FootnoteAnchor"/>
          <w:rtl w:val="true"/>
        </w:rPr>
        <w:footnoteReference w:id="286"/>
      </w:r>
      <w:r>
        <w:rPr>
          <w:rFonts w:ascii="IRNazanin" w:hAnsi="IRNazanin" w:eastAsia="IRNazanin"/>
          <w:color w:val="111111"/>
          <w:sz w:val="28"/>
          <w:sz w:val="28"/>
          <w:szCs w:val="28"/>
          <w:rtl w:val="true"/>
          <w:lang w:bidi="fa-IR"/>
        </w:rPr>
        <w:t>ثمّ استدلّ الشیخ علی 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نحوما فی الخلاف فی المبسوط</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فلو شهد اثنان علی کون الزّنا صبحا و آخران علی کونه عصراً او اثنان علی کونه فی بلد و آخران فی بلد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فی مکان، و آخران فی مکان آخر کفوق البیت و تحته، او الغرفة الیمینیّة و الیساریّة ؛ او عاریین و کاسیین، و منه انّه زنی بفلانة و آخران بغیرها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حدّوا جمیعاً للقذف</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یؤید ذلک روایة الجعفریّات بسند ها الی جعفر بن محمّد عن ابیه عن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الشّهود اذا شهدوا علی رجل بالزّنا فاختلفوا فی الأماکن جلدوا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و لو قیّد اثنان و اطلق الأخران فلا مانع من القبول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لو شهد اثنان علی کونه لیلاً و اطلق الأخران؛ او علی وقوع الزّنا فی البیت او الصّحراء مثلا و اطلق الأخران، او علی کونها عاریین و الق الباقیان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الحدّ لتحقّق الشّهادة و امکان انطباق المطلق علی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 من ذلک بالقبول مالم یذکروا المکان و الزّمان و الحالة و ذلک لأطلاق روایات قبول الشّهادة، و علی کونها بالأیلاج و الأخراج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یمنع الأختلاف فی القیود من وحدة الفعل المشهود به، فلا تکمل شهادة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فأذا اطلقوا او اطلق بعض و قیّد بعض بحیث لا یتعدّد المشهود به فیشمله الأطلاق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حمل موثقّة عمّار السّاباطیّ علیه</w:t>
      </w:r>
      <w:r>
        <w:rPr>
          <w:rStyle w:val="FootnoteAnchor"/>
          <w:rtl w:val="true"/>
        </w:rPr>
        <w:footnoteReference w:id="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سألت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ِشهد علیه ثلاثة رجال انّه قد زنی بفلانة و یشهد الرّابع انّه لا یدری بمن زنی، قال لا یحدّ و لا یرجم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لعدم کمال الشّهادة من الأربعة علی حصول الزّنا بأمرأة و حینئذٍ فیحدّ الثّلاثة للقذف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اعتبار الأتّفاق فی الخصوصیّات، و لا یکفی الأطلاق من بعض بحیث یمکن ان ینطبق علی المقیّد من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فأنّه اذا اعترف انّه لا یدری بمن زنی فقد شهد بالزّنا من المشهود علیه، و اتّفق مع الشّهود الثّلاثة فة اصله و لم یتّفق معهم فی خصوصیّة المزنیّ بها و ان احتمل کونها هی تلک، فلا یکفی، لکنّ الأنسب کما یشهد ظاهره؛ عدم انطباق المطلق علی المقیّد من غیره و لیس بخیث یقیّد اطلاق ما دلّ عل کفایة الشّهادة علی الأیلاج و الأخراج فی ثبوت الحدّ</w:t>
      </w:r>
      <w:r>
        <w:rPr>
          <w:rFonts w:eastAsia="IRNazanin" w:cs="IRNazanin"/>
          <w:color w:val="111111"/>
          <w:sz w:val="28"/>
          <w:szCs w:val="28"/>
          <w:rtl w:val="true"/>
          <w:lang w:bidi="fa-IR"/>
        </w:rPr>
        <w:t>.</w:t>
      </w:r>
      <w:bookmarkStart w:id="101" w:name="pg3023_22482"/>
    </w:p>
    <w:p>
      <w:pPr>
        <w:pStyle w:val="Heading4"/>
        <w:numPr>
          <w:ilvl w:val="3"/>
          <w:numId w:val="1"/>
        </w:numPr>
        <w:rPr/>
      </w:pPr>
      <w:bookmarkStart w:id="102" w:name="__RefHeading___Toc656701_2749589250"/>
      <w:bookmarkStart w:id="103" w:name="_Toc37"/>
      <w:bookmarkEnd w:id="101"/>
      <w:bookmarkEnd w:id="102"/>
      <w:r>
        <w:rPr>
          <w:rtl w:val="true"/>
        </w:rPr>
        <w:t>اذا شهد بعض بالزّنا مکرهاً و آخر علی المطاوعة</w:t>
      </w:r>
      <w:bookmarkEnd w:id="103"/>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شهد بعضهم بالزّنا مکرهاً و آخر علی المطاوعة، فهل یثبت حدّ الزّنا؟ الأقوی ثبوته بالنّسبة الی الرّجل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المرئة فلا حدّ علیها اتّفاقاً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شهد بعضهم بالزّنا مکرهاً و بعضهم علی المطاوعة فهل یثبت الحدّ علی المشهود علیه؟ فیه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المبسوط</w:t>
      </w:r>
      <w:r>
        <w:rPr>
          <w:rStyle w:val="FootnoteAnchor"/>
          <w:rtl w:val="true"/>
        </w:rPr>
        <w:footnoteReference w:id="290"/>
      </w:r>
      <w:r>
        <w:rPr>
          <w:rFonts w:ascii="Amiri" w:hAnsi="Amiri" w:eastAsia="Amiri" w:cs="Amiri"/>
          <w:color w:val="111111"/>
          <w:sz w:val="28"/>
          <w:sz w:val="28"/>
          <w:szCs w:val="28"/>
          <w:rtl w:val="true"/>
          <w:lang w:bidi="ar-SA"/>
        </w:rPr>
        <w:t>و السّرائر</w:t>
      </w:r>
      <w:r>
        <w:rPr>
          <w:rStyle w:val="FootnoteAnchor"/>
          <w:rtl w:val="true"/>
        </w:rPr>
        <w:footnoteReference w:id="291"/>
      </w:r>
      <w:r>
        <w:rPr>
          <w:rFonts w:ascii="IRNazanin" w:hAnsi="IRNazanin" w:eastAsia="IRNazanin"/>
          <w:color w:val="111111"/>
          <w:sz w:val="28"/>
          <w:sz w:val="28"/>
          <w:szCs w:val="28"/>
          <w:rtl w:val="true"/>
          <w:lang w:bidi="fa-IR"/>
        </w:rPr>
        <w:t>و عن ابنی الجنید و حمزة و القواعد؛ الثّبوت للأتّفاق علی الزّنا الموجب للحدّ علی کلا التّقدیرین و لا اختلاف بینهم فی فعله بل فی فعلها، و فی الخلاف قوّی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استوجهه فی القواعد و حکی عن الشّهیدین فی النّکت و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الخلاف</w:t>
      </w:r>
      <w:r>
        <w:rPr>
          <w:rStyle w:val="FootnoteAnchor"/>
          <w:rtl w:val="true"/>
        </w:rPr>
        <w:footnoteReference w:id="292"/>
      </w:r>
      <w:r>
        <w:rPr>
          <w:rFonts w:ascii="IRNazanin" w:hAnsi="IRNazanin" w:eastAsia="IRNazanin"/>
          <w:color w:val="111111"/>
          <w:sz w:val="28"/>
          <w:sz w:val="28"/>
          <w:szCs w:val="28"/>
          <w:rtl w:val="true"/>
          <w:lang w:bidi="fa-IR"/>
        </w:rPr>
        <w:t>اذا شهد اربعة شهود علی رجل بالزّنا بامرأة، فشهد اثنان انّه اکرهها، و آخران انّها طاوعته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الشّافعیّ انّه لا یجب علیه الحدّ و هو الأقوی عندی و قال ابو حنیفة علیه الحدّ و به قال ابو العبّاس، ثمّ استدلّ بعد اصل البرائة بأنّ الشّهادة لم تکمل بفعل واحد و انّما هی شهادة علی فعلین، لأنّ الزّنا طوعاً غیر الزّنا کرهاً</w:t>
      </w:r>
      <w:r>
        <w:rPr>
          <w:rStyle w:val="FootnoteAnchor"/>
          <w:rtl w:val="true"/>
        </w:rPr>
        <w:footnoteReference w:id="293"/>
      </w:r>
      <w:r>
        <w:rPr>
          <w:rFonts w:ascii="IRNazanin" w:hAnsi="IRNazanin" w:eastAsia="IRNazanin"/>
          <w:color w:val="111111"/>
          <w:sz w:val="28"/>
          <w:sz w:val="28"/>
          <w:szCs w:val="28"/>
          <w:rtl w:val="true"/>
          <w:lang w:bidi="fa-IR"/>
        </w:rPr>
        <w:t>و فی الأیضاح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بقید الأکراه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مغایر له بقید المطاوعة کتغایره الأمکنة، فلم یتّفق الشّهود علی فعل واحد شخصیّ، و انّما اتّفقوا علی امر کلّیّ، و الموجب للحدّ الفعل الشّخصی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فی المبسوط </w:t>
      </w:r>
      <w:r>
        <w:rPr>
          <w:rStyle w:val="FootnoteAnchor"/>
          <w:rtl w:val="true"/>
        </w:rPr>
        <w:footnoteReference w:id="294"/>
      </w:r>
      <w:r>
        <w:rPr>
          <w:rFonts w:ascii="Amiri" w:hAnsi="Amiri" w:eastAsia="Amiri" w:cs="Amiri"/>
          <w:color w:val="111111"/>
          <w:sz w:val="28"/>
          <w:sz w:val="28"/>
          <w:szCs w:val="28"/>
          <w:rtl w:val="true"/>
          <w:lang w:bidi="ar-SA"/>
        </w:rPr>
        <w:t>قوّی الحدّ أنّ الشّهادة قد کملت فی حقّه علی الزّنا لأنّه زان فی الحالین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علی استدلال الخلاف فی السّرائر بما لا حاجة الی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اختاره الأوّلون، لکمال الشّهادة علی فعل الزّنا من الزّانی، و هو فعل واحد سواء اکرها او طاوعته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لأختلاف فی الزّمان، او المکان فی الشّهادة لتعدّد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استثنی فی الجواهر ما اذا لم یتعرّض الشّهود للزّمان و المکان، و اختلفوا فی المطاوعة و الإکراه بحیث لا یمکن الجمع بینهما الّا بتعدّد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فاستوجه عدم القبول و فیه بعد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اشار الیه بأمره بالتّأمّل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فی اشتراط الأتّفاق فی الزّمان و المکان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لو تعرّض له البعض و سکت آخر منع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کما سبق و اطلاق الرّوایات فی مورد الشّهادة یفید عدم الأشتراط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یمیل الی ذلک کلام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المترائی بعد التّدقیق فی کلام صاحب المبانی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فالأوجه ثبوت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یضرّه الأختلاف فی فعل المرأة، و فصّل فی المبانی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فأثبت الحدّ علی المشهود علیه اذا لم یشهد شاهدا المطاوعة علی زناها و ان شهدا علی الجماع؛ و نفاه اذا شهدا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لکونهما حینئذٍ قاذفین، فلا تقبل الشهادتهما و ماذکره لا یخلو من وجه، لکنّه لا یخلو عن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القواعد بعد ان اختار حدّ الجمیع علی تقدیر عدم الحدّ علی الزّانی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احتمل اختصاصه بشهود المطاوعة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لقذف المرأة بالزّنا، و عدم کمال شهادتهم علیها؛ دون شاهدی الأکراه، لأنّهما لم یقذفا و قد کملت شهادتهم و انّما انتفی الحدّ عنه للشّبهة و فی الجواهر بعد أن فسّر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انّما ـ الخ ـ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لا لعدم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اورد علیه بأنّ الشّهادة بالمطاوعة اعمّ من القذف لأحتمال الشّبهة فیها و ان کان هو زانیاً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برد علی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الشّهادة علی الجماع مطاوعة و بین الزّنا کذلک، فالثّانی قذف دون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یرد علی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bookmarkStart w:id="104" w:name="pg3023_22484"/>
    </w:p>
    <w:p>
      <w:pPr>
        <w:pStyle w:val="Heading4"/>
        <w:numPr>
          <w:ilvl w:val="3"/>
          <w:numId w:val="1"/>
        </w:numPr>
        <w:rPr/>
      </w:pPr>
      <w:bookmarkStart w:id="105" w:name="__RefHeading___Toc656703_2749589250"/>
      <w:bookmarkStart w:id="106" w:name="_Toc38"/>
      <w:bookmarkEnd w:id="104"/>
      <w:bookmarkEnd w:id="105"/>
      <w:r>
        <w:rPr>
          <w:rtl w:val="true"/>
        </w:rPr>
        <w:t>الثالث</w:t>
      </w:r>
      <w:r>
        <w:rPr>
          <w:rtl w:val="true"/>
        </w:rPr>
        <w:t xml:space="preserve">: </w:t>
      </w:r>
      <w:r>
        <w:rPr>
          <w:rtl w:val="true"/>
        </w:rPr>
        <w:t>اتفاق الشّهود فی اداء الشّهادة</w:t>
      </w:r>
      <w:bookmarkEnd w:id="1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الشّهود فی اداء الشّهادة بحیث لا یتأخّر شهادة بعضهم عن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شهد ثلاثة و لم یشهد الرّابع؛ لعدم حضوره، او حضرو لم یؤدّ فلا یثبت الزّنا و یحدّ الشّهود للقذف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بعضهم اشتراط اجتماعهم فی الحضور، و استقرب حدّ القذف لو تفرّقوا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انّ ما ذکره انّما ینطبق علی الأوّل ای الشّهادة بالجماع لا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ما فصّله فی المبانی لم تکمل الشّهادة علی الزّانی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یقوی عدم حدّ شهود الأکراه، کاحتماله فی شهود المطاوعة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تعرضّنا لمسئلة ردّ شهادة الشّهود من غیر نقص العدد فراجع و کیف کان فلا تحدّ المرأة فی مفروض البحث اتّفاقاً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مانع من اجتماع الخصوصیّتین اذا شهد اثنان بأنّه زنی و علیه قمیص ابیض و آخران انّه زنی و علیه قمیص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اختاره فی الجواهر، لعدم تعدّد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توقّف فی القواعد، و اختار العدم فی الأیضاح للشّبهة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کانت الشبهادة علی نحو لا یمکن الجمع الاّ بتعدّده فلا یحدّ المشهود علیه، کما فی کلّ مورد کان کذلک، و یحدّ الشّهود للقذف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اتّفاقهم فی اداء الشّهادة زماناً بحیث لا یتأخّر شهادة بعضهم عن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شهد ثلاثة و لم یشهد الرّابع سواء کان لعدم حضوره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حضر یؤدّی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لحضوره و عدم ادائه فلا یبثبت الحدّ علی المشهود علیه، بل یحدّ الشّهود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عن المختلف من عدم الحدّ ضعیف، یردّه ما یأتی من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المسالک التّعبیر عن هذا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مسنداً الی مذهب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ایقاع الشّهادة فی مجلس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 و رمی بالشّذوذ</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 من الشّیخ فی الخلاف، و ابن ادریس فی السّرائر</w:t>
      </w:r>
      <w:r>
        <w:rPr>
          <w:rStyle w:val="FootnoteAnchor"/>
          <w:rtl w:val="true"/>
        </w:rPr>
        <w:footnoteReference w:id="295"/>
      </w:r>
      <w:r>
        <w:rPr>
          <w:rFonts w:ascii="IRNazanin" w:hAnsi="IRNazanin" w:eastAsia="IRNazanin"/>
          <w:color w:val="111111"/>
          <w:sz w:val="28"/>
          <w:sz w:val="28"/>
          <w:szCs w:val="28"/>
          <w:rtl w:val="true"/>
          <w:lang w:bidi="fa-IR"/>
        </w:rPr>
        <w:t>عدم الفرق بین شهادتهم فی مجلس واحد او 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296"/>
      </w:r>
      <w:r>
        <w:rPr>
          <w:rFonts w:ascii="IRNazanin" w:hAnsi="IRNazanin" w:eastAsia="IRNazanin"/>
          <w:color w:val="111111"/>
          <w:sz w:val="28"/>
          <w:sz w:val="28"/>
          <w:szCs w:val="28"/>
          <w:rtl w:val="true"/>
          <w:lang w:bidi="fa-IR"/>
        </w:rPr>
        <w:t>اذا تکامل شهود الزّنا فقد ثبت الحکم بشهادتهم سواء شهدوا فی مجلس واحد، او فی 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شهادتهم مفترقین احوط و به قال الشّافعیّ</w:t>
      </w:r>
      <w:r>
        <w:rPr>
          <w:rStyle w:val="FootnoteAnchor"/>
          <w:rtl w:val="true"/>
        </w:rPr>
        <w:footnoteReference w:id="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کانوا شهوداً فی مجلس واحد ثبت الحدّ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بشهادتهم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کانوا شهدوا فی مجالس فهم قذفة، یحدّون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المجلس عنده مجلس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ظاهر ورد بأنّه اذا شهد اربعة شهود وجب الحدّ، یتناول هذا الموضع، فأنّه لم یفصّل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المبسوط</w:t>
      </w:r>
      <w:r>
        <w:rPr>
          <w:rStyle w:val="FootnoteAnchor"/>
          <w:rtl w:val="true"/>
        </w:rPr>
        <w:footnoteReference w:id="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تفریقهم احوط عندنا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و ظاهر القواعد و وافقه فی الأیضاح اتّفاقهم علی الحضور دفعة، قال فلو حضر ثلاثة و شهدوا حدّوا للفریة و لم یرتقب اتمام الشّهادة، لأنّه لا تأخیر فی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ینبغی للحاکم الأحتیاط بتفریق الشّهود فی الأقامة بعد الأجتماع و لیس لازماً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تفرّقوا فی الحضور ثمّ اجتمعوا فی مجلس الحکم علی الأقامة؛ فالأقرب حدّ هم للفریة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القرب کذلک فی الأیضاح باشتراط اجتماعهم علی الحضور فی ثبوت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انتفاء الشّرط یوجب انتفاء المشروط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 احتمال عدم حدّ الشّهود بأنّ کونه وقع فی حضرة النّبیء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هذه الحالة لا یوجب اشتراطه، بل جاز ان یکون اتّفاقاً</w:t>
      </w:r>
      <w:r>
        <w:rPr>
          <w:rFonts w:eastAsia="IRNazanin" w:cs="IRNazanin"/>
          <w:color w:val="111111"/>
          <w:sz w:val="28"/>
          <w:szCs w:val="28"/>
          <w:rtl w:val="true"/>
          <w:lang w:bidi="fa-IR"/>
        </w:rPr>
        <w:t>.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صرّح فی المهذّب</w:t>
      </w:r>
      <w:r>
        <w:rPr>
          <w:rStyle w:val="FootnoteAnchor"/>
          <w:rtl w:val="true"/>
        </w:rPr>
        <w:footnoteReference w:id="299"/>
      </w:r>
      <w:r>
        <w:rPr>
          <w:rFonts w:ascii="IRNazanin" w:hAnsi="IRNazanin" w:eastAsia="IRNazanin"/>
          <w:color w:val="111111"/>
          <w:sz w:val="28"/>
          <w:sz w:val="28"/>
          <w:szCs w:val="28"/>
          <w:rtl w:val="true"/>
          <w:lang w:bidi="fa-IR"/>
        </w:rPr>
        <w:t>بعدم اعتبار حضورهم دفعة واحدة و لا شهادتهم کذلک و لا وحدة مکان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لأطلاق الأدلّة و ظهور تسالم اعیان الملّة بعد صدق شهادة اربعة بالرّؤیة کالمیل فی المکحلة عرفاً کمامرّ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فلو شهد واحد و جاء الأخر بلا فصل فشهدوا هکذا حتّی ثمّ الأربعة یثبت الزّنا و لا حدّ علی الشّهود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 کیف کان فیدّل علی المدّعی معتبرة السّکونیّ</w:t>
      </w:r>
      <w:r>
        <w:rPr>
          <w:rStyle w:val="FootnoteAnchor"/>
          <w:rtl w:val="true"/>
        </w:rPr>
        <w:footnoteReference w:id="300"/>
      </w:r>
      <w:r>
        <w:rPr>
          <w:rFonts w:ascii="IRNazanin" w:hAnsi="IRNazanin" w:eastAsia="IRNazanin"/>
          <w:color w:val="111111"/>
          <w:sz w:val="28"/>
          <w:sz w:val="28"/>
          <w:szCs w:val="28"/>
          <w:rtl w:val="true"/>
          <w:lang w:bidi="fa-IR"/>
        </w:rPr>
        <w:t xml:space="preserve">عن جعفر عن ابیه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ثلاثة شهدوا علی رجل بالزّنا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الرّابع؟ قالو الأن یجییء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فی الحدود نظر ساعة و نحوها روایة الجعفریّات</w:t>
      </w:r>
      <w:r>
        <w:rPr>
          <w:rStyle w:val="FootnoteAnchor"/>
          <w:rtl w:val="true"/>
        </w:rPr>
        <w:footnoteReference w:id="301"/>
      </w:r>
      <w:r>
        <w:rPr>
          <w:rFonts w:ascii="IRNazanin" w:hAnsi="IRNazanin" w:eastAsia="IRNazanin"/>
          <w:color w:val="111111"/>
          <w:sz w:val="28"/>
          <w:sz w:val="28"/>
          <w:szCs w:val="28"/>
          <w:rtl w:val="true"/>
          <w:lang w:bidi="fa-IR"/>
        </w:rPr>
        <w:t>لکن فی ذیلها خذوهم فلیس فی الحدود نظرة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التّصحیف فی العبارة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قریب منها روایة عبّاد البصریّ</w:t>
      </w:r>
      <w:r>
        <w:rPr>
          <w:rStyle w:val="FootnoteAnchor"/>
          <w:rtl w:val="true"/>
        </w:rPr>
        <w:footnoteReference w:id="302"/>
      </w:r>
      <w:r>
        <w:rPr>
          <w:rFonts w:ascii="IRNazanin" w:hAnsi="IRNazanin" w:eastAsia="IRNazanin"/>
          <w:color w:val="111111"/>
          <w:sz w:val="28"/>
          <w:sz w:val="28"/>
          <w:szCs w:val="28"/>
          <w:rtl w:val="true"/>
          <w:lang w:bidi="fa-IR"/>
        </w:rPr>
        <w:t xml:space="preserve">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ذیلها یجلدون حدّ القاذف ثمانین جلدة کلّ رجل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ذیل صحیحة محمّد بن قیس</w:t>
      </w:r>
      <w:r>
        <w:rPr>
          <w:rStyle w:val="FootnoteAnchor"/>
          <w:rtl w:val="true"/>
        </w:rPr>
        <w:footnoteReference w:id="303"/>
      </w:r>
      <w:r>
        <w:rPr>
          <w:rFonts w:ascii="IRNazanin" w:hAnsi="IRNazanin" w:eastAsia="IRNazanin"/>
          <w:color w:val="111111"/>
          <w:sz w:val="28"/>
          <w:sz w:val="28"/>
          <w:szCs w:val="28"/>
          <w:rtl w:val="true"/>
          <w:lang w:bidi="fa-IR"/>
        </w:rPr>
        <w:t xml:space="preserve">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اکون اوّل الشّهود الأربعة اخشی الرّوعة ان ینکل بعضهم فأجلد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اسناد علیّ ابن ابراهیم</w:t>
      </w:r>
      <w:r>
        <w:rPr>
          <w:rStyle w:val="FootnoteAnchor"/>
          <w:rtl w:val="true"/>
        </w:rPr>
        <w:footnoteReference w:id="304"/>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اکون اوّل الشهود الأربعة فی الزّنا اخشی ان ینکل بعضهم فأجلد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اطلاق ادلّة الشّهادة علی الزّنا و ما ورد فی موجبات الرّجم و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یرشدنا الی ما استظهره فی الجواهر من عدم اعتبار اتّحاد المکان مع فرض تلاحق الشّهادة و عدم غیبه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یقال بعدم اعتبار تواطئهم و علم کلّ واحد منهم بشهادة الأخر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فرض شهادة الجمیع فی مجلس واحد مع عدم العلم منهم بما عند الأخر اقیم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کما یقوی ما حکاه</w:t>
      </w:r>
      <w:r>
        <w:rPr>
          <w:rFonts w:eastAsia="IRNazanin" w:cs="IRNazanin"/>
          <w:color w:val="111111"/>
          <w:sz w:val="28"/>
          <w:szCs w:val="28"/>
          <w:rtl w:val="true"/>
          <w:lang w:bidi="fa-IR"/>
        </w:rPr>
        <w:t>.</w:t>
      </w:r>
      <w:bookmarkStart w:id="107" w:name="pg3023_22488"/>
    </w:p>
    <w:p>
      <w:pPr>
        <w:pStyle w:val="Heading4"/>
        <w:numPr>
          <w:ilvl w:val="3"/>
          <w:numId w:val="1"/>
        </w:numPr>
        <w:rPr/>
      </w:pPr>
      <w:bookmarkStart w:id="108" w:name="__RefHeading___Toc656705_2749589250"/>
      <w:bookmarkStart w:id="109" w:name="_Toc39"/>
      <w:bookmarkEnd w:id="107"/>
      <w:bookmarkEnd w:id="108"/>
      <w:r>
        <w:rPr>
          <w:rtl w:val="true"/>
        </w:rPr>
        <w:t>مسائل</w:t>
      </w:r>
      <w:r>
        <w:rPr>
          <w:rtl w:val="true"/>
        </w:rPr>
        <w:t>:</w:t>
      </w:r>
      <w:bookmarkEnd w:id="109"/>
    </w:p>
    <w:p>
      <w:pPr>
        <w:pStyle w:val="Heading5"/>
        <w:numPr>
          <w:ilvl w:val="4"/>
          <w:numId w:val="1"/>
        </w:numPr>
        <w:rPr/>
      </w:pPr>
      <w:bookmarkStart w:id="110" w:name="__RefHeading___Toc656707_2749589250"/>
      <w:bookmarkStart w:id="111" w:name="_Toc40"/>
      <w:bookmarkEnd w:id="110"/>
      <w:r>
        <w:rPr>
          <w:rtl w:val="true"/>
        </w:rPr>
        <w:t>الاولی</w:t>
      </w:r>
      <w:r>
        <w:rPr>
          <w:rtl w:val="true"/>
        </w:rPr>
        <w:t>:</w:t>
      </w:r>
      <w:r>
        <w:rPr>
          <w:rtl w:val="true"/>
        </w:rPr>
        <w:t>فی الرّجوع عن الشّهادة قبل الحکم</w:t>
      </w:r>
      <w:bookmarkEnd w:id="1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الرّجوع عن الشّهادة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رجعوا او بعضهم عن الشّهادة و کان قبل الحکم فالحقّ انّه لا یحدّ الاّ الرّاجع کما بعد الحکم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حدّ علی المشهود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و کأنّ صاحب المبانی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الی التّعلیل فی ذیل معتبرة السّکونی</w:t>
      </w:r>
      <w:r>
        <w:rPr>
          <w:rStyle w:val="FootnoteAnchor"/>
          <w:rtl w:val="true"/>
        </w:rPr>
        <w:footnoteReference w:id="305"/>
      </w:r>
      <w:r>
        <w:rPr>
          <w:rFonts w:ascii="IRNazanin" w:hAnsi="IRNazanin" w:eastAsia="IRNazanin"/>
          <w:color w:val="111111"/>
          <w:sz w:val="28"/>
          <w:sz w:val="28"/>
          <w:szCs w:val="28"/>
          <w:rtl w:val="true"/>
          <w:lang w:bidi="fa-IR"/>
        </w:rPr>
        <w:t>حیث اکتفی عن اعتبار هذا الشّرط بعدم الأنتظار لأتمام البیّنة و هی شهادة الأربعة و حکم بحدّ الثّلاثة</w:t>
      </w:r>
      <w:r>
        <w:rPr>
          <w:rStyle w:val="FootnoteAnchor"/>
          <w:rtl w:val="true"/>
        </w:rPr>
        <w:footnoteReference w:id="306"/>
      </w:r>
      <w:r>
        <w:rPr>
          <w:rFonts w:ascii="IRNazanin" w:hAnsi="IRNazanin" w:eastAsia="IRNazanin"/>
          <w:color w:val="111111"/>
          <w:sz w:val="28"/>
          <w:sz w:val="28"/>
          <w:szCs w:val="28"/>
          <w:rtl w:val="true"/>
          <w:lang w:bidi="fa-IR"/>
        </w:rPr>
        <w:t>او مادونهم اذا شهدوا بالزّنا حدّ القذف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لا یخفی مناسبة التّعلیل للأشتراط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لو رجعوا عن الشّهادة کلاًّ او بعضاً فأن کان قبل الحکم ففی الجواهر فعلیهم جعیعاً الحدّ للقذف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انکان بعده فلا یحدّ الاّ الرّاجع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تحقّق القذف قبل الحکم و عدمه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الخلاف</w:t>
      </w:r>
      <w:r>
        <w:rPr>
          <w:rStyle w:val="FootnoteAnchor"/>
          <w:rtl w:val="true"/>
        </w:rPr>
        <w:footnoteReference w:id="307"/>
      </w:r>
      <w:r>
        <w:rPr>
          <w:rFonts w:ascii="Amiri" w:hAnsi="Amiri" w:eastAsia="Amiri" w:cs="Amiri"/>
          <w:color w:val="111111"/>
          <w:sz w:val="28"/>
          <w:sz w:val="28"/>
          <w:szCs w:val="28"/>
          <w:rtl w:val="true"/>
          <w:lang w:bidi="ar-SA"/>
        </w:rPr>
        <w:t>و السّرائر</w:t>
      </w:r>
      <w:r>
        <w:rPr>
          <w:rStyle w:val="FootnoteAnchor"/>
          <w:rtl w:val="true"/>
        </w:rPr>
        <w:footnoteReference w:id="308"/>
      </w:r>
      <w:r>
        <w:rPr>
          <w:rFonts w:ascii="Amiri" w:hAnsi="Amiri" w:eastAsia="Amiri" w:cs="Amiri"/>
          <w:color w:val="111111"/>
          <w:sz w:val="28"/>
          <w:sz w:val="28"/>
          <w:szCs w:val="28"/>
          <w:rtl w:val="true"/>
          <w:lang w:bidi="ar-SA"/>
        </w:rPr>
        <w:t>خصّ الحدّ بالرّاجع</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شهد اربعة ثمّ رجع واحد منهم فلا حدّ علی المشهود علیه بلا خلاف و علی الرّاجع الحدّ ایضاً بلا خلاف و امّا الثّلاثة فلا حدّ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للشّافعی فیه قولان ـ الی ـ و قال ابو حنیفة علیهم الحدّ</w:t>
      </w:r>
      <w:r>
        <w:rPr>
          <w:rStyle w:val="FootnoteAnchor"/>
          <w:rtl w:val="true"/>
        </w:rPr>
        <w:footnoteReference w:id="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المبسوط</w:t>
      </w:r>
      <w:r>
        <w:rPr>
          <w:rStyle w:val="FootnoteAnchor"/>
          <w:rtl w:val="true"/>
        </w:rPr>
        <w:footnoteReference w:id="310"/>
      </w:r>
      <w:r>
        <w:rPr>
          <w:rFonts w:ascii="IRNazanin" w:hAnsi="IRNazanin" w:eastAsia="IRNazanin"/>
          <w:color w:val="111111"/>
          <w:sz w:val="28"/>
          <w:sz w:val="28"/>
          <w:szCs w:val="28"/>
          <w:rtl w:val="true"/>
          <w:lang w:bidi="fa-IR"/>
        </w:rPr>
        <w:t>الأتّفاق علی عدم حدّ غیر الرّاجع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الثّلاّثة فأنّه لا حدّ علیهم عندنا و قال بعضهم علیهم الحدّ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اشار بالبعض الی خلاف ابی حنیفة و الشّافعیّ فی احد قولیه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11"/>
      </w:r>
      <w:bookmarkStart w:id="112" w:name="pg3023_22490"/>
    </w:p>
    <w:p>
      <w:pPr>
        <w:pStyle w:val="Heading5"/>
        <w:numPr>
          <w:ilvl w:val="4"/>
          <w:numId w:val="1"/>
        </w:numPr>
        <w:rPr/>
      </w:pPr>
      <w:bookmarkStart w:id="113" w:name="__RefHeading___Toc656709_2749589250"/>
      <w:bookmarkStart w:id="114" w:name="_Toc41"/>
      <w:bookmarkEnd w:id="112"/>
      <w:bookmarkEnd w:id="113"/>
      <w:r>
        <w:rPr>
          <w:rtl w:val="true"/>
        </w:rPr>
        <w:t>علیه القصاص لو رجع عن شهادته زوراً بعد قتله</w:t>
      </w:r>
      <w:bookmarkEnd w:id="114"/>
    </w:p>
    <w:p>
      <w:pPr>
        <w:pStyle w:val="BookText"/>
        <w:rPr/>
      </w:pPr>
      <w:r>
        <w:rPr>
          <w:rFonts w:ascii="IRNazanin" w:hAnsi="IRNazanin" w:eastAsia="IRNazanin"/>
          <w:color w:val="111111"/>
          <w:sz w:val="28"/>
          <w:sz w:val="28"/>
          <w:szCs w:val="28"/>
          <w:rtl w:val="true"/>
          <w:lang w:bidi="fa-IR"/>
        </w:rPr>
        <w:t xml:space="preserve">و لو اعترف الرّاجع بشهادته زوراً بعد قتل المشهود علیه حدّاً؛ فعلیه القصاص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 فی المهذّب</w:t>
      </w:r>
      <w:r>
        <w:rPr>
          <w:rStyle w:val="FootnoteAnchor"/>
          <w:rtl w:val="true"/>
        </w:rPr>
        <w:footnoteReference w:id="312"/>
      </w:r>
      <w:r>
        <w:rPr>
          <w:rFonts w:ascii="Amiri" w:hAnsi="Amiri" w:eastAsia="Amiri" w:cs="Amiri"/>
          <w:color w:val="111111"/>
          <w:sz w:val="28"/>
          <w:sz w:val="28"/>
          <w:szCs w:val="28"/>
          <w:rtl w:val="true"/>
          <w:lang w:bidi="ar-SA"/>
        </w:rPr>
        <w:t>لو اعترف الشّهود بالتّعمّد حدّوا للقذف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ادّعوا الوهم و الغفلة فلا حدّ للقذف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الحقّ ما اختاره فی المبانی</w:t>
      </w:r>
      <w:r>
        <w:rPr>
          <w:rStyle w:val="FootnoteAnchor"/>
          <w:rtl w:val="true"/>
        </w:rPr>
        <w:footnoteReference w:id="313"/>
      </w:r>
      <w:r>
        <w:rPr>
          <w:rFonts w:ascii="IRNazanin" w:hAnsi="IRNazanin" w:eastAsia="IRNazanin"/>
          <w:color w:val="111111"/>
          <w:sz w:val="28"/>
          <w:sz w:val="28"/>
          <w:szCs w:val="28"/>
          <w:rtl w:val="true"/>
          <w:lang w:bidi="fa-IR"/>
        </w:rPr>
        <w:t xml:space="preserve">و فاقاً للشّیخ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ادریس من عدم حدّ غیر الرّاجع لما ذکره فی الخلاف</w:t>
      </w:r>
      <w:r>
        <w:rPr>
          <w:rStyle w:val="FootnoteAnchor"/>
          <w:rtl w:val="true"/>
        </w:rPr>
        <w:footnoteReference w:id="314"/>
      </w:r>
      <w:r>
        <w:rPr>
          <w:rFonts w:ascii="IRNazanin" w:hAnsi="IRNazanin" w:eastAsia="IRNazanin"/>
          <w:color w:val="111111"/>
          <w:sz w:val="28"/>
          <w:sz w:val="28"/>
          <w:szCs w:val="28"/>
          <w:rtl w:val="true"/>
          <w:lang w:bidi="fa-IR"/>
        </w:rPr>
        <w:t>حیث استدلّ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یرمون المحصنات ثمّ لم یأتوا بأربعة شهداء</w:t>
      </w:r>
      <w:r>
        <w:rPr>
          <w:rStyle w:val="FootnoteAnchor"/>
          <w:rtl w:val="true"/>
        </w:rPr>
        <w:footnoteReference w:id="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اتی باربعة شهداء و رجوع واحد منهم لا یؤثّر فیما 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باصل البرائة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الی الوجه الأوّل یؤل دلیل المبانی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لتمامیّة الشّهود الأربعة فلا موجب للحدّ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یحدّ الرّاجع نظراً الی انّه برجوعه قد اعترف بالقذف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ربّما یرد علیه ما فی المهذّب فی ما ادّعی الرّاجع الوهم و الغفلی الاّ انّ الأشکال فی قبول هذه الدّعوی</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الشّهادة انّ الرّاجع عن شهادته لو اعترف بالشّهادة زوراً بعد قتل المشهود علیه رجماً، او غیره فعلیه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یغرم شاهد المال زوراً لو غرم بشهادته المشهود علیه مالاً</w:t>
      </w:r>
      <w:r>
        <w:rPr>
          <w:rFonts w:eastAsia="IRNazanin" w:cs="IRNazanin"/>
          <w:color w:val="111111"/>
          <w:sz w:val="28"/>
          <w:szCs w:val="28"/>
          <w:rtl w:val="true"/>
          <w:lang w:bidi="fa-IR"/>
        </w:rPr>
        <w:t>.</w:t>
      </w:r>
      <w:bookmarkStart w:id="115" w:name="pg3023_22491"/>
    </w:p>
    <w:p>
      <w:pPr>
        <w:pStyle w:val="Heading5"/>
        <w:numPr>
          <w:ilvl w:val="4"/>
          <w:numId w:val="1"/>
        </w:numPr>
        <w:rPr/>
      </w:pPr>
      <w:bookmarkStart w:id="116" w:name="__RefHeading___Toc656711_2749589250"/>
      <w:bookmarkStart w:id="117" w:name="_Toc42"/>
      <w:bookmarkEnd w:id="115"/>
      <w:bookmarkEnd w:id="116"/>
      <w:r>
        <w:rPr>
          <w:rtl w:val="true"/>
        </w:rPr>
        <w:t>الثّانیة</w:t>
      </w:r>
      <w:r>
        <w:rPr>
          <w:rtl w:val="true"/>
        </w:rPr>
        <w:t>:</w:t>
      </w:r>
      <w:r>
        <w:rPr>
          <w:rtl w:val="true"/>
        </w:rPr>
        <w:t>لا فرق فی الحدّ بین المسلم و الکافر</w:t>
      </w:r>
      <w:bookmarkEnd w:id="117"/>
    </w:p>
    <w:p>
      <w:pPr>
        <w:pStyle w:val="BookText"/>
        <w:rPr/>
      </w:pPr>
      <w:r>
        <w:rPr>
          <w:rFonts w:ascii="IRNazanin" w:hAnsi="IRNazanin" w:eastAsia="IRNazanin"/>
          <w:color w:val="111111"/>
          <w:sz w:val="28"/>
          <w:sz w:val="28"/>
          <w:szCs w:val="28"/>
          <w:rtl w:val="true"/>
          <w:lang w:bidi="fa-IR"/>
        </w:rPr>
        <w:t>و الحرّ و العبد و الرّجل و المرئة و کون الزّنا حدیثاً او تقادم عهده</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فی ثبوت الحدّ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قامت البیّنة بالزّنا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المسلم و الکافر و الحرّ و العبد و الرّجل و المرئة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یتخیّر الحاکم کما سیجیئ فی زنا اهل الکتاب بین الحکم علیه بأحکام الأسلام و بین دفعه الی اهل نحلته لأقامة الحدّ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فرق بین کون الزّنا حدیثاً او تقادم عهده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قامت البیّنة عل الزّنا فلا فرق فی ثبوت الحدّ بین المسلم و الکافر و الحرّ و العبد و الرّجل و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یتخیّر الحاکم کما سیجیئ فی زنا احد من اهل الکتاب بین الحکم علیه بأحکام الأسلام، و بین دفعه الی اهل نحلته لأقامة الحدّ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لا فرق بین الزّنا جدیداً او تقادم 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 علیه ازید من ستّة اشهر ام لا لأطلاق الأدلّة بلا مقیّد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الخلاف</w:t>
      </w:r>
      <w:r>
        <w:rPr>
          <w:rStyle w:val="FootnoteAnchor"/>
          <w:rtl w:val="true"/>
        </w:rPr>
        <w:footnoteReference w:id="316"/>
      </w:r>
      <w:r>
        <w:rPr>
          <w:rFonts w:ascii="IRNazanin" w:hAnsi="IRNazanin" w:eastAsia="IRNazanin"/>
          <w:color w:val="111111"/>
          <w:sz w:val="28"/>
          <w:sz w:val="28"/>
          <w:szCs w:val="28"/>
          <w:rtl w:val="true"/>
          <w:lang w:bidi="fa-IR"/>
        </w:rPr>
        <w:t xml:space="preserve">اذا شهد اربعة بالزّنا قبلت شهادتهم سواء تقادم الزّنا اولم یتقادم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المبسوط</w:t>
      </w:r>
      <w:r>
        <w:rPr>
          <w:rStyle w:val="FootnoteAnchor"/>
          <w:rtl w:val="true"/>
        </w:rPr>
        <w:footnoteReference w:id="317"/>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به قال الشّافعیّ</w:t>
      </w:r>
      <w:r>
        <w:rPr>
          <w:rStyle w:val="FootnoteAnchor"/>
          <w:rtl w:val="true"/>
        </w:rPr>
        <w:footnoteReference w:id="318"/>
      </w:r>
      <w:r>
        <w:rPr>
          <w:rFonts w:ascii="IRNazanin" w:hAnsi="IRNazanin" w:eastAsia="IRNazanin"/>
          <w:color w:val="111111"/>
          <w:sz w:val="28"/>
          <w:sz w:val="28"/>
          <w:szCs w:val="28"/>
          <w:rtl w:val="true"/>
          <w:lang w:bidi="fa-IR"/>
        </w:rPr>
        <w:t>و قال ابو حنیفة و اصحابه اذا شهدوا بزنا قدیم لم تقبل شهادتهم و قال ابو یوسف جهدنا بابی حنیفة ان یوقّت فی التّقادم شیئاً فأبی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و حکی الحسن بن زیاد و محمّد عن ابی حنیفة انّهم اذا شهدوا بعد سنة لم تجز و قال ابو یوسف 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شهدوا بعد شهرین من حین المعاینة لم یجز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لم یقیموها عقیب تحمّلها لم 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استدلّ الشّیخ علی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انّ نظر صاحب الشّرایع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یظهر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خبر مطروح بعدم سماع الشّهادة، ان زاد عن ستّة 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ما اشار الیه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المبسوط عقیب ما ذکرنا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روی فی بعض اخبارنا انّهم ان شهدوا بعد ستّة اشهر لم یسمع و ان کان الأقلّ قبلت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یبعد ان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 جمیل</w:t>
      </w:r>
      <w:r>
        <w:rPr>
          <w:rStyle w:val="FootnoteAnchor"/>
          <w:rtl w:val="true"/>
        </w:rPr>
        <w:footnoteReference w:id="319"/>
      </w:r>
      <w:r>
        <w:rPr>
          <w:rFonts w:ascii="IRNazanin" w:hAnsi="IRNazanin" w:eastAsia="IRNazanin"/>
          <w:color w:val="111111"/>
          <w:sz w:val="28"/>
          <w:sz w:val="28"/>
          <w:szCs w:val="28"/>
          <w:rtl w:val="true"/>
          <w:lang w:bidi="fa-IR"/>
        </w:rPr>
        <w:t xml:space="preserve">عن رجل عن احدهما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سرق او شرب الخمر او زنی فلم یعلم ذلک سنة و لم یؤخذ حتّی تاب و صلح؟ فقال اذا صلح و عرف منه امر جمیل لم یقم علیه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احد الرّاویین عن جمیل و الأخر علیّ بن 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فأن کان امرأً غریبا لم تقم؟ قال لوکان خمسة اشهر او اقلّ و قد ظهر منه امر جمیل لم تقم علیه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ذلک بعض اصحابنا عن احد 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یظهر من المهذّب</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هذه الرّوایة لا تنطبق علی المرسل المزبور و لا تقوم حجّة علی شییء</w:t>
      </w:r>
      <w:r>
        <w:rPr>
          <w:rFonts w:eastAsia="IRNazanin" w:cs="IRNazanin"/>
          <w:color w:val="111111"/>
          <w:sz w:val="28"/>
          <w:szCs w:val="28"/>
          <w:rtl w:val="true"/>
          <w:lang w:bidi="fa-IR"/>
        </w:rPr>
        <w:t>.</w:t>
      </w:r>
      <w:bookmarkStart w:id="118" w:name="pg3023_22493"/>
    </w:p>
    <w:p>
      <w:pPr>
        <w:pStyle w:val="Heading5"/>
        <w:numPr>
          <w:ilvl w:val="4"/>
          <w:numId w:val="1"/>
        </w:numPr>
        <w:rPr/>
      </w:pPr>
      <w:bookmarkStart w:id="119" w:name="__RefHeading___Toc656713_2749589250"/>
      <w:bookmarkStart w:id="120" w:name="_Toc43"/>
      <w:bookmarkEnd w:id="118"/>
      <w:bookmarkEnd w:id="119"/>
      <w:r>
        <w:rPr>
          <w:rtl w:val="true"/>
        </w:rPr>
        <w:t>الثّالثة</w:t>
      </w:r>
      <w:r>
        <w:rPr>
          <w:rtl w:val="true"/>
        </w:rPr>
        <w:t>:</w:t>
      </w:r>
      <w:r>
        <w:rPr>
          <w:rtl w:val="true"/>
        </w:rPr>
        <w:t>شهادة اربعة علی زنا اثنین و مازاد</w:t>
      </w:r>
      <w:bookmarkEnd w:id="120"/>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شهادة الأربعة علی زنا الأثنین فما زاد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یشترط فی ثبوت الحدّ بالشّهادة تصدیق المشهود علیه و لا یضرّ تکذیبه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شهادة الأربعة علی زنا الأثنین فما زاد رجلاً و امرأة، او رجلین، او امرأتین، او رجالاً، او مختلفین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لأطلاق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 روایة عبدالله بن جذاعة</w:t>
      </w:r>
      <w:r>
        <w:rPr>
          <w:rStyle w:val="FootnoteAnchor"/>
          <w:rtl w:val="true"/>
        </w:rPr>
        <w:footnoteReference w:id="321"/>
      </w:r>
      <w:r>
        <w:rPr>
          <w:rFonts w:ascii="IRNazanin" w:hAnsi="IRNazanin" w:eastAsia="IRNazanin"/>
          <w:color w:val="111111"/>
          <w:sz w:val="28"/>
          <w:sz w:val="28"/>
          <w:szCs w:val="28"/>
          <w:rtl w:val="true"/>
          <w:lang w:bidi="fa-IR"/>
        </w:rPr>
        <w:t>قال سألته عن اربعة نفر شهدوا علی رجلین و امرأتین بالزّنا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یرجمون</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فی ثبتوت الحدّ بالشّهادة تصدیق المشهود علیه کما لا یضرّ تکذیبه و لا تصدیقه بلا خلاف و 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لأطلاق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فاقاً للشّافعیّ خلافاً لأبی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الخلاف</w:t>
      </w:r>
      <w:r>
        <w:rPr>
          <w:rStyle w:val="FootnoteAnchor"/>
          <w:rtl w:val="true"/>
        </w:rPr>
        <w:footnoteReference w:id="322"/>
      </w:r>
      <w:r>
        <w:rPr>
          <w:rFonts w:ascii="IRNazanin" w:hAnsi="IRNazanin" w:eastAsia="IRNazanin"/>
          <w:color w:val="111111"/>
          <w:sz w:val="28"/>
          <w:sz w:val="28"/>
          <w:szCs w:val="28"/>
          <w:rtl w:val="true"/>
          <w:lang w:bidi="fa-IR"/>
        </w:rPr>
        <w:t xml:space="preserve">اذا 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 شهود بالزّنا فکذّبهم اقیم علیه الحدّ بلا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بین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صدّقهم اقیم علیه الحدّ و به قال الشّافعّی و قال ابو حنیفة لا یقام علی ظه الحدّ لأنّه یسقط حکم الشّهادة مع الأعتراف و بالأعتراف دفعة واحدة لا یقام علیه الحدّ</w:t>
      </w:r>
      <w:r>
        <w:rPr>
          <w:rStyle w:val="FootnoteAnchor"/>
          <w:rtl w:val="true"/>
        </w:rPr>
        <w:footnoteReference w:id="323"/>
      </w:r>
      <w:r>
        <w:rPr>
          <w:rFonts w:ascii="Amiri" w:hAnsi="Amiri" w:eastAsia="Amiri" w:cs="Amiri"/>
          <w:color w:val="111111"/>
          <w:sz w:val="28"/>
          <w:sz w:val="28"/>
          <w:szCs w:val="28"/>
          <w:rtl w:val="true"/>
          <w:lang w:bidi="ar-SA"/>
        </w:rPr>
        <w:t>اقول هذا لا یستأهل ردّاً</w:t>
      </w:r>
      <w:r>
        <w:rPr>
          <w:rFonts w:eastAsia="Amiri" w:cs="Amiri" w:ascii="Amiri" w:hAnsi="Amiri"/>
          <w:color w:val="111111"/>
          <w:sz w:val="28"/>
          <w:szCs w:val="28"/>
          <w:rtl w:val="true"/>
          <w:lang w:bidi="ar-SA"/>
        </w:rPr>
        <w:t>. </w:t>
      </w:r>
      <w:bookmarkStart w:id="121" w:name="pg3023_22494"/>
    </w:p>
    <w:p>
      <w:pPr>
        <w:pStyle w:val="Heading5"/>
        <w:numPr>
          <w:ilvl w:val="4"/>
          <w:numId w:val="1"/>
        </w:numPr>
        <w:rPr/>
      </w:pPr>
      <w:bookmarkStart w:id="122" w:name="__RefHeading___Toc656715_2749589250"/>
      <w:bookmarkStart w:id="123" w:name="_Toc44"/>
      <w:bookmarkEnd w:id="121"/>
      <w:bookmarkEnd w:id="122"/>
      <w:r>
        <w:rPr>
          <w:rtl w:val="true"/>
        </w:rPr>
        <w:t>الخامسة</w:t>
      </w:r>
      <w:r>
        <w:rPr>
          <w:rtl w:val="true"/>
        </w:rPr>
        <w:t>:</w:t>
      </w:r>
      <w:r>
        <w:rPr>
          <w:rtl w:val="true"/>
        </w:rPr>
        <w:t>لا یثبت الزّنا بالاقرار مرّتین</w:t>
      </w:r>
      <w:bookmarkEnd w:id="123"/>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یثبت الزّنا بالأقرار مرّتین و شهادة شاهدین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یحدّ الشاّهدان للقذف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توبة الزّانی بینه و بین الله احسن من اقراره عند الحاکم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یثبت الحدّ بالشّهادة و الأقرار تلفیقاً بأن یقرّ مرّتین مثلا و یشهد شاهدان، بل یحدّان للقذف و یعزّر المقرّ عند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لأقراره و ان استشکلنا فیه، لدلالة بعض الأخبار و تعرّضنا له فی موضع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اقرّ اربعاً ثمّ قامت البیّنة علی الفعل لم یقبل توبتة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بناء علی ما هو المشهور من تخیّر الأمام فی الأقرار بین اقامة الحدّ و العفو اذا تاب و تعیّن اقامة الحدّ فی الشّهادة و سقوط الحدّ فی الموردین بالتّوبة قبلاً و سیجیئ التّعرض له انشاء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یذکر فیها امور</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یستفاد من بعض الرّوایات عدم رجحان اقرار المجرم عند الحاکم، بل التّوبة بینه و بین الله تعالی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مرفوعة احمد بن محمّد بن خالد</w:t>
      </w:r>
      <w:r>
        <w:rPr>
          <w:rStyle w:val="FootnoteAnchor"/>
          <w:rtl w:val="true"/>
        </w:rPr>
        <w:footnoteReference w:id="324"/>
      </w:r>
      <w:r>
        <w:rPr>
          <w:rFonts w:ascii="IRNazanin" w:hAnsi="IRNazanin" w:eastAsia="IRNazanin"/>
          <w:color w:val="111111"/>
          <w:sz w:val="28"/>
          <w:sz w:val="28"/>
          <w:szCs w:val="28"/>
          <w:rtl w:val="true"/>
          <w:lang w:bidi="fa-IR"/>
        </w:rPr>
        <w:t xml:space="preserve">عن امیر المؤومنین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الزّانی الذّی اقرّ اربع مرّات و امره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بالأحتفاظ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غضب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اقبح بالرّجل منکم ان یأتی بعض هذه الفواحش فی فیفضح نفسه علی رؤس الملأ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 تاب فی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لتوبته فیما بینه و بین الله افضل من اقامتی علیه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مارواه ابو العبّاس</w:t>
      </w:r>
      <w:r>
        <w:rPr>
          <w:rStyle w:val="FootnoteAnchor"/>
          <w:rtl w:val="true"/>
        </w:rPr>
        <w:footnoteReference w:id="325"/>
      </w:r>
      <w:r>
        <w:rPr>
          <w:rFonts w:ascii="IRNazanin" w:hAnsi="IRNazanin" w:eastAsia="IRNazanin"/>
          <w:color w:val="111111"/>
          <w:sz w:val="28"/>
          <w:sz w:val="28"/>
          <w:szCs w:val="28"/>
          <w:rtl w:val="true"/>
          <w:lang w:bidi="fa-IR"/>
        </w:rPr>
        <w:t>معتبراً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فقال انّی زنیت الی ان قال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استتر ثمّ تاب</w:t>
      </w:r>
      <w:bookmarkStart w:id="124" w:name="pg3023_22495"/>
    </w:p>
    <w:p>
      <w:pPr>
        <w:pStyle w:val="Heading5"/>
        <w:numPr>
          <w:ilvl w:val="4"/>
          <w:numId w:val="1"/>
        </w:numPr>
        <w:rPr/>
      </w:pPr>
      <w:bookmarkStart w:id="125" w:name="__RefHeading___Toc656717_2749589250"/>
      <w:bookmarkStart w:id="126" w:name="_Toc45"/>
      <w:bookmarkEnd w:id="124"/>
      <w:bookmarkEnd w:id="125"/>
      <w:r>
        <w:rPr>
          <w:rtl w:val="true"/>
        </w:rPr>
        <w:t>لا شفاعة و لا کفالة و لا تأخیر فی الحدّ</w:t>
      </w:r>
      <w:bookmarkEnd w:id="126"/>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شفاعة فی الحدّ بعد بلوغ الأمام و لا کفالة فیه لا تأخیر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کان خیراً له و نحوه مرسل الدّعائم</w:t>
      </w:r>
      <w:r>
        <w:rPr>
          <w:rStyle w:val="FootnoteAnchor"/>
          <w:rtl w:val="true"/>
        </w:rPr>
        <w:footnoteReference w:id="326"/>
      </w:r>
      <w:r>
        <w:rPr>
          <w:rFonts w:ascii="IRNazanin" w:hAnsi="IRNazanin" w:eastAsia="IRNazanin"/>
          <w:color w:val="111111"/>
          <w:sz w:val="28"/>
          <w:sz w:val="28"/>
          <w:szCs w:val="28"/>
          <w:rtl w:val="true"/>
          <w:lang w:bidi="fa-IR"/>
        </w:rPr>
        <w:t>و ما رواه احمد بن محمّد بن عیسی</w:t>
      </w:r>
      <w:r>
        <w:rPr>
          <w:rStyle w:val="FootnoteAnchor"/>
          <w:rtl w:val="true"/>
        </w:rPr>
        <w:footnoteReference w:id="327"/>
      </w:r>
      <w:r>
        <w:rPr>
          <w:rFonts w:ascii="IRNazanin" w:hAnsi="IRNazanin" w:eastAsia="IRNazanin"/>
          <w:color w:val="111111"/>
          <w:sz w:val="28"/>
          <w:sz w:val="28"/>
          <w:szCs w:val="28"/>
          <w:rtl w:val="true"/>
          <w:lang w:bidi="fa-IR"/>
        </w:rPr>
        <w:t xml:space="preserve">فی نوادره عن ابی بصیر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الأصبغ بن نباتة</w:t>
      </w:r>
      <w:r>
        <w:rPr>
          <w:rStyle w:val="FootnoteAnchor"/>
          <w:rtl w:val="true"/>
        </w:rPr>
        <w:footnoteReference w:id="3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بسندها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اتی رجل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 امیر المؤمنین انیّ زنیت فطهّرنی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فأعرض عنه بوجهه، ثمّ قال له اجلس، فقال ایعجز احدکم اذا قارف هذه السّیئة ان یستر علی نفسه کما ستر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وفی ذیل صحیحة ابی بصیر</w:t>
      </w:r>
      <w:r>
        <w:rPr>
          <w:rStyle w:val="FootnoteAnchor"/>
          <w:rtl w:val="true"/>
        </w:rPr>
        <w:footnoteReference w:id="329"/>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الّذی اقرّ عنده اربع مرّات و 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امیر المؤمنین صلوات الله علیه یا ایّها النّاس من اتی هذه القاذورة فلیتب الی الله فیما بینه و بین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لتوبته الی الله فی السّرّ افضل من یفضح نفسه و یهتک ستره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لا شفاعة فی الحدّ بعد بلوغ الأمام و لا کفالة فیه و لا تأخژر</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یشهد للأوّل روایات متعدّدة بعضها معتبر الأسناد فمنها صحیحة محمّد بن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قیس</w:t>
      </w:r>
      <w:r>
        <w:rPr>
          <w:rStyle w:val="FootnoteAnchor"/>
          <w:rtl w:val="true"/>
        </w:rPr>
        <w:footnoteReference w:id="330"/>
      </w:r>
      <w:r>
        <w:rPr>
          <w:rFonts w:ascii="IRNazanin" w:hAnsi="IRNazanin" w:eastAsia="IRNazanin"/>
          <w:color w:val="111111"/>
          <w:sz w:val="28"/>
          <w:sz w:val="28"/>
          <w:szCs w:val="28"/>
          <w:rtl w:val="true"/>
          <w:lang w:bidi="fa-IR"/>
        </w:rPr>
        <w:t xml:space="preserve">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کان لأمّ سلمة زوج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امة فسرقت من قوم فأتی بها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فکلّمته امّ سلمة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امّ سلمة هذا حدّ من حدود الله لا یضیع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فقطعها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روایة مثنّی الحنّاط</w:t>
      </w:r>
      <w:r>
        <w:rPr>
          <w:rStyle w:val="FootnoteAnchor"/>
          <w:rtl w:val="true"/>
        </w:rPr>
        <w:footnoteReference w:id="331"/>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لأسمامة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یشفع فی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روایة سلمة</w:t>
      </w:r>
      <w:r>
        <w:rPr>
          <w:rStyle w:val="FootnoteAnchor"/>
          <w:rtl w:val="true"/>
        </w:rPr>
        <w:footnoteReference w:id="332"/>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قال کان اسامة بن زید یشفع فی الشّیئ الّذی لا حدّ فیه، فأتی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بأنسان قد وجب علیه حدّ فشفع له اسامة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تشفع فی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روایة سعید المسیبّ</w:t>
      </w:r>
      <w:r>
        <w:rPr>
          <w:rStyle w:val="FootnoteAnchor"/>
          <w:rtl w:val="true"/>
        </w:rPr>
        <w:footnoteReference w:id="333"/>
      </w:r>
      <w:r>
        <w:rPr>
          <w:rFonts w:ascii="IRNazanin" w:hAnsi="IRNazanin" w:eastAsia="IRNazanin"/>
          <w:color w:val="111111"/>
          <w:sz w:val="28"/>
          <w:sz w:val="28"/>
          <w:szCs w:val="28"/>
          <w:rtl w:val="true"/>
          <w:lang w:bidi="fa-IR"/>
        </w:rPr>
        <w:t xml:space="preserve">فی شفاعة اسامة فی سرقة امرأة من قریش،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هذا حدّ من حدود الله تعالی لا شفاعة فیها فقطعها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حدیث آخر</w:t>
      </w:r>
      <w:r>
        <w:rPr>
          <w:rStyle w:val="FootnoteAnchor"/>
          <w:rtl w:val="true"/>
        </w:rPr>
        <w:footnoteReference w:id="334"/>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تشفع فی حدّ اذا بلغ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اوضح من الکلّ معتبرة السبکونی</w:t>
      </w:r>
      <w:r>
        <w:rPr>
          <w:rStyle w:val="FootnoteAnchor"/>
          <w:rtl w:val="true"/>
        </w:rPr>
        <w:footnoteReference w:id="335"/>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یشفعنّ احد فی حدّ اذا بلغ الأمام فأنّه لایملکه، و اشفع فیما لم یبلغ الأمام اذا رأیت النّدم، و اشفع عند الأمام فی غیر الحدّ مع الرّجوع من المشفوع له، و لا یشفع فی حقّ امرئ مسلم و لا غیره الاّ بأذنه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 الحکم ما روی</w:t>
      </w:r>
      <w:r>
        <w:rPr>
          <w:rStyle w:val="FootnoteAnchor"/>
          <w:rtl w:val="true"/>
        </w:rPr>
        <w:footnoteReference w:id="336"/>
      </w:r>
      <w:r>
        <w:rPr>
          <w:rFonts w:ascii="IRNazanin" w:hAnsi="IRNazanin" w:eastAsia="IRNazanin"/>
          <w:color w:val="111111"/>
          <w:sz w:val="28"/>
          <w:sz w:val="28"/>
          <w:szCs w:val="28"/>
          <w:rtl w:val="true"/>
          <w:lang w:bidi="fa-IR"/>
        </w:rPr>
        <w:t xml:space="preserve">فی حدّ رجل من بنی اسد، حدّه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مرسلة الدّعائم</w:t>
      </w:r>
      <w:r>
        <w:rPr>
          <w:rStyle w:val="FootnoteAnchor"/>
          <w:rtl w:val="true"/>
        </w:rPr>
        <w:footnoteReference w:id="337"/>
      </w:r>
      <w:r>
        <w:rPr>
          <w:rFonts w:ascii="IRNazanin" w:hAnsi="IRNazanin" w:eastAsia="IRNazanin"/>
          <w:color w:val="111111"/>
          <w:sz w:val="28"/>
          <w:sz w:val="28"/>
          <w:szCs w:val="28"/>
          <w:rtl w:val="true"/>
          <w:lang w:bidi="fa-IR"/>
        </w:rPr>
        <w:t xml:space="preserve">عن ابی عبدالله او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بالشّفاعة فی الحدود اذا کانت من حقوق النّاس یسئلون فیها قبل ان یرفعوها، فأذا رفع الحدّ الی الأمام فلا 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 الحکم الأوّل کالثّانی مرسلته الأخری</w:t>
      </w:r>
      <w:r>
        <w:rPr>
          <w:rStyle w:val="FootnoteAnchor"/>
          <w:rtl w:val="true"/>
        </w:rPr>
        <w:footnoteReference w:id="33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ادرئوا الحدود بالشّبهات و لا شفاعة و لا کفالة و لا یمین فی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الثّانی معتبرة السّکونیّ</w:t>
      </w:r>
      <w:r>
        <w:rPr>
          <w:rStyle w:val="FootnoteAnchor"/>
          <w:rtl w:val="true"/>
        </w:rPr>
        <w:footnoteReference w:id="339"/>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کفالة فی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 الحکم صدر مرسل الدّعائم</w:t>
      </w:r>
      <w:r>
        <w:rPr>
          <w:rStyle w:val="FootnoteAnchor"/>
          <w:rtl w:val="true"/>
        </w:rPr>
        <w:footnoteReference w:id="340"/>
      </w:r>
      <w:r>
        <w:rPr>
          <w:rFonts w:ascii="IRNazanin" w:hAnsi="IRNazanin" w:eastAsia="IRNazanin"/>
          <w:color w:val="111111"/>
          <w:sz w:val="28"/>
          <w:sz w:val="28"/>
          <w:szCs w:val="28"/>
          <w:rtl w:val="true"/>
          <w:lang w:bidi="fa-IR"/>
        </w:rPr>
        <w:t xml:space="preserve">عن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لا کفاله فی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یدلّ علی الحکم الأخیر، و انّه لا تأخیر فی الحدّ معتبرة السّکونیّ</w:t>
      </w:r>
      <w:r>
        <w:rPr>
          <w:rStyle w:val="FootnoteAnchor"/>
          <w:rtl w:val="true"/>
        </w:rPr>
        <w:footnoteReference w:id="341"/>
      </w:r>
      <w:r>
        <w:rPr>
          <w:rFonts w:ascii="IRNazanin" w:hAnsi="IRNazanin" w:eastAsia="IRNazanin"/>
          <w:color w:val="111111"/>
          <w:sz w:val="28"/>
          <w:sz w:val="28"/>
          <w:szCs w:val="28"/>
          <w:rtl w:val="true"/>
          <w:lang w:bidi="fa-IR"/>
        </w:rPr>
        <w:t xml:space="preserve">عن جعفر عن ابیه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الحدود نظر ساعة و یؤیّد ذیل ما رواه فی الجعفریّات</w:t>
      </w: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خذوهم فلیس فی الحدود نظر ساعة و فی مرسلة الدّعائم</w:t>
      </w:r>
      <w:r>
        <w:rPr>
          <w:rStyle w:val="FootnoteAnchor"/>
          <w:rtl w:val="true"/>
        </w:rPr>
        <w:footnoteReference w:id="343"/>
      </w:r>
      <w:r>
        <w:rPr>
          <w:rFonts w:ascii="IRNazanin" w:hAnsi="IRNazanin" w:eastAsia="IRNazanin"/>
          <w:color w:val="111111"/>
          <w:sz w:val="28"/>
          <w:sz w:val="28"/>
          <w:szCs w:val="28"/>
          <w:rtl w:val="true"/>
          <w:lang w:bidi="fa-IR"/>
        </w:rPr>
        <w:t xml:space="preserve">عن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وجب الحقّ اقیم، و لیس فی الحدود نظرة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مرسلة الصّدوق</w:t>
      </w:r>
      <w:r>
        <w:rPr>
          <w:rStyle w:val="FootnoteAnchor"/>
          <w:rtl w:val="true"/>
        </w:rPr>
        <w:footnoteReference w:id="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فی الحدّ لعلّ، او عسی فالحدّ معطّل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نحوها مرسلة الدّعائم</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bookmarkStart w:id="127" w:name="pg3023_22498"/>
    </w:p>
    <w:p>
      <w:pPr>
        <w:pStyle w:val="Heading5"/>
        <w:numPr>
          <w:ilvl w:val="4"/>
          <w:numId w:val="1"/>
        </w:numPr>
        <w:rPr/>
      </w:pPr>
      <w:bookmarkStart w:id="128" w:name="__RefHeading___Toc656719_2749589250"/>
      <w:bookmarkStart w:id="129" w:name="_Toc46"/>
      <w:bookmarkEnd w:id="127"/>
      <w:bookmarkEnd w:id="128"/>
      <w:r>
        <w:rPr>
          <w:rtl w:val="true"/>
        </w:rPr>
        <w:t>لا حدّ علی الزّنا مضطرّاً</w:t>
      </w:r>
      <w:bookmarkEnd w:id="129"/>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یحدّ علی الزّنا مضطرّاً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الکلام فی ما به یتحقّق الأضطرار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اضطرّت الی الزّنا فلا حدّ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لدلیل رفع ما اضطرّوا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الکلام فیما به یتحقّق الأضطرار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 بدّ من وجود واجب اهمّ حتّی یکون فی مورد الدّوران مراعاته الزم عند الشّارع و یفدی بالمهمّ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یبعد تحقّقه فی مورد حفظ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الدّوارن، ان احرز انّ حفظها اهمّ، او احتمل اهمّیّته، او تساوی وجوب حفظها و حرمة الزّنا فلا حرمة فی ارتکاب الزّنا، بل فی صورة احراز الأهمّیّة لو خالفت فأدّی ترکه الی تلفها عصت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الأشارة بل الدّلالة فی الرّوایات التّقیّة الی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صحیحة زرارة</w:t>
      </w:r>
      <w:r>
        <w:rPr>
          <w:rStyle w:val="FootnoteAnchor"/>
          <w:rtl w:val="true"/>
        </w:rPr>
        <w:footnoteReference w:id="346"/>
      </w:r>
      <w:r>
        <w:rPr>
          <w:rFonts w:ascii="IRNazanin" w:hAnsi="IRNazanin" w:eastAsia="IRNazanin"/>
          <w:color w:val="111111"/>
          <w:sz w:val="28"/>
          <w:sz w:val="28"/>
          <w:szCs w:val="28"/>
          <w:rtl w:val="true"/>
          <w:lang w:bidi="fa-IR"/>
        </w:rPr>
        <w:t xml:space="preserve">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التّقیّة فی کلّ ضرورة و صاحبها اعلم بها حین تنزل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نحوها رواها زرارة</w:t>
      </w:r>
      <w:r>
        <w:rPr>
          <w:rStyle w:val="FootnoteAnchor"/>
          <w:rtl w:val="true"/>
        </w:rPr>
        <w:footnoteReference w:id="347"/>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نوادر احمد بن محمّد بن عیسی بسند 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صحیحة</w:t>
      </w:r>
      <w:r>
        <w:rPr>
          <w:rStyle w:val="FootnoteAnchor"/>
          <w:rtl w:val="true"/>
        </w:rPr>
        <w:footnoteReference w:id="348"/>
      </w:r>
      <w:r>
        <w:rPr>
          <w:rFonts w:ascii="IRNazanin" w:hAnsi="IRNazanin" w:eastAsia="IRNazanin"/>
          <w:color w:val="111111"/>
          <w:sz w:val="28"/>
          <w:sz w:val="28"/>
          <w:szCs w:val="28"/>
          <w:rtl w:val="true"/>
          <w:lang w:bidi="fa-IR"/>
        </w:rPr>
        <w:t xml:space="preserve">اسماعیل الجعفّی و معمّر بن یحیی بن سالم و محمّد بن مسلم وزرارة قالو سمعنا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التّقیّة فی کلّ شیئ یضطرّ الیه ابن آدم فقد احلّه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مقصوعة سماعة</w:t>
      </w:r>
      <w:r>
        <w:rPr>
          <w:rStyle w:val="FootnoteAnchor"/>
          <w:rtl w:val="true"/>
        </w:rPr>
        <w:footnoteReference w:id="34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لیس شیئ ممّا حرّم الله الاّ و قد احلّه لمن اضطرّ 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اصل زید النّرسیّ</w:t>
      </w:r>
      <w:r>
        <w:rPr>
          <w:rStyle w:val="FootnoteAnchor"/>
          <w:rtl w:val="true"/>
        </w:rPr>
        <w:footnoteReference w:id="350"/>
      </w:r>
      <w:r>
        <w:rPr>
          <w:rFonts w:ascii="IRNazanin" w:hAnsi="IRNazanin" w:eastAsia="IRNazanin"/>
          <w:color w:val="111111"/>
          <w:sz w:val="28"/>
          <w:sz w:val="28"/>
          <w:szCs w:val="28"/>
          <w:rtl w:val="true"/>
          <w:lang w:bidi="fa-IR"/>
        </w:rPr>
        <w:t xml:space="preserve">عن ابی بصیر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حرّم الله حراماً فأحلّه الاّ للمضطرّ و لا احلّ الله حلالاً قطّ ثمّ 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 الحکم روایات کّلها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 روایة محمّد بن عمرو بن سعید</w:t>
      </w:r>
      <w:r>
        <w:rPr>
          <w:rStyle w:val="FootnoteAnchor"/>
          <w:rtl w:val="true"/>
        </w:rPr>
        <w:footnoteReference w:id="351"/>
      </w:r>
      <w:r>
        <w:rPr>
          <w:rFonts w:ascii="IRNazanin" w:hAnsi="IRNazanin" w:eastAsia="IRNazanin"/>
          <w:color w:val="111111"/>
          <w:sz w:val="28"/>
          <w:sz w:val="28"/>
          <w:szCs w:val="28"/>
          <w:rtl w:val="true"/>
          <w:lang w:bidi="fa-IR"/>
        </w:rPr>
        <w:t>عن بعض اصحابنا قال اتت امرأة الی عمر فقالتک یا امیر المؤمنین 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فجرت فأقم فیّ حدّ الله فأمر برجمها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حاضراً فقال له سلها کیف فجرت؟ قالت کنت فی فلاة من الأرض فأصابنی عطش شدید فرفعت لی خیمة فأتیتها فأصبت فیها رجلاً اعرابیّاً، فسألته الماء فأبی علیّ ان یسقبنی الاّ ان امکنّه من نفسی فولّیت منه هاربة، فاشتدّ بی العطش حتّی غارت عینای و ذهب لسانی فلمّا بلغ منّی اتیته فسقانی و وقع علیّ، فقال 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هذه الّتی 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اضطرّ غیر باغ و لا عاد، هذه غیر باغیة و لا عادیة فخلّ سبیلها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علیّ  لهلک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رواها العیّاشی</w:t>
      </w:r>
      <w:r>
        <w:rPr>
          <w:rStyle w:val="FootnoteAnchor"/>
          <w:rtl w:val="true"/>
        </w:rPr>
        <w:footnoteReference w:id="352"/>
      </w:r>
      <w:r>
        <w:rPr>
          <w:rFonts w:ascii="IRNazanin" w:hAnsi="IRNazanin" w:eastAsia="IRNazanin"/>
          <w:color w:val="111111"/>
          <w:sz w:val="28"/>
          <w:sz w:val="28"/>
          <w:szCs w:val="28"/>
          <w:rtl w:val="true"/>
          <w:lang w:bidi="fa-IR"/>
        </w:rPr>
        <w:t>فی تفسیره عن بعض اصحابنا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مارواه شیخنا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فی الأرشاد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روی العامّة و الخاصّة انّ امرأة شهد علیها الشّهود انّهم وجدوها فی بعض میاه العرب مع رجل یطأها و لیس ببعل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عمر برجمها و کانت ذات 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الّلهم انّک تعلم أنی بریئة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و قال تجرح الشّهود ایضاً؟ فقال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ردّوها و اسألوها فلعلّ لها عذراً</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فردّت و سئلت عن 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کان لأهلی ابل فخرجت مع ابل اهلی و حملت معی ماءً ولم یکن فی ابلی لبن و خرج معی خلیطنا و کان فی ابل فنفد مائی فاستسقیته فأبی ان یسقینی حتّی امکنّه من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کادت نفسی ان تخرج امکنته من نفسی کرهاً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فمن اضطرّ غیر باغ و لا عاد فلا اثم</w:t>
      </w:r>
      <w:r>
        <w:rPr>
          <w:rFonts w:eastAsia="IRNazanin" w:cs="IRNazanin"/>
          <w:color w:val="111111"/>
          <w:sz w:val="28"/>
          <w:szCs w:val="28"/>
          <w:rtl w:val="true"/>
          <w:lang w:bidi="fa-IR"/>
        </w:rPr>
        <w:t>.</w:t>
      </w:r>
      <w:bookmarkStart w:id="130" w:name="pg3023_22500"/>
    </w:p>
    <w:p>
      <w:pPr>
        <w:pStyle w:val="Heading3"/>
        <w:numPr>
          <w:ilvl w:val="2"/>
          <w:numId w:val="1"/>
        </w:numPr>
        <w:rPr/>
      </w:pPr>
      <w:bookmarkStart w:id="131" w:name="__RefHeading___Toc656721_2749589250"/>
      <w:bookmarkStart w:id="132" w:name="_Toc47"/>
      <w:bookmarkEnd w:id="130"/>
      <w:bookmarkEnd w:id="131"/>
      <w:r>
        <w:rPr>
          <w:rtl w:val="true"/>
        </w:rPr>
        <w:t>فی اقسام حدّ الزّنا</w:t>
      </w:r>
      <w:bookmarkEnd w:id="132"/>
    </w:p>
    <w:p>
      <w:pPr>
        <w:pStyle w:val="Heading4"/>
        <w:numPr>
          <w:ilvl w:val="3"/>
          <w:numId w:val="1"/>
        </w:numPr>
        <w:rPr/>
      </w:pPr>
      <w:bookmarkStart w:id="133" w:name="__RefHeading___Toc656723_2749589250"/>
      <w:bookmarkStart w:id="134" w:name="_Toc48"/>
      <w:bookmarkEnd w:id="133"/>
      <w:r>
        <w:rPr>
          <w:rtl w:val="true"/>
        </w:rPr>
        <w:t>الاوّل</w:t>
      </w:r>
      <w:r>
        <w:rPr>
          <w:rtl w:val="true"/>
        </w:rPr>
        <w:t xml:space="preserve">: </w:t>
      </w:r>
      <w:r>
        <w:rPr>
          <w:rtl w:val="true"/>
        </w:rPr>
        <w:t>القتل</w:t>
      </w:r>
      <w:bookmarkEnd w:id="134"/>
    </w:p>
    <w:p>
      <w:pPr>
        <w:pStyle w:val="Heading5"/>
        <w:numPr>
          <w:ilvl w:val="4"/>
          <w:numId w:val="1"/>
        </w:numPr>
        <w:rPr/>
      </w:pPr>
      <w:bookmarkStart w:id="135" w:name="__RefHeading___Toc656725_2749589250"/>
      <w:bookmarkStart w:id="136" w:name="_Toc49"/>
      <w:bookmarkEnd w:id="135"/>
      <w:r>
        <w:rPr>
          <w:rtl w:val="true"/>
        </w:rPr>
        <w:t>اشارة</w:t>
      </w:r>
      <w:bookmarkEnd w:id="136"/>
    </w:p>
    <w:p>
      <w:pPr>
        <w:pStyle w:val="BookText"/>
        <w:rPr/>
      </w:pPr>
      <w:r>
        <w:rPr>
          <w:rFonts w:ascii="IRNazanin" w:hAnsi="IRNazanin" w:eastAsia="IRNazanin"/>
          <w:color w:val="111111"/>
          <w:sz w:val="28"/>
          <w:sz w:val="28"/>
          <w:szCs w:val="28"/>
          <w:rtl w:val="true"/>
          <w:lang w:bidi="fa-IR"/>
        </w:rPr>
        <w:t>و هو فی موارد</w:t>
      </w:r>
      <w:r>
        <w:rPr>
          <w:rFonts w:eastAsia="IRNazanin" w:cs="IRNazanin"/>
          <w:color w:val="111111"/>
          <w:sz w:val="28"/>
          <w:szCs w:val="28"/>
          <w:rtl w:val="true"/>
          <w:lang w:bidi="fa-IR"/>
        </w:rPr>
        <w:t>:</w:t>
      </w:r>
    </w:p>
    <w:p>
      <w:pPr>
        <w:pStyle w:val="Heading5"/>
        <w:numPr>
          <w:ilvl w:val="4"/>
          <w:numId w:val="1"/>
        </w:numPr>
        <w:rPr/>
      </w:pPr>
      <w:bookmarkStart w:id="137" w:name="__RefHeading___Toc656727_2749589250"/>
      <w:bookmarkStart w:id="138" w:name="_Toc50"/>
      <w:bookmarkEnd w:id="137"/>
      <w:r>
        <w:rPr>
          <w:rtl w:val="true"/>
        </w:rPr>
        <w:t>الاوّل</w:t>
      </w:r>
      <w:r>
        <w:rPr>
          <w:rtl w:val="true"/>
        </w:rPr>
        <w:t xml:space="preserve">: </w:t>
      </w:r>
      <w:r>
        <w:rPr>
          <w:rtl w:val="true"/>
        </w:rPr>
        <w:t>فی الزّنا بذات محرم او ذی محرم</w:t>
      </w:r>
      <w:bookmarkEnd w:id="138"/>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زنی بذات محرم یجب قتله بالسّیف، کما اذا زنت هی بذی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یضرب فی غیر العنق، و لا بضربة غیر نافذة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فلمّا سمع عمر ذلک خلّی سبیلها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قرب الأسناد</w:t>
      </w:r>
      <w:r>
        <w:rPr>
          <w:rStyle w:val="FootnoteAnchor"/>
          <w:rtl w:val="true"/>
        </w:rPr>
        <w:footnoteReference w:id="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رسول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 بأمرأة مریضة و رجل اجرب مریض قد بدت عروق فخذیه و قد فجر بأمرأة فقالت المرأة فقالت المرأة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اتیته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اطعمنی و اسقنی فقد جهدت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افعل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بیّنة مأة شمروخ ضربة واحدة  و خلّی سبیله و لم یضرب المرأة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الکلام فی حدّ الزّنا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 الذّی یجب فی الزّنا علی اقسام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التغریب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الحدّ او اقلّ اواکثر</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یأتی تفصیل کلّ علی التّرتیب، فالقتل یجب فی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احدها اذا زنی بذات محرم یجب قتله بالسّیف، بالضّرب فی رقبته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اذا زنت بذی محرم بلا خلاف و لا اشکال بل ادّعی علیه الأجماع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الخلاف</w:t>
      </w:r>
      <w:r>
        <w:rPr>
          <w:rStyle w:val="FootnoteAnchor"/>
          <w:rtl w:val="true"/>
        </w:rPr>
        <w:footnoteReference w:id="355"/>
      </w:r>
      <w:r>
        <w:rPr>
          <w:rFonts w:ascii="IRNazanin" w:hAnsi="IRNazanin" w:eastAsia="IRNazanin"/>
          <w:color w:val="111111"/>
          <w:sz w:val="28"/>
          <w:sz w:val="28"/>
          <w:szCs w:val="28"/>
          <w:rtl w:val="true"/>
          <w:lang w:bidi="fa-IR"/>
        </w:rPr>
        <w:t>اذا عقد النّکاح علی ذات محرم له کأمّه و بنته و اخته و خالته و عمّته من نسب او رضاع، او امرأة ابنه او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تزوّج بخامسة، او أمرأة لها زوج و وطئها، او وطئ أمرأة بعد أن بانت باللّعان او بالطّلاق الثّلاث مع العلم بالتّحریم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القتل فی وطی ذات محرم و الحدّ 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وطئ الأجنبیّة و به قال الشّافعیّ</w:t>
      </w:r>
      <w:r>
        <w:rPr>
          <w:rStyle w:val="FootnoteAnchor"/>
          <w:rtl w:val="true"/>
        </w:rPr>
        <w:footnoteReference w:id="356"/>
      </w:r>
      <w:r>
        <w:rPr>
          <w:rFonts w:ascii="IRNazanin" w:hAnsi="IRNazanin" w:eastAsia="IRNazanin"/>
          <w:color w:val="111111"/>
          <w:sz w:val="28"/>
          <w:sz w:val="28"/>
          <w:szCs w:val="28"/>
          <w:rtl w:val="true"/>
          <w:lang w:bidi="fa-IR"/>
        </w:rPr>
        <w:t>الاّ انّه یفصّل و قال ابو حنیفة لا حدّ فی شیئ من هذا ـ الی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 اجماع الفرقة و اخبارهم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ثمّ استدلّ بالقرآن و روایات من طریق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المبسوط</w:t>
      </w:r>
      <w:r>
        <w:rPr>
          <w:rStyle w:val="FootnoteAnchor"/>
          <w:rtl w:val="true"/>
        </w:rPr>
        <w:footnoteReference w:id="358"/>
      </w:r>
      <w:r>
        <w:rPr>
          <w:rFonts w:ascii="IRNazanin" w:hAnsi="IRNazanin" w:eastAsia="IRNazanin"/>
          <w:color w:val="111111"/>
          <w:sz w:val="28"/>
          <w:sz w:val="28"/>
          <w:szCs w:val="28"/>
          <w:rtl w:val="true"/>
          <w:lang w:bidi="fa-IR"/>
        </w:rPr>
        <w:t>الأجماع علیه فی الأبتیاع و الوطی عالماً بالتّحریم و کذلک فی وطیها و ان لم یشترها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الأنتصار</w:t>
      </w:r>
      <w:r>
        <w:rPr>
          <w:rStyle w:val="FootnoteAnchor"/>
          <w:rtl w:val="true"/>
        </w:rPr>
        <w:footnoteReference w:id="359"/>
      </w:r>
      <w:r>
        <w:rPr>
          <w:rFonts w:ascii="IRNazanin" w:hAnsi="IRNazanin" w:eastAsia="IRNazanin"/>
          <w:color w:val="111111"/>
          <w:sz w:val="28"/>
          <w:sz w:val="28"/>
          <w:szCs w:val="28"/>
          <w:rtl w:val="true"/>
          <w:lang w:bidi="fa-IR"/>
        </w:rPr>
        <w:t>جعل ضرب عنق الزّانی بذات محرم ممّا انفردت به الأمامیّة محصناً کان او غیر محصن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عقد علی واحدة منهنّ و هو عارف برحمه منها، و وطئها استحقّ ضرب العنق، و حکمه حکم الوطی لهنّ بغیر عقد و خالف باقی الفقهاء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اخذ فی نقل اقوال القوم و معارضتهم بروایاتهم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الحکم مضافاً الی الأجماع روایات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صحیحة بکیر بن 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الرّاوی عن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بکیر بن اعین</w:t>
      </w:r>
      <w:r>
        <w:rPr>
          <w:rStyle w:val="FootnoteAnchor"/>
          <w:rtl w:val="true"/>
        </w:rPr>
        <w:footnoteReference w:id="360"/>
      </w:r>
      <w:r>
        <w:rPr>
          <w:rFonts w:ascii="IRNazanin" w:hAnsi="IRNazanin" w:eastAsia="IRNazanin"/>
          <w:color w:val="111111"/>
          <w:sz w:val="28"/>
          <w:sz w:val="28"/>
          <w:szCs w:val="28"/>
          <w:rtl w:val="true"/>
          <w:lang w:bidi="fa-IR"/>
        </w:rPr>
        <w:t xml:space="preserve">یروی عن احدهما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زنی بذات محرم حتّی یواقعها ضرب ضربة بالسّیف اخذت منه ما اخذت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کانت تابعة ضربت ضربة بالسّیف اخذت منها ما اخذت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 فمن یضربهما و لیس لهما خصم؟ قال ذلک علی الأمام اذا رفعا الیه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معتبرة او صحیحة جمیل بن درّاج</w:t>
      </w:r>
      <w:r>
        <w:rPr>
          <w:rStyle w:val="FootnoteAnchor"/>
          <w:rtl w:val="true"/>
        </w:rPr>
        <w:footnoteReference w:id="361"/>
      </w:r>
      <w:r>
        <w:rPr>
          <w:rFonts w:ascii="IRNazanin" w:hAnsi="IRNazanin" w:eastAsia="IRNazanin"/>
          <w:color w:val="111111"/>
          <w:sz w:val="28"/>
          <w:sz w:val="28"/>
          <w:szCs w:val="28"/>
          <w:rtl w:val="true"/>
          <w:lang w:bidi="fa-IR"/>
        </w:rPr>
        <w:t xml:space="preserve">قال 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یضرب الذّی یأتی ذات محرم بالسّیف؟ این هذه الضّربة؟ قال تضرب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قال تضرب رقبتة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و نحوها فی اسناد الصّدوق</w:t>
      </w:r>
      <w:r>
        <w:rPr>
          <w:rStyle w:val="FootnoteAnchor"/>
          <w:rtl w:val="true"/>
        </w:rPr>
        <w:footnoteReference w:id="3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المعتبرة روایة اخری لجمیل</w:t>
      </w:r>
      <w:r>
        <w:rPr>
          <w:rStyle w:val="FootnoteAnchor"/>
          <w:rtl w:val="true"/>
        </w:rPr>
        <w:footnoteReference w:id="363"/>
      </w:r>
      <w:r>
        <w:rPr>
          <w:rFonts w:ascii="IRNazanin" w:hAnsi="IRNazanin" w:eastAsia="IRNazanin"/>
          <w:color w:val="111111"/>
          <w:sz w:val="28"/>
          <w:sz w:val="28"/>
          <w:szCs w:val="28"/>
          <w:rtl w:val="true"/>
          <w:lang w:bidi="fa-IR"/>
        </w:rPr>
        <w:t>و فی الطّریق سهل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مرسلته</w:t>
      </w:r>
      <w:r>
        <w:rPr>
          <w:rStyle w:val="FootnoteAnchor"/>
          <w:rtl w:val="true"/>
        </w:rPr>
        <w:footnoteReference w:id="364"/>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رقبته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مرسلة ابن بکیر</w:t>
      </w:r>
      <w:r>
        <w:rPr>
          <w:rStyle w:val="FootnoteAnchor"/>
          <w:rtl w:val="true"/>
        </w:rPr>
        <w:footnoteReference w:id="365"/>
      </w:r>
      <w:r>
        <w:rPr>
          <w:rFonts w:ascii="IRNazanin" w:hAnsi="IRNazanin" w:eastAsia="IRNazanin"/>
          <w:color w:val="111111"/>
          <w:sz w:val="28"/>
          <w:sz w:val="28"/>
          <w:szCs w:val="28"/>
          <w:rtl w:val="true"/>
          <w:lang w:bidi="fa-IR"/>
        </w:rPr>
        <w:t xml:space="preserve">عن رجل قال 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الرّجل یأتی ذات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یضرب بالسّیف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مسندته</w:t>
      </w:r>
      <w:r>
        <w:rPr>
          <w:rStyle w:val="FootnoteAnchor"/>
          <w:rtl w:val="true"/>
        </w:rPr>
        <w:footnoteReference w:id="36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اتی ذات محرم ضرب ضربة بالسّیف اخذت منه ما اخذت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یؤیّده ما فی 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3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زنی بدات محرم ضرب ضربة بالسّیف محصناً کان ام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کانت تابعته ضربت ضربة بالسّیف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استکرها فلا شیئ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مرسل الدّعائم</w:t>
      </w:r>
      <w:r>
        <w:rPr>
          <w:rStyle w:val="FootnoteAnchor"/>
          <w:rtl w:val="true"/>
        </w:rPr>
        <w:footnoteReference w:id="368"/>
      </w:r>
      <w:r>
        <w:rPr>
          <w:rFonts w:ascii="IRNazanin" w:hAnsi="IRNazanin" w:eastAsia="IRNazanin"/>
          <w:color w:val="111111"/>
          <w:sz w:val="28"/>
          <w:sz w:val="28"/>
          <w:szCs w:val="28"/>
          <w:rtl w:val="true"/>
          <w:lang w:bidi="fa-IR"/>
        </w:rPr>
        <w:t xml:space="preserve">عن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اتی ذات محرم 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مرسلة العوالی</w:t>
      </w:r>
      <w:r>
        <w:rPr>
          <w:rStyle w:val="FootnoteAnchor"/>
          <w:rtl w:val="true"/>
        </w:rPr>
        <w:footnoteReference w:id="3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من اتی ذات محرم فاقتلوه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یستفاد منها قتله بالسّیف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لو فرض اطلاق الصّحیحة الأولی للقتل و عدمه و الضّرب فی الرّقبة و غیرها من اجزاء البدن لکنّها مقیّدة بمعتبرة جمیل بالنّسبة الی القتل و الضّرب فی العنق و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تخییر فی قتله بضرب السّیف فی غیر العنق، و لا بضربة غیر نافذة فیها لا تقتل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تخییر فی قتله بالسبیف و غیره من آلات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القتل متعیّن بخصوص السّیف، کما فی الرّجم لابدّ ان یقتل بالحجارة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مجال لأن یقال انّه اذا لم تقتل الضّربة لقصور فی المقتضی او مانع فی المقتول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یکتفی بالضّربة غیر القاتلة علی ما هو مقتضی ظاهر صحیحة ابن بکیر؟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او تکرّر حتّی یقتل؟ او یحبس حتّی یموت فی السّجن؟ کما رواه محمّد بن عبدالله ابن مهران</w:t>
      </w:r>
      <w:r>
        <w:rPr>
          <w:rStyle w:val="FootnoteAnchor"/>
          <w:rtl w:val="true"/>
        </w:rPr>
        <w:footnoteReference w:id="370"/>
      </w:r>
      <w:r>
        <w:rPr>
          <w:rFonts w:ascii="IRNazanin" w:hAnsi="IRNazanin" w:eastAsia="IRNazanin"/>
          <w:color w:val="111111"/>
          <w:sz w:val="28"/>
          <w:sz w:val="28"/>
          <w:szCs w:val="28"/>
          <w:rtl w:val="true"/>
          <w:lang w:bidi="fa-IR"/>
        </w:rPr>
        <w:t xml:space="preserve">فی مرسلته بوجهین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وقع علی 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یضرب ضربة بالسّیف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فانّه یخلص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یحبس ابداً حتّی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خبر عامر بن السّمط</w:t>
      </w:r>
      <w:r>
        <w:rPr>
          <w:rStyle w:val="FootnoteAnchor"/>
          <w:rtl w:val="true"/>
        </w:rPr>
        <w:footnoteReference w:id="371"/>
      </w:r>
      <w:r>
        <w:rPr>
          <w:rFonts w:ascii="IRNazanin" w:hAnsi="IRNazanin" w:eastAsia="IRNazanin"/>
          <w:color w:val="111111"/>
          <w:sz w:val="28"/>
          <w:sz w:val="28"/>
          <w:szCs w:val="28"/>
          <w:rtl w:val="true"/>
          <w:lang w:bidi="fa-IR"/>
        </w:rPr>
        <w:t xml:space="preserve">عن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یضربة بالسّیف بلغت منه ما بلغت، فأن عاش خلّد فی السّجن حتّی یموت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لما عرفت من تمامیّة دلالة الرّوایات علی القتل، و ضعف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مهران و ابن السّمط، و عدم القول بمضمونهما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ابن مهران غال کذّاب، فاسد المذهب، او یرمی بالغلوّ، ضعیف علی انّه مرسل عن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السّمط فی الوافی المطبوع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و هو مهمل</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ولم یوثّق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المامقانی البعد عن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فلا تقاوم تلک الرّوایات، کما لا یقاومها معتبرة ابی بصیر</w:t>
      </w:r>
      <w:r>
        <w:rPr>
          <w:rStyle w:val="FootnoteAnchor"/>
          <w:rtl w:val="true"/>
        </w:rPr>
        <w:footnoteReference w:id="372"/>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اذا زنی الرّجل بذات محرم حدّ حدّ الزّانی الاّ انّه اعظم ذنباً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لشذوذها، و ترجیح تلک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بعضهم نفی البعد عن حملها علی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معارضتها بما رواه عنه احمد بن محمّد بن عیسی</w:t>
      </w:r>
      <w:r>
        <w:rPr>
          <w:rStyle w:val="FootnoteAnchor"/>
          <w:rtl w:val="true"/>
        </w:rPr>
        <w:footnoteReference w:id="373"/>
      </w:r>
      <w:r>
        <w:rPr>
          <w:rFonts w:ascii="IRNazanin" w:hAnsi="IRNazanin" w:eastAsia="IRNazanin"/>
          <w:color w:val="111111"/>
          <w:sz w:val="28"/>
          <w:sz w:val="28"/>
          <w:szCs w:val="28"/>
          <w:rtl w:val="true"/>
          <w:lang w:bidi="fa-IR"/>
        </w:rPr>
        <w:t xml:space="preserve">فی نوادره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الظاّهر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و من زنی بذات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ضربة بالسّیف مات منها او عاش</w:t>
      </w:r>
      <w:r>
        <w:rPr>
          <w:rFonts w:eastAsia="IRNazanin" w:cs="IRNazanin"/>
          <w:color w:val="111111"/>
          <w:sz w:val="28"/>
          <w:szCs w:val="28"/>
          <w:rtl w:val="true"/>
          <w:lang w:bidi="fa-IR"/>
        </w:rPr>
        <w:t>.</w:t>
      </w:r>
      <w:bookmarkStart w:id="139" w:name="pg3023_22506"/>
    </w:p>
    <w:p>
      <w:pPr>
        <w:pStyle w:val="Heading5"/>
        <w:numPr>
          <w:ilvl w:val="4"/>
          <w:numId w:val="1"/>
        </w:numPr>
        <w:rPr/>
      </w:pPr>
      <w:bookmarkStart w:id="140" w:name="__RefHeading___Toc656729_2749589250"/>
      <w:bookmarkStart w:id="141" w:name="_Toc51"/>
      <w:bookmarkEnd w:id="139"/>
      <w:bookmarkEnd w:id="140"/>
      <w:r>
        <w:rPr>
          <w:rtl w:val="true"/>
        </w:rPr>
        <w:t>جهات من البحث</w:t>
      </w:r>
      <w:bookmarkEnd w:id="141"/>
    </w:p>
    <w:p>
      <w:pPr>
        <w:pStyle w:val="Heading6"/>
        <w:numPr>
          <w:ilvl w:val="5"/>
          <w:numId w:val="1"/>
        </w:numPr>
        <w:rPr/>
      </w:pPr>
      <w:bookmarkStart w:id="142" w:name="__RefHeading___Toc656731_2749589250"/>
      <w:bookmarkStart w:id="143" w:name="_Toc52"/>
      <w:bookmarkEnd w:id="142"/>
      <w:r>
        <w:rPr>
          <w:rtl w:val="true"/>
        </w:rPr>
        <w:t>الاولی</w:t>
      </w:r>
      <w:r>
        <w:rPr>
          <w:rtl w:val="true"/>
        </w:rPr>
        <w:t xml:space="preserve">: </w:t>
      </w:r>
      <w:r>
        <w:rPr>
          <w:rtl w:val="true"/>
        </w:rPr>
        <w:t>ایجلد ثمّ یقتل؟</w:t>
      </w:r>
      <w:bookmarkEnd w:id="143"/>
    </w:p>
    <w:p>
      <w:pPr>
        <w:pStyle w:val="BookText"/>
        <w:rPr/>
      </w:pPr>
      <w:r>
        <w:rPr>
          <w:rFonts w:ascii="IRNazanin" w:hAnsi="IRNazanin" w:eastAsia="IRNazanin"/>
          <w:color w:val="111111"/>
          <w:sz w:val="28"/>
          <w:sz w:val="28"/>
          <w:szCs w:val="28"/>
          <w:rtl w:val="true"/>
          <w:lang w:bidi="fa-IR"/>
        </w:rPr>
        <w:t>و هل یسقط الجلد، ام یجلد ثمّ یقتل؟ المشهور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بحث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و لا وجه لما عن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الذّهاب الی التّخییر بین القتل بالسّیف و بین الرّجم استناداً الی 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 اشعار فیها بالرّجم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ظاهرها مساواة هذا الزّنا بالزّنا بالأجنبیّة فی الحدّ الّذی یفصل فیه بین المحصن و غیره بالرّجم و الجلد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فی المقام جهات من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الزّنا بذات المحرم لا یوجب الاّ القتل، فأطلاق الأیة فی جلد الزّانیة و الزّانی مقیّد بغیرها؟ ام لا تنافی بینهما، فیجلد ثمّ یقتل؟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یعطی کلام الشّیخ فی الخلاف</w:t>
      </w:r>
      <w:r>
        <w:rPr>
          <w:rStyle w:val="FootnoteAnchor"/>
          <w:rtl w:val="true"/>
        </w:rPr>
        <w:footnoteReference w:id="374"/>
      </w:r>
      <w:r>
        <w:rPr>
          <w:rFonts w:ascii="IRNazanin" w:hAnsi="IRNazanin" w:eastAsia="IRNazanin"/>
          <w:color w:val="111111"/>
          <w:sz w:val="28"/>
          <w:sz w:val="28"/>
          <w:szCs w:val="28"/>
          <w:rtl w:val="true"/>
          <w:lang w:bidi="fa-IR"/>
        </w:rPr>
        <w:t>و المبسوط</w:t>
      </w:r>
      <w:r>
        <w:rPr>
          <w:rStyle w:val="FootnoteAnchor"/>
          <w:rtl w:val="true"/>
        </w:rPr>
        <w:footnoteReference w:id="375"/>
      </w:r>
      <w:r>
        <w:rPr>
          <w:rFonts w:ascii="IRNazanin" w:hAnsi="IRNazanin" w:eastAsia="IRNazanin"/>
          <w:color w:val="111111"/>
          <w:sz w:val="28"/>
          <w:sz w:val="28"/>
          <w:szCs w:val="28"/>
          <w:rtl w:val="true"/>
          <w:lang w:bidi="fa-IR"/>
        </w:rPr>
        <w:t>الأجماع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السّرائر</w:t>
      </w:r>
      <w:r>
        <w:rPr>
          <w:rStyle w:val="FootnoteAnchor"/>
          <w:rtl w:val="true"/>
        </w:rPr>
        <w:footnoteReference w:id="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یجب علیه القتل علی کلّ حال بعد جلده حدّ الزّانی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دلیل علی سقوط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الزّانیة و الزّانی فاجلدوا کلّ واحد منهما مأة جلدة</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و لا منافاة بین جلده و بین قتله بعد الجلد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اطلاق قول اصحابنا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 القتل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دلیلاً علی رفع حدّ الزّناعنه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کشف اللّثام و قد یؤیّده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مرّ من خبر ابی بصیر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وجّهه فی الجواهر بما لم یرتضه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و التّحقیق ما ذکره ابن ادریس اذا لم یکن القتل و الضّرب بالسیّف کمال جزاء الزّانی بذات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کانت النّسبة بینه و بین من یجلد او یرجم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العموم مطلقاً، او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الأطلاق فی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وجه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فلو دلّت روایات المقام کأمثاله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زنا الیهودیّ او مطلق الکافر بالمسلمة، او زنا المکره للمرأة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انحصار جزائه وحده بالقتل کما لیس ببعید فالحقّ مع المشهور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یظهر من صاحب المبانی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شمول اطلاق الأیة الشّریفة</w:t>
      </w:r>
      <w:r>
        <w:rPr>
          <w:rStyle w:val="FootnoteAnchor"/>
          <w:rtl w:val="true"/>
        </w:rPr>
        <w:footnoteReference w:id="37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الزّانیة و الزّانی فا جلدوا کلّ واحد منهما مأة جلدة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ثبوت الرّجم فیه و الجلد فی غیره بالأطلاقات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اعترافه بکون النّسبة بین کلّ ما دلّ علی الجلد فی غیر المحصن و الرّجم فیه؛ و بین دلیل قتل الزّانی بذات المحرم بالسّیف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العموم من وجه عاملها معاملة العموم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روایات المقام علی کلّ من تینک الطّا ئفتین لخصوصیّة الزّنا بذات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اظهریّة دلالة روایاتها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للعموم الوضعیّ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لکونها باأطلاق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 فی مورد الأجتماع و المعارضة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لکنّک خبیر بعدم المعارضة لدلیل الجلد مع دلیل قتل الزّانی 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تتحقّق فی القتل بالسّیف و القتل بالرّجم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bookmarkStart w:id="144" w:name="pg3023_22508"/>
    </w:p>
    <w:p>
      <w:pPr>
        <w:pStyle w:val="Heading6"/>
        <w:numPr>
          <w:ilvl w:val="5"/>
          <w:numId w:val="1"/>
        </w:numPr>
        <w:rPr/>
      </w:pPr>
      <w:bookmarkStart w:id="145" w:name="__RefHeading___Toc656733_2749589250"/>
      <w:bookmarkStart w:id="146" w:name="_Toc53"/>
      <w:bookmarkEnd w:id="144"/>
      <w:bookmarkEnd w:id="145"/>
      <w:r>
        <w:rPr>
          <w:rtl w:val="true"/>
        </w:rPr>
        <w:t>الثّانیة</w:t>
      </w:r>
      <w:r>
        <w:rPr>
          <w:rtl w:val="true"/>
        </w:rPr>
        <w:t>:</w:t>
      </w:r>
      <w:r>
        <w:rPr>
          <w:rtl w:val="true"/>
        </w:rPr>
        <w:t>اختصاص ذات المحرم بالنّسب</w:t>
      </w:r>
      <w:bookmarkEnd w:id="146"/>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ختصاص ذات المحرم بالنّسب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کلام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اختصاص ذات المحرم بالنّسب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لأنصرافها الیهنّ لا الی المحارم بالرّضاع او المصاهرة و فی ما تقدّم عن الأنتصار صفحة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علیه خلافاً لغیر واحد، فعّممموا الحکم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یؤمی الیه کلام الشّیخ فی الخلاف</w:t>
      </w:r>
      <w:r>
        <w:rPr>
          <w:rStyle w:val="FootnoteAnchor"/>
          <w:rtl w:val="true"/>
        </w:rPr>
        <w:footnoteReference w:id="379"/>
      </w:r>
      <w:r>
        <w:rPr>
          <w:rFonts w:ascii="IRNazanin" w:hAnsi="IRNazanin" w:eastAsia="IRNazanin"/>
          <w:color w:val="111111"/>
          <w:sz w:val="28"/>
          <w:sz w:val="28"/>
          <w:szCs w:val="28"/>
          <w:rtl w:val="true"/>
          <w:lang w:bidi="fa-IR"/>
        </w:rPr>
        <w:t xml:space="preserve">و قد تقدّم فی صفحة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و فی السّرائر</w:t>
      </w:r>
      <w:r>
        <w:rPr>
          <w:rStyle w:val="FootnoteAnchor"/>
          <w:rtl w:val="true"/>
        </w:rPr>
        <w:footnoteReference w:id="380"/>
      </w:r>
      <w:r>
        <w:rPr>
          <w:rFonts w:ascii="IRNazanin" w:hAnsi="IRNazanin" w:eastAsia="IRNazanin"/>
          <w:color w:val="111111"/>
          <w:sz w:val="28"/>
          <w:sz w:val="28"/>
          <w:szCs w:val="28"/>
          <w:rtl w:val="true"/>
          <w:lang w:bidi="fa-IR"/>
        </w:rPr>
        <w:t>جعل القتل و الحدّ معاً علی من زنی بأمرأة ابیه او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الحقّ انّ الأنصراف و انکان یتبادر الی الذّهن فی بادی النّظر، الّا انّ التّأمّل التّام یقضی بأنّه الفرد الأکمل، لا المنصرف الیه، بحیث لو قّید الکلام به یکون من قبیل التّأکید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ضابط الأنصراف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شمول العنوان للنّسبی اظهر منه فی غیره، فهو من قبیل المشکّک و من الواضح حجّیّة الظّهور اذا استقرّ ولو بأدنی مرتبة منه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ان یقال انّ المتبادر من ذات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یطلق علیه العنوان بلا عنایة و تسبّب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المحارم بالمصاهرة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یصرن محارم بسببها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لم ترضع امرأة ابناً او بنتاً لغیرها بلبن 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یتحقّق  عنوان الولدیّة و لا الأمومة و الاُیؤة و الأخوّة و امثالها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النّسبیّ فأنّه بولادته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ولداً، و والده اباً و والدته امّاً و اخوتهما اخوالاً و خالات، و اعماماً و عمبات و ان لم تکن هناک مصاهرة ولا ارضاع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انّه اذا تزوّجت المطلّقة و ولدت بنتاً لغیر المطلّق فعند الولادة تکون ربیبة بلا حاجة الی شیئ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اذا ولدت بنت المرضع او المرضعة او تولّد من ابنها بالرّضاع ولد یکون ولداً عند الولادة بلا حاجة الی ارضاع مکررّ، او مصاهرة جدیدة، و لکن مع ذلک فی النّفس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ینبغی التأمّل فی عدم دلالة لما ورد من کون الرّضاع لحمة کلحمة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لسانه کلسان ماورد</w:t>
      </w:r>
      <w:bookmarkStart w:id="147" w:name="pg3023_22509"/>
    </w:p>
    <w:p>
      <w:pPr>
        <w:pStyle w:val="BookText"/>
        <w:rPr/>
      </w:pPr>
      <w:bookmarkEnd w:id="147"/>
      <w:r>
        <w:rPr>
          <w:rFonts w:ascii="IRNazanin" w:hAnsi="IRNazanin" w:eastAsia="IRNazanin"/>
          <w:color w:val="111111"/>
          <w:sz w:val="28"/>
          <w:sz w:val="28"/>
          <w:szCs w:val="28"/>
          <w:rtl w:val="true"/>
          <w:lang w:bidi="fa-IR"/>
        </w:rPr>
        <w:t>و لا تدخل فی عنوان الحکم الملاعنة، و المطلّقة تسعاً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 الموقب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بنته و امّه، و المحرّم نکاحها للزّنا بها فی العدّة، او متزوجّة، او المتزوّج بها حال الأحرام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148" w:name="__RefHeading___Toc656735_2749589250"/>
      <w:bookmarkStart w:id="149" w:name="_Toc54"/>
      <w:bookmarkEnd w:id="148"/>
      <w:r>
        <w:rPr>
          <w:rtl w:val="true"/>
        </w:rPr>
        <w:t>الثّالثة</w:t>
      </w:r>
      <w:r>
        <w:rPr>
          <w:rtl w:val="true"/>
        </w:rPr>
        <w:t>:</w:t>
      </w:r>
      <w:r>
        <w:rPr>
          <w:rtl w:val="true"/>
        </w:rPr>
        <w:t>شمول الحکم لذات المحرم بالزّنا</w:t>
      </w:r>
      <w:bookmarkEnd w:id="149"/>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یخصّ الحکم ما کان بالنّکاح الصّحیح بل الظّاهر شموله لغیره کالزّنا بأمّه من الزّنا او اخته بنته و غیر هما کذلک</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ایضاً من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من الرّضاع ما یحرم بالنّسب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من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یختصّ بباب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لم یعامل الأصحاب المحرّمات الرّضاعیّة معاملة النسبیّة فی سایر الأبواب کالأرث و العتق و باب صلاة المیّت او القضاء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فلا یشمل عنوان ذات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الملاعنة و المطلّقة تسعاً و المحرّمة نکاحها لنکاح اخیها او ابیها او ابنها ایقاباً او للزّنا بها فی العدّة او فی زواج الغیر او الزّنا ببنتها او امّها او نکاحها فی حال الأحرام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کون ایّة واحدة منها ذات المحرم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عنوان ذات المحرم یختصّ بما اذا کان بالنّکاح الصّحیح، فلا یشمل ما اذا کان بالزّنا؟ فلو زنی بأمّة من الزّنا او اخته او بنته او خالته او عمّته کذلک مثلاً فلا یشمله اخبار المقام؟ ام لا بل یشمل الفریقین؟</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هو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یقال فی الأیة الشّریفة الواردة فی حرمة النّکاح بالنّسبة الی المذکورات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علیکم امّهاتکم ـ الخ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احتمال اختصاص التّحریم بالأوّل و عدم شموله للثّانی کما اشار الی قول به فی الجواهر استناداً الی الأصل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کونه خلاف اظّاهر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یساعده الأرتکاز العرفیّ، بل الصّدق، نعم فی مثل باب المواریث یختصّ الحکم بالنّکاح الصّحیح او یعمّه و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الزّنا للدّلیل الخاصّ</w:t>
      </w:r>
      <w:r>
        <w:rPr>
          <w:rFonts w:eastAsia="IRNazanin" w:cs="IRNazanin"/>
          <w:color w:val="111111"/>
          <w:sz w:val="28"/>
          <w:szCs w:val="28"/>
          <w:rtl w:val="true"/>
          <w:lang w:bidi="fa-IR"/>
        </w:rPr>
        <w:t>.</w:t>
      </w:r>
      <w:bookmarkStart w:id="150" w:name="pg3023_22510"/>
    </w:p>
    <w:p>
      <w:pPr>
        <w:pStyle w:val="Heading6"/>
        <w:numPr>
          <w:ilvl w:val="5"/>
          <w:numId w:val="1"/>
        </w:numPr>
        <w:rPr/>
      </w:pPr>
      <w:bookmarkStart w:id="151" w:name="__RefHeading___Toc656737_2749589250"/>
      <w:bookmarkStart w:id="152" w:name="_Toc55"/>
      <w:bookmarkEnd w:id="150"/>
      <w:bookmarkEnd w:id="151"/>
      <w:r>
        <w:rPr>
          <w:rtl w:val="true"/>
        </w:rPr>
        <w:t>لا یشترط فی القتل الاحصان</w:t>
      </w:r>
      <w:bookmarkEnd w:id="152"/>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قی قتل الزّانی بذات محرم او الزّانیة کذلک بین ما اذا کان هناک احصان ام لا، کما لا فرق بین الحرّ و العبد و الحرّة و الأمة و المسلم و الکافر اذا لم یکن الجواز مقتضی مذهبه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وجوب قتل الزّانی بذات محرم او الزّانیة بالمحرم بین ما کان هناک احصان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فرق بین الحرّ و العبد، و الحرّة و الأمة، و المسلم و الکافر اذا لم یکن الجواز مقتضی مذهبه،  و لا بین ما کان شیخاً او شابّاً، و هی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الجواهر دعوی عدم وجدان الخلاف فی المقام و فیما یأتی من الزّانی المکره، و الذّمّی الزّانی بالمسلمة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فصّل ابن ادریس فی السّرائر</w:t>
      </w:r>
      <w:r>
        <w:rPr>
          <w:rStyle w:val="FootnoteAnchor"/>
          <w:rtl w:val="true"/>
        </w:rPr>
        <w:footnoteReference w:id="381"/>
      </w:r>
      <w:r>
        <w:rPr>
          <w:rFonts w:ascii="IRNazanin" w:hAnsi="IRNazanin" w:eastAsia="IRNazanin"/>
          <w:color w:val="111111"/>
          <w:sz w:val="28"/>
          <w:sz w:val="28"/>
          <w:szCs w:val="28"/>
          <w:rtl w:val="true"/>
          <w:lang w:bidi="fa-IR"/>
        </w:rPr>
        <w:t>بین المحصن فی الأقسام الثّلة الذین یجب علیهم القتل فیجب الجلد اوّلاً ثمّ الرّجم، فیحصل امتثال الأمر فی الحدّ ین معاً، و لا یسقط واحد منهما و بین غیره فیجلد ثمّ یقتل بغیر 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سبق الجواب عنه من صاحب المبانی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 تأمّلنا فیه آنفاً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البهائیّة الظّالّة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یحکم علیهم بصحّة النّکاح؟ فیه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یتحقّق الزّنا مطلقا فی هذه الموارد اذا کان الوقاع بدون ما یرونه نکاحاً</w:t>
      </w:r>
      <w:r>
        <w:rPr>
          <w:rFonts w:eastAsia="IRNazanin" w:cs="IRNazanin"/>
          <w:color w:val="111111"/>
          <w:sz w:val="28"/>
          <w:szCs w:val="28"/>
          <w:rtl w:val="true"/>
          <w:lang w:bidi="fa-IR"/>
        </w:rPr>
        <w:t>.</w:t>
      </w:r>
      <w:bookmarkStart w:id="153" w:name="pg3023_22511"/>
    </w:p>
    <w:p>
      <w:pPr>
        <w:pStyle w:val="Heading5"/>
        <w:numPr>
          <w:ilvl w:val="4"/>
          <w:numId w:val="1"/>
        </w:numPr>
        <w:rPr/>
      </w:pPr>
      <w:bookmarkStart w:id="154" w:name="__RefHeading___Toc656739_2749589250"/>
      <w:bookmarkStart w:id="155" w:name="_Toc56"/>
      <w:bookmarkEnd w:id="153"/>
      <w:bookmarkEnd w:id="154"/>
      <w:r>
        <w:rPr>
          <w:rtl w:val="true"/>
        </w:rPr>
        <w:t>(</w:t>
      </w:r>
      <w:r>
        <w:rPr>
          <w:rtl w:val="true"/>
        </w:rPr>
        <w:t>الثّانی فی موارد القتل</w:t>
      </w:r>
      <w:r>
        <w:rPr>
          <w:rtl w:val="true"/>
        </w:rPr>
        <w:t>):</w:t>
      </w:r>
      <w:r>
        <w:rPr>
          <w:rtl w:val="true"/>
        </w:rPr>
        <w:t>زنا الذّمیّ بالمسلمة</w:t>
      </w:r>
      <w:bookmarkEnd w:id="155"/>
    </w:p>
    <w:p>
      <w:pPr>
        <w:pStyle w:val="Heading6"/>
        <w:numPr>
          <w:ilvl w:val="5"/>
          <w:numId w:val="1"/>
        </w:numPr>
        <w:rPr/>
      </w:pPr>
      <w:bookmarkStart w:id="156" w:name="__RefHeading___Toc656741_2749589250"/>
      <w:bookmarkStart w:id="157" w:name="_Toc57"/>
      <w:bookmarkEnd w:id="156"/>
      <w:r>
        <w:rPr>
          <w:rtl w:val="true"/>
        </w:rPr>
        <w:t>اشارة</w:t>
      </w:r>
      <w:bookmarkEnd w:id="1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زنی ذمّیّ بمسلمة فیقتل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محصناً کان ام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امّاهی فلا تقتل اذا لم تکن محصنة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یرفع الحدب بالأسلام اذا کان خوفاً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من موارد حدّ الزّنا بالقتل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ذمّیّ بمسلمة بلا خلاف فیه و 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ادّعی علیه الأجماع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کانت مطاوعة، او مکرهة قال فی السّرائر</w:t>
      </w:r>
      <w:r>
        <w:rPr>
          <w:rStyle w:val="FootnoteAnchor"/>
          <w:rtl w:val="true"/>
        </w:rPr>
        <w:footnoteReference w:id="382"/>
      </w:r>
      <w:r>
        <w:rPr>
          <w:rFonts w:ascii="IRNazanin" w:hAnsi="IRNazanin" w:eastAsia="IRNazanin"/>
          <w:color w:val="111111"/>
          <w:sz w:val="28"/>
          <w:sz w:val="28"/>
          <w:szCs w:val="28"/>
          <w:rtl w:val="true"/>
          <w:lang w:bidi="fa-IR"/>
        </w:rPr>
        <w:t>الذّمّیّ اذا زنی بامرأة مسلمة فأنّه یجب علیه القتل علی کلّ حل و کان علی المسلمة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الجلد او الرّجم علی ما تستحقّه من الحدّ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الأنتصار</w:t>
      </w:r>
      <w:r>
        <w:rPr>
          <w:rStyle w:val="FootnoteAnchor"/>
          <w:rtl w:val="true"/>
        </w:rPr>
        <w:footnoteReference w:id="3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انفردت به الأمامیّة؛ القول بأنّ الذّمّیّ اذا زنی با لمسلمة؛ ضربت عنقه و اقیم علی المسلمة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کانت محصنة جلدت ثمّ رجمت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کانت غیر محصنة جلدت مأة جلدة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نعرف موافقا لنا من باقی الفقهاء</w:t>
      </w:r>
      <w:r>
        <w:rPr>
          <w:rStyle w:val="FootnoteAnchor"/>
          <w:rtl w:val="true"/>
        </w:rPr>
        <w:footnoteReference w:id="384"/>
      </w:r>
      <w:r>
        <w:rPr>
          <w:rFonts w:ascii="IRNazanin" w:hAnsi="IRNazanin" w:eastAsia="IRNazanin"/>
          <w:color w:val="111111"/>
          <w:sz w:val="28"/>
          <w:sz w:val="28"/>
          <w:szCs w:val="28"/>
          <w:rtl w:val="true"/>
          <w:lang w:bidi="fa-IR"/>
        </w:rPr>
        <w:t>فی ذلک ثمّ استدلّ مضافا الی اجماع الطائفة بما لا حاجة الی ذکره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الحکم بعد الأجماع صحیحة حنّان بن سدیر</w:t>
      </w:r>
      <w:r>
        <w:rPr>
          <w:rStyle w:val="FootnoteAnchor"/>
          <w:rtl w:val="true"/>
        </w:rPr>
        <w:footnoteReference w:id="385"/>
      </w:r>
      <w:r>
        <w:rPr>
          <w:rFonts w:ascii="Amiri" w:hAnsi="Amiri" w:eastAsia="Amiri" w:cs="Amiri"/>
          <w:color w:val="111111"/>
          <w:sz w:val="28"/>
          <w:sz w:val="28"/>
          <w:szCs w:val="28"/>
          <w:rtl w:val="true"/>
          <w:lang w:bidi="ar-SA"/>
        </w:rPr>
        <w:t>او موثّقته</w:t>
      </w:r>
      <w:r>
        <w:rPr>
          <w:rStyle w:val="FootnoteAnchor"/>
          <w:rtl w:val="true"/>
        </w:rPr>
        <w:footnoteReference w:id="386"/>
      </w:r>
      <w:r>
        <w:rPr>
          <w:rFonts w:ascii="IRNazanin" w:hAnsi="IRNazanin" w:eastAsia="IRNazanin"/>
          <w:color w:val="111111"/>
          <w:sz w:val="28"/>
          <w:sz w:val="28"/>
          <w:szCs w:val="28"/>
          <w:rtl w:val="true"/>
          <w:lang w:bidi="fa-IR"/>
        </w:rPr>
        <w:t xml:space="preserve">عن ابی عبدلله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یهودیّ فجر بمسلمة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یقتل و یؤیّده ما فی روایة الأصبغ بن نباتة</w:t>
      </w:r>
      <w:r>
        <w:rPr>
          <w:rStyle w:val="FootnoteAnchor"/>
          <w:rtl w:val="true"/>
        </w:rPr>
        <w:footnoteReference w:id="387"/>
      </w:r>
      <w:r>
        <w:rPr>
          <w:rFonts w:ascii="IRNazanin" w:hAnsi="IRNazanin" w:eastAsia="IRNazanin"/>
          <w:color w:val="111111"/>
          <w:sz w:val="28"/>
          <w:sz w:val="28"/>
          <w:szCs w:val="28"/>
          <w:rtl w:val="true"/>
          <w:lang w:bidi="fa-IR"/>
        </w:rPr>
        <w:t>کمرسلة علیّ بن ابراهیم</w:t>
      </w:r>
      <w:r>
        <w:rPr>
          <w:rStyle w:val="FootnoteAnchor"/>
          <w:rtl w:val="true"/>
        </w:rPr>
        <w:footnoteReference w:id="388"/>
      </w:r>
      <w:r>
        <w:rPr>
          <w:rFonts w:ascii="IRNazanin" w:hAnsi="IRNazanin" w:eastAsia="IRNazanin"/>
          <w:color w:val="111111"/>
          <w:sz w:val="28"/>
          <w:sz w:val="28"/>
          <w:szCs w:val="28"/>
          <w:rtl w:val="true"/>
          <w:lang w:bidi="fa-IR"/>
        </w:rPr>
        <w:t xml:space="preserve">فی خمسة نفر او ستّة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المرسلة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اخذوا فی عهد عمر و اعتراض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فی امره باقامة الحدّ علیهم ـ الی ـ فقدّم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امیر المؤ 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واحداً منهم فضرب عنقه ـ الی ـ فقال امیر المؤ 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الأوّل فکان ذمّیّاً فخرج عن ذمّته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له حدّ الّا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یؤیّده ما فی 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اذا زنی الذّمّیّ بمسلمة قتلا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قتل المرأة لا وجه له الاّ اذا کانت محصنة فتقتل بالرّجم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الحکم لا فرق فیه بین ما اذا کان محصناً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لأطلاق الصحیحة و تصریح کلام الأنتصار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علیه ابن ادریس</w:t>
      </w:r>
      <w:r>
        <w:rPr>
          <w:rStyle w:val="FootnoteAnchor"/>
          <w:rtl w:val="true"/>
        </w:rPr>
        <w:footnoteReference w:id="390"/>
      </w:r>
      <w:r>
        <w:rPr>
          <w:rFonts w:ascii="IRNazanin" w:hAnsi="IRNazanin" w:eastAsia="IRNazanin"/>
          <w:color w:val="111111"/>
          <w:sz w:val="28"/>
          <w:sz w:val="28"/>
          <w:szCs w:val="28"/>
          <w:rtl w:val="true"/>
          <w:lang w:bidi="fa-IR"/>
        </w:rPr>
        <w:t>الجلد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بین المحصن فالرّجم و غیره فالقتل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یؤیّد کفایة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الأصبغ، و المرسلة بل لا یبعد ظهور الصّحیحة فی انّ القتل کامل الجزاء و الحدّ</w:t>
      </w:r>
      <w:r>
        <w:rPr>
          <w:rFonts w:eastAsia="IRNazanin" w:cs="IRNazanin"/>
          <w:color w:val="111111"/>
          <w:sz w:val="28"/>
          <w:szCs w:val="28"/>
          <w:rtl w:val="true"/>
          <w:lang w:bidi="fa-IR"/>
        </w:rPr>
        <w:t>.</w:t>
      </w:r>
      <w:bookmarkStart w:id="158" w:name="pg3023_22513"/>
    </w:p>
    <w:p>
      <w:pPr>
        <w:pStyle w:val="Heading6"/>
        <w:numPr>
          <w:ilvl w:val="5"/>
          <w:numId w:val="1"/>
        </w:numPr>
        <w:rPr/>
      </w:pPr>
      <w:bookmarkStart w:id="159" w:name="__RefHeading___Toc656743_2749589250"/>
      <w:bookmarkStart w:id="160" w:name="_Toc58"/>
      <w:bookmarkEnd w:id="158"/>
      <w:bookmarkEnd w:id="159"/>
      <w:r>
        <w:rPr>
          <w:rtl w:val="true"/>
        </w:rPr>
        <w:t>اذا اسلم خوفاً من القتل</w:t>
      </w:r>
      <w:bookmarkEnd w:id="16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اشکال فی عدم رفع القتل عنه بالأسلام خوفاً من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وفاقاً لغیر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عن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یجد فیه خلافاً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بأطلاق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فرض المناقشة فی الأطلاق فیکفی الأستصحاب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 الحکم روایة جعفر بن رزق الله</w:t>
      </w:r>
      <w:r>
        <w:rPr>
          <w:rStyle w:val="FootnoteAnchor"/>
          <w:rtl w:val="true"/>
        </w:rPr>
        <w:footnoteReference w:id="391"/>
      </w:r>
      <w:r>
        <w:rPr>
          <w:rFonts w:ascii="IRNazanin" w:hAnsi="IRNazanin" w:eastAsia="IRNazanin"/>
          <w:color w:val="111111"/>
          <w:sz w:val="28"/>
          <w:sz w:val="28"/>
          <w:szCs w:val="28"/>
          <w:rtl w:val="true"/>
          <w:lang w:bidi="fa-IR"/>
        </w:rPr>
        <w:t>قال قدّم الی المتوکّل رجل نصرانیّ فجر بأمرأة مسلمة، وارادان یقیم علیه الحدّ، فأسلم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یحیی ابن اکثم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هدم ایمانه شرکه و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ثلاثة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یفعل به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المتوکّل بالکتاب، الی ابی الحسن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سؤاله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قدم الکتاب کتب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یضرب حتّی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فأنکر یحیی ابن اکثم، و انکر فقهاء العسکر ـ 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او جبت علیه الضّرب حتیّ یموت؟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رأوا بأسنا قالو آمنّا بالله وحده و کفر نابما کنّا به 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 ینفعهم ایمانهم لمّا رأوا بأسنا سنّة الله الّتی قد خلت فی عباده و خسر هنالک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فأمر به المتوکّل فضرب حتّی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اذا اسلم طوعاً، بلا خوف، فالمشهور القریب من الأتّفاق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سقوط القتل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لبعض ما ذکر لکنّه یشکل بحدیث الجبّ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الأشکال علی الحدیث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الدّلالة</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لم یرد من طریقنا، بل ورد من طریق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واجیب بجبر ضعفه باعتماد الأصحاب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انّه نقل من طریقهم مستفیضاً</w:t>
      </w:r>
      <w:r>
        <w:rPr>
          <w:rFonts w:eastAsia="IRNazanin" w:cs="IRNazanin"/>
          <w:color w:val="111111"/>
          <w:sz w:val="28"/>
          <w:szCs w:val="28"/>
          <w:rtl w:val="true"/>
          <w:lang w:bidi="fa-IR"/>
        </w:rPr>
        <w:t>.</w:t>
      </w:r>
      <w:bookmarkStart w:id="161" w:name="pg3023_22514"/>
    </w:p>
    <w:p>
      <w:pPr>
        <w:pStyle w:val="Heading6"/>
        <w:numPr>
          <w:ilvl w:val="5"/>
          <w:numId w:val="1"/>
        </w:numPr>
        <w:rPr/>
      </w:pPr>
      <w:bookmarkStart w:id="162" w:name="__RefHeading___Toc656745_2749589250"/>
      <w:bookmarkStart w:id="163" w:name="_Toc59"/>
      <w:bookmarkEnd w:id="161"/>
      <w:bookmarkEnd w:id="162"/>
      <w:r>
        <w:rPr>
          <w:rtl w:val="true"/>
        </w:rPr>
        <w:t>اشکال حدیث الجبّ و الجواب عنه</w:t>
      </w:r>
      <w:bookmarkEnd w:id="16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ففی شرح النّهج الحدیدیّ</w:t>
      </w:r>
      <w:r>
        <w:rPr>
          <w:rStyle w:val="FootnoteAnchor"/>
          <w:rtl w:val="true"/>
        </w:rPr>
        <w:footnoteReference w:id="392"/>
      </w:r>
      <w:r>
        <w:rPr>
          <w:rFonts w:ascii="IRNazanin" w:hAnsi="IRNazanin" w:eastAsia="IRNazanin"/>
          <w:color w:val="111111"/>
          <w:sz w:val="28"/>
          <w:sz w:val="28"/>
          <w:szCs w:val="28"/>
          <w:rtl w:val="true"/>
          <w:lang w:bidi="fa-IR"/>
        </w:rPr>
        <w:t xml:space="preserve">فی قصّة فتح مکّة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اسلام ابن الزّبعری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الله، انّ الأسلام یجبّ ما کان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فی موضع آخر</w:t>
      </w:r>
      <w:r>
        <w:rPr>
          <w:rStyle w:val="FootnoteAnchor"/>
          <w:rtl w:val="true"/>
        </w:rPr>
        <w:footnoteReference w:id="393"/>
      </w:r>
      <w:r>
        <w:rPr>
          <w:rFonts w:ascii="IRNazanin" w:hAnsi="IRNazanin" w:eastAsia="IRNazanin"/>
          <w:color w:val="111111"/>
          <w:sz w:val="28"/>
          <w:sz w:val="28"/>
          <w:szCs w:val="28"/>
          <w:rtl w:val="true"/>
          <w:lang w:bidi="fa-IR"/>
        </w:rPr>
        <w:t xml:space="preserve">،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کلامه له لعثمان، حین ذکر انّ ابن امّ عبد، یفرّمنک کلّما 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الأسلام یجبّ ما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قریب منه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394"/>
      </w:r>
      <w:r>
        <w:rPr>
          <w:rFonts w:ascii="IRNazanin" w:hAnsi="IRNazanin" w:eastAsia="IRNazanin"/>
          <w:color w:val="111111"/>
          <w:sz w:val="28"/>
          <w:sz w:val="28"/>
          <w:szCs w:val="28"/>
          <w:rtl w:val="true"/>
          <w:lang w:bidi="fa-IR"/>
        </w:rPr>
        <w:t xml:space="preserve">لهبّار بن الأسود، اذ أتاه و اسلم و کان یعتذر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الأسلام محا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تاریخ الخمیس</w:t>
      </w:r>
      <w:r>
        <w:rPr>
          <w:rStyle w:val="FootnoteAnchor"/>
          <w:rtl w:val="true"/>
        </w:rPr>
        <w:footnoteReference w:id="395"/>
      </w:r>
      <w:r>
        <w:rPr>
          <w:rFonts w:ascii="IRNazanin" w:hAnsi="IRNazanin" w:eastAsia="IRNazanin"/>
          <w:color w:val="111111"/>
          <w:sz w:val="28"/>
          <w:sz w:val="28"/>
          <w:szCs w:val="28"/>
          <w:rtl w:val="true"/>
          <w:lang w:bidi="fa-IR"/>
        </w:rPr>
        <w:t>، و السّیرة الحلبیّة، و الأصابة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الأسلام یجبّ ما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ایضاً</w:t>
      </w:r>
      <w:r>
        <w:rPr>
          <w:rStyle w:val="FootnoteAnchor"/>
          <w:rtl w:val="true"/>
        </w:rPr>
        <w:footnoteReference w:id="396"/>
      </w:r>
      <w:r>
        <w:rPr>
          <w:rFonts w:ascii="IRNazanin" w:hAnsi="IRNazanin" w:eastAsia="IRNazanin"/>
          <w:color w:val="111111"/>
          <w:sz w:val="28"/>
          <w:sz w:val="28"/>
          <w:szCs w:val="28"/>
          <w:rtl w:val="true"/>
          <w:lang w:bidi="fa-IR"/>
        </w:rPr>
        <w:t xml:space="preserve">شارح النّهج فی قضیّة اسلام المغیرة بن شعبة حین قتل رفقائه فی سفره الی مقوقس حین رجوعهم، و اخذ اموالهم، و جاء بها الی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اسلامک فقد قبلته، و لا نأخذ من اموالهم شیئاً، و لا نخمّسها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هذاغدر، و الغدر لا خیر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مغیرة فأخذنی ما قرب و 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یا رسول الله انّما قتلتهم و انا علی دین قومی، ثمّ اسلمت حین دخلت الیک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الأسلام یجبّ ماقبله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فی المستمسک</w:t>
      </w:r>
      <w:r>
        <w:rPr>
          <w:rStyle w:val="FootnoteAnchor"/>
          <w:rtl w:val="true"/>
        </w:rPr>
        <w:footnoteReference w:id="397"/>
      </w:r>
      <w:r>
        <w:rPr>
          <w:rFonts w:ascii="IRNazanin" w:hAnsi="IRNazanin" w:eastAsia="IRNazanin"/>
          <w:color w:val="111111"/>
          <w:sz w:val="28"/>
          <w:sz w:val="28"/>
          <w:szCs w:val="28"/>
          <w:rtl w:val="true"/>
          <w:lang w:bidi="fa-IR"/>
        </w:rPr>
        <w:t>عن بعض کتب العامة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الأسلام یجبّ ما قبله، و الهجرة تجبّ ما قبلها ـ او ـ التّوبة تجبّ ماقبلها من الکفر و المعاصی و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ورد من طریقنا</w:t>
      </w:r>
      <w:r>
        <w:rPr>
          <w:rStyle w:val="FootnoteAnchor"/>
          <w:rtl w:val="true"/>
        </w:rPr>
        <w:footnoteReference w:id="398"/>
      </w:r>
      <w:r>
        <w:rPr>
          <w:rFonts w:ascii="IRNazanin" w:hAnsi="IRNazanin" w:eastAsia="IRNazanin"/>
          <w:color w:val="111111"/>
          <w:sz w:val="28"/>
          <w:sz w:val="28"/>
          <w:szCs w:val="28"/>
          <w:rtl w:val="true"/>
          <w:lang w:bidi="fa-IR"/>
        </w:rPr>
        <w:t xml:space="preserve">فی قضیّة اسلام عبدالله بن ابی امیّة اخی امّ سلمة، زوجة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 استقبل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خرج الی فتح مکّة، فسلّم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یردّ علیه السّلام، و لم یجبه بشیئ، بعد کلام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امّ سلمة قالت بأبی انت و امّی یا رسول الله، الم 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الأسلام یجبّ ما کان قبله؟ 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المناقب</w:t>
      </w:r>
      <w:r>
        <w:rPr>
          <w:rStyle w:val="FootnoteAnchor"/>
          <w:rtl w:val="true"/>
        </w:rPr>
        <w:footnoteReference w:id="399"/>
      </w:r>
      <w:r>
        <w:rPr>
          <w:rFonts w:ascii="IRNazanin" w:hAnsi="IRNazanin" w:eastAsia="IRNazanin"/>
          <w:color w:val="111111"/>
          <w:sz w:val="28"/>
          <w:sz w:val="28"/>
          <w:szCs w:val="28"/>
          <w:rtl w:val="true"/>
          <w:lang w:bidi="fa-IR"/>
        </w:rPr>
        <w:t xml:space="preserve">لابن شهر آشوب فیمن طلّق زوجته فی الشّرک تطلیقة و فی الأسلام تطلیقتین 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هدم الأسلام ما کان قبله، هی عندک علی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علیّ بن جعفر</w:t>
      </w:r>
      <w:r>
        <w:rPr>
          <w:rStyle w:val="FootnoteAnchor"/>
          <w:rtl w:val="true"/>
        </w:rPr>
        <w:footnoteReference w:id="400"/>
      </w:r>
      <w:r>
        <w:rPr>
          <w:rFonts w:ascii="IRNazanin" w:hAnsi="IRNazanin" w:eastAsia="IRNazanin"/>
          <w:color w:val="111111"/>
          <w:sz w:val="28"/>
          <w:sz w:val="28"/>
          <w:szCs w:val="28"/>
          <w:rtl w:val="true"/>
          <w:lang w:bidi="fa-IR"/>
        </w:rPr>
        <w:t xml:space="preserve">اخاه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یهودیّ او نصرانیّ طلّق تطلیقة ثمّ اسلم هو و امرأته ما حالهما؟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ینکحها نکاحاً جدیداً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طلّقها بعد اسلامه تطلیقة او تطلیقتین هل تعتدّ بما کان طلّقها قبل اسلامها؟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تعتدّ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فالأشکال فی السّند، بعد ما عرفت من نقل مضمونه من الفریقین و یوافق الأیة الکریمة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للّذین کفروا ان ینتهوا یغفر لهم ما قد سلف</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محلّة و امّا الدّلالة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فأن کانت ضعیفة فی بعض الرّوایات فقویّة فی بعض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فالمنقول فی المجمع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الأسلام یجبّ ما قبله، و التّوبة تجبّ ما قبها من الکفر و المعاصی و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دلالة له علی محلّ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ما سبق ذکره عن بعض کتب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الأسلام یجبّ ما قبله، و الهجرة تجبّ ما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جبّ المعاصی لا ینافی بقاء الحدّ علیه، کما لا ینافی وجوب الحجّ و لو تسکّعاً، وقضاء الصوّم و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لا یعاقب علی ترکها عند وجوبها ببرکة الأسلام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لو قلنا بکون الففّار مکلّفین بالفروع کالأصول کما هو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لجمع منهم صاحب الحدائق و السّیّد العلاّمة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المتن العاری عن ضمّ التّوبة و الهجرة لا قصور فی دلالة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و قد استدلّ به الأصحاب فی ابواب متعدّدة، فأجمعوا علی سقوط قضاء الصّلوات الّتی فاتته حال الکفر، و کذا صیام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اسلم قبل طلوع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الصّوم اداءً و الاّ فالقضاء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قضاء الصّلوه الّتی اسلم قبل خروج وقتها و لم یأت بها فی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علیه الحجّ اذا زالت استطاعته حال کفره عند جمع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الزّکوة اذا لم یبق عنده عین المال الّذی تعلّق به الزّکوة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المناقشة فی تطبیق الحدیث فی موارد وجوب القضاء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کالصّلوة و الصّوم، او فی الحجّ ممّا لیس له وقت معیّن کصلاة الزلزلة و الآیات، او فی الجنابة و انّجاسة الخبثیّة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الی بعض الأشکالات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توجب و هناً فی اصل الدّلالة، کالمناقشة فی مانقل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الی قبول اسلام اخی امّ سلمة، و انّ الأسلام لا یحتاج الی القبول اذلیس من العقود، و لیس المراد منه اسلام الشّخص، و الّذی یفید مورد البحث هو اسلام الشّخص، لا اصل الأسلام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الثّانیة یردّها تطبیقات الحدیث فی الموارد المنقولة، و انّ المراد منه هو اسلام الشّخص، الّذی جنی او عصی حال الکفر، و اسلامه یجبّه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الأولی یضعّفها مضافاً الی کفایة سایر روایات الجبّ الخالیة عن الذّیل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حاجته فی صدر الأسلام الی تصدیق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لترتّب الأثار علیه، و مصادقته علی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تأمّله علیه الصّلاة و السّلام فی اوّل مرّة لمصلحة ترجع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عدم معاقبة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لهبّار بعد اسلامه، و عدم الأذن لمن له المعاقبة، من باب الولایة، لا الحکم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خلاف ظاهر الرّوایة، من استناد الجبّ الی الأسلام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فیه ماسیأتی من عدم اطلاق الحدیث لموارد حقوق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المناقشة فی جبر السّند، و تصحیح الموارد التّی یمکن الأستدلال به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بالسّیرة القطعیّة، او الرّوایة المعتبرة کما اشار الیه فی مبانی الّتکملة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لعلّها لیست فی محلّها، لا سیمّا بالنّظر الی الأیة المبارکة الّتی تقدّمت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و کیف کان فدلالة الحدیث علی ما نحن فیه واضحة، لاسترة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السّبب للقتل حیث انّه وقع حال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فبالأ سلام انقطع عمّا قبله، و لا سببیّة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کأنّه لبعض ما ذکرنا احتمل فی کشف اللّثام سقوط الحدّ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الیه بعض المیل فی 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انّ الحدّ و التّعزیر لا یقطعه الأسلام عمّا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خلاف ظاهره الّذی هو انّه ببرکة الأسلام انقطع عنه و ارتفع ما ثبت علیه حال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قاتلاً لمسلم او ذمّیّ، خصوصاً عمداً، او آخذاً للرّبا، او سارقاً لأموال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مجری للقاعدة فی امثال هذه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انصراف الحدیث الیها و عدم شموله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کونه امتنانیّاً، یشترط فیه عدم کون تطبیقه فی موارده خلاف المنّة للنّاس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اشارة</w:t>
      </w:r>
    </w:p>
    <w:p>
      <w:pPr>
        <w:pStyle w:val="BookText"/>
        <w:rPr/>
      </w:pPr>
      <w:r>
        <w:rPr>
          <w:rFonts w:ascii="IRNazanin" w:hAnsi="IRNazanin" w:eastAsia="IRNazanin"/>
          <w:color w:val="111111"/>
          <w:sz w:val="28"/>
          <w:sz w:val="28"/>
          <w:szCs w:val="28"/>
          <w:rtl w:val="true"/>
          <w:lang w:bidi="fa-IR"/>
        </w:rPr>
        <w:t>اذا اسلم بعد ثبوت الزّنا بالبینّة، و حکم بحدّه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فیشکل رفع الید عن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سیمّا اذا قشنا فی سند الحدیث او دلالته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روایة جعفر بن رزق الله المتقدّمة واردة فی هذا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ضعیفة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w:t>
      </w:r>
    </w:p>
    <w:p>
      <w:pPr>
        <w:pStyle w:val="BookText"/>
        <w:rPr/>
      </w:pPr>
      <w:r>
        <w:rPr>
          <w:rFonts w:ascii="IRNazanin" w:hAnsi="IRNazanin" w:eastAsia="IRNazanin"/>
          <w:color w:val="111111"/>
          <w:sz w:val="28"/>
          <w:sz w:val="28"/>
          <w:szCs w:val="28"/>
          <w:rtl w:val="true"/>
          <w:lang w:bidi="fa-IR"/>
        </w:rPr>
        <w:t>اذا اخترنا سقوط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جلد علیه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قلنا به فا لکلام الکلام فی الزّانی بذات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عدم الفرق فی ثبوت القتل بالزّنا بالمسلمة بین الیهودیّ و بین قسیمیه من کفّار الذّمّة، و سایر اقسام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لأطلاق الدّلیل، و عدم استفادة الخصوصیّة للیهودی</w:t>
      </w:r>
      <w:r>
        <w:rPr>
          <w:rFonts w:eastAsia="IRNazanin" w:cs="IRNazanin"/>
          <w:color w:val="111111"/>
          <w:sz w:val="28"/>
          <w:szCs w:val="28"/>
          <w:rtl w:val="true"/>
          <w:lang w:bidi="fa-IR"/>
        </w:rPr>
        <w:t>.</w:t>
      </w:r>
      <w:bookmarkStart w:id="164" w:name="pg3023_22518"/>
    </w:p>
    <w:p>
      <w:pPr>
        <w:pStyle w:val="Heading5"/>
        <w:numPr>
          <w:ilvl w:val="4"/>
          <w:numId w:val="1"/>
        </w:numPr>
        <w:rPr/>
      </w:pPr>
      <w:bookmarkStart w:id="165" w:name="__RefHeading___Toc656747_2749589250"/>
      <w:bookmarkStart w:id="166" w:name="_Toc60"/>
      <w:bookmarkEnd w:id="164"/>
      <w:bookmarkEnd w:id="165"/>
      <w:r>
        <w:rPr>
          <w:rtl w:val="true"/>
        </w:rPr>
        <w:t>(</w:t>
      </w:r>
      <w:r>
        <w:rPr>
          <w:rtl w:val="true"/>
        </w:rPr>
        <w:t>الثّالث من موارد القتل</w:t>
      </w:r>
      <w:r>
        <w:rPr>
          <w:rtl w:val="true"/>
        </w:rPr>
        <w:t>):</w:t>
      </w:r>
      <w:r>
        <w:rPr>
          <w:rtl w:val="true"/>
        </w:rPr>
        <w:t>اذا زنا مکرهاً لها</w:t>
      </w:r>
      <w:bookmarkEnd w:id="166"/>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زنی مکرها لها فیقتل محصناً کان ام لا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بل هو عنوان لکلّ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نوقش فی الأصلاق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فغیره من الکفّار لو لم یکن اسوء حالاً منه فلا اقلّ من المساواة فتدبّر</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من موارد القتل بالزّنا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کان الزّانی مکرها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محصناً ام لا کسا بقیه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علیه بعد الأجماع روایات عدّة منها صحیحة برید العجلیّ</w:t>
      </w:r>
      <w:r>
        <w:rPr>
          <w:rStyle w:val="FootnoteAnchor"/>
          <w:rtl w:val="true"/>
        </w:rPr>
        <w:footnoteReference w:id="402"/>
      </w:r>
      <w:r>
        <w:rPr>
          <w:rFonts w:ascii="IRNazanin" w:hAnsi="IRNazanin" w:eastAsia="IRNazanin"/>
          <w:color w:val="111111"/>
          <w:sz w:val="28"/>
          <w:sz w:val="28"/>
          <w:szCs w:val="28"/>
          <w:rtl w:val="true"/>
          <w:lang w:bidi="fa-IR"/>
        </w:rPr>
        <w:t xml:space="preserve">قال سئل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اغتصب امرأة فرجها؟ قال یقتل محصناً کان او غیر محصن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صحیحة زرارة</w:t>
      </w:r>
      <w:r>
        <w:rPr>
          <w:rStyle w:val="FootnoteAnchor"/>
          <w:rtl w:val="true"/>
        </w:rPr>
        <w:footnoteReference w:id="403"/>
      </w:r>
      <w:r>
        <w:rPr>
          <w:rFonts w:ascii="IRNazanin" w:hAnsi="IRNazanin" w:eastAsia="IRNazanin"/>
          <w:color w:val="111111"/>
          <w:sz w:val="28"/>
          <w:sz w:val="28"/>
          <w:szCs w:val="28"/>
          <w:rtl w:val="true"/>
          <w:lang w:bidi="fa-IR"/>
        </w:rPr>
        <w:t xml:space="preserve">قال قلت لأبی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یغصب المرأة نفسها؟ قال 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قریب منهما صحیحة اخری لزرارة</w:t>
      </w:r>
      <w:r>
        <w:rPr>
          <w:rStyle w:val="FootnoteAnchor"/>
          <w:rtl w:val="true"/>
        </w:rPr>
        <w:footnoteReference w:id="404"/>
      </w:r>
      <w:r>
        <w:rPr>
          <w:rFonts w:ascii="IRNazanin" w:hAnsi="IRNazanin" w:eastAsia="IRNazanin"/>
          <w:color w:val="111111"/>
          <w:sz w:val="28"/>
          <w:sz w:val="28"/>
          <w:szCs w:val="28"/>
          <w:rtl w:val="true"/>
          <w:lang w:bidi="fa-IR"/>
        </w:rPr>
        <w:t>باسناد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یقتل محصناً کان او غیر محصن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 ما فی الدّعائم</w:t>
      </w:r>
      <w:r>
        <w:rPr>
          <w:rStyle w:val="FootnoteAnchor"/>
          <w:rtl w:val="true"/>
        </w:rPr>
        <w:footnoteReference w:id="405"/>
      </w:r>
      <w:r>
        <w:rPr>
          <w:rFonts w:ascii="IRNazanin" w:hAnsi="IRNazanin" w:eastAsia="IRNazanin"/>
          <w:color w:val="111111"/>
          <w:sz w:val="28"/>
          <w:sz w:val="28"/>
          <w:szCs w:val="28"/>
          <w:rtl w:val="true"/>
          <w:lang w:bidi="fa-IR"/>
        </w:rPr>
        <w:t xml:space="preserve">عن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 قال من کابر امرأة علی نفسها فوطئها غصباً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بها یظهر المراد ممّا ورد فی روایة ثالهة لزراة</w:t>
      </w:r>
      <w:r>
        <w:rPr>
          <w:rStyle w:val="FootnoteAnchor"/>
          <w:rtl w:val="true"/>
        </w:rPr>
        <w:footnoteReference w:id="406"/>
      </w:r>
      <w:r>
        <w:rPr>
          <w:rFonts w:ascii="IRNazanin" w:hAnsi="IRNazanin" w:eastAsia="IRNazanin"/>
          <w:color w:val="111111"/>
          <w:sz w:val="28"/>
          <w:sz w:val="28"/>
          <w:szCs w:val="28"/>
          <w:rtl w:val="true"/>
          <w:lang w:bidi="fa-IR"/>
        </w:rPr>
        <w:t xml:space="preserve">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یضرب ضربة بالسّیف بالغة منه ما بلغت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رواه ابو بصیر</w:t>
      </w:r>
      <w:r>
        <w:rPr>
          <w:rStyle w:val="FootnoteAnchor"/>
          <w:rtl w:val="true"/>
        </w:rPr>
        <w:footnoteReference w:id="407"/>
      </w:r>
      <w:r>
        <w:rPr>
          <w:rFonts w:ascii="IRNazanin" w:hAnsi="IRNazanin" w:eastAsia="IRNazanin"/>
          <w:color w:val="111111"/>
          <w:sz w:val="28"/>
          <w:sz w:val="28"/>
          <w:szCs w:val="28"/>
          <w:rtl w:val="true"/>
          <w:lang w:bidi="fa-IR"/>
        </w:rPr>
        <w:t xml:space="preserve">صحیحاً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اذا کابر الرّجل المرأ علی نفسها ضرب ضربة بالسّیف مات منها او 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ما فی نوادر احمد بن محمبد بن عیسی عن ابی بصیر</w:t>
      </w:r>
      <w:r>
        <w:rPr>
          <w:rStyle w:val="FootnoteAnchor"/>
          <w:rtl w:val="true"/>
        </w:rPr>
        <w:footnoteReference w:id="408"/>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ابی جعفر او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اذا کابر رجل امرأة علی نفسها ضرب ضربة بالسّیف مات منها او 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امکان المناقشة فی الأخیرة لعدم دلالتها علی وقوع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لم یمکن الجمع بما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 مطروحتان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ثمّ انّه لا فرق بین المحصن و غیره، و بین الحرّ و العبد، و المسلم و الکافر فی الأوّل و الثّالث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الجواهر، لأطلاق الدّلیل، و هناک مورد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الحدّ فیه القتل، فروی زرارة فی الموثّق</w:t>
      </w:r>
      <w:r>
        <w:rPr>
          <w:rStyle w:val="FootnoteAnchor"/>
          <w:rtl w:val="true"/>
        </w:rPr>
        <w:footnoteReference w:id="409"/>
      </w:r>
      <w:r>
        <w:rPr>
          <w:rFonts w:ascii="IRNazanin" w:hAnsi="IRNazanin" w:eastAsia="IRNazanin"/>
          <w:color w:val="111111"/>
          <w:sz w:val="28"/>
          <w:sz w:val="28"/>
          <w:szCs w:val="28"/>
          <w:rtl w:val="true"/>
          <w:lang w:bidi="fa-IR"/>
        </w:rPr>
        <w:t xml:space="preserve">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قضی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امرأة زنت، فحبلت فقتلت و لدها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بها فجلدها مأة جلدة، ثمّ رجمت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من رجمها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النّوادر</w:t>
      </w:r>
      <w:r>
        <w:rPr>
          <w:rStyle w:val="FootnoteAnchor"/>
          <w:rtl w:val="true"/>
        </w:rPr>
        <w:footnoteReference w:id="410"/>
      </w:r>
      <w:r>
        <w:rPr>
          <w:rFonts w:ascii="IRNazanin" w:hAnsi="IRNazanin" w:eastAsia="IRNazanin"/>
          <w:color w:val="111111"/>
          <w:sz w:val="28"/>
          <w:sz w:val="28"/>
          <w:szCs w:val="28"/>
          <w:rtl w:val="true"/>
          <w:lang w:bidi="fa-IR"/>
        </w:rPr>
        <w:t xml:space="preserve">لأحمد بن محمّد بن عیسی مثلها، بدون الذّلیل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فی روایة العلل</w:t>
      </w:r>
      <w:r>
        <w:rPr>
          <w:rStyle w:val="FootnoteAnchor"/>
          <w:rtl w:val="true"/>
        </w:rPr>
        <w:footnoteReference w:id="411"/>
      </w:r>
      <w:r>
        <w:rPr>
          <w:rFonts w:ascii="IRNazanin" w:hAnsi="IRNazanin" w:eastAsia="IRNazanin"/>
          <w:color w:val="111111"/>
          <w:sz w:val="28"/>
          <w:sz w:val="28"/>
          <w:szCs w:val="28"/>
          <w:rtl w:val="true"/>
          <w:lang w:bidi="fa-IR"/>
        </w:rPr>
        <w:t>و الفقیة</w:t>
      </w:r>
      <w:r>
        <w:rPr>
          <w:rStyle w:val="FootnoteAnchor"/>
          <w:rtl w:val="true"/>
        </w:rPr>
        <w:footnoteReference w:id="412"/>
      </w:r>
      <w:r>
        <w:rPr>
          <w:rFonts w:ascii="IRNazanin" w:hAnsi="IRNazanin" w:eastAsia="IRNazanin"/>
          <w:color w:val="111111"/>
          <w:sz w:val="28"/>
          <w:sz w:val="28"/>
          <w:szCs w:val="28"/>
          <w:rtl w:val="true"/>
          <w:lang w:bidi="fa-IR"/>
        </w:rPr>
        <w:t xml:space="preserve">مسندة عن ابن حمید عن ابن قیس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سألته عن امرأة ذات بعل زنت فحبلت، فلمّا و لدت قتلت ولدها سرّاً؟ قال تجلد مأة لقتلها ولدها، و ترجم لأنها محصنّة و زاد فی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سألته عن امرأة غیر ذات بعل زنت فحبلت، فقتلت و لدها سرّاً؟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تجلد مأة جلدة لأنّها زنت، و تجلد مأة جلدة لأنّها قتلت ولدها</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لم یعثر علی هذه الرّوایة فی 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اشکل علیه الأمر بعد ان ردّ توهّم الجمع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الموثّثة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الجواهر</w:t>
      </w:r>
      <w:r>
        <w:rPr>
          <w:rStyle w:val="FootnoteAnchor"/>
          <w:rtl w:val="true"/>
        </w:rPr>
        <w:footnoteReference w:id="413"/>
      </w:r>
      <w:r>
        <w:rPr>
          <w:rFonts w:ascii="IRNazanin" w:hAnsi="IRNazanin" w:eastAsia="IRNazanin"/>
          <w:color w:val="111111"/>
          <w:sz w:val="28"/>
          <w:sz w:val="28"/>
          <w:szCs w:val="28"/>
          <w:rtl w:val="true"/>
          <w:lang w:bidi="fa-IR"/>
        </w:rPr>
        <w:t>بین الجلد و الرّجم فی غیر الشّیخ و الشّیخة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 موردها المرأة الّتی حبلت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باطلاقها و عدم فرض احصان المرأة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الجمع بینهما فی صورة قتل الزّانیة ولدها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قال فأن امکن العمل بها فی موردها فهو، و الاّ فهی مطورحة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لمعارضتها بما دلّ علی انّ المحصن یرجم، و غیره یجلد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لکنّها علی روایة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 واضحة الدّلالة، مفصّلة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زنا ذات البعل القتلة و لدها سرّاً، و زنا غیر ذات البعل کذالک، مصرّحة بکون ضرب مأة فی کلتیهما لقتل الولد، ثمّ انّ الأولی ترجم لأنّها محصنة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الثّانیة تجلد مأة لزناها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فلا تکون هذه الرّوایة دلیلاً علی القتل فی مورد رابع</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مانع من الضّرب مأةً لقتل الولد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لأنّها حدّ، و لا تقتل القاتلة لأن ولد الزّنا لیس بمسلم حتّی تقاد امّه له، مع انّه لیس له والد حتبی یدّعی القود، کما فی روضة المتّقین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التعلیل 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کون ولد الزّنا غیر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منع القود من الکبیر لقتل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 حمل الضّرب مأة للتّعزیر، فیناط بنظر الحاکم زیادة عنها و نقیصة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فالسّند فی الفقیه صحیح، و ان امکن المناقشة فی اعتبار سند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انّها لم تشتمل علی فرض زنا غیر ذات البعل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یظهر السّقط فی روایة زرارة الموثّقة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bookmarkStart w:id="167" w:name="pg3023_22521"/>
    </w:p>
    <w:p>
      <w:pPr>
        <w:pStyle w:val="Heading4"/>
        <w:numPr>
          <w:ilvl w:val="3"/>
          <w:numId w:val="1"/>
        </w:numPr>
        <w:rPr/>
      </w:pPr>
      <w:bookmarkStart w:id="168" w:name="__RefHeading___Toc656749_2749589250"/>
      <w:bookmarkStart w:id="169" w:name="_Toc61"/>
      <w:bookmarkEnd w:id="167"/>
      <w:bookmarkEnd w:id="168"/>
      <w:r>
        <w:rPr>
          <w:rtl w:val="true"/>
        </w:rPr>
        <w:t>الثّانی من اقسام الحدّ</w:t>
      </w:r>
      <w:r>
        <w:rPr>
          <w:rtl w:val="true"/>
        </w:rPr>
        <w:t xml:space="preserve">: </w:t>
      </w:r>
      <w:r>
        <w:rPr>
          <w:rtl w:val="true"/>
        </w:rPr>
        <w:t>الرّجم</w:t>
      </w:r>
      <w:bookmarkEnd w:id="169"/>
    </w:p>
    <w:p>
      <w:pPr>
        <w:pStyle w:val="Heading5"/>
        <w:numPr>
          <w:ilvl w:val="4"/>
          <w:numId w:val="1"/>
        </w:numPr>
        <w:rPr/>
      </w:pPr>
      <w:bookmarkStart w:id="170" w:name="__RefHeading___Toc656751_2749589250"/>
      <w:bookmarkStart w:id="171" w:name="_Toc62"/>
      <w:bookmarkEnd w:id="170"/>
      <w:r>
        <w:rPr>
          <w:rtl w:val="true"/>
        </w:rPr>
        <w:t>اشارة</w:t>
      </w:r>
      <w:bookmarkEnd w:id="171"/>
    </w:p>
    <w:p>
      <w:pPr>
        <w:pStyle w:val="BookText"/>
        <w:rPr/>
      </w:pPr>
      <w:r>
        <w:rPr>
          <w:rFonts w:ascii="IRNazanin" w:hAnsi="IRNazanin" w:eastAsia="IRNazanin"/>
          <w:color w:val="111111"/>
          <w:sz w:val="28"/>
          <w:sz w:val="28"/>
          <w:szCs w:val="28"/>
          <w:rtl w:val="true"/>
          <w:lang w:bidi="fa-IR"/>
        </w:rPr>
        <w:t>و هو فی موارد</w:t>
      </w:r>
      <w:r>
        <w:rPr>
          <w:rFonts w:eastAsia="IRNazanin" w:cs="IRNazanin"/>
          <w:color w:val="111111"/>
          <w:sz w:val="28"/>
          <w:szCs w:val="28"/>
          <w:rtl w:val="true"/>
          <w:lang w:bidi="fa-IR"/>
        </w:rPr>
        <w:t>:</w:t>
      </w:r>
    </w:p>
    <w:p>
      <w:pPr>
        <w:pStyle w:val="Heading5"/>
        <w:numPr>
          <w:ilvl w:val="4"/>
          <w:numId w:val="1"/>
        </w:numPr>
        <w:rPr/>
      </w:pPr>
      <w:bookmarkStart w:id="172" w:name="__RefHeading___Toc656753_2749589250"/>
      <w:bookmarkStart w:id="173" w:name="_Toc63"/>
      <w:bookmarkEnd w:id="172"/>
      <w:r>
        <w:rPr>
          <w:rtl w:val="true"/>
        </w:rPr>
        <w:t>الاوّل</w:t>
      </w:r>
      <w:r>
        <w:rPr>
          <w:rtl w:val="true"/>
        </w:rPr>
        <w:t xml:space="preserve">: </w:t>
      </w:r>
      <w:r>
        <w:rPr>
          <w:rtl w:val="true"/>
        </w:rPr>
        <w:t>اذا زنی بأمرأة ابیه</w:t>
      </w:r>
      <w:bookmarkEnd w:id="173"/>
    </w:p>
    <w:p>
      <w:pPr>
        <w:pStyle w:val="BookText"/>
        <w:rPr/>
      </w:pPr>
      <w:r>
        <w:rPr>
          <w:rFonts w:ascii="Amiri" w:hAnsi="Amiri" w:eastAsia="Amiri" w:cs="Amiri"/>
          <w:color w:val="111111"/>
          <w:sz w:val="28"/>
          <w:sz w:val="28"/>
          <w:szCs w:val="28"/>
          <w:rtl w:val="true"/>
          <w:lang w:bidi="ar-SA"/>
        </w:rPr>
        <w:t>الثّانی ممّا یجب حدّاً للزّنا الرّجم</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زنی بامرأة ابیه فیرجم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الثّانی ممّا یجب فی الزّنا الرّجم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فی موارد</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الزّانی بامرأًة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یرجم بلا اشکال، و فاقاً للشّیخ و بنی زهرة و ادریس و حمزة و البرّاج و سعید، علی ما حکی عن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الیه، او قال به صاحب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اختاره السّیّد العلاّمّة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لجماعة آخرین، فأوجبوا علطه القتل لتعمیمهم ذات المحرم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وافقوا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عبارته المتقدّمة فی صفحة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الخلاف</w:t>
      </w:r>
      <w:r>
        <w:rPr>
          <w:rStyle w:val="FootnoteAnchor"/>
          <w:rtl w:val="true"/>
        </w:rPr>
        <w:footnoteReference w:id="4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محکّی نهایته</w:t>
      </w:r>
      <w:r>
        <w:rPr>
          <w:rStyle w:val="FootnoteAnchor"/>
          <w:rtl w:val="true"/>
        </w:rPr>
        <w:footnoteReference w:id="415"/>
      </w:r>
      <w:r>
        <w:rPr>
          <w:rFonts w:ascii="IRNazanin" w:hAnsi="IRNazanin" w:eastAsia="IRNazanin"/>
          <w:color w:val="111111"/>
          <w:sz w:val="28"/>
          <w:sz w:val="28"/>
          <w:szCs w:val="28"/>
          <w:rtl w:val="true"/>
          <w:lang w:bidi="fa-IR"/>
        </w:rPr>
        <w:t>منهم العلاّمة فی التّبصرة و فخر المحقّقین فی الأیضاح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اختاره السّیّد عبد الأعلی السّبزواری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مهذّبه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العجب انّه استدلّ بعد الأجماع بما یأتی من معتبرة السّکونی</w:t>
      </w:r>
      <w:r>
        <w:rPr>
          <w:rStyle w:val="FootnoteAnchor"/>
          <w:rtl w:val="true"/>
        </w:rPr>
        <w:footnoteReference w:id="416"/>
      </w:r>
      <w:r>
        <w:rPr>
          <w:rFonts w:ascii="IRNazanin" w:hAnsi="IRNazanin" w:eastAsia="IRNazanin"/>
          <w:color w:val="111111"/>
          <w:sz w:val="28"/>
          <w:sz w:val="28"/>
          <w:szCs w:val="28"/>
          <w:rtl w:val="true"/>
          <w:lang w:bidi="fa-IR"/>
        </w:rPr>
        <w:t xml:space="preserve"> عن جعفر عن ابیه عن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رفع الیه رجل وقع علی امرأة ابیه فرجمه و کان غیر محصن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دلیل للأوّلین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 مرسلة الدّعائم</w:t>
      </w:r>
      <w:r>
        <w:rPr>
          <w:rStyle w:val="FootnoteAnchor"/>
          <w:rtl w:val="true"/>
        </w:rPr>
        <w:footnoteReference w:id="417"/>
      </w:r>
      <w:r>
        <w:rPr>
          <w:rFonts w:ascii="IRNazanin" w:hAnsi="IRNazanin" w:eastAsia="IRNazanin"/>
          <w:color w:val="111111"/>
          <w:sz w:val="28"/>
          <w:sz w:val="28"/>
          <w:szCs w:val="28"/>
          <w:rtl w:val="true"/>
          <w:lang w:bidi="fa-IR"/>
        </w:rPr>
        <w:t>و مسندة الجعفریّات</w:t>
      </w:r>
      <w:r>
        <w:rPr>
          <w:rStyle w:val="FootnoteAnchor"/>
          <w:rtl w:val="true"/>
        </w:rPr>
        <w:footnoteReference w:id="418"/>
      </w:r>
      <w:r>
        <w:rPr>
          <w:rFonts w:ascii="IRNazanin" w:hAnsi="IRNazanin" w:eastAsia="IRNazanin"/>
          <w:color w:val="111111"/>
          <w:sz w:val="28"/>
          <w:sz w:val="28"/>
          <w:szCs w:val="28"/>
          <w:rtl w:val="true"/>
          <w:lang w:bidi="fa-IR"/>
        </w:rPr>
        <w:t xml:space="preserve">قال فی الأولی عن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رفع الیه رجل زنی بامرأة ابیه و لم یکن احصن فأمر به فرجم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الثّانیة انّ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الیه رجل وقع علی امرأة ابیه فرجمه و کان غیر محصن</w:t>
      </w:r>
      <w:r>
        <w:rPr>
          <w:rFonts w:eastAsia="IRNazanin" w:cs="IRNazanin"/>
          <w:color w:val="111111"/>
          <w:sz w:val="28"/>
          <w:szCs w:val="28"/>
          <w:rtl w:val="true"/>
          <w:lang w:bidi="fa-IR"/>
        </w:rPr>
        <w:t>.</w:t>
      </w:r>
      <w:bookmarkStart w:id="174" w:name="pg3023_22522"/>
    </w:p>
    <w:p>
      <w:pPr>
        <w:pStyle w:val="BookText"/>
        <w:rPr/>
      </w:pPr>
      <w:bookmarkEnd w:id="174"/>
      <w:r>
        <w:rPr>
          <w:rFonts w:ascii="IRNazanin" w:hAnsi="IRNazanin" w:eastAsia="IRNazanin"/>
          <w:color w:val="111111"/>
          <w:sz w:val="28"/>
          <w:sz w:val="28"/>
          <w:szCs w:val="28"/>
          <w:rtl w:val="true"/>
          <w:lang w:bidi="fa-IR"/>
        </w:rPr>
        <w:t>و لیس کذلک الزّنا بامرأة الأبن و لا جاریة الأب الموطوئة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175" w:name="__RefHeading___Toc656755_2749589250"/>
      <w:bookmarkStart w:id="176" w:name="_Toc64"/>
      <w:bookmarkEnd w:id="175"/>
      <w:r>
        <w:rPr>
          <w:rtl w:val="true"/>
        </w:rPr>
        <w:t>الثّانی</w:t>
      </w:r>
      <w:r>
        <w:rPr>
          <w:rtl w:val="true"/>
        </w:rPr>
        <w:t xml:space="preserve">: </w:t>
      </w:r>
      <w:r>
        <w:rPr>
          <w:rtl w:val="true"/>
        </w:rPr>
        <w:t>الزّانی المحصن او الزانیة المحصنة</w:t>
      </w:r>
      <w:bookmarkEnd w:id="1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الزّانی المحصن یرجم کالزّانیة المحصنة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یتعدّی الحکم الی امرأة الأبن و لا جاریة الأب الموطوئة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اختار الأوّل ابن ادریس</w:t>
      </w:r>
      <w:r>
        <w:rPr>
          <w:rStyle w:val="FootnoteAnchor"/>
          <w:rtl w:val="true"/>
        </w:rPr>
        <w:footnoteReference w:id="4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فصّل التّفصیل الّذی سبق منه فی الزّانی بذات المحرم بین المحصن فالجلد ثمّ ارّجم و غیره فالجلد ثمّ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 الثّانی الی ابن حمزة و الکلام فی اطلاق الحکم للمحصن و غیره، و الحرّ و العبد و المسلم و الکافر اذا لم یکن من مذهبه الجواز 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p>
    <w:p>
      <w:pPr>
        <w:pStyle w:val="BookText"/>
        <w:rPr/>
      </w:pP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المتیقّن من مورد الحکم ما اذا کان الزّنا حال الزّوجیّة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اذا انقطعت بموت او طلاق الأب فیشکل الصّدق، الاّ مسامحة، 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 ما فی المبسوط</w:t>
      </w:r>
      <w:r>
        <w:rPr>
          <w:rStyle w:val="FootnoteAnchor"/>
          <w:rtl w:val="true"/>
        </w:rPr>
        <w:footnoteReference w:id="420"/>
      </w:r>
      <w:r>
        <w:rPr>
          <w:rFonts w:ascii="IRNazanin" w:hAnsi="IRNazanin" w:eastAsia="IRNazanin"/>
          <w:color w:val="111111"/>
          <w:sz w:val="28"/>
          <w:sz w:val="28"/>
          <w:szCs w:val="28"/>
          <w:rtl w:val="true"/>
          <w:lang w:bidi="fa-IR"/>
        </w:rPr>
        <w:t xml:space="preserve">من ظهور الأجماع فی ثبوت الحدّ علی من عقد علی ذات محرم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امرأة ابیه او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العلم بالتّحریم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عبارة الخلاف المتقدمة تؤمی الی العموم فی مورد البحث</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زنی محصناً او محصنة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الجلد معه مطلقا، او فی بعض اقسامه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الزّانی او الزّانیة إمّا فی سنّ الشّباب او الشّیخوخة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والمراد بالأوّل اعمّ ممّن جاوز حدّ الشّباب و لم یصل الی حدّ الشّیخوخة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من هذی الأقسام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 یکون الزّانی او الزّانیة محصناً او محصنة، ام لا فهذه ثمانیة اقسام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لا اشکال فی وجوب ارّجم فی اربعة اقسام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المحصن شابّاً، و شیخاً، و المحصنة شابّة، و شیخة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ادّعی علیه الأجماع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الخلاف</w:t>
      </w:r>
      <w:r>
        <w:rPr>
          <w:rStyle w:val="FootnoteAnchor"/>
          <w:rtl w:val="true"/>
        </w:rPr>
        <w:footnoteReference w:id="421"/>
      </w:r>
      <w:r>
        <w:rPr>
          <w:rFonts w:ascii="IRNazanin" w:hAnsi="IRNazanin" w:eastAsia="IRNazanin"/>
          <w:color w:val="111111"/>
          <w:sz w:val="28"/>
          <w:sz w:val="28"/>
          <w:szCs w:val="28"/>
          <w:rtl w:val="true"/>
          <w:lang w:bidi="fa-IR"/>
        </w:rPr>
        <w:t>و المبسوط</w:t>
      </w:r>
      <w:r>
        <w:rPr>
          <w:rStyle w:val="FootnoteAnchor"/>
          <w:rtl w:val="true"/>
        </w:rPr>
        <w:footnoteReference w:id="422"/>
      </w:r>
      <w:r>
        <w:rPr>
          <w:rFonts w:ascii="IRNazanin" w:hAnsi="IRNazanin" w:eastAsia="IRNazanin"/>
          <w:color w:val="111111"/>
          <w:sz w:val="28"/>
          <w:sz w:val="28"/>
          <w:szCs w:val="28"/>
          <w:rtl w:val="true"/>
          <w:lang w:bidi="fa-IR"/>
        </w:rPr>
        <w:t>دعوی اتّفاق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الخوارج علی ثبوت الرّجم فی الثّیب، و المرادبه المحصن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اشکال فی وجوب الجلد فی الأربعة الباقیة بلا خلاف و 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علیه الأجماع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یقع الکلام فی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 الأئمّة علی أنّ من کملت فیه شروط الأحصان ثمّ زنی بامرأة قد کملت فیها شروط الأحصان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کانت حرّة بالغة عاقلة مدخولاً بها فی نکاح صحیح و هی 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 زانیان محصنان، یجب علی کلّ منهما ارّجم حتّی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اخذ فی الأستدلال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یخالف فی هذا الحدب الاّ بعض المغتزلة و الخوارج، فأنّهم قالو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عقوبة الرّجم کانت موجودة فی صدر الأسلام، ثمّ نسخت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الزّانیة و الزّانی فاجلدوا کلّ واحد منهما مأة جلدة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التّعلیق حکی فط البحر عن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الارّجم غیر واجب عندهم و کذلک حکاه عنهم ایضاً ابن العربیّ رحمه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حکاه ایضاً عن بعض المعتزلة کلانّظاّم و اصحابه الخ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علی المذاهب الأربعة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التّعلیق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مسئلة، قال ابو القاسم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زنی الحرّ المحصن او الحرّة المحصنة جلدا  رجما حتّی یموتا فی احدی الرّوایتین عن ابی عبدالله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الرّوایة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یرجمان و لا یجلدان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هذه المسئلة فی فصول ثلثة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احدها فی وجوب الرّجم علی ازّانی المحصن، رجلاً کان او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اقول عامّة اهل العلم من الصّحابة، و التّابعین و من بعدهم، من علماء الأمصار فی جمیع الأعصار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نعلم فیه مخالفاً الاّ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فأنّهم قالو الجلد للبکر و الثّیّب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المغنی </w:t>
      </w:r>
      <w:r>
        <w:rPr>
          <w:rFonts w:eastAsia="IRNazanin" w:cs="IRNazanin"/>
          <w:color w:val="111111"/>
          <w:sz w:val="28"/>
          <w:szCs w:val="28"/>
          <w:lang w:bidi="fa-IR"/>
        </w:rPr>
        <w:t>8/107</w:t>
      </w:r>
      <w:r>
        <w:rPr>
          <w:rFonts w:eastAsia="IRNazanin" w:cs="IRNazanin"/>
          <w:color w:val="111111"/>
          <w:sz w:val="28"/>
          <w:szCs w:val="28"/>
          <w:rtl w:val="true"/>
          <w:lang w:bidi="fa-IR"/>
        </w:rPr>
        <w:t>.</w:t>
      </w:r>
      <w:bookmarkStart w:id="177" w:name="pg3023_22524"/>
    </w:p>
    <w:p>
      <w:pPr>
        <w:pStyle w:val="Heading5"/>
        <w:numPr>
          <w:ilvl w:val="4"/>
          <w:numId w:val="1"/>
        </w:numPr>
        <w:rPr/>
      </w:pPr>
      <w:bookmarkStart w:id="178" w:name="__RefHeading___Toc656757_2749589250"/>
      <w:bookmarkStart w:id="179" w:name="_Toc65"/>
      <w:bookmarkEnd w:id="177"/>
      <w:bookmarkEnd w:id="178"/>
      <w:r>
        <w:rPr>
          <w:rtl w:val="true"/>
        </w:rPr>
        <w:t>الثّالث</w:t>
      </w:r>
      <w:r>
        <w:rPr>
          <w:rtl w:val="true"/>
        </w:rPr>
        <w:t xml:space="preserve">: </w:t>
      </w:r>
      <w:r>
        <w:rPr>
          <w:rtl w:val="true"/>
        </w:rPr>
        <w:t>یجلد الشّیخ و الشیخة قبل الرّجم</w:t>
      </w:r>
      <w:bookmarkEnd w:id="179"/>
    </w:p>
    <w:p>
      <w:pPr>
        <w:pStyle w:val="BookText"/>
        <w:rPr/>
      </w:pPr>
      <w:r>
        <w:rPr>
          <w:rFonts w:ascii="IRNazanin" w:hAnsi="IRNazanin" w:eastAsia="IRNazanin"/>
          <w:color w:val="111111"/>
          <w:sz w:val="28"/>
          <w:sz w:val="28"/>
          <w:szCs w:val="28"/>
          <w:rtl w:val="true"/>
          <w:lang w:bidi="fa-IR"/>
        </w:rPr>
        <w:t xml:space="preserve">و یجلد الشّیخ و الشّیخة قبل القتل علی المشهور، و هو الحقّ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انّه یزید الشِیخ و الشّیخة المحصنان علی ارّجم انّهما یجلدان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الثّالث ممّا یجب فی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حکی علیه الأجماع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الخلاف</w:t>
      </w:r>
      <w:r>
        <w:rPr>
          <w:rStyle w:val="FootnoteAnchor"/>
          <w:rtl w:val="true"/>
        </w:rPr>
        <w:footnoteReference w:id="423"/>
      </w:r>
      <w:r>
        <w:rPr>
          <w:rFonts w:ascii="IRNazanin" w:hAnsi="IRNazanin" w:eastAsia="IRNazanin"/>
          <w:color w:val="111111"/>
          <w:sz w:val="28"/>
          <w:sz w:val="28"/>
          <w:szCs w:val="28"/>
          <w:rtl w:val="true"/>
          <w:lang w:bidi="fa-IR"/>
        </w:rPr>
        <w:t>المحصن</w:t>
      </w:r>
      <w:r>
        <w:rPr>
          <w:rStyle w:val="FootnoteAnchor"/>
          <w:rtl w:val="true"/>
        </w:rPr>
        <w:footnoteReference w:id="424"/>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کان شیخاً او شیخة فعلیهما الجلد و 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کانا شابّین فعلیهما الرّجم بلا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داود و اهل الظّاهر علیهما الجلد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الرّجم و لم یفصّلوا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قال جماعة من اصحابنا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جمیع الفقهاء لیس علیهما الاّ ارّجم دون 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استدلّ علی المدّعی بما لا یخلو عن مناقشة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 الیها السّیّد الطّباطبائیّ البروجردیّ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السّیّد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الأنتصار</w:t>
      </w:r>
      <w:r>
        <w:rPr>
          <w:rStyle w:val="FootnoteAnchor"/>
          <w:rtl w:val="true"/>
        </w:rPr>
        <w:footnoteReference w:id="4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ظنّ انفراد الأمامیّة و اهل الظّاهر یوافقونهم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یجمع علی الزّانی المحصن بین الجلد و الرّجم، یبدأ بالجلد و یثنّی بالرّجم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داود مع اهل الظّاهر یوافقو نهم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خالف باقی الفقهاء فی ذلک ـ الی قوله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 علی ما ذهبنا الیه اجماع الطّائفة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المراد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الأقتصار علی الرّجم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المدّعة بعد الأجماع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کصحیحة محمّد بن قیس</w:t>
      </w:r>
      <w:r>
        <w:rPr>
          <w:rStyle w:val="FootnoteAnchor"/>
          <w:rtl w:val="true"/>
        </w:rPr>
        <w:footnoteReference w:id="426"/>
      </w:r>
      <w:r>
        <w:rPr>
          <w:rFonts w:ascii="IRNazanin" w:hAnsi="IRNazanin" w:eastAsia="IRNazanin"/>
          <w:color w:val="111111"/>
          <w:sz w:val="28"/>
          <w:sz w:val="28"/>
          <w:szCs w:val="28"/>
          <w:rtl w:val="true"/>
          <w:lang w:bidi="fa-IR"/>
        </w:rPr>
        <w:t xml:space="preserve">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قضی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الشّیخة ان یجلدا مأة، و قضی للمحصن الرّجم ـ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صحیحة الحلبیّ</w:t>
      </w:r>
      <w:r>
        <w:rPr>
          <w:rStyle w:val="FootnoteAnchor"/>
          <w:rtl w:val="true"/>
        </w:rPr>
        <w:footnoteReference w:id="427"/>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فی الشّیخ و الشّیخة جلد مأة و 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روایة عبد الرّحمن</w:t>
      </w:r>
      <w:r>
        <w:rPr>
          <w:rStyle w:val="FootnoteAnchor"/>
          <w:rtl w:val="true"/>
        </w:rPr>
        <w:footnoteReference w:id="428"/>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الشّیخ و الشّیخة مأة و یرجمهما و یرجم المحصن و المحصنة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نوادر احمد بن محمّد بن عیسی</w:t>
      </w:r>
      <w:r>
        <w:rPr>
          <w:rStyle w:val="FootnoteAnchor"/>
          <w:rtl w:val="true"/>
        </w:rPr>
        <w:footnoteReference w:id="429"/>
      </w:r>
      <w:r>
        <w:rPr>
          <w:rFonts w:ascii="IRNazanin" w:hAnsi="IRNazanin" w:eastAsia="IRNazanin"/>
          <w:color w:val="111111"/>
          <w:sz w:val="28"/>
          <w:sz w:val="28"/>
          <w:szCs w:val="28"/>
          <w:rtl w:val="true"/>
          <w:lang w:bidi="fa-IR"/>
        </w:rPr>
        <w:t xml:space="preserve">مسنداً عن ابی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زنی الشّیخ و الشّیخة جلد کلّ واحد منهما و علیهما 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و هناک مطلقات فی مطلق المحصن و المحصنة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کصحیحة</w:t>
      </w:r>
      <w:r>
        <w:rPr>
          <w:rStyle w:val="FootnoteAnchor"/>
          <w:rtl w:val="true"/>
        </w:rPr>
        <w:footnoteReference w:id="430"/>
      </w:r>
      <w:r>
        <w:rPr>
          <w:rFonts w:ascii="IRNazanin" w:hAnsi="IRNazanin" w:eastAsia="IRNazanin"/>
          <w:color w:val="111111"/>
          <w:sz w:val="28"/>
          <w:sz w:val="28"/>
          <w:szCs w:val="28"/>
          <w:rtl w:val="true"/>
          <w:lang w:bidi="fa-IR"/>
        </w:rPr>
        <w:t xml:space="preserve">ابن مسلم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المحصن و المحصنة جلد مأة ثمّ الرّجم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مثلها صحیحة زرارة</w:t>
      </w:r>
      <w:r>
        <w:rPr>
          <w:rStyle w:val="FootnoteAnchor"/>
          <w:rtl w:val="true"/>
        </w:rPr>
        <w:footnoteReference w:id="431"/>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فی صحیحة فضیل</w:t>
      </w:r>
      <w:r>
        <w:rPr>
          <w:rStyle w:val="FootnoteAnchor"/>
          <w:rtl w:val="true"/>
        </w:rPr>
        <w:footnoteReference w:id="432"/>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فأذا شهدوا ضربه الحدّ مأة جلدة، ثمّ یرجمه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صحیحة او موثّقة اخری لزرارة</w:t>
      </w:r>
      <w:r>
        <w:rPr>
          <w:rStyle w:val="FootnoteAnchor"/>
          <w:rtl w:val="true"/>
        </w:rPr>
        <w:footnoteReference w:id="4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المحصن یجلد مأة و یرجم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 ذلک ذیل مرسل الدّعائم</w:t>
      </w:r>
      <w:r>
        <w:rPr>
          <w:rStyle w:val="FootnoteAnchor"/>
          <w:rtl w:val="true"/>
        </w:rPr>
        <w:footnoteReference w:id="434"/>
      </w:r>
      <w:r>
        <w:rPr>
          <w:rFonts w:ascii="IRNazanin" w:hAnsi="IRNazanin" w:eastAsia="IRNazanin"/>
          <w:color w:val="111111"/>
          <w:sz w:val="28"/>
          <w:sz w:val="28"/>
          <w:szCs w:val="28"/>
          <w:rtl w:val="true"/>
          <w:lang w:bidi="fa-IR"/>
        </w:rPr>
        <w:t xml:space="preserve">عن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اذا زنی المحصن و المحصنة جلد کلّ واحد منهما مأة جلدة، ثمّ رجمهما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مرسلته الثّانیة</w:t>
      </w:r>
      <w:r>
        <w:rPr>
          <w:rStyle w:val="FootnoteAnchor"/>
          <w:rtl w:val="true"/>
        </w:rPr>
        <w:footnoteReference w:id="4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احد الزّانیین بکراً و الأخر ثیّباً جلد کلّ واحد منهما مأة جلدة، ثمّ نفی البکر منهما، و رجم الثّیّب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البکر هو الّذی لیس له زوج من رجل او امرأة، و الثّیّب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الزّوج منهما</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4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ان زنیا اوّل مرّة و هما محصنان، او احد هما محصن، و الآخر غیر محصن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الّذی هو غیر محصن مأة جلدة، و ضرب المحصن مأة، ثمّ رجم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المرسل</w:t>
      </w:r>
      <w:r>
        <w:rPr>
          <w:rStyle w:val="FootnoteAnchor"/>
          <w:rtl w:val="true"/>
        </w:rPr>
        <w:footnoteReference w:id="437"/>
      </w:r>
      <w:r>
        <w:rPr>
          <w:rFonts w:ascii="IRNazanin" w:hAnsi="IRNazanin" w:eastAsia="IRNazanin"/>
          <w:color w:val="111111"/>
          <w:sz w:val="28"/>
          <w:sz w:val="28"/>
          <w:szCs w:val="28"/>
          <w:rtl w:val="true"/>
          <w:lang w:bidi="fa-IR"/>
        </w:rPr>
        <w:t xml:space="preserve">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المحصن یجلد مأة و یرجم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مرسل عوالی اللّئالی</w:t>
      </w:r>
      <w:r>
        <w:rPr>
          <w:rStyle w:val="FootnoteAnchor"/>
          <w:rtl w:val="true"/>
        </w:rPr>
        <w:footnoteReference w:id="4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سراجة یوم الخمیس، و رجمها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 تحدّها 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جلدتها بکتاب الله و رجمتها بسنّة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فی روایة ابی العبّاس</w:t>
      </w:r>
      <w:r>
        <w:rPr>
          <w:rStyle w:val="FootnoteAnchor"/>
          <w:rtl w:val="true"/>
        </w:rPr>
        <w:footnoteReference w:id="439"/>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رجم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رجم بالکوفة و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فأنکر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ما نعرف هذا ای لم یحدّ رجلاً حدّین جلد و رجم فی ذنب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w:t>
      </w:r>
      <w:r>
        <w:rPr>
          <w:rStyle w:val="FootnoteAnchor"/>
          <w:rtl w:val="true"/>
        </w:rPr>
        <w:footnoteReference w:id="440"/>
      </w:r>
      <w:r>
        <w:rPr>
          <w:rFonts w:ascii="IRNazanin" w:hAnsi="IRNazanin" w:eastAsia="IRNazanin"/>
          <w:color w:val="111111"/>
          <w:sz w:val="28"/>
          <w:sz w:val="28"/>
          <w:szCs w:val="28"/>
          <w:rtl w:val="true"/>
          <w:lang w:bidi="fa-IR"/>
        </w:rPr>
        <w:t xml:space="preserve">ما عن الصّادق و ما فی 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441"/>
      </w:r>
      <w:r>
        <w:rPr>
          <w:rFonts w:ascii="IRNazanin" w:hAnsi="IRNazanin" w:eastAsia="IRNazanin"/>
          <w:color w:val="111111"/>
          <w:sz w:val="28"/>
          <w:sz w:val="28"/>
          <w:szCs w:val="28"/>
          <w:rtl w:val="true"/>
          <w:lang w:bidi="fa-IR"/>
        </w:rPr>
        <w:t>فمحمول علی عدم الوقوع، لا التّشریع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و الاّ فعلی التّقیّة، کما هو محمل صحیحة عبدالله بن سنان</w:t>
      </w:r>
      <w:r>
        <w:rPr>
          <w:rStyle w:val="FootnoteAnchor"/>
          <w:rtl w:val="true"/>
        </w:rPr>
        <w:footnoteReference w:id="4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رواها الکلینیّ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الرّجم فی القرآن 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زنی الشّیخ و الشّیخة فارجمو هما البتّة فأنّهما قضیا الشّهوة،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سلیمان بن خالد</w:t>
      </w:r>
      <w:r>
        <w:rPr>
          <w:rStyle w:val="FootnoteAnchor"/>
          <w:rtl w:val="true"/>
        </w:rPr>
        <w:footnoteReference w:id="443"/>
      </w:r>
      <w:r>
        <w:rPr>
          <w:rFonts w:ascii="IRNazanin" w:hAnsi="IRNazanin" w:eastAsia="IRNazanin"/>
          <w:color w:val="111111"/>
          <w:sz w:val="28"/>
          <w:sz w:val="28"/>
          <w:szCs w:val="28"/>
          <w:rtl w:val="true"/>
          <w:lang w:bidi="fa-IR"/>
        </w:rPr>
        <w:t>رواها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القرآن رجم؟ 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و الشّیخة فارجمو هما البتّة، فأنّهما قضیا الشّهوة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مرفوعة سعد</w:t>
      </w:r>
      <w:r>
        <w:rPr>
          <w:rStyle w:val="FootnoteAnchor"/>
          <w:rtl w:val="true"/>
        </w:rPr>
        <w:footnoteReference w:id="444"/>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خلت عن اسناد الحکم الی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مرسلة الدّعائم</w:t>
      </w:r>
      <w:r>
        <w:rPr>
          <w:rStyle w:val="FootnoteAnchor"/>
          <w:rtl w:val="true"/>
        </w:rPr>
        <w:footnoteReference w:id="4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کان أیة الرّجم فی 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و الشّیخة فارجمو هما البتّة فأنّهما قد قضیا الشّهوة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اذهی ینادی ظاهرها بالتّقیّة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لمخالفة المشهور عند الأمامیّة، بل المجمع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تحریف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نفس العبارات، و الجملات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تغایر ما هو المتعارف فی صوغ آیات القرآن المجید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تقدّم من الوارد فی خصوص الشّیخ و الشّیخة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یقیّد اطلاق نفی الجلد فی عدّة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کصحیحة ابی بصیر</w:t>
      </w:r>
      <w:r>
        <w:rPr>
          <w:rStyle w:val="FootnoteAnchor"/>
          <w:rtl w:val="true"/>
        </w:rPr>
        <w:footnoteReference w:id="446"/>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فأذا زنی الرّجل المحصن یرجم و لم یجلد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مارواه سماعة</w:t>
      </w:r>
      <w:r>
        <w:rPr>
          <w:rStyle w:val="FootnoteAnchor"/>
          <w:rtl w:val="true"/>
        </w:rPr>
        <w:footnoteReference w:id="447"/>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فأمّا المحصن و المحصنة فعلیهما 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مرسلة زرارة</w:t>
      </w:r>
      <w:r>
        <w:rPr>
          <w:rStyle w:val="FootnoteAnchor"/>
          <w:rtl w:val="true"/>
        </w:rPr>
        <w:footnoteReference w:id="448"/>
      </w:r>
      <w:r>
        <w:rPr>
          <w:rFonts w:ascii="IRNazanin" w:hAnsi="IRNazanin" w:eastAsia="IRNazanin"/>
          <w:color w:val="111111"/>
          <w:sz w:val="28"/>
          <w:sz w:val="28"/>
          <w:szCs w:val="28"/>
          <w:rtl w:val="true"/>
          <w:lang w:bidi="fa-IR"/>
        </w:rPr>
        <w:t xml:space="preserve">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المحصن یرجم، لو کان لهما ظهور فی انحصار الحدّ فی 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 فی روایة عبد الرّحمن</w:t>
      </w:r>
      <w:r>
        <w:rPr>
          <w:rStyle w:val="FootnoteAnchor"/>
          <w:rtl w:val="true"/>
        </w:rPr>
        <w:footnoteReference w:id="4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یرجم المحصن و المحصنة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رواه الأصبغ</w:t>
      </w:r>
      <w:r>
        <w:rPr>
          <w:rStyle w:val="FootnoteAnchor"/>
          <w:rtl w:val="true"/>
        </w:rPr>
        <w:footnoteReference w:id="450"/>
      </w:r>
      <w:r>
        <w:rPr>
          <w:rFonts w:ascii="IRNazanin" w:hAnsi="IRNazanin" w:eastAsia="IRNazanin"/>
          <w:color w:val="111111"/>
          <w:sz w:val="28"/>
          <w:sz w:val="28"/>
          <w:szCs w:val="28"/>
          <w:rtl w:val="true"/>
          <w:lang w:bidi="fa-IR"/>
        </w:rPr>
        <w:t>فی الخمسة الّذین اخذوا فی الزّنا زمن عمر، فأمر أن یقام علی</w:t>
      </w:r>
      <w:bookmarkStart w:id="180" w:name="pg3023_22528"/>
    </w:p>
    <w:p>
      <w:pPr>
        <w:pStyle w:val="Heading4"/>
        <w:numPr>
          <w:ilvl w:val="3"/>
          <w:numId w:val="1"/>
        </w:numPr>
        <w:rPr/>
      </w:pPr>
      <w:bookmarkStart w:id="181" w:name="__RefHeading___Toc656759_2749589250"/>
      <w:bookmarkStart w:id="182" w:name="_Toc66"/>
      <w:bookmarkEnd w:id="180"/>
      <w:bookmarkEnd w:id="181"/>
      <w:r>
        <w:rPr>
          <w:rtl w:val="true"/>
        </w:rPr>
        <w:t>(</w:t>
      </w:r>
      <w:r>
        <w:rPr>
          <w:rtl w:val="true"/>
        </w:rPr>
        <w:t>الثّالث من أقسام الحدّ</w:t>
      </w:r>
      <w:r>
        <w:rPr>
          <w:rtl w:val="true"/>
        </w:rPr>
        <w:t>:</w:t>
      </w:r>
      <w:r>
        <w:rPr>
          <w:rtl w:val="true"/>
        </w:rPr>
        <w:t>الرّجم بدون الجلد اذا کانا محصنین شابّین</w:t>
      </w:r>
      <w:bookmarkEnd w:id="182"/>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الزّانیان المحصنان شابّاً و شابّة فیرجمان و لا جلد علی ایّ منهما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کلّ واحد منهم الحدّ، فقال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عمر لیس هذا حکمهم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فأقم انت الحدّ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فقدّم واحداً منهم، فضرب عنقه، و قدّم الآخر فرجمه ـ الی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الثّانی فرجل محصن، حدّه الرّجم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کلام الأصحاب فی الشّابّ و الشّابّة المحصنین، اذا زنیا هل علیهما الجلد مع الرّجم؟ او لا جلد علی ایّ منهما؟ و انّما الحدّ هو ارّجم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 الأوّل فی الأنتصار</w:t>
      </w:r>
      <w:r>
        <w:rPr>
          <w:rStyle w:val="FootnoteAnchor"/>
          <w:rtl w:val="true"/>
        </w:rPr>
        <w:footnoteReference w:id="451"/>
      </w:r>
      <w:r>
        <w:rPr>
          <w:rFonts w:ascii="IRNazanin" w:hAnsi="IRNazanin" w:eastAsia="IRNazanin"/>
          <w:color w:val="111111"/>
          <w:sz w:val="28"/>
          <w:sz w:val="28"/>
          <w:szCs w:val="28"/>
          <w:rtl w:val="true"/>
          <w:lang w:bidi="fa-IR"/>
        </w:rPr>
        <w:t>و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عن الشّیخین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اختاره ابن ادریس</w:t>
      </w:r>
      <w:r>
        <w:rPr>
          <w:rStyle w:val="FootnoteAnchor"/>
          <w:rtl w:val="true"/>
        </w:rPr>
        <w:footnoteReference w:id="452"/>
      </w:r>
      <w:r>
        <w:rPr>
          <w:rFonts w:ascii="IRNazanin" w:hAnsi="IRNazanin" w:eastAsia="IRNazanin"/>
          <w:color w:val="111111"/>
          <w:sz w:val="28"/>
          <w:sz w:val="28"/>
          <w:szCs w:val="28"/>
          <w:rtl w:val="true"/>
          <w:lang w:bidi="fa-IR"/>
        </w:rPr>
        <w:t>، و ظاهر کلامه اختاصصه بالرّجل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قوّاه فی القواعد، و الأیضاح، و اطلاق التّبصرة و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قرّبه فی الّلمعة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الی الشّیخ فی التّهذیبین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صریح عبارته 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ظاهر محکیّ تبیانه</w:t>
      </w:r>
      <w:r>
        <w:rPr>
          <w:rStyle w:val="FootnoteAnchor"/>
          <w:rtl w:val="true"/>
        </w:rPr>
        <w:footnoteReference w:id="453"/>
      </w:r>
      <w:r>
        <w:rPr>
          <w:rFonts w:ascii="IRNazanin" w:hAnsi="IRNazanin" w:eastAsia="IRNazanin"/>
          <w:color w:val="111111"/>
          <w:sz w:val="28"/>
          <w:sz w:val="28"/>
          <w:szCs w:val="28"/>
          <w:rtl w:val="true"/>
          <w:lang w:bidi="fa-IR"/>
        </w:rPr>
        <w:t>الرّجوع عن مختار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نسب الی بنی زهرة و حمزة 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اختاره السّیّدان العلمان رحمة الله علیهما فی المبانی و المهذّب</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عدم تحقّق اجماع فی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العمدة هی الرّوایات الواردة فی المقام، الّتی تنقسم الی طوائف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فطائفة، تدلّ علی الجلد و 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لمطلق المحصن و المحصنة و ثانیة، تقابل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نفی الجلد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ثالثة، تثبتهما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الشّیخ و الشّیخة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نسبة الثّانیة الی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المطلق الی المقیّد، فتقیّد الثّانیة بالأخیرة، و یحمل نفی الجلد فیها علی غیر الشّیخ و الشّیخة، و حینئذٍ تنقلب نسبتها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الثّانیة بعد 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الی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العموم المطلق، بعد أن کانت بالنّسبة الی الجلد هی التّباین، و یقدّم الخاصّ علی العامّ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و 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الجلد و الرّجم بالشّیخ و الشّیخة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الشّاب و الشّابّة المحصنان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فعلیهما الرّجم بدون الجلد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فی المبانی علی ذلک بصحیحة عاصم بن حمید</w:t>
      </w:r>
      <w:r>
        <w:rPr>
          <w:rStyle w:val="FootnoteAnchor"/>
          <w:rtl w:val="true"/>
        </w:rPr>
        <w:footnoteReference w:id="454"/>
      </w:r>
      <w:r>
        <w:rPr>
          <w:rFonts w:ascii="IRNazanin" w:hAnsi="IRNazanin" w:eastAsia="IRNazanin"/>
          <w:color w:val="111111"/>
          <w:sz w:val="28"/>
          <w:sz w:val="28"/>
          <w:szCs w:val="28"/>
          <w:rtl w:val="true"/>
          <w:lang w:bidi="fa-IR"/>
        </w:rPr>
        <w:t xml:space="preserve">عن ابی بصیر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الرّجم حدّ الله الأکبر و الجلد حدّ الله الأصغر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فأذا زنی ارّجل المحصن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رجم و لم یجلد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صدرها فی المحاسن</w:t>
      </w:r>
      <w:r>
        <w:rPr>
          <w:rStyle w:val="FootnoteAnchor"/>
          <w:rtl w:val="true"/>
        </w:rPr>
        <w:footnoteReference w:id="4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تقیید اطلاقها بغیر الشّیخ و الشّیخة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فتحمل علی الشّابّ و الشّابّة، فتکون اخصّ من صحیحتی محمّد بن مسلم</w:t>
      </w:r>
      <w:r>
        <w:rPr>
          <w:rStyle w:val="FootnoteAnchor"/>
          <w:rtl w:val="true"/>
        </w:rPr>
        <w:footnoteReference w:id="456"/>
      </w:r>
      <w:r>
        <w:rPr>
          <w:rFonts w:ascii="Amiri" w:hAnsi="Amiri" w:eastAsia="Amiri" w:cs="Amiri"/>
          <w:color w:val="111111"/>
          <w:sz w:val="28"/>
          <w:sz w:val="28"/>
          <w:szCs w:val="28"/>
          <w:rtl w:val="true"/>
          <w:lang w:bidi="ar-SA"/>
        </w:rPr>
        <w:t>وزرارة</w:t>
      </w:r>
      <w:r>
        <w:rPr>
          <w:rStyle w:val="FootnoteAnchor"/>
          <w:rtl w:val="true"/>
        </w:rPr>
        <w:footnoteReference w:id="457"/>
      </w:r>
      <w:r>
        <w:rPr>
          <w:rFonts w:ascii="IRNazanin" w:hAnsi="IRNazanin" w:eastAsia="IRNazanin"/>
          <w:color w:val="111111"/>
          <w:sz w:val="28"/>
          <w:sz w:val="28"/>
          <w:szCs w:val="28"/>
          <w:rtl w:val="true"/>
          <w:lang w:bidi="fa-IR"/>
        </w:rPr>
        <w:t>المطلقتین فی الجمع بین الجلد و الرّجم فی الزّانی و الزّانیة المحصنین، فتحملان علی الشّیخ و الشّیخة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الجمع لا یتّم بناء علی عدم تمامیّة انقلاب النّسبة فی الجمع بین الأدلّة المتعارضة، کما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التّخصیص او التّقیید لا یوجب انقلاب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ظهور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الخاصّ و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یزاحمان العامّ و المطلق فی الحجّیّة، لا فی الظّهور، و انّما هما علی ما کانا علیه من الظّهور بعد ورود المخصّص و المقیّد علیهما، و لا ینثلم بورود هما ظهور هما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ولذلک فصّلنا بین الخاصّ و المقّید المتّصلین بالعامّ و المطلق، و بین المنفصلین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یمنعان انعقاد الظّهور فی العموم و الأطلاق، و یوجبان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العامّ و المطلق، فیما اذا دار امر المخصّص و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الأقلّ و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فأجمالهما یوجب اجمال العامّ و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اذا انفصلا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العام و المطلق لا یسری اجمال الخاصّ او المقیّد الیهما، اذا تردّد کلّ منهما بین الأقلّ و الأکثر، لأنعقاد الظّهور فی العموم و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قلنا بتنجّز الأطلاق، او تعلیقة علی عدم ورود مقیّد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لأنّه انّما یؤثّر هذا المبنی فیما اذا لم یکن المقیّد مجملاً، فالمعلّق علیه لم یؤثّر فی المعلّق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 اطلاقه التّعلیقیّ الی التّنجیزی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بمقدار ظهوره، لا فی اجماله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فلنا الّتمسّک بعموم العامّ فی الزّائد عن ظهور الخاصّ فی المتیقّن، و هو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فی المطلق بالنّسبة الی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فی المقام طریق آخر للجمع الدّلالیّ، بین الطّائفتین، الأولی و الثّانیة، لا یرتبط بمسئلة انقلاب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شاهد الجمع فی نفس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الشّیخ</w:t>
      </w:r>
      <w:r>
        <w:rPr>
          <w:rStyle w:val="FootnoteAnchor"/>
          <w:rtl w:val="true"/>
        </w:rPr>
        <w:footnoteReference w:id="458"/>
      </w:r>
      <w:r>
        <w:rPr>
          <w:rFonts w:ascii="IRNazanin" w:hAnsi="IRNazanin" w:eastAsia="IRNazanin"/>
          <w:color w:val="111111"/>
          <w:sz w:val="28"/>
          <w:sz w:val="28"/>
          <w:szCs w:val="28"/>
          <w:rtl w:val="true"/>
          <w:lang w:bidi="fa-IR"/>
        </w:rPr>
        <w:t>بطریقین عن عبدالله بن طلحة و الشّیخ  الصّدوق</w:t>
      </w:r>
      <w:r>
        <w:rPr>
          <w:rStyle w:val="FootnoteAnchor"/>
          <w:rtl w:val="true"/>
        </w:rPr>
        <w:footnoteReference w:id="4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سنان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زنی الشّیخ و العجوز جلدا ثمّ رجما عقوبة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زنی النّصف من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رجم و لم یجلد، اذا کان قد احصن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زنی الشّاب الحدث السّنّ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جلدو نفی سنة من مصره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احد اسنادی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زنی الشّیخ و الشّیخة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الرّوضة</w:t>
      </w:r>
      <w:r>
        <w:rPr>
          <w:rStyle w:val="FootnoteAnchor"/>
          <w:rtl w:val="true"/>
        </w:rPr>
        <w:footnoteReference w:id="4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النّصف محرّکة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بین الحدث و السّنّ، او من بلغ خمساً و اربعین، او خمسین سنة و نحوها</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الوافی</w:t>
      </w:r>
      <w:r>
        <w:rPr>
          <w:rStyle w:val="FootnoteAnchor"/>
          <w:rtl w:val="true"/>
        </w:rPr>
        <w:footnoteReference w:id="461"/>
      </w:r>
      <w:r>
        <w:rPr>
          <w:rFonts w:ascii="IRNazanin" w:hAnsi="IRNazanin" w:eastAsia="IRNazanin"/>
          <w:color w:val="111111"/>
          <w:sz w:val="28"/>
          <w:sz w:val="28"/>
          <w:szCs w:val="28"/>
          <w:rtl w:val="true"/>
          <w:lang w:bidi="fa-IR"/>
        </w:rPr>
        <w:t>فسّره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بالرّجل الّذی بین الشّباب و الکهل، و یقال للمرأة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عبد الرّحمن</w:t>
      </w:r>
      <w:r>
        <w:rPr>
          <w:rStyle w:val="FootnoteAnchor"/>
          <w:rtl w:val="true"/>
        </w:rPr>
        <w:footnoteReference w:id="462"/>
      </w:r>
      <w:r>
        <w:rPr>
          <w:rFonts w:ascii="IRNazanin" w:hAnsi="IRNazanin" w:eastAsia="IRNazanin"/>
          <w:color w:val="111111"/>
          <w:sz w:val="28"/>
          <w:sz w:val="28"/>
          <w:szCs w:val="28"/>
          <w:rtl w:val="true"/>
          <w:lang w:bidi="fa-IR"/>
        </w:rPr>
        <w:t xml:space="preserve">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الشّیخ و الشّیخة مأة و یرجمهما، و یرجم المحصن و المحصنة، و یجلد البکر و البکرة و ینفیهما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للرّوایتین ظهوراً بیّناً، بل الأولی منهما صریحة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عدم جلد غیر الشّیخ و الشّیخة، و ان کان محصناً، او کانت محصنة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 سند الرّؤایتین ضعف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اطلاق رجم الشّیخ و الشّیخة فی الرّوایتینک مقیّد بما اذا احصنا، کما فی غیرهما من الرّوایات المتقدّمة، بشهادة غیر واحد من الرّوایات الأخر، مضافاً الی الأجماع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روایة برید الکناسیّ</w:t>
      </w:r>
      <w:r>
        <w:rPr>
          <w:rStyle w:val="FootnoteAnchor"/>
          <w:rtl w:val="true"/>
        </w:rPr>
        <w:footnoteReference w:id="463"/>
      </w:r>
      <w:r>
        <w:rPr>
          <w:rFonts w:ascii="IRNazanin" w:hAnsi="IRNazanin" w:eastAsia="IRNazanin"/>
          <w:color w:val="111111"/>
          <w:sz w:val="28"/>
          <w:sz w:val="28"/>
          <w:szCs w:val="28"/>
          <w:rtl w:val="true"/>
          <w:lang w:bidi="fa-IR"/>
        </w:rPr>
        <w:t xml:space="preserve">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روایة ابی بصیر</w:t>
      </w:r>
      <w:r>
        <w:rPr>
          <w:rStyle w:val="FootnoteAnchor"/>
          <w:rtl w:val="true"/>
        </w:rPr>
        <w:footnoteReference w:id="464"/>
      </w:r>
      <w:r>
        <w:rPr>
          <w:rFonts w:ascii="IRNazanin" w:hAnsi="IRNazanin" w:eastAsia="IRNazanin"/>
          <w:color w:val="111111"/>
          <w:sz w:val="28"/>
          <w:sz w:val="28"/>
          <w:szCs w:val="28"/>
          <w:rtl w:val="true"/>
          <w:lang w:bidi="fa-IR"/>
        </w:rPr>
        <w:t>الصّحیحة، و صحیحتی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الکناسیّ</w:t>
      </w:r>
      <w:r>
        <w:rPr>
          <w:rStyle w:val="FootnoteAnchor"/>
          <w:rtl w:val="true"/>
        </w:rPr>
        <w:footnoteReference w:id="465"/>
      </w:r>
      <w:r>
        <w:rPr>
          <w:rFonts w:ascii="IRNazanin" w:hAnsi="IRNazanin" w:eastAsia="IRNazanin"/>
          <w:color w:val="111111"/>
          <w:sz w:val="28"/>
          <w:sz w:val="28"/>
          <w:szCs w:val="28"/>
          <w:rtl w:val="true"/>
          <w:lang w:bidi="fa-IR"/>
        </w:rPr>
        <w:t xml:space="preserve"> و ابی عبیدة</w:t>
      </w:r>
      <w:r>
        <w:rPr>
          <w:rStyle w:val="FootnoteAnchor"/>
          <w:rtl w:val="true"/>
        </w:rPr>
        <w:footnoteReference w:id="466"/>
      </w:r>
      <w:r>
        <w:rPr>
          <w:rFonts w:ascii="IRNazanin" w:hAnsi="IRNazanin" w:eastAsia="IRNazanin"/>
          <w:color w:val="111111"/>
          <w:sz w:val="28"/>
          <w:sz w:val="28"/>
          <w:szCs w:val="28"/>
          <w:rtl w:val="true"/>
          <w:lang w:bidi="fa-IR"/>
        </w:rPr>
        <w:t>، و معتبرة اسماعیل بن ابی زیاد</w:t>
      </w:r>
      <w:r>
        <w:rPr>
          <w:rStyle w:val="FootnoteAnchor"/>
          <w:rtl w:val="true"/>
        </w:rPr>
        <w:footnoteReference w:id="467"/>
      </w:r>
      <w:r>
        <w:rPr>
          <w:rFonts w:ascii="Amiri" w:hAnsi="Amiri" w:eastAsia="Amiri" w:cs="Amiri"/>
          <w:color w:val="111111"/>
          <w:sz w:val="28"/>
          <w:sz w:val="28"/>
          <w:szCs w:val="28"/>
          <w:rtl w:val="true"/>
          <w:lang w:bidi="ar-SA"/>
        </w:rPr>
        <w:t>، و معتبرة سماعة</w:t>
      </w:r>
      <w:r>
        <w:rPr>
          <w:rStyle w:val="FootnoteAnchor"/>
          <w:rtl w:val="true"/>
        </w:rPr>
        <w:footnoteReference w:id="468"/>
      </w:r>
      <w:r>
        <w:rPr>
          <w:rFonts w:ascii="IRNazanin" w:hAnsi="IRNazanin" w:eastAsia="IRNazanin"/>
          <w:color w:val="111111"/>
          <w:sz w:val="28"/>
          <w:sz w:val="28"/>
          <w:szCs w:val="28"/>
          <w:rtl w:val="true"/>
          <w:lang w:bidi="fa-IR"/>
        </w:rPr>
        <w:t>، بل و صحیحة محمّد بن قیس</w:t>
      </w:r>
      <w:r>
        <w:rPr>
          <w:rStyle w:val="FootnoteAnchor"/>
          <w:rtl w:val="true"/>
        </w:rPr>
        <w:footnoteReference w:id="4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من جمیع ما تقدّم اختصاص الجلد مع 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بالشّیخ و الشّیخة الزّانیین المحصنین، و اذا کانا شابّین فعلیهما الرّجم وحده</w:t>
      </w:r>
      <w:r>
        <w:rPr>
          <w:rFonts w:eastAsia="IRNazanin" w:cs="IRNazanin"/>
          <w:color w:val="111111"/>
          <w:sz w:val="28"/>
          <w:szCs w:val="28"/>
          <w:rtl w:val="true"/>
          <w:lang w:bidi="fa-IR"/>
        </w:rPr>
        <w:t>.</w:t>
      </w:r>
      <w:bookmarkStart w:id="183" w:name="pg3023_22532"/>
    </w:p>
    <w:p>
      <w:pPr>
        <w:pStyle w:val="Heading4"/>
        <w:numPr>
          <w:ilvl w:val="3"/>
          <w:numId w:val="1"/>
        </w:numPr>
        <w:rPr/>
      </w:pPr>
      <w:bookmarkStart w:id="184" w:name="__RefHeading___Toc656761_2749589250"/>
      <w:bookmarkStart w:id="185" w:name="_Toc67"/>
      <w:bookmarkEnd w:id="183"/>
      <w:bookmarkEnd w:id="184"/>
      <w:r>
        <w:rPr>
          <w:rtl w:val="true"/>
        </w:rPr>
        <w:t>الرّابع من اقسام الحدّ</w:t>
      </w:r>
      <w:r>
        <w:rPr>
          <w:rtl w:val="true"/>
        </w:rPr>
        <w:t xml:space="preserve">: </w:t>
      </w:r>
      <w:r>
        <w:rPr>
          <w:rtl w:val="true"/>
        </w:rPr>
        <w:t xml:space="preserve">الجلد و جزّ الرّأس و التّغریب علی الزّانی غیر المحصن </w:t>
      </w:r>
      <w:r>
        <w:rPr>
          <w:rtl w:val="true"/>
        </w:rPr>
        <w:t>(</w:t>
      </w:r>
      <w:r>
        <w:rPr>
          <w:rtl w:val="true"/>
        </w:rPr>
        <w:t>لو املک و لم یدخل بها</w:t>
      </w:r>
      <w:r>
        <w:rPr>
          <w:rtl w:val="true"/>
        </w:rPr>
        <w:t>)</w:t>
      </w:r>
      <w:bookmarkEnd w:id="185"/>
    </w:p>
    <w:p>
      <w:pPr>
        <w:pStyle w:val="Heading5"/>
        <w:numPr>
          <w:ilvl w:val="4"/>
          <w:numId w:val="1"/>
        </w:numPr>
        <w:rPr/>
      </w:pPr>
      <w:bookmarkStart w:id="186" w:name="__RefHeading___Toc656763_2749589250"/>
      <w:bookmarkStart w:id="187" w:name="_Toc68"/>
      <w:bookmarkEnd w:id="186"/>
      <w:r>
        <w:rPr>
          <w:rtl w:val="true"/>
        </w:rPr>
        <w:t>اشارة</w:t>
      </w:r>
      <w:bookmarkEnd w:id="187"/>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الجلد و جزّ الرّأس او حلقه و التّغریب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الزّانی غیر المحصن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لواملک و لم یدخل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شیخاً کان او شابّاً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 جماعة الی ثبوت هذه الأحکام لمطلق الزّانی و 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ممّا یجب بالزّنا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 و جزّا لرّأس، او حلقه و التّغریب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تجب هذه للزّانی غیر المحصن، شیخاً کان او شابّاً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الجلد فلا خلاف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علیه مضافاً الی الأیة المبارکة</w:t>
      </w:r>
      <w:r>
        <w:rPr>
          <w:rStyle w:val="FootnoteAnchor"/>
          <w:rtl w:val="true"/>
        </w:rPr>
        <w:footnoteReference w:id="47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الزّانیة و الزّانی فاجلدوا کلّ واحد منهما مأة جلدة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ستمّر علیک کما یأتی البحث عن الجزّ و الحلق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التّغریب ففی ثبوته لمطلق الزّانی غیر المحصن، او خصوص من املک و لم یدخل بها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فاختار الأطلاق فی الشّرایع مضیفاً الی الجلد و التّغریب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صرّح بالشّمول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وفاقاً لظاهر المحکیّ عن العمّانی، و الأسکافیّ، و الحلبیّ، وصریح المحکیّ عن المبسوط و الخلاف</w:t>
      </w:r>
      <w:r>
        <w:rPr>
          <w:rStyle w:val="FootnoteAnchor"/>
          <w:rtl w:val="true"/>
        </w:rPr>
        <w:footnoteReference w:id="471"/>
      </w:r>
      <w:r>
        <w:rPr>
          <w:rFonts w:ascii="Amiri" w:hAnsi="Amiri" w:eastAsia="Amiri" w:cs="Amiri"/>
          <w:color w:val="111111"/>
          <w:sz w:val="28"/>
          <w:sz w:val="28"/>
          <w:szCs w:val="28"/>
          <w:rtl w:val="true"/>
          <w:lang w:bidi="ar-SA"/>
        </w:rPr>
        <w:t>و السّرائر</w:t>
      </w:r>
      <w:r>
        <w:rPr>
          <w:rStyle w:val="FootnoteAnchor"/>
          <w:rtl w:val="true"/>
        </w:rPr>
        <w:footnoteReference w:id="4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 الی اکثر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الشّهرة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عن ظاهر السّرائر و صریح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الأجماع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المراد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یتعرّض فی خلاف و لا فی المبسوط للجزّ و الحلق</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الخلاف</w:t>
      </w:r>
      <w:r>
        <w:rPr>
          <w:rStyle w:val="FootnoteAnchor"/>
          <w:rtl w:val="true"/>
        </w:rPr>
        <w:footnoteReference w:id="4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البکر عبارة عن غیر المحصن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فأذا زنی البکر جلد مأة و غرّب عاماً کلّ واحد منهما حدّ انکان ذکراً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انکان انثی لم یکن علیها تغریب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قال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سواء ذهب الیه الأوزاعیّ و الثّوری و ابن ای لیلی و حمد و الشّافعیّ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Style w:val="FootnoteAnchor"/>
          <w:rtl w:val="true"/>
        </w:rPr>
        <w:footnoteReference w:id="474"/>
      </w:r>
      <w:r>
        <w:rPr>
          <w:rFonts w:ascii="IRNazanin" w:hAnsi="IRNazanin" w:eastAsia="IRNazanin"/>
          <w:color w:val="111111"/>
          <w:sz w:val="28"/>
          <w:sz w:val="28"/>
          <w:szCs w:val="28"/>
          <w:rtl w:val="true"/>
          <w:lang w:bidi="fa-IR"/>
        </w:rPr>
        <w:t>قال ابو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 هو الجلد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التّغریب لیس بحدّ، و انّما هو تعزیر الی اجتهاد الأمام و لیس بمقدّر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رأی الحبس فعل، و ان رأی التّغریب الی بلد آخر فعل، من غیر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سواء کان ذکراً او انثی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استدلّ الشیخ علی ما اختاره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بأجماع الفرقة و اخبار هم وامور أخر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و فی المبسوط</w:t>
      </w:r>
      <w:r>
        <w:rPr>
          <w:rStyle w:val="FootnoteAnchor"/>
          <w:rtl w:val="true"/>
        </w:rPr>
        <w:footnoteReference w:id="4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ما فی صدر کلام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هنا صرّح بعدم النّفی علی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السّرائر</w:t>
      </w:r>
      <w:r>
        <w:rPr>
          <w:rStyle w:val="FootnoteAnchor"/>
          <w:rtl w:val="true"/>
        </w:rPr>
        <w:footnoteReference w:id="476"/>
      </w:r>
      <w:r>
        <w:rPr>
          <w:rFonts w:ascii="IRNazanin" w:hAnsi="IRNazanin" w:eastAsia="IRNazanin"/>
          <w:color w:val="111111"/>
          <w:sz w:val="28"/>
          <w:sz w:val="28"/>
          <w:szCs w:val="28"/>
          <w:rtl w:val="true"/>
          <w:lang w:bidi="fa-IR"/>
        </w:rPr>
        <w:t>فی بیان القسم الثّالث من الزّناة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عدا من ذکرناه من العقلاء الأحرار فأنّه یجب علیه الحدّ مأة سوط و تغریب عام من مصره اذا کان رجلاً و جزّ شعره علی مارواه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 الأطلاق فی التّبصرة و 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الرّوضة جعله اجود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فقد حکی الأختصاص لمن املک و لم یدخل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النّهایة و ابنی زهرة و سعید و الکیدری،  و استظهر من الصّدوق و المفید و سلاّر و ابن حمزة و عن العلاّمة فی التّحریر مدّعیاً الشّهرة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المختلف و عن مقتصر ابی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قوّاه فی الأیضاح، و استظهره فی المبانی، و اختاره فی 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یمیل الیه فی الجواهر</w:t>
      </w:r>
      <w:r>
        <w:rPr>
          <w:rStyle w:val="FootnoteAnchor"/>
          <w:rtl w:val="true"/>
        </w:rPr>
        <w:footnoteReference w:id="477"/>
      </w:r>
      <w:r>
        <w:rPr>
          <w:rFonts w:ascii="IRNazanin" w:hAnsi="IRNazanin" w:eastAsia="IRNazanin"/>
          <w:color w:val="111111"/>
          <w:sz w:val="28"/>
          <w:sz w:val="28"/>
          <w:szCs w:val="28"/>
          <w:rtl w:val="true"/>
          <w:lang w:bidi="fa-IR"/>
        </w:rPr>
        <w:t>، و هو الحقّ الّذی یدلّ علیه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فأنّه لا دلیل علی الأطلاق، ولو کان فمقیّد بالرّوایات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موثّقة زرارة</w:t>
      </w:r>
      <w:r>
        <w:rPr>
          <w:rStyle w:val="FootnoteAnchor"/>
          <w:rtl w:val="true"/>
        </w:rPr>
        <w:footnoteReference w:id="478"/>
      </w:r>
      <w:r>
        <w:rPr>
          <w:rFonts w:ascii="IRNazanin" w:hAnsi="IRNazanin" w:eastAsia="IRNazanin"/>
          <w:color w:val="111111"/>
          <w:sz w:val="28"/>
          <w:sz w:val="28"/>
          <w:szCs w:val="28"/>
          <w:rtl w:val="true"/>
          <w:lang w:bidi="fa-IR"/>
        </w:rPr>
        <w:t xml:space="preserve">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الّذی لم یحصن یجلد مأة و لا ینفی، و الّذی قد املک و لم یدخل بها یجلد مأة و ینفی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صحیحة الحلبیّ</w:t>
      </w:r>
      <w:r>
        <w:rPr>
          <w:rStyle w:val="FootnoteAnchor"/>
          <w:rtl w:val="true"/>
        </w:rPr>
        <w:footnoteReference w:id="479"/>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فی الشّیخ و الشّیخة جلد مأة و الرّجم، و البکر و البکرة جلد مأة و نفی سنة</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مرسلة زرارة</w:t>
      </w:r>
      <w:r>
        <w:rPr>
          <w:rStyle w:val="FootnoteAnchor"/>
          <w:rtl w:val="true"/>
        </w:rPr>
        <w:footnoteReference w:id="480"/>
      </w:r>
      <w:r>
        <w:rPr>
          <w:rFonts w:ascii="IRNazanin" w:hAnsi="IRNazanin" w:eastAsia="IRNazanin"/>
          <w:color w:val="111111"/>
          <w:sz w:val="28"/>
          <w:sz w:val="28"/>
          <w:szCs w:val="28"/>
          <w:rtl w:val="true"/>
          <w:lang w:bidi="fa-IR"/>
        </w:rPr>
        <w:t>و مسنده علی طریق الشّیخ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المحصن یرجم، و الّذی قد املک و لم یدخل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فجلد مأة و نفی سنة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و فی صحیحة ابن قیس</w:t>
      </w:r>
      <w:r>
        <w:rPr>
          <w:rStyle w:val="FootnoteAnchor"/>
          <w:rtl w:val="true"/>
        </w:rPr>
        <w:footnoteReference w:id="481"/>
      </w:r>
      <w:r>
        <w:rPr>
          <w:rFonts w:ascii="IRNazanin" w:hAnsi="IRNazanin" w:eastAsia="IRNazanin"/>
          <w:color w:val="111111"/>
          <w:sz w:val="28"/>
          <w:sz w:val="28"/>
          <w:szCs w:val="28"/>
          <w:rtl w:val="true"/>
          <w:lang w:bidi="fa-IR"/>
        </w:rPr>
        <w:t xml:space="preserve">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قضی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الشّیخ و الشّیخة أن یجلدا مأة، و قضی للمحصن الرّجم، وقضی فی البکر و البکرة اذا  زنیا جلد مأة و نفی سنة فی غیر مصرهما، و هما اللّذان قد املکا و لم یدخل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ذیل روایة عبد الرّحمن</w:t>
      </w:r>
      <w:r>
        <w:rPr>
          <w:rStyle w:val="FootnoteAnchor"/>
          <w:rtl w:val="true"/>
        </w:rPr>
        <w:footnoteReference w:id="482"/>
      </w:r>
      <w:r>
        <w:rPr>
          <w:rFonts w:ascii="IRNazanin" w:hAnsi="IRNazanin" w:eastAsia="IRNazanin"/>
          <w:color w:val="111111"/>
          <w:sz w:val="28"/>
          <w:sz w:val="28"/>
          <w:szCs w:val="28"/>
          <w:rtl w:val="true"/>
          <w:lang w:bidi="fa-IR"/>
        </w:rPr>
        <w:t xml:space="preserve">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یجلد البکر و البکرة و ینفیهما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ما عن نوادر احمد بن محمّد بن عیسی عن زرارة</w:t>
      </w:r>
      <w:r>
        <w:rPr>
          <w:rStyle w:val="FootnoteAnchor"/>
          <w:rtl w:val="true"/>
        </w:rPr>
        <w:footnoteReference w:id="483"/>
      </w:r>
      <w:r>
        <w:rPr>
          <w:rFonts w:ascii="IRNazanin" w:hAnsi="IRNazanin" w:eastAsia="IRNazanin"/>
          <w:color w:val="111111"/>
          <w:sz w:val="28"/>
          <w:sz w:val="28"/>
          <w:szCs w:val="28"/>
          <w:rtl w:val="true"/>
          <w:lang w:bidi="fa-IR"/>
        </w:rPr>
        <w:t xml:space="preserve">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المحصن یرجم و الّذی لم یحصن یجلد مأة و لا ینفی، و الّذی قد املک یجلد مأة و ینفی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مقنع الصّدوق</w:t>
      </w:r>
      <w:r>
        <w:rPr>
          <w:rStyle w:val="FootnoteAnchor"/>
          <w:rtl w:val="true"/>
        </w:rPr>
        <w:footnoteReference w:id="4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باضافة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یجلد قبل قوله یرجم، و کذا اضافة قوله و لم یدخل بها بعد قوله قد املک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تعرّض لنفی البکر فی مرسلة الدّعائم</w:t>
      </w:r>
      <w:r>
        <w:rPr>
          <w:rStyle w:val="FootnoteAnchor"/>
          <w:rtl w:val="true"/>
        </w:rPr>
        <w:footnoteReference w:id="485"/>
      </w:r>
      <w:r>
        <w:rPr>
          <w:rFonts w:ascii="Amiri" w:hAnsi="Amiri" w:eastAsia="Amiri" w:cs="Amiri"/>
          <w:color w:val="111111"/>
          <w:sz w:val="28"/>
          <w:sz w:val="28"/>
          <w:szCs w:val="28"/>
          <w:rtl w:val="true"/>
          <w:lang w:bidi="ar-SA"/>
        </w:rPr>
        <w:t xml:space="preserve">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مسنده</w:t>
      </w:r>
      <w:r>
        <w:rPr>
          <w:rStyle w:val="FootnoteAnchor"/>
          <w:rtl w:val="true"/>
        </w:rPr>
        <w:footnoteReference w:id="486"/>
      </w:r>
      <w:r>
        <w:rPr>
          <w:rFonts w:ascii="IRNazanin" w:hAnsi="IRNazanin" w:eastAsia="IRNazanin"/>
          <w:color w:val="111111"/>
          <w:sz w:val="28"/>
          <w:sz w:val="28"/>
          <w:szCs w:val="28"/>
          <w:rtl w:val="true"/>
          <w:lang w:bidi="fa-IR"/>
        </w:rPr>
        <w:t xml:space="preserve">نوادر احمد بن محمّد بن عیسی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فیما رواه فی قرب الأسناد</w:t>
      </w:r>
      <w:r>
        <w:rPr>
          <w:rStyle w:val="FootnoteAnchor"/>
          <w:rtl w:val="true"/>
        </w:rPr>
        <w:footnoteReference w:id="487"/>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تزوّج بامرأة لم یدخل بها ثمّ زنی ما علیه؟ قال یجلد الحدّ و یحلق رأسه و ینفی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هذه الرّوایات و انکان مثبتاً، لا ینفی الحکن عن غیر موضوعه، ولکن لبعضها، کمو ثّقة زرارة نفی النّفی عن غیر المملک</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صحیحة ابن قیس</w:t>
      </w:r>
      <w:r>
        <w:rPr>
          <w:rStyle w:val="FootnoteAnchor"/>
          <w:rtl w:val="true"/>
        </w:rPr>
        <w:footnoteReference w:id="4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 اللّذان الخ، الظّاهر فی کونه تفسیراً من الأمام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حکومة شرح و تفسیر لما علّق الحکم علی البکر و البکرة و حینئذٍ یضعف الّتمسّک للأطلاق بمعتبرظ السّکونیّ</w:t>
      </w:r>
      <w:r>
        <w:rPr>
          <w:rStyle w:val="FootnoteAnchor"/>
          <w:rtl w:val="true"/>
        </w:rPr>
        <w:footnoteReference w:id="489"/>
      </w:r>
      <w:r>
        <w:rPr>
          <w:rFonts w:ascii="IRNazanin" w:hAnsi="IRNazanin" w:eastAsia="IRNazanin"/>
          <w:color w:val="111111"/>
          <w:sz w:val="28"/>
          <w:sz w:val="28"/>
          <w:szCs w:val="28"/>
          <w:rtl w:val="true"/>
          <w:lang w:bidi="fa-IR"/>
        </w:rPr>
        <w:t xml:space="preserve">من قول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جواباً لمحمّد بن ابی بکر، فیما کتب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یسأله عن الرّجل یزنی بالمرئة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الیهودیّة و النّصرانیّة،  و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انکان محصناً فارجمه، و انکان بکراً فاجلده مأة همّ انفه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بما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معتبرة</w:t>
      </w:r>
      <w:r>
        <w:rPr>
          <w:rStyle w:val="FootnoteAnchor"/>
          <w:rtl w:val="true"/>
        </w:rPr>
        <w:footnoteReference w:id="490"/>
      </w:r>
      <w:r>
        <w:rPr>
          <w:rFonts w:ascii="IRNazanin" w:hAnsi="IRNazanin" w:eastAsia="IRNazanin"/>
          <w:color w:val="111111"/>
          <w:sz w:val="28"/>
          <w:sz w:val="28"/>
          <w:szCs w:val="28"/>
          <w:rtl w:val="true"/>
          <w:lang w:bidi="fa-IR"/>
        </w:rPr>
        <w:t xml:space="preserve">ابی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الزّانی اذا زنی أینفی؟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من 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فیها الی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بقول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معتبرة سماعة</w:t>
      </w:r>
      <w:r>
        <w:rPr>
          <w:rStyle w:val="FootnoteAnchor"/>
          <w:rtl w:val="true"/>
        </w:rPr>
        <w:footnoteReference w:id="4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زنی الرّجل ینبغی للأمام ان ینفیه من الأرض الّتی جلد فیها الی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نحوها فی روایته</w:t>
      </w:r>
      <w:r>
        <w:rPr>
          <w:rStyle w:val="FootnoteAnchor"/>
          <w:rtl w:val="true"/>
        </w:rPr>
        <w:footnoteReference w:id="492"/>
      </w:r>
      <w:r>
        <w:rPr>
          <w:rFonts w:ascii="IRNazanin" w:hAnsi="IRNazanin" w:eastAsia="IRNazanin"/>
          <w:color w:val="111111"/>
          <w:sz w:val="28"/>
          <w:sz w:val="28"/>
          <w:szCs w:val="28"/>
          <w:rtl w:val="true"/>
          <w:lang w:bidi="fa-IR"/>
        </w:rPr>
        <w:t xml:space="preserve">الّتی اوردها العیّاشی فی تفسیره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تقیید النّفی بسنة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کروایة مثنّی الحنّاط</w:t>
      </w:r>
      <w:r>
        <w:rPr>
          <w:rStyle w:val="FootnoteAnchor"/>
          <w:rtl w:val="true"/>
        </w:rPr>
        <w:footnoteReference w:id="493"/>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سندها سهل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الزّانی اذا جلد الحدّ؟ قال ینفی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بلدة یکون فیها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النّوادر</w:t>
      </w:r>
      <w:r>
        <w:rPr>
          <w:rStyle w:val="FootnoteAnchor"/>
          <w:rtl w:val="true"/>
        </w:rPr>
        <w:footnoteReference w:id="494"/>
      </w:r>
      <w:r>
        <w:rPr>
          <w:rFonts w:ascii="IRNazanin" w:hAnsi="IRNazanin" w:eastAsia="IRNazanin"/>
          <w:color w:val="111111"/>
          <w:sz w:val="28"/>
          <w:sz w:val="28"/>
          <w:szCs w:val="28"/>
          <w:rtl w:val="true"/>
          <w:lang w:bidi="fa-IR"/>
        </w:rPr>
        <w:t xml:space="preserve">عن عبد الرّحمن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النّفی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ذیل روایة عبدالله بن طلحة</w:t>
      </w:r>
      <w:r>
        <w:rPr>
          <w:rStyle w:val="FootnoteAnchor"/>
          <w:rtl w:val="true"/>
        </w:rPr>
        <w:footnoteReference w:id="495"/>
      </w:r>
      <w:r>
        <w:rPr>
          <w:rFonts w:ascii="IRNazanin" w:hAnsi="IRNazanin" w:eastAsia="IRNazanin"/>
          <w:color w:val="111111"/>
          <w:sz w:val="28"/>
          <w:sz w:val="28"/>
          <w:szCs w:val="28"/>
          <w:rtl w:val="true"/>
          <w:lang w:bidi="fa-IR"/>
        </w:rPr>
        <w:t xml:space="preserve">و رواها عبدالله بن سنان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اذا زنی الشّابّ الحدث السّنّ جلد و نفی سنة من مصره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المناقشة فی کون نفسیر البکر و البکرة بما سمعت عن الأمام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صحیحة ابن قیس</w:t>
      </w:r>
      <w:r>
        <w:rPr>
          <w:rStyle w:val="FootnoteAnchor"/>
          <w:rtl w:val="true"/>
        </w:rPr>
        <w:footnoteReference w:id="496"/>
      </w:r>
      <w:r>
        <w:rPr>
          <w:rFonts w:ascii="IRNazanin" w:hAnsi="IRNazanin" w:eastAsia="IRNazanin"/>
          <w:color w:val="111111"/>
          <w:sz w:val="28"/>
          <w:sz w:val="28"/>
          <w:szCs w:val="28"/>
          <w:rtl w:val="true"/>
          <w:lang w:bidi="fa-IR"/>
        </w:rPr>
        <w:t>ضعیفة کاالتّردّد فی متن موثّقة زرارة</w:t>
      </w:r>
      <w:r>
        <w:rPr>
          <w:rStyle w:val="FootnoteAnchor"/>
          <w:rtl w:val="true"/>
        </w:rPr>
        <w:footnoteReference w:id="4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فی الوافی و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ینفی بدون لا فی الموضعین، و الّتی قد املکت بدل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قد املک</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 مع انّ المنقول عن الأستبصار موافقة  الکافی علی ما فی الجواهر انّ الکافی اضبط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یبقی ملاحظة  النّسبة بین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عبدالله بن طلحة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زنی الشّابّ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فی موثّقة زرارة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الّذی لم یحصن یجلد مأة و لا ینفی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انّها بالعموم من وجه، و یتعارضان فی الشّاب الّذی لم یحصن، و یفتر قان فی الشّیخ الّذی</w:t>
      </w:r>
      <w:r>
        <w:rPr>
          <w:rFonts w:eastAsia="IRNazanin" w:cs="IRNazanin"/>
          <w:color w:val="111111"/>
          <w:sz w:val="28"/>
          <w:szCs w:val="28"/>
          <w:rtl w:val="true"/>
          <w:lang w:bidi="fa-IR"/>
        </w:rPr>
        <w:t>.</w:t>
      </w:r>
      <w:bookmarkStart w:id="188" w:name="pg3023_22537"/>
    </w:p>
    <w:p>
      <w:pPr>
        <w:pStyle w:val="Heading5"/>
        <w:numPr>
          <w:ilvl w:val="4"/>
          <w:numId w:val="1"/>
        </w:numPr>
        <w:rPr/>
      </w:pPr>
      <w:bookmarkStart w:id="189" w:name="__RefHeading___Toc656765_2749589250"/>
      <w:bookmarkStart w:id="190" w:name="_Toc69"/>
      <w:bookmarkEnd w:id="188"/>
      <w:bookmarkEnd w:id="189"/>
      <w:r>
        <w:rPr>
          <w:rtl w:val="true"/>
        </w:rPr>
        <w:t>النّفی من بلد السّکنی بعد الجلد</w:t>
      </w:r>
      <w:bookmarkEnd w:id="190"/>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النّفی من بلد السّکنی و هو بعد الجلد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لم یحصن و الشّاب المحصن و المملک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الجمع بالأخذ بأطلاقات النّفی، او تحمل روایة ابن طلحة علی خصوص المملک بقرینة سائر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اسقطناها عن الأعتبار لضعف السّند فلا علینا تکلّف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ظاهر ادلّة الفریقین عموم الحکم للشّیخ الّذی لم یحصن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 عمّمنا الحکم لمطلق الزّانی غیر المحصن فلا یختصّ الدّلیل بغیر الشّیخ، و هکذا لو اختصّ الحکم بمن املک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النّفی من بلد السّکنی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لغالب ثبوت موجبه فیه، فینفی بعد الجلد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صحیحة الحلبیّ</w:t>
      </w:r>
      <w:r>
        <w:rPr>
          <w:rStyle w:val="FootnoteAnchor"/>
          <w:rtl w:val="true"/>
        </w:rPr>
        <w:footnoteReference w:id="498"/>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النّفی من بلدة و قال قد نفی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رجلین من الکوفة الی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اتّفق جلده فی غیر بلده فلا بأس بأن ینفی منه الی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اخذاً بظاهر معتبرً ابی بصیر</w:t>
      </w:r>
      <w:r>
        <w:rPr>
          <w:rStyle w:val="FootnoteAnchor"/>
          <w:rtl w:val="true"/>
        </w:rPr>
        <w:footnoteReference w:id="499"/>
      </w:r>
      <w:r>
        <w:rPr>
          <w:rFonts w:ascii="IRNazanin" w:hAnsi="IRNazanin" w:eastAsia="IRNazanin"/>
          <w:color w:val="111111"/>
          <w:sz w:val="28"/>
          <w:sz w:val="28"/>
          <w:szCs w:val="28"/>
          <w:rtl w:val="true"/>
          <w:lang w:bidi="fa-IR"/>
        </w:rPr>
        <w:t xml:space="preserve">قال سألت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الزّانی، اذا زنی أینفی؟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نعم من الّتی جلد فیها الی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سبق فی معتبرة سماعة</w:t>
      </w:r>
      <w:r>
        <w:rPr>
          <w:rStyle w:val="FootnoteAnchor"/>
          <w:rtl w:val="true"/>
        </w:rPr>
        <w:footnoteReference w:id="500"/>
      </w:r>
      <w:r>
        <w:rPr>
          <w:rFonts w:ascii="IRNazanin" w:hAnsi="IRNazanin" w:eastAsia="IRNazanin"/>
          <w:color w:val="111111"/>
          <w:sz w:val="28"/>
          <w:sz w:val="28"/>
          <w:szCs w:val="28"/>
          <w:rtl w:val="true"/>
          <w:lang w:bidi="fa-IR"/>
        </w:rPr>
        <w:t xml:space="preserve">قول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نفیه من الأرض الّتی جلد فیها الی غیرها، فأنّما علی الأمام ان یخرجه من المصر الّذی جلد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ینفی الی بلد سکناه قطعاً لو صدق النّفی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اذا سکن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فینفی و لو الی غیر بلد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فأهل البدو، و الرّساتیق ینفون الی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احتمال سقوط النّفی فیمن لایسکن المصرا و زنی فی فلاة مثلاً بعید ضعیف، کضعف نفیه عن القافلة، لو ثبت الزّنا فی سفر، فجلد فیه، کما فی کشف اللّثام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کاحتمالة جواز التّغریب الی بلد الزّنا، و ان لم طکن بعیداً، لعدم دلیل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فلا یعتبر فیه مسافة القصر، فضلاً عن الزّائد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فی 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5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 التّغریب خمسون فرسخاً فلا مجال للأعتماد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الجزّ او الحلق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سبق ذکر الجزّ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الجواهر فی مصبّ کلام من حکینا عنهم الأطلاق فی ثبوت التّغریب لمطلق غیر المحصن من الزّانی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موضع آخر</w:t>
      </w:r>
      <w:r>
        <w:rPr>
          <w:rStyle w:val="FootnoteAnchor"/>
          <w:rtl w:val="true"/>
        </w:rPr>
        <w:footnoteReference w:id="502"/>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یحک فیه خلاف، بعد ان ذکر انّه صرّح به الشّیخان و سلاّر و ابنا حمزة و سعید و الفاضلان، کما ذکر حکایة عدم التّعرّض له عن جماعة، منهم الصّدوق و الشّطخ فی الخلاف و المبسوط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المعتمد هو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ورد فی المقام من الرّوایات هو مارواه الشّیخ</w:t>
      </w:r>
      <w:r>
        <w:rPr>
          <w:rStyle w:val="FootnoteAnchor"/>
          <w:rtl w:val="true"/>
        </w:rPr>
        <w:footnoteReference w:id="503"/>
      </w:r>
      <w:r>
        <w:rPr>
          <w:rFonts w:ascii="IRNazanin" w:hAnsi="IRNazanin" w:eastAsia="IRNazanin"/>
          <w:color w:val="111111"/>
          <w:sz w:val="28"/>
          <w:sz w:val="28"/>
          <w:szCs w:val="28"/>
          <w:rtl w:val="true"/>
          <w:lang w:bidi="fa-IR"/>
        </w:rPr>
        <w:t>عن حنّان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سأل رجل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أسمع عن البکر یفجر و قد تزوّج، ففجر قبل ان یدخل بأهله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مأة و یجزّ شعره، و ینفی من المصر حولاً، و یفرّق بینه و بین اهله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مارواه علیّ بن جعفر</w:t>
      </w:r>
      <w:r>
        <w:rPr>
          <w:rStyle w:val="FootnoteAnchor"/>
          <w:rtl w:val="true"/>
        </w:rPr>
        <w:footnoteReference w:id="504"/>
      </w:r>
      <w:r>
        <w:rPr>
          <w:rFonts w:ascii="IRNazanin" w:hAnsi="IRNazanin" w:eastAsia="IRNazanin"/>
          <w:color w:val="111111"/>
          <w:sz w:val="28"/>
          <w:sz w:val="28"/>
          <w:szCs w:val="28"/>
          <w:rtl w:val="true"/>
          <w:lang w:bidi="fa-IR"/>
        </w:rPr>
        <w:t xml:space="preserve">عن اخیه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رجل تزوّج امرأة  ولم یدخل بها، فزنی ما علیه؟ قال یجلد الحدّ و یحلق رأسه و یفرّق بینه و بین اهله و ینفی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الرّوایتان صحیحتان</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کالثّانیة روایة قرب الأسناد</w:t>
      </w:r>
      <w:r>
        <w:rPr>
          <w:rStyle w:val="FootnoteAnchor"/>
          <w:rtl w:val="true"/>
        </w:rPr>
        <w:footnoteReference w:id="505"/>
      </w:r>
      <w:r>
        <w:rPr>
          <w:rFonts w:ascii="IRNazanin" w:hAnsi="IRNazanin" w:eastAsia="IRNazanin"/>
          <w:color w:val="111111"/>
          <w:sz w:val="28"/>
          <w:sz w:val="28"/>
          <w:szCs w:val="28"/>
          <w:rtl w:val="true"/>
          <w:lang w:bidi="fa-IR"/>
        </w:rPr>
        <w:t>لکن لم یتعرّض للتّفریق بینه و بین اهله، فاللاّزم العمل بهما، وفاقاً لمن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 الجمع بینها هو التّخییر بین الجزّ و الحلق،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کما اختاره فی المبانی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انکان مقتضی ما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صفحی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السّرائر</w:t>
      </w:r>
      <w:r>
        <w:rPr>
          <w:rStyle w:val="FootnoteAnchor"/>
          <w:rtl w:val="true"/>
        </w:rPr>
        <w:footnoteReference w:id="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تعیّن الجزّ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نقله عن نهایة الشّیخ</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یظهر من غیر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فی اللّمعتین، الجزّ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الرّأس اجمع دون غیره کا للّحیة الخ، و یظهر من التّبصرة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حمله علی الحلق فی الجواهر، کما عیّنه فی المهذّب للسّیّد السّبزواری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فیختصّ کما هو مقتضی الصّحیحتین و روایة قرب الأسناد بمن املک و لم یدخل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جزّ، او حلق شعر الرّأس لا اللّحیة و لا حواجب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یکفی البعض، بل اللّازم الأستیعاب</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احتمال الأکتفاء بالبعض کما عن ظاهر المقنعة و المراسم و الوسیلة، و اختصاصه بالنّاصیة ضعیف فی ضعیف</w:t>
      </w:r>
      <w:r>
        <w:rPr>
          <w:rFonts w:eastAsia="IRNazanin" w:cs="IRNazanin"/>
          <w:color w:val="111111"/>
          <w:sz w:val="28"/>
          <w:szCs w:val="28"/>
          <w:rtl w:val="true"/>
          <w:lang w:bidi="fa-IR"/>
        </w:rPr>
        <w:t>.</w:t>
      </w:r>
      <w:bookmarkStart w:id="191" w:name="pg3023_22540"/>
    </w:p>
    <w:p>
      <w:pPr>
        <w:pStyle w:val="Heading5"/>
        <w:numPr>
          <w:ilvl w:val="4"/>
          <w:numId w:val="1"/>
        </w:numPr>
        <w:rPr/>
      </w:pPr>
      <w:bookmarkStart w:id="192" w:name="__RefHeading___Toc656767_2749589250"/>
      <w:bookmarkStart w:id="193" w:name="_Toc70"/>
      <w:bookmarkEnd w:id="191"/>
      <w:bookmarkEnd w:id="192"/>
      <w:r>
        <w:rPr>
          <w:rtl w:val="true"/>
        </w:rPr>
        <w:t>لا جزّ علی المرأة و حکم تغریبها</w:t>
      </w:r>
      <w:bookmarkEnd w:id="193"/>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نفی الجزّ فی المرأة و لو کانت مملکة، و امّا اتّغریب ففی ثبوته اشکال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المشهور علی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کانت الزّانیة غیر محصنة فتجلد، کما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جزّ علیها مطلقاء مملکة کانت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الدّلیل، و اختصاص دلیل الجزّ بالرّجل، کما سبق سرد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الحکم مشهور، بل لعلّه اتّفاقیّ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التّغریب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فمقتضی صحیحتی الحلبیّ و ابن قیس، و روایة عبد الرّحمن 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ثبوته علی المملکة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ان یستفاد من التّعلیل، الوارد فی نفی الرّجم  و التّغریب عن المجنونة و المستکرهة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صحیحة محمّد</w:t>
      </w:r>
      <w:r>
        <w:rPr>
          <w:rStyle w:val="FootnoteAnchor"/>
          <w:rtl w:val="true"/>
        </w:rPr>
        <w:footnoteReference w:id="508"/>
      </w:r>
      <w:r>
        <w:rPr>
          <w:rFonts w:ascii="IRNazanin" w:hAnsi="IRNazanin" w:eastAsia="IRNazanin"/>
          <w:color w:val="111111"/>
          <w:sz w:val="28"/>
          <w:sz w:val="28"/>
          <w:szCs w:val="28"/>
          <w:rtl w:val="true"/>
          <w:lang w:bidi="fa-IR"/>
        </w:rPr>
        <w:t xml:space="preserve">عن احدهما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صحیحة محمّد بن قیس</w:t>
      </w:r>
      <w:r>
        <w:rPr>
          <w:rStyle w:val="FootnoteAnchor"/>
          <w:rtl w:val="true"/>
        </w:rPr>
        <w:footnoteReference w:id="509"/>
      </w:r>
      <w:r>
        <w:rPr>
          <w:rFonts w:ascii="IRNazanin" w:hAnsi="IRNazanin" w:eastAsia="IRNazanin"/>
          <w:color w:val="111111"/>
          <w:sz w:val="28"/>
          <w:sz w:val="28"/>
          <w:szCs w:val="28"/>
          <w:rtl w:val="true"/>
          <w:lang w:bidi="fa-IR"/>
        </w:rPr>
        <w:t xml:space="preserve">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فی الأولی</w:t>
      </w:r>
      <w:r>
        <w:rPr>
          <w:rStyle w:val="FootnoteAnchor"/>
          <w:rtl w:val="true"/>
        </w:rPr>
        <w:footnoteReference w:id="5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امرأة زنت و هی مجنونة، انّها لا تملک امرها و لیس علیها رجم و لا نفی، و قال فی امرأة اقرّت علی نفسها انِه استکرهها رجل علی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هی مثل السّائبة لا تملک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نفسها، فلو شاء قتلها، لیس علیها جلد و لا نفی و لا 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الثّانیة</w:t>
      </w:r>
      <w:r>
        <w:rPr>
          <w:rStyle w:val="FootnoteAnchor"/>
          <w:rtl w:val="true"/>
        </w:rPr>
        <w:footnoteReference w:id="5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امرأة مجنونة زنت فحبلت، قال مثل السّائبة لا تملک امرها و لیس علیها رجم و لا جلد و لا نفی</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مارواه</w:t>
      </w:r>
      <w:r>
        <w:rPr>
          <w:rStyle w:val="FootnoteAnchor"/>
          <w:rtl w:val="true"/>
        </w:rPr>
        <w:footnoteReference w:id="512"/>
      </w:r>
      <w:r>
        <w:rPr>
          <w:rFonts w:ascii="IRNazanin" w:hAnsi="IRNazanin" w:eastAsia="IRNazanin"/>
          <w:color w:val="111111"/>
          <w:sz w:val="28"/>
          <w:sz w:val="28"/>
          <w:szCs w:val="28"/>
          <w:rtl w:val="true"/>
          <w:lang w:bidi="fa-IR"/>
        </w:rPr>
        <w:t xml:space="preserve">الشّیخ و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یوسف بن عقیل عن محمّد بن قیس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قضی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مکاتبة زنت وقد اعتق منها ثلاثة ارباع و بقی الرّبع ـ الی قوله ـ و ابی ان یرجمها و ان ینفیها قبل ان یبیّن عتقها، لکنّ المشهور علی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 الخلاف</w:t>
      </w:r>
      <w:r>
        <w:rPr>
          <w:rStyle w:val="FootnoteAnchor"/>
          <w:rtl w:val="true"/>
        </w:rPr>
        <w:footnoteReference w:id="513"/>
      </w:r>
      <w:r>
        <w:rPr>
          <w:rFonts w:ascii="IRNazanin" w:hAnsi="IRNazanin" w:eastAsia="IRNazanin"/>
          <w:color w:val="111111"/>
          <w:sz w:val="28"/>
          <w:sz w:val="28"/>
          <w:szCs w:val="28"/>
          <w:rtl w:val="true"/>
          <w:lang w:bidi="fa-IR"/>
        </w:rPr>
        <w:t xml:space="preserve"> و المبسوط</w:t>
      </w:r>
      <w:r>
        <w:rPr>
          <w:rStyle w:val="FootnoteAnchor"/>
          <w:rtl w:val="true"/>
        </w:rPr>
        <w:footnoteReference w:id="514"/>
      </w:r>
      <w:r>
        <w:rPr>
          <w:rFonts w:ascii="IRNazanin" w:hAnsi="IRNazanin" w:eastAsia="IRNazanin"/>
          <w:color w:val="111111"/>
          <w:sz w:val="28"/>
          <w:sz w:val="28"/>
          <w:szCs w:val="28"/>
          <w:rtl w:val="true"/>
          <w:lang w:bidi="fa-IR"/>
        </w:rPr>
        <w:t>وعن 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الأجماع قال فی الخلاف عقیب استدلاله علی ما اختاره ممّا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باجماع الفرقة و اخبارهم، و ایضاً الأصل برائة الذّمّة فی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اوجب علیها التّغریب فعلیه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الدّلیل</w:t>
      </w:r>
      <w:r>
        <w:rPr>
          <w:rStyle w:val="FootnoteAnchor"/>
          <w:rtl w:val="true"/>
        </w:rPr>
        <w:footnoteReference w:id="515"/>
      </w:r>
      <w:r>
        <w:rPr>
          <w:rFonts w:ascii="IRNazanin" w:hAnsi="IRNazanin" w:eastAsia="IRNazanin"/>
          <w:color w:val="111111"/>
          <w:sz w:val="28"/>
          <w:sz w:val="28"/>
          <w:szCs w:val="28"/>
          <w:rtl w:val="true"/>
          <w:lang w:bidi="fa-IR"/>
        </w:rPr>
        <w:t xml:space="preserve">و الجلد لا خلاف انّه علیها، و ایضاً قوله تعالی فعلیهنّ نصف ما علی المحصنات من العذاب، فلو کانت المرأة الحرّة یجب علیها التّغریب لکان علی الأمة نصفها، و قد اجمعنا علی انّه لا تغریب علا الأمة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زنت امة احدکم فلیجلدها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فهذه الجملة من الرّوایات المعتبرة الدّالّة علی النّفی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تسقط عن الأعتبار بالنّسبة للنّفی، لأعراض الأصحاب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یحلک القول بتغریبها الاّ من ابنی عقیل و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المسالک التّوقّف</w:t>
      </w:r>
      <w:r>
        <w:rPr>
          <w:rFonts w:eastAsia="IRNazanin" w:cs="IRNazanin"/>
          <w:color w:val="111111"/>
          <w:sz w:val="28"/>
          <w:szCs w:val="28"/>
          <w:rtl w:val="true"/>
          <w:lang w:bidi="fa-IR"/>
        </w:rPr>
        <w:t>.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مال بعض الأکابر الی ثبوته فیها و هو لا یخلو من قرب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 الی العمل بالرّوایات، او قال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 معارض لها، ولم یذکر فی قبالها الاّ وجوه اعتباریّة استحسانیّة،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لو غرّبت فإمّا مع محرم او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تزرو وازرة وزر اخری</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لا یجوز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5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لأمرأة ان تسافر من غیر ذی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الشّهوة غالبة، و الغالب انّ انزجار هنّ عن الزّنا لأستحیائهنّ من الأقارب و المعارف، و وجود الحفاظ من الرّجال، و بالتّغریب تخرج عن ایدی الحفاظ لهنّ من الرّجال، و یقلّ حیائهنّ لبعدهنّ من الأقارب، و ربّما اشتدّ فقرهنّ، فیصیر  مجموع ذلک سبباً لأنفتاح باب هذه الفاحشة العظیمة، و توسّعها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یقهرن اذا بعدن من الأقارب و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 مانع من التزام سفرها من غیر ذی محرم، اذا لم یکن خوف، و الاّ ففیما 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الباقی خطابة لا یستدلّ بها</w:t>
      </w:r>
      <w:r>
        <w:rPr>
          <w:rFonts w:eastAsia="IRNazanin" w:cs="IRNazanin"/>
          <w:color w:val="111111"/>
          <w:sz w:val="28"/>
          <w:szCs w:val="28"/>
          <w:rtl w:val="true"/>
          <w:lang w:bidi="fa-IR"/>
        </w:rPr>
        <w:t>.</w:t>
      </w:r>
      <w:bookmarkStart w:id="194" w:name="pg3023_22543"/>
    </w:p>
    <w:p>
      <w:pPr>
        <w:pStyle w:val="Heading5"/>
        <w:numPr>
          <w:ilvl w:val="4"/>
          <w:numId w:val="1"/>
        </w:numPr>
        <w:rPr/>
      </w:pPr>
      <w:bookmarkStart w:id="195" w:name="__RefHeading___Toc656769_2749589250"/>
      <w:bookmarkStart w:id="196" w:name="_Toc71"/>
      <w:bookmarkEnd w:id="194"/>
      <w:bookmarkEnd w:id="195"/>
      <w:r>
        <w:rPr>
          <w:rtl w:val="true"/>
        </w:rPr>
        <w:t>حکم التّفریق بین الزّانی الملک و زوجته</w:t>
      </w:r>
      <w:bookmarkEnd w:id="196"/>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بعض الصّحاح التّفریق بین الزّانی المملک الّذی لم یدخل بأهله و بین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الحکم تأدیب استحباباً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صحیحتی حنّان</w:t>
      </w:r>
      <w:r>
        <w:rPr>
          <w:rStyle w:val="FootnoteAnchor"/>
          <w:rtl w:val="true"/>
        </w:rPr>
        <w:footnoteReference w:id="517"/>
      </w:r>
      <w:r>
        <w:rPr>
          <w:rFonts w:ascii="IRNazanin" w:hAnsi="IRNazanin" w:eastAsia="IRNazanin"/>
          <w:color w:val="111111"/>
          <w:sz w:val="28"/>
          <w:sz w:val="28"/>
          <w:szCs w:val="28"/>
          <w:rtl w:val="true"/>
          <w:lang w:bidi="fa-IR"/>
        </w:rPr>
        <w:t>و علیّ بن جعفر</w:t>
      </w:r>
      <w:r>
        <w:rPr>
          <w:rStyle w:val="FootnoteAnchor"/>
          <w:rtl w:val="true"/>
        </w:rPr>
        <w:footnoteReference w:id="518"/>
      </w:r>
      <w:r>
        <w:rPr>
          <w:rFonts w:ascii="IRNazanin" w:hAnsi="IRNazanin" w:eastAsia="IRNazanin"/>
          <w:color w:val="111111"/>
          <w:sz w:val="28"/>
          <w:sz w:val="28"/>
          <w:szCs w:val="28"/>
          <w:rtl w:val="true"/>
          <w:lang w:bidi="fa-IR"/>
        </w:rPr>
        <w:t xml:space="preserve">المتقدّمتین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التّفریق بین الزّنی المملک الّذی لم یدخل بأهله و 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مانع من القول به، و التزامه اذا کان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منعه منها هذه المدّة، زیادة فی العقوبة، کما هو غیر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بعیداً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یترائی منهما فی ظاهر الأمر، من الطّلاق و یزید بعداً لو کان المراد حرمتها علیه مؤبّداً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یعارض الحکم صحیحة رفاعة بن موسی</w:t>
      </w:r>
      <w:r>
        <w:rPr>
          <w:rStyle w:val="FootnoteAnchor"/>
          <w:rtl w:val="true"/>
        </w:rPr>
        <w:footnoteReference w:id="519"/>
      </w:r>
      <w:r>
        <w:rPr>
          <w:rFonts w:ascii="IRNazanin" w:hAnsi="IRNazanin" w:eastAsia="IRNazanin"/>
          <w:color w:val="111111"/>
          <w:sz w:val="28"/>
          <w:sz w:val="28"/>
          <w:szCs w:val="28"/>
          <w:rtl w:val="true"/>
          <w:lang w:bidi="fa-IR"/>
        </w:rPr>
        <w:t xml:space="preserve">الّتی رواها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سأل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یفرّق بینهما اذا زنی قبل ان یدخل بها؟ قال لا، وحینئذٍ فتحمل تلکما علی ضرب من التّأدیب استحباباً</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ابعد من حملهما علی الحرمة او الطّلاق ظاهر معتبرة السّکونیّ</w:t>
      </w:r>
      <w:r>
        <w:rPr>
          <w:rStyle w:val="FootnoteAnchor"/>
          <w:rtl w:val="true"/>
        </w:rPr>
        <w:footnoteReference w:id="520"/>
      </w:r>
      <w:r>
        <w:rPr>
          <w:rFonts w:ascii="IRNazanin" w:hAnsi="IRNazanin" w:eastAsia="IRNazanin"/>
          <w:color w:val="111111"/>
          <w:sz w:val="28"/>
          <w:sz w:val="28"/>
          <w:szCs w:val="28"/>
          <w:rtl w:val="true"/>
          <w:lang w:bidi="fa-IR"/>
        </w:rPr>
        <w:t>عن جعفر عن ابیه عن آبائه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المرئة اذا زنت قبل ان یدخل بها، قال یفرّق بینهما و لا صداق لها، لأنّ الحدث کان من قبلها  نحوها موثّق الفضل بن یونس</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زیادة الحدّ، خصوصاً لو کان المراد انفساخ النّکاح، نظیر الرّضاع المتأخّر المحرّم، و لا اظنّ به قائلاً غیر الصّدوق فی محکیّ المقنع، لکنبه اعتمد علی صحیحة رفاعة فی محکّی علل الشّرایع وافتی بها بعد ایراد حدیث طلحة بن زید</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فی عدم حلّ الزّجة اذا زنی زوجها قبل ان یدخل بها لأنّه زان، و یفرّق بینها و یعطیها نصف الصّداق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نسیب الی المفید و سلاّر و ابن البرّاج و أبن الجنید و ابی الصّلاح انّه تردّ المحدودة فی الفجور</w:t>
      </w:r>
      <w:r>
        <w:rPr>
          <w:rFonts w:eastAsia="IRNazanin" w:cs="IRNazanin"/>
          <w:color w:val="111111"/>
          <w:sz w:val="28"/>
          <w:szCs w:val="28"/>
          <w:rtl w:val="true"/>
          <w:lang w:bidi="fa-IR"/>
        </w:rPr>
        <w:t>.</w:t>
      </w:r>
      <w:bookmarkStart w:id="197" w:name="pg3023_22544"/>
    </w:p>
    <w:p>
      <w:pPr>
        <w:pStyle w:val="Heading5"/>
        <w:numPr>
          <w:ilvl w:val="4"/>
          <w:numId w:val="1"/>
        </w:numPr>
        <w:rPr/>
      </w:pPr>
      <w:bookmarkStart w:id="198" w:name="__RefHeading___Toc656771_2749589250"/>
      <w:bookmarkStart w:id="199" w:name="_Toc72"/>
      <w:bookmarkEnd w:id="197"/>
      <w:bookmarkEnd w:id="198"/>
      <w:r>
        <w:rPr>
          <w:rtl w:val="true"/>
        </w:rPr>
        <w:t>حدّ الرّجل اذا زنی بصغیرة او مجنونة و تعزیر الصّغیرة</w:t>
      </w:r>
      <w:bookmarkEnd w:id="199"/>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زنی الرّجل بصغیرة او مجنونة حدّ  الرّجل و لو کان رجماً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و احتمل فی الحدائق</w:t>
      </w:r>
      <w:r>
        <w:rPr>
          <w:rStyle w:val="FootnoteAnchor"/>
          <w:rtl w:val="true"/>
        </w:rPr>
        <w:footnoteReference w:id="521"/>
      </w:r>
      <w:r>
        <w:rPr>
          <w:rFonts w:ascii="IRNazanin" w:hAnsi="IRNazanin" w:eastAsia="IRNazanin"/>
          <w:color w:val="111111"/>
          <w:sz w:val="28"/>
          <w:sz w:val="28"/>
          <w:szCs w:val="28"/>
          <w:rtl w:val="true"/>
          <w:lang w:bidi="fa-IR"/>
        </w:rPr>
        <w:t>استنادهم الی هذه الأخبار، وحملها علی التّقیّة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السّیّد الخوئی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522"/>
      </w:r>
      <w:r>
        <w:rPr>
          <w:rFonts w:ascii="IRNazanin" w:hAnsi="IRNazanin" w:eastAsia="IRNazanin"/>
          <w:color w:val="111111"/>
          <w:sz w:val="28"/>
          <w:sz w:val="28"/>
          <w:szCs w:val="28"/>
          <w:rtl w:val="true"/>
          <w:lang w:bidi="fa-IR"/>
        </w:rPr>
        <w:t>فی تقریر بحثه بعد ان عارضها بصحیحتین و تساقطهما ذهب الی الحلّ، للعومات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المستمسک لم یعتن بها للأعراض، کما انّ صاحب الجواهر</w:t>
      </w:r>
      <w:r>
        <w:rPr>
          <w:rStyle w:val="FootnoteAnchor"/>
          <w:rtl w:val="true"/>
        </w:rPr>
        <w:footnoteReference w:id="523"/>
      </w:r>
      <w:r>
        <w:rPr>
          <w:rFonts w:ascii="IRNazanin" w:hAnsi="IRNazanin" w:eastAsia="IRNazanin"/>
          <w:color w:val="111111"/>
          <w:sz w:val="28"/>
          <w:sz w:val="28"/>
          <w:szCs w:val="28"/>
          <w:rtl w:val="true"/>
          <w:lang w:bidi="fa-IR"/>
        </w:rPr>
        <w:t>حملها لذلک علی ضرب من النّدب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الزّانی و الزّانیة بالغین عاقلین فالحکم سبق فی المسائل المتقدّمة، حسب اختلاف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اذا کان احد هما کاملاً و الأخر غیر کامل فللمسئلة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الکامل هو الرّجل، فزنی بصغیرة او مجنونة فربّما یتوقّف فی رجمه اذا کان محصناً، بل ینفی، کما عن نهایة الشّیخ، و جامع یحیی بن سعید وفی الشّرایع و ظاهر القواعد و اللّمعتین او صریحهما  صریح التّبصرة و محکیّ مجمع البرهان فالجلد خاصّة، لوجوه اعتباریّة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بعضها کنقص اللّذّة فی الصّغیرة و نقص حرمتهما بالنّسبة الی الکاملة، و لذا لا یحدّ قاذ فهما، و فحوی نفی الرّجم عن المحصنة اذا زنی بها صبیّ، او دعوی الأجماع المرکّب،</w:t>
      </w:r>
    </w:p>
    <w:p>
      <w:pPr>
        <w:pStyle w:val="BookText"/>
        <w:rPr/>
      </w:pPr>
      <w:r>
        <w:rPr>
          <w:rFonts w:ascii="IRNazanin" w:hAnsi="IRNazanin" w:eastAsia="IRNazanin"/>
          <w:color w:val="111111"/>
          <w:sz w:val="28"/>
          <w:sz w:val="28"/>
          <w:szCs w:val="28"/>
          <w:rtl w:val="true"/>
          <w:lang w:bidi="fa-IR"/>
        </w:rPr>
        <w:t>اذ کلّ من نفی ارّجم عن المحصنة اذا زنی بها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نفاه فی المحصن اذا زنی بالصّغیرة او المجنونة، و کلّ من اوجبه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بثبوته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المحصن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زنی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دعوی وجود روایة نافیة للرّجم اذا زنی بمجنونة، کما فی السّرائر،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Style w:val="FootnoteAnchor"/>
          <w:rtl w:val="true"/>
        </w:rPr>
        <w:footnoteReference w:id="524"/>
      </w:r>
      <w:r>
        <w:rPr>
          <w:rFonts w:ascii="IRNazanin" w:hAnsi="IRNazanin" w:eastAsia="IRNazanin"/>
          <w:color w:val="111111"/>
          <w:sz w:val="28"/>
          <w:sz w:val="28"/>
          <w:szCs w:val="28"/>
          <w:rtl w:val="true"/>
          <w:lang w:bidi="fa-IR"/>
        </w:rPr>
        <w:t>و روی انّ الرّجل اذا زنی بمجنونة لم یکن علیه رجم اذا کان محصناً، و کان علیه جلد مأة</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تعزّر الصّغیره دون المجنونة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او اشتراط کون المزنیّ بها عاقلة، بالغة فی احصان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الأردبیلی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هذه الوجوه ضعیفة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اناطة الرّجم بکمال اللّذّة او بها اصلاً، و کذا بکمال الحرمة، و منع الفحوی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لا یخلو من کونه قیاساً،  و منع الأجماع المرکّب صغریً و کبریً،  اذا الأجماع بما هو لیس بحجّة و انبما العبرة بکونه کاشفاً عن رأی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فیدور معه وجوداً و عدماً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الرّوایة لم نعثر علیها، مع کونها مرسلة ضعیفة و لا اعتبار لها بالشّهرة کما ادّعی، و لا تورث الشّبهة الدّرائة للحدّ کما عن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الشّبهة فی قبال الأطلاقات لو سلّمنا درئه بها، و عدم اعتبار ما اعتبره الأردبیلیّ فی احصان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فالأقوی ثبوت الرّجم و فاقاً لجمع کثیر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الحلبّی و ابن زهرة و ابن ادریس</w:t>
      </w:r>
      <w:r>
        <w:rPr>
          <w:rStyle w:val="FootnoteAnchor"/>
          <w:rtl w:val="true"/>
        </w:rPr>
        <w:footnoteReference w:id="525"/>
      </w:r>
      <w:r>
        <w:rPr>
          <w:rFonts w:ascii="IRNazanin" w:hAnsi="IRNazanin" w:eastAsia="IRNazanin"/>
          <w:color w:val="111111"/>
          <w:sz w:val="28"/>
          <w:sz w:val="28"/>
          <w:szCs w:val="28"/>
          <w:rtl w:val="true"/>
          <w:lang w:bidi="fa-IR"/>
        </w:rPr>
        <w:t>فی غیر ما اذا زنی بالمجنونة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اختاره السّیّدان العلمان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المبانی و 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الصّغیرة و المجنونة المزنیّ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حدّ علیهما ایّاً ما کان رجماً او جلداً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التّکلیف، خصوصاً فی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الرّوایات الخاصّة</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انّما یثبت علی الصّغیرة التّعزیر دون المجنونة لقول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رواه ابان بن تغلب</w:t>
      </w:r>
      <w:r>
        <w:rPr>
          <w:rStyle w:val="FootnoteAnchor"/>
          <w:rtl w:val="true"/>
        </w:rPr>
        <w:footnoteReference w:id="5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زنی المجنون او المعتوه جلد الحدّ، و ان کان محصناً 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ما الفرق بین المجنون و المجنونة، و المعتوه و المعتوهة؟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تؤتی و الرّجل یأتی، و انّما 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عقل کیف یأتی اللّذّة، و انّما المرأة تستکره و یفعل بها و هی لا تعقل ما یفعل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صحیحة محمّد بن مسلم</w:t>
      </w:r>
      <w:r>
        <w:rPr>
          <w:rStyle w:val="FootnoteAnchor"/>
          <w:rtl w:val="true"/>
        </w:rPr>
        <w:footnoteReference w:id="527"/>
      </w:r>
      <w:r>
        <w:rPr>
          <w:rFonts w:ascii="IRNazanin" w:hAnsi="IRNazanin" w:eastAsia="IRNazanin"/>
          <w:color w:val="111111"/>
          <w:sz w:val="28"/>
          <w:sz w:val="28"/>
          <w:szCs w:val="28"/>
          <w:rtl w:val="true"/>
          <w:lang w:bidi="fa-IR"/>
        </w:rPr>
        <w:t xml:space="preserve">عن احد 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امرأة مجنونة زنت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إنّها لا تملک امرها، لیس علیها شیئ و فی موثقة ابی مریم</w:t>
      </w:r>
      <w:r>
        <w:rPr>
          <w:rStyle w:val="FootnoteAnchor"/>
          <w:rtl w:val="true"/>
        </w:rPr>
        <w:footnoteReference w:id="528"/>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 جاریة لم تبلغ و جدت مع رجل یفجر بها، قال تضرب الجاریة دون الحدّ، و یقام علی الرّجل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ابی العبّاس</w:t>
      </w:r>
      <w:r>
        <w:rPr>
          <w:rStyle w:val="FootnoteAnchor"/>
          <w:rtl w:val="true"/>
        </w:rPr>
        <w:footnoteReference w:id="529"/>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یحدّ، الصّبیّ اذا وقع علی المرأة، و یحدّ الرّجل اذا وقع علی الصّبیّة</w:t>
      </w:r>
      <w:r>
        <w:rPr>
          <w:rFonts w:eastAsia="IRNazanin" w:cs="IRNazanin"/>
          <w:color w:val="111111"/>
          <w:sz w:val="28"/>
          <w:szCs w:val="28"/>
          <w:rtl w:val="true"/>
          <w:lang w:bidi="fa-IR"/>
        </w:rPr>
        <w:t>.</w:t>
      </w:r>
      <w:bookmarkStart w:id="200" w:name="pg3023_22546"/>
    </w:p>
    <w:p>
      <w:pPr>
        <w:pStyle w:val="Heading5"/>
        <w:numPr>
          <w:ilvl w:val="4"/>
          <w:numId w:val="1"/>
        </w:numPr>
        <w:rPr/>
      </w:pPr>
      <w:bookmarkStart w:id="201" w:name="__RefHeading___Toc656773_2749589250"/>
      <w:bookmarkStart w:id="202" w:name="_Toc73"/>
      <w:bookmarkEnd w:id="200"/>
      <w:bookmarkEnd w:id="201"/>
      <w:r>
        <w:rPr>
          <w:rtl w:val="true"/>
        </w:rPr>
        <w:t>تحدّ الکاملة اذا زنت بصغیر و لا ترجم</w:t>
      </w:r>
      <w:bookmarkEnd w:id="202"/>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 الکاملة اذا زنت بصغیر، و لکن لا ترجم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و قریب من ذیلها و صدرها روایتا</w:t>
      </w:r>
      <w:r>
        <w:rPr>
          <w:rStyle w:val="FootnoteAnchor"/>
          <w:rtl w:val="true"/>
        </w:rPr>
        <w:footnoteReference w:id="530"/>
      </w:r>
      <w:r>
        <w:rPr>
          <w:rStyle w:val="FootnoteAnchor"/>
          <w:rtl w:val="true"/>
        </w:rPr>
        <w:footnoteReference w:id="531"/>
      </w:r>
      <w:r>
        <w:rPr>
          <w:rFonts w:ascii="IRNazanin" w:hAnsi="IRNazanin" w:eastAsia="IRNazanin"/>
          <w:color w:val="111111"/>
          <w:sz w:val="28"/>
          <w:sz w:val="28"/>
          <w:szCs w:val="28"/>
          <w:rtl w:val="true"/>
          <w:lang w:bidi="fa-IR"/>
        </w:rPr>
        <w:t xml:space="preserve">علّی بن جعفر عن اخیه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قریب من ذلک ذیل مارواه ابو میسّر حمزة</w:t>
      </w:r>
      <w:r>
        <w:rPr>
          <w:rStyle w:val="FootnoteAnchor"/>
          <w:rtl w:val="true"/>
        </w:rPr>
        <w:footnoteReference w:id="532"/>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کتاب مثنّی بن الولید الحنّاط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 و مرسلة الدّعائم</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مجال لمضمرة</w:t>
      </w:r>
      <w:r>
        <w:rPr>
          <w:rStyle w:val="FootnoteAnchor"/>
          <w:rtl w:val="true"/>
        </w:rPr>
        <w:footnoteReference w:id="534"/>
      </w:r>
      <w:r>
        <w:rPr>
          <w:rFonts w:ascii="IRNazanin" w:hAnsi="IRNazanin" w:eastAsia="IRNazanin"/>
          <w:color w:val="111111"/>
          <w:sz w:val="28"/>
          <w:sz w:val="28"/>
          <w:szCs w:val="28"/>
          <w:rtl w:val="true"/>
          <w:lang w:bidi="fa-IR"/>
        </w:rPr>
        <w:t>نوادر احمد بن عیسی عن عبد الرّحمن عن الرّجل یقع علی الصّبّیة؟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یجلد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نحوها ما فی 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535"/>
      </w:r>
      <w:r>
        <w:rPr>
          <w:rFonts w:ascii="Amiri" w:hAnsi="Amiri" w:eastAsia="Amiri" w:cs="Amiri"/>
          <w:color w:val="111111"/>
          <w:sz w:val="28"/>
          <w:sz w:val="28"/>
          <w:szCs w:val="28"/>
          <w:rtl w:val="true"/>
          <w:lang w:bidi="ar-SA"/>
        </w:rPr>
        <w:t>و المراد باحدّ فی هذه الرّوایات ما یعمّ الرّجم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 الثّانیة ان تکون هی الکاملة فزنت بصغیر فتحدّ، الاّ اذا کانت محصنة فلا 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فاقاً 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 الیه فی الجواهر، و اختاره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لصحیحة ابی بصیر</w:t>
      </w:r>
      <w:r>
        <w:rPr>
          <w:rStyle w:val="FootnoteAnchor"/>
          <w:rtl w:val="true"/>
        </w:rPr>
        <w:footnoteReference w:id="536"/>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غلام صغیر لم یدرک، ابن عشر سنین، زنی بامرأة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یجلد الغلام دون الحدّ، و تجلد المرأة الحدّ 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کانت محصنة؟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ترجم، لأنّ الّذی نکحها لیس بمدرک، و لو کان مدرکاً رجمت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یؤیّده روایة المناقب</w:t>
      </w:r>
      <w:r>
        <w:rPr>
          <w:rStyle w:val="FootnoteAnchor"/>
          <w:rtl w:val="true"/>
        </w:rPr>
        <w:footnoteReference w:id="537"/>
      </w:r>
      <w:r>
        <w:rPr>
          <w:rFonts w:ascii="IRNazanin" w:hAnsi="IRNazanin" w:eastAsia="IRNazanin"/>
          <w:color w:val="111111"/>
          <w:sz w:val="28"/>
          <w:sz w:val="28"/>
          <w:szCs w:val="28"/>
          <w:rtl w:val="true"/>
          <w:lang w:bidi="fa-IR"/>
        </w:rPr>
        <w:t xml:space="preserve">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قضی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امرأة فجربها غلام صغیر، فأمر عمر أن ترجم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یجب الرّجم، انّما یجب الحدّ، لانّ الّذی فجر بها لیس بمدرک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یؤیّدها اطلاق روایة علّی بن جعفر</w:t>
      </w:r>
      <w:r>
        <w:rPr>
          <w:rStyle w:val="FootnoteAnchor"/>
          <w:rtl w:val="true"/>
        </w:rPr>
        <w:footnoteReference w:id="538"/>
      </w:r>
      <w:r>
        <w:rPr>
          <w:rFonts w:ascii="IRNazanin" w:hAnsi="IRNazanin" w:eastAsia="IRNazanin"/>
          <w:color w:val="111111"/>
          <w:sz w:val="28"/>
          <w:sz w:val="28"/>
          <w:szCs w:val="28"/>
          <w:rtl w:val="true"/>
          <w:lang w:bidi="fa-IR"/>
        </w:rPr>
        <w:t xml:space="preserve"> المتقدّم الیها الأشارة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صبیّ وقع علی امرأة؟ قال تجلد المرأة و لیس علی الصّبیّ شیئ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مقتضی الأطلاق رجمها اذا زنی بها مجنون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زنی عاقلاً او زنت، ثمب جنّ او جنّت فلا یسقط الحدّ الّذی علیهما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 مرسلة الدّعائم</w:t>
      </w:r>
      <w:r>
        <w:rPr>
          <w:rStyle w:val="FootnoteAnchor"/>
          <w:rtl w:val="true"/>
        </w:rPr>
        <w:footnoteReference w:id="539"/>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فلا مجال لمضمرة</w:t>
      </w:r>
      <w:r>
        <w:rPr>
          <w:rStyle w:val="FootnoteAnchor"/>
          <w:rtl w:val="true"/>
        </w:rPr>
        <w:footnoteReference w:id="540"/>
      </w:r>
      <w:r>
        <w:rPr>
          <w:rFonts w:ascii="IRNazanin" w:hAnsi="IRNazanin" w:eastAsia="IRNazanin"/>
          <w:color w:val="111111"/>
          <w:sz w:val="28"/>
          <w:sz w:val="28"/>
          <w:szCs w:val="28"/>
          <w:rtl w:val="true"/>
          <w:lang w:bidi="fa-IR"/>
        </w:rPr>
        <w:t>نوادر احمد بن محمّد بن عیسی عن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سألة عن الصّبیِ یقع علی المرأة قال لا یجلدان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ما فی 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لا مجال لما عن الحلبیّ فی المحکیّ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فأوجب الرّجم مع الأحصان علی الکامل، و انکان الأخر صغیراً او مجنوناً، و ابن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الأخر صغیراً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مورد لصریح مختار المهذّب</w:t>
      </w:r>
      <w:r>
        <w:rPr>
          <w:rStyle w:val="FootnoteAnchor"/>
          <w:rtl w:val="true"/>
        </w:rPr>
        <w:footnoteReference w:id="542"/>
      </w:r>
      <w:r>
        <w:rPr>
          <w:rFonts w:ascii="IRNazanin" w:hAnsi="IRNazanin" w:eastAsia="IRNazanin"/>
          <w:color w:val="111111"/>
          <w:sz w:val="28"/>
          <w:sz w:val="28"/>
          <w:szCs w:val="28"/>
          <w:rtl w:val="true"/>
          <w:lang w:bidi="fa-IR"/>
        </w:rPr>
        <w:t>للسّیّد السّبزواریّ اعلی الله مقامه من رجم المحصنة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فی ذیل روایة علیّ بن جعفر</w:t>
      </w:r>
      <w:r>
        <w:rPr>
          <w:rStyle w:val="FootnoteAnchor"/>
          <w:rtl w:val="true"/>
        </w:rPr>
        <w:footnoteReference w:id="543"/>
      </w:r>
      <w:r>
        <w:rPr>
          <w:rFonts w:ascii="IRNazanin" w:hAnsi="IRNazanin" w:eastAsia="IRNazanin"/>
          <w:color w:val="111111"/>
          <w:sz w:val="28"/>
          <w:sz w:val="28"/>
          <w:szCs w:val="28"/>
          <w:rtl w:val="true"/>
          <w:lang w:bidi="fa-IR"/>
        </w:rPr>
        <w:t xml:space="preserve">من نفی الشّیئ علی الصّبیّ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به نفی شیئ معیّن، او الحدّ بقرینة الرّوایات الأخر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کاملة، یزنی بها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ترجم، اذا کانت محصنة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ینقل الخلاف الّا من یحیی ابن سعید، حیث ساوی بین الصّبیّ و المجنون فی عدم رجم من زنت بهما ان کانت محصنة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انّه خلاف الأطلاقات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تکمیل</w:t>
      </w:r>
    </w:p>
    <w:p>
      <w:pPr>
        <w:pStyle w:val="BookText"/>
        <w:rPr/>
      </w:pPr>
      <w:r>
        <w:rPr>
          <w:rFonts w:ascii="IRNazanin" w:hAnsi="IRNazanin" w:eastAsia="IRNazanin"/>
          <w:color w:val="111111"/>
          <w:sz w:val="28"/>
          <w:sz w:val="28"/>
          <w:szCs w:val="28"/>
          <w:rtl w:val="true"/>
          <w:lang w:bidi="fa-IR"/>
        </w:rPr>
        <w:t>قد ظهر من مطاوی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بقیّة صور المسئلة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زنی المجنون بالمجنونة او الصّغیرة، او الصّغیر بالصّغیرة او المجنونة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انّه لا حدّ علی أیّ منهم و لا شیئ الاّ التّعزیر فی غیر المجنون و المجنونة</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زنی عاقلاً، او زنت عاقلة ثمّ جنّ او جنّت فلا شبهة فی عدم سقوط الحدّ رجماً او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للأطلاقات، و خصوص صحیحة ابی عبیدة</w:t>
      </w:r>
      <w:r>
        <w:rPr>
          <w:rStyle w:val="FootnoteAnchor"/>
          <w:rtl w:val="true"/>
        </w:rPr>
        <w:footnoteReference w:id="544"/>
      </w:r>
      <w:r>
        <w:rPr>
          <w:rFonts w:ascii="IRNazanin" w:hAnsi="IRNazanin" w:eastAsia="IRNazanin"/>
          <w:color w:val="111111"/>
          <w:sz w:val="28"/>
          <w:sz w:val="28"/>
          <w:szCs w:val="28"/>
          <w:rtl w:val="true"/>
          <w:lang w:bidi="fa-IR"/>
        </w:rPr>
        <w:t xml:space="preserve">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bookmarkStart w:id="203" w:name="pg3023_22548"/>
    </w:p>
    <w:p>
      <w:pPr>
        <w:pStyle w:val="Heading4"/>
        <w:numPr>
          <w:ilvl w:val="3"/>
          <w:numId w:val="1"/>
        </w:numPr>
        <w:rPr/>
      </w:pPr>
      <w:bookmarkStart w:id="204" w:name="__RefHeading___Toc656775_2749589250"/>
      <w:bookmarkStart w:id="205" w:name="_Toc74"/>
      <w:bookmarkEnd w:id="203"/>
      <w:bookmarkEnd w:id="204"/>
      <w:r>
        <w:rPr>
          <w:rtl w:val="true"/>
        </w:rPr>
        <w:t>الخامس من اقسام الحدّ</w:t>
      </w:r>
      <w:r>
        <w:rPr>
          <w:rtl w:val="true"/>
        </w:rPr>
        <w:t xml:space="preserve">: </w:t>
      </w:r>
      <w:r>
        <w:rPr>
          <w:rtl w:val="true"/>
        </w:rPr>
        <w:t>خمسون جلدة علی المملوک و المملوکة الزّانیین ولو مع الاحصان</w:t>
      </w:r>
      <w:bookmarkEnd w:id="205"/>
    </w:p>
    <w:p>
      <w:pPr>
        <w:pStyle w:val="Heading5"/>
        <w:numPr>
          <w:ilvl w:val="4"/>
          <w:numId w:val="1"/>
        </w:numPr>
        <w:rPr/>
      </w:pPr>
      <w:bookmarkStart w:id="206" w:name="__RefHeading___Toc656777_2749589250"/>
      <w:bookmarkStart w:id="207" w:name="_Toc75"/>
      <w:bookmarkEnd w:id="206"/>
      <w:r>
        <w:rPr>
          <w:rtl w:val="true"/>
        </w:rPr>
        <w:t>اشارة</w:t>
      </w:r>
      <w:bookmarkEnd w:id="207"/>
    </w:p>
    <w:p>
      <w:pPr>
        <w:pStyle w:val="BookText"/>
        <w:rPr/>
      </w:pPr>
      <w:r>
        <w:rPr>
          <w:rFonts w:ascii="IRNazanin" w:hAnsi="IRNazanin" w:eastAsia="IRNazanin"/>
          <w:color w:val="111111"/>
          <w:sz w:val="28"/>
          <w:sz w:val="28"/>
          <w:szCs w:val="28"/>
          <w:rtl w:val="true"/>
          <w:lang w:bidi="fa-IR"/>
        </w:rPr>
        <w:t>الخامس ممّا یجب فی الزّنا</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زنی المملوک او المملوکة فحدّه خمسون جلدة، شابّین کانا او شیخین او مختلفین، مع الأحصان و عدمه، مملکة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رجم و لا نفی و لا جزّ فی زناهما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فی رجل وجب علیه حدّ، فلم یضرب حتّی خولط؟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اوجب علی نفسه الحدّ و هو صحیح لا علّة به من ذهاب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اقیم علیه الحدّ کائناً ما کان</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ممّا یجب فی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خمسون جلدة، و هو حدّ المملوک اذا زنی، ذکراً او انثی، مع الأحصان و بدونه، شیخاً و شیخةً، و شابّاً و شابّة، و مملکاً و مملکة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رجم علیه و لا نفی و لا جزّ بلا خلاف و 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علیه الأجماع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علیه الأیة</w:t>
      </w:r>
      <w:r>
        <w:rPr>
          <w:rFonts w:eastAsia="IRNazanin" w:cs="IRNazanin"/>
          <w:color w:val="111111"/>
          <w:sz w:val="28"/>
          <w:szCs w:val="28"/>
          <w:rtl w:val="true"/>
          <w:lang w:bidi="fa-IR"/>
        </w:rPr>
        <w:t>:</w:t>
      </w:r>
      <w:r>
        <w:rPr>
          <w:rStyle w:val="FootnoteAnchor"/>
          <w:rtl w:val="true"/>
        </w:rPr>
        <w:footnoteReference w:id="545"/>
      </w:r>
      <w:r>
        <w:rPr>
          <w:rFonts w:ascii="IRNazanin" w:hAnsi="IRNazanin" w:eastAsia="IRNazanin"/>
          <w:color w:val="111111"/>
          <w:sz w:val="28"/>
          <w:sz w:val="28"/>
          <w:szCs w:val="28"/>
          <w:rtl w:val="true"/>
          <w:lang w:bidi="fa-IR"/>
        </w:rPr>
        <w:t xml:space="preserve">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فأذا احصنّ فأن أتین بفاحشة فعلیهنّ نصف ما علی المحصنات من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صحیحة سلیمان بن خالد</w:t>
      </w:r>
      <w:r>
        <w:rPr>
          <w:rStyle w:val="FootnoteAnchor"/>
          <w:rtl w:val="true"/>
        </w:rPr>
        <w:footnoteReference w:id="546"/>
      </w:r>
      <w:r>
        <w:rPr>
          <w:rFonts w:ascii="IRNazanin" w:hAnsi="IRNazanin" w:eastAsia="IRNazanin"/>
          <w:color w:val="111111"/>
          <w:sz w:val="28"/>
          <w:sz w:val="28"/>
          <w:szCs w:val="28"/>
          <w:rtl w:val="true"/>
          <w:lang w:bidi="fa-IR"/>
        </w:rPr>
        <w:t>حیث قیل له، فأن زنی و هو مکاتب و لم یؤدّ شیئاً من مکاتبته؟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حقّ الله یطرح عنه من الحدّ خمسین جلدة و یضرب 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برید العجلّی</w:t>
      </w:r>
      <w:r>
        <w:rPr>
          <w:rStyle w:val="FootnoteAnchor"/>
          <w:rtl w:val="true"/>
        </w:rPr>
        <w:footnoteReference w:id="547"/>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الأمة تزنی؟ قال تجلد نصف الحدّ، کان لها زوج او لم یکن لها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الحسن بن السّریّ</w:t>
      </w:r>
      <w:r>
        <w:rPr>
          <w:rStyle w:val="FootnoteAnchor"/>
          <w:rtl w:val="true"/>
        </w:rPr>
        <w:footnoteReference w:id="5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عبّر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هذه الرّوایة فی مبانی تکملته بالصّحیحة، و لکن لم یوثّق الحسن بن السری فی معجمه، بل ناقش فی و ثاقته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اذا زنی العبد و الأمة و هما محصنان فلیس علیهما 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علیهما الضّرب خمسین، نصف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مرسلة عاصم بن حمید</w:t>
      </w:r>
      <w:r>
        <w:rPr>
          <w:rStyle w:val="FootnoteAnchor"/>
          <w:rtl w:val="true"/>
        </w:rPr>
        <w:footnoteReference w:id="549"/>
      </w:r>
      <w:r>
        <w:rPr>
          <w:rFonts w:ascii="IRNazanin" w:hAnsi="IRNazanin" w:eastAsia="IRNazanin"/>
          <w:color w:val="111111"/>
          <w:sz w:val="28"/>
          <w:sz w:val="28"/>
          <w:szCs w:val="28"/>
          <w:rtl w:val="true"/>
          <w:lang w:bidi="fa-IR"/>
        </w:rPr>
        <w:t xml:space="preserve">عمّن ذکره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قضی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مملوک طلّق امرأته تطلیقتین، ثمّ جامعها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رجلاً یضربهما، و یفرّق بینهما، یجلد کلّ واحد منهما خمسین جلدة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صحیحة محمّد بن قیس</w:t>
      </w:r>
      <w:r>
        <w:rPr>
          <w:rStyle w:val="FootnoteAnchor"/>
          <w:rtl w:val="true"/>
        </w:rPr>
        <w:footnoteReference w:id="550"/>
      </w:r>
      <w:r>
        <w:rPr>
          <w:rFonts w:ascii="IRNazanin" w:hAnsi="IRNazanin" w:eastAsia="IRNazanin"/>
          <w:color w:val="111111"/>
          <w:sz w:val="28"/>
          <w:sz w:val="28"/>
          <w:szCs w:val="28"/>
          <w:rtl w:val="true"/>
          <w:lang w:bidi="fa-IR"/>
        </w:rPr>
        <w:t>عن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قضی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العبید اذا زنی احدهم ان یجلد خمسین جلدة، و ان کان مسلماً او کافراً او نصرانّیاً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یرجم و لا ینفی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یشهد لذلک صدر روایة عبید بن زرارة</w:t>
      </w:r>
      <w:r>
        <w:rPr>
          <w:rStyle w:val="FootnoteAnchor"/>
          <w:rtl w:val="true"/>
        </w:rPr>
        <w:footnoteReference w:id="551"/>
      </w:r>
      <w:r>
        <w:rPr>
          <w:rFonts w:ascii="IRNazanin" w:hAnsi="IRNazanin" w:eastAsia="IRNazanin"/>
          <w:color w:val="111111"/>
          <w:sz w:val="28"/>
          <w:sz w:val="28"/>
          <w:szCs w:val="28"/>
          <w:rtl w:val="true"/>
          <w:lang w:bidi="fa-IR"/>
        </w:rPr>
        <w:t xml:space="preserve">او برید العجلیّ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الشّکّ من محمّد، هو ابن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 مروان بن مسلم عن عبید او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امة زنت، قال تجلد خمسین جلدة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الصّدوق فی الفقیه و العلل، الاّ انّه قال فی عبد زنی، او عبد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یضرب نصف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یشهد له صدر روایة برید</w:t>
      </w:r>
      <w:r>
        <w:rPr>
          <w:rStyle w:val="FootnoteAnchor"/>
          <w:rtl w:val="true"/>
        </w:rPr>
        <w:footnoteReference w:id="552"/>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اذا زنی العبد جلد 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الحکم ذیل صحیحة محمّد بن قیس</w:t>
      </w:r>
      <w:r>
        <w:rPr>
          <w:rStyle w:val="FootnoteAnchor"/>
          <w:rtl w:val="true"/>
        </w:rPr>
        <w:footnoteReference w:id="5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المکاتبة الّتی اعتق ثلثة ارباعها و بقی الرّبع، قال ابو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یرجمها  أن ینفیها قبل أن یبیّن عتقها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الفقیه</w:t>
      </w:r>
      <w:r>
        <w:rPr>
          <w:rStyle w:val="FootnoteAnchor"/>
          <w:rtl w:val="true"/>
        </w:rPr>
        <w:footnoteReference w:id="5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العلاء عن محمّد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قضی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امرأة امکنت نفسها من عبد لها فنکحها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تضرب مأة و یضرب العبد خمسین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 الحکم ما فی روایة الأصبغ بن نباتة</w:t>
      </w:r>
      <w:r>
        <w:rPr>
          <w:rStyle w:val="FootnoteAnchor"/>
          <w:rtl w:val="true"/>
        </w:rPr>
        <w:footnoteReference w:id="5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خمسة نفر اخذوا فی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مرسلة علیّ بن ابراهیم</w:t>
      </w:r>
      <w:r>
        <w:rPr>
          <w:rStyle w:val="FootnoteAnchor"/>
          <w:rtl w:val="true"/>
        </w:rPr>
        <w:footnoteReference w:id="556"/>
      </w:r>
      <w:r>
        <w:rPr>
          <w:rFonts w:ascii="IRNazanin" w:hAnsi="IRNazanin" w:eastAsia="IRNazanin"/>
          <w:color w:val="111111"/>
          <w:sz w:val="28"/>
          <w:sz w:val="28"/>
          <w:szCs w:val="28"/>
          <w:rtl w:val="true"/>
          <w:lang w:bidi="fa-IR"/>
        </w:rPr>
        <w:t xml:space="preserve">المتقدّم الیها الأشارة فی صفحة </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ستّة نفر و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الرّابع فعبد ضربناه نصف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مرسلتی الدّعائم</w:t>
      </w:r>
      <w:r>
        <w:rPr>
          <w:rStyle w:val="FootnoteAnchor"/>
          <w:rtl w:val="true"/>
        </w:rPr>
        <w:footnoteReference w:id="5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558"/>
      </w:r>
      <w:r>
        <w:rPr>
          <w:rFonts w:ascii="IRNazanin" w:hAnsi="IRNazanin" w:eastAsia="IRNazanin"/>
          <w:color w:val="111111"/>
          <w:sz w:val="28"/>
          <w:sz w:val="28"/>
          <w:szCs w:val="28"/>
          <w:rtl w:val="true"/>
          <w:lang w:bidi="fa-IR"/>
        </w:rPr>
        <w:t>ومسندة نوادر احمد بن عیسی</w:t>
      </w:r>
      <w:r>
        <w:rPr>
          <w:rStyle w:val="FootnoteAnchor"/>
          <w:rtl w:val="true"/>
        </w:rPr>
        <w:footnoteReference w:id="559"/>
      </w:r>
      <w:r>
        <w:rPr>
          <w:rFonts w:ascii="IRNazanin" w:hAnsi="IRNazanin" w:eastAsia="IRNazanin"/>
          <w:color w:val="111111"/>
          <w:sz w:val="28"/>
          <w:sz w:val="28"/>
          <w:szCs w:val="28"/>
          <w:rtl w:val="true"/>
          <w:lang w:bidi="fa-IR"/>
        </w:rPr>
        <w:t>عن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مرسلة الدّعائم</w:t>
      </w:r>
      <w:r>
        <w:rPr>
          <w:rStyle w:val="FootnoteAnchor"/>
          <w:rtl w:val="true"/>
        </w:rPr>
        <w:footnoteReference w:id="5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علی العبید نفی و لا 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561"/>
      </w:r>
      <w:r>
        <w:rPr>
          <w:rFonts w:ascii="IRNazanin" w:hAnsi="IRNazanin" w:eastAsia="IRNazanin"/>
          <w:color w:val="111111"/>
          <w:sz w:val="28"/>
          <w:sz w:val="28"/>
          <w:szCs w:val="28"/>
          <w:rtl w:val="true"/>
          <w:lang w:bidi="fa-IR"/>
        </w:rPr>
        <w:t>التّصریح بجلد خمسین محصنین کانا او غیر محصنین، کأطلاق المسندة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اشارة</w:t>
      </w:r>
    </w:p>
    <w:p>
      <w:pPr>
        <w:pStyle w:val="BookText"/>
        <w:rPr/>
      </w:pPr>
      <w:r>
        <w:rPr>
          <w:rFonts w:ascii="IRNazanin" w:hAnsi="IRNazanin" w:eastAsia="IRNazanin"/>
          <w:color w:val="111111"/>
          <w:sz w:val="28"/>
          <w:sz w:val="28"/>
          <w:szCs w:val="28"/>
          <w:rtl w:val="true"/>
          <w:lang w:bidi="fa-IR"/>
        </w:rPr>
        <w:t>روی فی الوسائل طبعة الأسلامیّة خبر برید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بن الحسن عن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ابیه عن ابن ابی نصر عن جمیل عن حمید بن زیاد عن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مرأة العقول</w:t>
      </w:r>
      <w:r>
        <w:rPr>
          <w:rStyle w:val="FootnoteAnchor"/>
          <w:rtl w:val="true"/>
        </w:rPr>
        <w:footnoteReference w:id="562"/>
      </w:r>
      <w:r>
        <w:rPr>
          <w:rFonts w:ascii="IRNazanin" w:hAnsi="IRNazanin" w:eastAsia="IRNazanin"/>
          <w:color w:val="111111"/>
          <w:sz w:val="28"/>
          <w:sz w:val="28"/>
          <w:szCs w:val="28"/>
          <w:rtl w:val="true"/>
          <w:lang w:bidi="fa-IR"/>
        </w:rPr>
        <w:t xml:space="preserve">بعد ابن ابی نصر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حمید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الوافی</w:t>
      </w:r>
      <w:r>
        <w:rPr>
          <w:rStyle w:val="FootnoteAnchor"/>
          <w:rtl w:val="true"/>
        </w:rPr>
        <w:footnoteReference w:id="5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عن ابیه عن البزنطیّ عن جمیل عن العجلیّ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اعثر عاجلاً  علی تعرّض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معجمة فی ما یتعلّق باختلاف الکتب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فالرّوایة معتبرة، سواء کان حمید فی السّند ام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ذکرنا من الرّوایات المتقدّمة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مجال لما فی روایة عبدالله بن سنان</w:t>
      </w:r>
      <w:r>
        <w:rPr>
          <w:rStyle w:val="FootnoteAnchor"/>
          <w:rtl w:val="true"/>
        </w:rPr>
        <w:footnoteReference w:id="564"/>
      </w:r>
      <w:r>
        <w:rPr>
          <w:rFonts w:ascii="IRNazanin" w:hAnsi="IRNazanin" w:eastAsia="IRNazanin"/>
          <w:color w:val="111111"/>
          <w:sz w:val="28"/>
          <w:sz w:val="28"/>
          <w:szCs w:val="28"/>
          <w:rtl w:val="true"/>
          <w:lang w:bidi="fa-IR"/>
        </w:rPr>
        <w:t xml:space="preserve">الواردة فی تفسیر العیّاشی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احصانهنّ ان یدخل 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لم یدخل بهنّ فأحدثن حدثاً هل علیهنّ 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نصف الحرّ، فأن زنت و هی محصنة فالرّجم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فظاهر هذه الرّوایات او اکثرها، بل صریح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حدّ المملوک او المملوکة الزّانیین محصنین ام لا بالجلد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یؤیّد ها ما فی 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5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نفی علی ایّ منهما، کما صرّح به فی صحیحة محمّد بن قیس</w:t>
      </w:r>
      <w:r>
        <w:rPr>
          <w:rStyle w:val="FootnoteAnchor"/>
          <w:rtl w:val="true"/>
        </w:rPr>
        <w:footnoteReference w:id="566"/>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للعبید و فی الأماء بطریق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صرّح فیهنّ فی صحیحتة الثّانیة</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انّه لا جزّ فیهما،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لأختصاص دلیلة بالرّجل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نظر، و انکان قریباً</w:t>
      </w:r>
      <w:r>
        <w:rPr>
          <w:rFonts w:eastAsia="IRNazanin" w:cs="IRNazanin"/>
          <w:color w:val="111111"/>
          <w:sz w:val="28"/>
          <w:szCs w:val="28"/>
          <w:rtl w:val="true"/>
          <w:lang w:bidi="fa-IR"/>
        </w:rPr>
        <w:t>.</w:t>
      </w:r>
      <w:bookmarkStart w:id="208" w:name="pg3023_22551"/>
    </w:p>
    <w:p>
      <w:pPr>
        <w:pStyle w:val="Heading5"/>
        <w:numPr>
          <w:ilvl w:val="4"/>
          <w:numId w:val="1"/>
        </w:numPr>
        <w:rPr/>
      </w:pPr>
      <w:bookmarkStart w:id="209" w:name="__RefHeading___Toc656779_2749589250"/>
      <w:bookmarkStart w:id="210" w:name="_Toc76"/>
      <w:bookmarkEnd w:id="208"/>
      <w:bookmarkEnd w:id="209"/>
      <w:r>
        <w:rPr>
          <w:rtl w:val="true"/>
        </w:rPr>
        <w:t xml:space="preserve">اذا اقیم الحدّ علی المملوک او المملوکة الزّانی </w:t>
      </w:r>
      <w:r>
        <w:rPr/>
        <w:t>8</w:t>
      </w:r>
      <w:r>
        <w:rPr>
          <w:rtl w:val="true"/>
        </w:rPr>
        <w:t xml:space="preserve"> </w:t>
      </w:r>
      <w:r>
        <w:rPr>
          <w:rtl w:val="true"/>
        </w:rPr>
        <w:t xml:space="preserve">مرّات او </w:t>
      </w:r>
      <w:r>
        <w:rPr/>
        <w:t>9</w:t>
      </w:r>
      <w:r>
        <w:rPr>
          <w:rtl w:val="true"/>
        </w:rPr>
        <w:t xml:space="preserve"> </w:t>
      </w:r>
      <w:r>
        <w:rPr>
          <w:rtl w:val="true"/>
        </w:rPr>
        <w:t>فیرجم</w:t>
      </w:r>
      <w:bookmarkEnd w:id="210"/>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زنی مملوک او مملوکة ثمانیاً او تسعاً و اقیم علیه الحدب کلّ مرّة فیرجم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قال فی الخلاف</w:t>
      </w:r>
      <w:r>
        <w:rPr>
          <w:rStyle w:val="FootnoteAnchor"/>
          <w:rtl w:val="true"/>
        </w:rPr>
        <w:footnoteReference w:id="5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نفی علی العبد و لا علی الأمة و به قال مالک و احمد و للشّافعیّ فیه قولان</w:t>
      </w:r>
      <w:r>
        <w:rPr>
          <w:rStyle w:val="FootnoteAnchor"/>
          <w:rtl w:val="true"/>
        </w:rPr>
        <w:footnoteReference w:id="5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هما مثل ما قلناه و الثّانی انّ علیهما النّفی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النّفی؟ 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هما سنة، مثل الحرّ، و الأخر نصف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استدلّ بالأصل و بروایة 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زنت امة احدکم فلیجلدها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زنت فلیجلدها، و لم یذکر التّغریب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ما ذکرنا من نفی الرّجم علی المملوک او المملوکة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اطلاقه، بل اذا لم یبلغ زناه ثمانیاً او تسعاً و اقیم علیه الحدّ کلّ مرّة، و الاّ فیرجم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روایة</w:t>
      </w:r>
      <w:r>
        <w:rPr>
          <w:rStyle w:val="FootnoteAnchor"/>
          <w:rtl w:val="true"/>
        </w:rPr>
        <w:footnoteReference w:id="570"/>
      </w:r>
      <w:r>
        <w:rPr>
          <w:rFonts w:ascii="IRNazanin" w:hAnsi="IRNazanin" w:eastAsia="IRNazanin"/>
          <w:color w:val="111111"/>
          <w:sz w:val="28"/>
          <w:sz w:val="28"/>
          <w:szCs w:val="28"/>
          <w:rtl w:val="true"/>
          <w:lang w:bidi="fa-IR"/>
        </w:rPr>
        <w:t xml:space="preserve">برید او عبید بن زرارة المتقدّمة صفحة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فأنّها عادت؟ قال تجلد خمسین، قلت فیجب علیها الرّجم فی شیئ من الحالات؟ قال اذا زنت ثمانی مرّات یجب علیها 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کیف صار فی ثمانی مرّات؟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الحرّ اذا زنی اربع مرّات و اقیم علیه الحدّ قتل، فأذا زنت الأمة ثمانی مرّات رجمت فی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 ما العلّه فی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عزّوجلّ رحمها أن یجمع علیها ربق الرّق و حدّ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امام المسلمین ان یدفع ثمنه الی موالیه من سهم الرّقاب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برید</w:t>
      </w:r>
      <w:r>
        <w:rPr>
          <w:rStyle w:val="FootnoteAnchor"/>
          <w:rtl w:val="true"/>
        </w:rPr>
        <w:footnoteReference w:id="571"/>
      </w:r>
      <w:r>
        <w:rPr>
          <w:rFonts w:ascii="IRNazanin" w:hAnsi="IRNazanin" w:eastAsia="IRNazanin"/>
          <w:color w:val="111111"/>
          <w:sz w:val="28"/>
          <w:sz w:val="28"/>
          <w:szCs w:val="28"/>
          <w:rtl w:val="true"/>
          <w:lang w:bidi="fa-IR"/>
        </w:rPr>
        <w:t xml:space="preserve">المتقدّمة صفحة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قوله، جلد 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عاد ضرب خمسین،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فأن عاد ضرب خمسین الی ثمانی مرّات، فأن زنی ثمانی مرّات قتل، و ادّی الأمام قیمته الی موالیه من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سبق الأیعاز الی اعتبار الرّوایة و مقتضاها القتل، سواء کان رجماً او غیره لو لم یکن ظاهراً فی غیره، بل تعیّنه بالسّیف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الأولی ضعیفة السّند بمحمّد 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الصّحیح،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بالأصبغ بن الأصبغ فی احد طریقیه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الی عدم وجدان قائل بتعیّن الرّجم، کما اعترف به فی الجواهر</w:t>
      </w:r>
      <w:r>
        <w:rPr>
          <w:rStyle w:val="FootnoteAnchor"/>
          <w:rtl w:val="true"/>
        </w:rPr>
        <w:footnoteReference w:id="5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افتی بمقتضاها من القتل فی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فی محکیّ نهایة</w:t>
      </w:r>
      <w:r>
        <w:rPr>
          <w:rStyle w:val="FootnoteAnchor"/>
          <w:rtl w:val="true"/>
        </w:rPr>
        <w:footnoteReference w:id="573"/>
      </w:r>
      <w:r>
        <w:rPr>
          <w:rFonts w:ascii="IRNazanin" w:hAnsi="IRNazanin" w:eastAsia="IRNazanin"/>
          <w:color w:val="111111"/>
          <w:sz w:val="28"/>
          <w:sz w:val="28"/>
          <w:szCs w:val="28"/>
          <w:rtl w:val="true"/>
          <w:lang w:bidi="fa-IR"/>
        </w:rPr>
        <w:t>، و تبعه ابن البرّاج، و جعله فی القواعد و الشّرایع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الأیضاح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عن الجامع و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الأنتصار</w:t>
      </w:r>
      <w:r>
        <w:rPr>
          <w:rStyle w:val="FootnoteAnchor"/>
          <w:rtl w:val="true"/>
        </w:rPr>
        <w:footnoteReference w:id="574"/>
      </w:r>
      <w:r>
        <w:rPr>
          <w:rFonts w:ascii="Amiri" w:hAnsi="Amiri" w:eastAsia="Amiri" w:cs="Amiri"/>
          <w:color w:val="111111"/>
          <w:sz w:val="28"/>
          <w:sz w:val="28"/>
          <w:szCs w:val="28"/>
          <w:rtl w:val="true"/>
          <w:lang w:bidi="ar-SA"/>
        </w:rPr>
        <w:t>و محکیّ الغنیّة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فی اثّامنة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ادّعی علیه اجماع الطّائفة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اختاره الشّیخ فی الخلاف</w:t>
      </w:r>
      <w:r>
        <w:rPr>
          <w:rStyle w:val="FootnoteAnchor"/>
          <w:rtl w:val="true"/>
        </w:rPr>
        <w:footnoteReference w:id="575"/>
      </w:r>
      <w:r>
        <w:rPr>
          <w:rFonts w:ascii="IRNazanin" w:hAnsi="IRNazanin" w:eastAsia="IRNazanin"/>
          <w:color w:val="111111"/>
          <w:sz w:val="28"/>
          <w:sz w:val="28"/>
          <w:szCs w:val="28"/>
          <w:rtl w:val="true"/>
          <w:lang w:bidi="fa-IR"/>
        </w:rPr>
        <w:t>و المبسوط</w:t>
      </w:r>
      <w:r>
        <w:rPr>
          <w:rStyle w:val="FootnoteAnchor"/>
          <w:rtl w:val="true"/>
        </w:rPr>
        <w:footnoteReference w:id="576"/>
      </w:r>
      <w:r>
        <w:rPr>
          <w:rFonts w:ascii="IRNazanin" w:hAnsi="IRNazanin" w:eastAsia="IRNazanin"/>
          <w:color w:val="111111"/>
          <w:sz w:val="28"/>
          <w:sz w:val="28"/>
          <w:szCs w:val="28"/>
          <w:rtl w:val="true"/>
          <w:lang w:bidi="fa-IR"/>
        </w:rPr>
        <w:t>و ابن ادریس فی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 الی المفید و ابی الصّلاح و ابنی بابویه و سلاّر و ابن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الجواهر انّه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الأنتصار</w:t>
      </w:r>
      <w:r>
        <w:rPr>
          <w:rStyle w:val="FootnoteAnchor"/>
          <w:rtl w:val="true"/>
        </w:rPr>
        <w:footnoteReference w:id="5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خالف باقی الفقهاء</w:t>
      </w:r>
      <w:r>
        <w:rPr>
          <w:rStyle w:val="FootnoteAnchor"/>
          <w:rtl w:val="true"/>
        </w:rPr>
        <w:footnoteReference w:id="578"/>
      </w:r>
      <w:r>
        <w:rPr>
          <w:rFonts w:ascii="IRNazanin" w:hAnsi="IRNazanin" w:eastAsia="IRNazanin"/>
          <w:color w:val="111111"/>
          <w:sz w:val="28"/>
          <w:sz w:val="28"/>
          <w:szCs w:val="28"/>
          <w:rtl w:val="true"/>
          <w:lang w:bidi="fa-IR"/>
        </w:rPr>
        <w:t>فی ذلک، و لم یقولو بشیئ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الغنیة ایضاً الأجماع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و قال فی الخلاف</w:t>
      </w:r>
      <w:r>
        <w:rPr>
          <w:rStyle w:val="FootnoteAnchor"/>
          <w:rtl w:val="true"/>
        </w:rPr>
        <w:footnoteReference w:id="5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جلد الزّانی الحرّ ـ الی قوله ـ و العبد یقتل فی الثّامنة، و قد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الحرّ یقتل فی الرّابعة، و خالف جمیع الفقهاء فی ذلک،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الحدّ بالغاً ما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 اجماع الفرقة و اخبارهم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انّ دلیل الثّامنة معتبر فاللاّزم القول بمقتضاه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مجال لما عن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التزام التّفصیل فی ثبوت الزّنا بالبیّنة فیقتل فی الثّامنة، و بالأقرار ففی التّاسعی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لعدم کونه جمعاً بین الرّوایتین، لو فرض اعتبار کلتیهما، و قد عرفت ضعف الأولی</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مانع من الألتزام بما فی ذیل معتبرة برید، و روایة عبید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اداء قیمة العبد من بیت مال المسلمین، کما حکی التّصریح به عن بعض الأصحاب فی الجواهر، و لم یستبعده هو ناسباً الی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بین حقّ الله تعالی و حقّ الأدمیّ</w:t>
      </w:r>
      <w:r>
        <w:rPr>
          <w:rFonts w:eastAsia="IRNazanin" w:cs="IRNazanin"/>
          <w:color w:val="111111"/>
          <w:sz w:val="28"/>
          <w:szCs w:val="28"/>
          <w:rtl w:val="true"/>
          <w:lang w:bidi="fa-IR"/>
        </w:rPr>
        <w:t>.</w:t>
      </w:r>
      <w:bookmarkStart w:id="211" w:name="pg3023_22554"/>
    </w:p>
    <w:p>
      <w:pPr>
        <w:pStyle w:val="Heading5"/>
        <w:numPr>
          <w:ilvl w:val="4"/>
          <w:numId w:val="1"/>
        </w:numPr>
        <w:rPr/>
      </w:pPr>
      <w:bookmarkStart w:id="212" w:name="__RefHeading___Toc656781_2749589250"/>
      <w:bookmarkStart w:id="213" w:name="_Toc77"/>
      <w:bookmarkEnd w:id="211"/>
      <w:bookmarkEnd w:id="212"/>
      <w:r>
        <w:rPr>
          <w:rtl w:val="true"/>
        </w:rPr>
        <w:t>لا رجم علی الزّانی المبعّض لو کان محصناً کالمبعّضة</w:t>
      </w:r>
      <w:bookmarkEnd w:id="213"/>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یرجم الزّانی المبعّض لو کان محصناً، و المبعّضة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یضرب ضرب الأحرار بقدر نصیب حرّیّته، و ضرب الممالیک بقدر نصیب رقّیّته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فأذا کان نصفه 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فیجلد خمسة و سبعین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سوطاً، و علی هذا القیاس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زنی المبعّض فلا رجم علیه ان کان محصناً قطعاً، رجلاً کان او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علیه الحدّ تلفیقاً، فیضرب ضرب الأحرار بقدر نصیب حرّیّته، و ضرب العبید بمقدار رقّیّته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فأذا کان نصفه حرّاً و زنی فعلیه خمسة و سبعون جلدة، و اذا اعتق ثلاثة ارباعه فسبعة و ثمانون و نصفاً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الحکم روایات عدیدة،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الحلبیّ</w:t>
      </w:r>
      <w:r>
        <w:rPr>
          <w:rStyle w:val="FootnoteAnchor"/>
          <w:rtl w:val="true"/>
        </w:rPr>
        <w:footnoteReference w:id="580"/>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المکاتب،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یجلد فی الحدّ بقدر ما اعتق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سماعة</w:t>
      </w:r>
      <w:r>
        <w:rPr>
          <w:rStyle w:val="FootnoteAnchor"/>
          <w:rtl w:val="true"/>
        </w:rPr>
        <w:footnoteReference w:id="5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صحیحة محمّد بن مسلم</w:t>
      </w:r>
      <w:r>
        <w:rPr>
          <w:rStyle w:val="FootnoteAnchor"/>
          <w:rtl w:val="true"/>
        </w:rPr>
        <w:footnoteReference w:id="582"/>
      </w:r>
      <w:r>
        <w:rPr>
          <w:rFonts w:ascii="IRNazanin" w:hAnsi="IRNazanin" w:eastAsia="IRNazanin"/>
          <w:color w:val="111111"/>
          <w:sz w:val="28"/>
          <w:sz w:val="28"/>
          <w:szCs w:val="28"/>
          <w:rtl w:val="true"/>
          <w:lang w:bidi="fa-IR"/>
        </w:rPr>
        <w:t xml:space="preserve">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یجلد المکاتب علی قدر ما اعتق منه، و ذکر انّه یجلد ببعض السّوط، و لا یجلد به کلّه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یوضح اجمالهما صحیحة محمّد بن قیس</w:t>
      </w:r>
      <w:r>
        <w:rPr>
          <w:rStyle w:val="FootnoteAnchor"/>
          <w:rtl w:val="true"/>
        </w:rPr>
        <w:footnoteReference w:id="583"/>
      </w:r>
      <w:r>
        <w:rPr>
          <w:rFonts w:ascii="IRNazanin" w:hAnsi="IRNazanin" w:eastAsia="IRNazanin"/>
          <w:color w:val="111111"/>
          <w:sz w:val="28"/>
          <w:sz w:val="28"/>
          <w:szCs w:val="28"/>
          <w:rtl w:val="true"/>
          <w:lang w:bidi="fa-IR"/>
        </w:rPr>
        <w:t xml:space="preserve">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مکاتبة زنت، قال ینظر ما ادّت من مکاتبتها، فیکون فیهما حدّ الحرّة، و مالم تقض فیکون فیه حدّ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مکاتبة زنت و قد اعتق منها ثلاثة ارباع و بقی الرّبع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جلدت ثلاثة ارباع الحدّ، حساب الحرّة علی مأة، فذلک خمس و سبعون جلدة، و ربعها حساب خمسین من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اثنی عشر سوطاً و نصف، فذلک سبعة و ثمانون جلدة و نصف، و ابی ان یرجمها، و ان ینفیها قبل ان یبیّن عتقها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اسناد الشّیخ عن احمد بن محمّد و نحوه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و فی السّند یوسف بن عقیل عن محمّد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بأسناد آخر</w:t>
      </w:r>
      <w:r>
        <w:rPr>
          <w:rStyle w:val="FootnoteAnchor"/>
          <w:rtl w:val="true"/>
        </w:rPr>
        <w:footnoteReference w:id="584"/>
      </w:r>
      <w:r>
        <w:rPr>
          <w:rFonts w:ascii="IRNazanin" w:hAnsi="IRNazanin" w:eastAsia="IRNazanin"/>
          <w:color w:val="111111"/>
          <w:sz w:val="28"/>
          <w:sz w:val="28"/>
          <w:szCs w:val="28"/>
          <w:rtl w:val="true"/>
          <w:lang w:bidi="fa-IR"/>
        </w:rPr>
        <w:t xml:space="preserve">لهما بطریق عاصم بن حمید عن محمّد بن قیس،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یؤخذ السّوط من نصفه فیضرب به، و کذلک الأقلّ و الأکثر، الاّ انّ الکلینیّ</w:t>
      </w:r>
      <w:r>
        <w:rPr>
          <w:rStyle w:val="FootnoteAnchor"/>
          <w:rtl w:val="true"/>
        </w:rPr>
        <w:footnoteReference w:id="585"/>
      </w:r>
      <w:r>
        <w:rPr>
          <w:rFonts w:ascii="IRNazanin" w:hAnsi="IRNazanin" w:eastAsia="IRNazanin"/>
          <w:color w:val="111111"/>
          <w:sz w:val="28"/>
          <w:sz w:val="28"/>
          <w:szCs w:val="28"/>
          <w:rtl w:val="true"/>
          <w:lang w:bidi="fa-IR"/>
        </w:rPr>
        <w:t>اسند الذّلیل الی یونس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رواه الصّدوق</w:t>
      </w:r>
      <w:r>
        <w:rPr>
          <w:rStyle w:val="FootnoteAnchor"/>
          <w:rtl w:val="true"/>
        </w:rPr>
        <w:footnoteReference w:id="5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عباد بن کثیر البصریّ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المکاتبین اذا فجرا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یضربان من الحدّ بقدر ما ادّیا من مکاتبتهما حدّ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یضربان الباقی حدّ المملوک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صحیحة عبدالله بن سنان</w:t>
      </w:r>
      <w:r>
        <w:rPr>
          <w:rStyle w:val="FootnoteAnchor"/>
          <w:rtl w:val="true"/>
        </w:rPr>
        <w:footnoteReference w:id="587"/>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المکاتب،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یجلد بقدر ما ادّی من مکاتبته حدّ الحرّ و ما بقی حدّ المملوک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ارشار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5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روت العامّة و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مکاتبة زنت علی عهد عثمان قد عتق منها ثلاثة ارباع، فسأل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یجلد منها بحساب الحرّیّة و یجلد منها بحساب الرّقّ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 زید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یجلد منها بحساب الرّقّ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یجلد بحساب الرّقّ و قد اعتق ثلاثة ارباعها؟ و هلاّ جلدتها بحساب الحرّیّة، فأنّها اکثر؟ فقال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ذلک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لوجب توریثها بحساب الحرّیّة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ذلک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فأفحم زید، و خالف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 حسنة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w:t>
      </w:r>
      <w:r>
        <w:rPr>
          <w:rStyle w:val="FootnoteAnchor"/>
          <w:rtl w:val="true"/>
        </w:rPr>
        <w:footnoteReference w:id="589"/>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عبد، بین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 احد هما نصیبه، ثمّ انّ العبد اتی حدّاً من حدود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حین اعتق نصفه، قوّم لیغرم الّذی اعتقه نصف قیمته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فنصفه حرّ، یضرب نصف حدّ الحرّ و یضرب نصف حدّ العبد، و ان لم یکن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عبد، یضرب حدّ العبد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فیه من التّفصیل راجع الی صحّة العتق و عدمه، فلا یضرّ بما نحن 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 ما ورد فی الرّوایات المتقدّمة الدّالّة علی نفی الرّجم عن المملوک و المملوکة، و انّه یضربان نصف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الأستنثناء و التّخصیص فی ادلّة رجم المحصن او جلد غیره، و لا ربط لها تقدّم من لزوم القتل فی موارده، کالزّنا بذات محرم، او مکرهاً، او زنا الکافر بالمسلمة، کما اشار الی ذلک فی کشف اللّثام عن النّهایة، و عللّه بعموم الأدلّة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تتمّة</w:t>
      </w:r>
    </w:p>
    <w:p>
      <w:pPr>
        <w:pStyle w:val="BookText"/>
        <w:rPr/>
      </w:pPr>
      <w:r>
        <w:rPr>
          <w:rFonts w:ascii="IRNazanin" w:hAnsi="IRNazanin" w:eastAsia="IRNazanin"/>
          <w:color w:val="111111"/>
          <w:sz w:val="28"/>
          <w:sz w:val="28"/>
          <w:szCs w:val="28"/>
          <w:rtl w:val="true"/>
          <w:lang w:bidi="fa-IR"/>
        </w:rPr>
        <w:t>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ملک بعض الأمة حدّ بنصیب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اذا وطئها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اعتقد الأباحة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ملک بعض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علیه،  و سقط الحدّ بأجمعه للشّبهة، و ما قابل ملکه خاصّة مع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الأوّل و علی سقوطه فی ما قابل ملکه فی الفرض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عبد الرّحمن بن الحجّاج</w:t>
      </w:r>
      <w:r>
        <w:rPr>
          <w:rStyle w:val="FootnoteAnchor"/>
          <w:rtl w:val="true"/>
        </w:rPr>
        <w:footnoteReference w:id="590"/>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عباد البصری یقول کان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یدرأ عنه من الحدّ بقدر حصّته منها، و یضرب ما سوی ذلک، یعنی فی الرّجل اذا وقع علی جاریة له فیها حصّة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معتبرة عبدالله بن سنان</w:t>
      </w:r>
      <w:r>
        <w:rPr>
          <w:rStyle w:val="FootnoteAnchor"/>
          <w:rtl w:val="true"/>
        </w:rPr>
        <w:footnoteReference w:id="59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قوم اشترکوا فی شراء جاریة، فائتمنوا بعضهم و جعلوا الجاریة عنده فوطأها؟ قال یجلد الحدّ و یدرأ عنه من الحدّ بقدر ماله فیها ـ الحدیث</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معتبرة عمرو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w:t>
      </w:r>
      <w:r>
        <w:rPr>
          <w:rStyle w:val="FootnoteAnchor"/>
          <w:rtl w:val="true"/>
        </w:rPr>
        <w:footnoteReference w:id="5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عدّة من اصحابه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رجل اصاب جاریة من الفیئ فوطأها قبل ان یقسّم؟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تقوّم الجاریة، و تدفع الیه بالقیمة و یحطّ له منها ما یصیبه من الفیئ، و یجلد الحدّ، و یدرأ عنه من الحدّ بقدر ما کان له فیها ـ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و روایة اسماعیل بن عبد الرّحمن الجعفیّ</w:t>
      </w:r>
      <w:r>
        <w:rPr>
          <w:rStyle w:val="FootnoteAnchor"/>
          <w:rtl w:val="true"/>
        </w:rPr>
        <w:footnoteReference w:id="593"/>
      </w:r>
      <w:r>
        <w:rPr>
          <w:rFonts w:ascii="IRNazanin" w:hAnsi="IRNazanin" w:eastAsia="IRNazanin"/>
          <w:color w:val="111111"/>
          <w:sz w:val="28"/>
          <w:sz w:val="28"/>
          <w:szCs w:val="28"/>
          <w:rtl w:val="true"/>
          <w:lang w:bidi="fa-IR"/>
        </w:rPr>
        <w:t xml:space="preserve">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جاریة بین رجلین، و طأها احد هما دون الأخر فأحبلها؟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نصف الحدّ، و یغرم نصف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قریب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w:t>
      </w:r>
      <w:r>
        <w:rPr>
          <w:rStyle w:val="FootnoteAnchor"/>
          <w:rtl w:val="true"/>
        </w:rPr>
        <w:footnoteReference w:id="594"/>
      </w:r>
      <w:r>
        <w:rPr>
          <w:rFonts w:ascii="IRNazanin" w:hAnsi="IRNazanin" w:eastAsia="IRNazanin"/>
          <w:color w:val="111111"/>
          <w:sz w:val="28"/>
          <w:sz w:val="28"/>
          <w:szCs w:val="28"/>
          <w:rtl w:val="true"/>
          <w:lang w:bidi="fa-IR"/>
        </w:rPr>
        <w:t xml:space="preserve">الأخری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یؤیّد الحکم الأوّل مرسلة الدّعائم عن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5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فی امة بین رجلین وطئها احدهما قال یضرب خمسین جلدة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p>
    <w:p>
      <w:pPr>
        <w:pStyle w:val="BookText"/>
        <w:rPr/>
      </w:pPr>
      <w:r>
        <w:rPr>
          <w:rFonts w:ascii="Amiri" w:hAnsi="Amiri" w:eastAsia="Amiri" w:cs="Amiri"/>
          <w:color w:val="111111"/>
          <w:sz w:val="28"/>
          <w:sz w:val="28"/>
          <w:szCs w:val="28"/>
          <w:rtl w:val="true"/>
          <w:lang w:bidi="ar-SA"/>
        </w:rPr>
        <w:t>لو ملک بعض المبعّضة فوطأها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بنصیب الحرّیّة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یدلّ علیه صحیحة ابی ولاّد</w:t>
      </w:r>
      <w:r>
        <w:rPr>
          <w:rStyle w:val="FootnoteAnchor"/>
          <w:rtl w:val="true"/>
        </w:rPr>
        <w:footnoteReference w:id="596"/>
      </w:r>
      <w:r>
        <w:rPr>
          <w:rFonts w:ascii="IRNazanin" w:hAnsi="IRNazanin" w:eastAsia="IRNazanin"/>
          <w:color w:val="111111"/>
          <w:sz w:val="28"/>
          <w:sz w:val="28"/>
          <w:szCs w:val="28"/>
          <w:rtl w:val="true"/>
          <w:lang w:bidi="fa-IR"/>
        </w:rPr>
        <w:t xml:space="preserve">الحنّاط قال سئل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جاریة بین رجلین اعتق احدهما نصیبه منها، فلمّا رأی ذلک شریکه و ثب علی الجاریة فوقع علیها؟ قال یجلد الّذی وقع علیها خمسین جلدة، و یطرح عنه خمسین جلدة ـ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معتبرة مالک</w:t>
      </w:r>
      <w:r>
        <w:rPr>
          <w:rStyle w:val="FootnoteAnchor"/>
          <w:rtl w:val="true"/>
        </w:rPr>
        <w:footnoteReference w:id="597"/>
      </w:r>
      <w:r>
        <w:rPr>
          <w:rFonts w:ascii="IRNazanin" w:hAnsi="IRNazanin" w:eastAsia="IRNazanin"/>
          <w:color w:val="111111"/>
          <w:sz w:val="28"/>
          <w:sz w:val="28"/>
          <w:szCs w:val="28"/>
          <w:rtl w:val="true"/>
          <w:lang w:bidi="fa-IR"/>
        </w:rPr>
        <w:t xml:space="preserve">بن اعین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امة بین رجلین اعتق احدهما نصیبه، فلمّا سمع ذلک عنه شریکه و ثب علی الأمة فاقتضّها من یومه؟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الّذی اقتضّها خمسین جلدة، و یطرح  عنه خمسون جلدة بحقّه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مارواه الحلبیّ</w:t>
      </w:r>
      <w:r>
        <w:rPr>
          <w:rStyle w:val="FootnoteAnchor"/>
          <w:rtl w:val="true"/>
        </w:rPr>
        <w:footnoteReference w:id="59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وقع علی مکاتبته؟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کانت ادّت الرّبع جلد، و ان کان محصناً رجم، و ان لم تکن ادّت شیئاً فلیس علیه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فیعارضه معتبرة الحسین بن خالد</w:t>
      </w:r>
      <w:r>
        <w:rPr>
          <w:rStyle w:val="FootnoteAnchor"/>
          <w:rtl w:val="true"/>
        </w:rPr>
        <w:footnoteReference w:id="599"/>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رجل کانت له امرأة کاتبها، فقالت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ادّیت من مکاتبتی فأنا به حرّة علی حساب ذلک، فقال لها نعم، فأذّت بعض مکاتبتها، و جامعها مولاها بعد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bookmarkStart w:id="214" w:name="pg3023_22558"/>
    </w:p>
    <w:p>
      <w:pPr>
        <w:pStyle w:val="Heading4"/>
        <w:numPr>
          <w:ilvl w:val="3"/>
          <w:numId w:val="1"/>
        </w:numPr>
        <w:rPr/>
      </w:pPr>
      <w:bookmarkStart w:id="215" w:name="__RefHeading___Toc656783_2749589250"/>
      <w:bookmarkStart w:id="216" w:name="_Toc78"/>
      <w:bookmarkEnd w:id="214"/>
      <w:bookmarkEnd w:id="215"/>
      <w:r>
        <w:rPr>
          <w:rtl w:val="true"/>
        </w:rPr>
        <w:t>الاحصان فی الرّجل البالغ العاقل بامور</w:t>
      </w:r>
      <w:bookmarkEnd w:id="216"/>
    </w:p>
    <w:p>
      <w:pPr>
        <w:pStyle w:val="Heading5"/>
        <w:numPr>
          <w:ilvl w:val="4"/>
          <w:numId w:val="1"/>
        </w:numPr>
        <w:rPr/>
      </w:pPr>
      <w:bookmarkStart w:id="217" w:name="__RefHeading___Toc656785_2749589250"/>
      <w:bookmarkStart w:id="218" w:name="_Toc79"/>
      <w:bookmarkEnd w:id="217"/>
      <w:r>
        <w:rPr>
          <w:rtl w:val="true"/>
        </w:rPr>
        <w:t>اشارة</w:t>
      </w:r>
      <w:bookmarkEnd w:id="218"/>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الأحصان فی الرّجل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کان استکرها علی ذلک ضرب من الحدّ بقدر ما ادّت له من مکاتبتها، و درئ عنه من الحدّ بقدر ما بقی له من مکاتبتها، و ان کانت تابعته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شریکته فی الحدّ، ضربت مثل ما یضرب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الجمع بالأطلاق و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الظّاهر، او المظنون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العمل بروایة الحلبیّ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الحدّ بقدر نصیب الحرّیّة؛ لو کان بقیّة النّصیب ملکه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یزاد علی ذلک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تکمیل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الأحصان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هذه الکلمة بمشتقّاتها لمعان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الأسلام، العفّة الحرّیّة، التّزویج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Style w:val="FootnoteAnchor"/>
          <w:rtl w:val="true"/>
        </w:rPr>
        <w:footnoteReference w:id="600"/>
      </w:r>
      <w:r>
        <w:rPr>
          <w:rFonts w:ascii="IRNazanin" w:hAnsi="IRNazanin" w:eastAsia="IRNazanin"/>
          <w:color w:val="111111"/>
          <w:sz w:val="28"/>
          <w:sz w:val="28"/>
          <w:szCs w:val="28"/>
          <w:rtl w:val="true"/>
          <w:lang w:bidi="fa-IR"/>
        </w:rPr>
        <w:t>و المحصنات من النّساء الاّ ما ملکت ایمانکم کتاب الله علیکم و احلّ لکم ماوراء ذلکم ان تبتغوا بأموالکم محصنین غیر مسافحین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Style w:val="FootnoteAnchor"/>
          <w:rtl w:val="true"/>
        </w:rPr>
        <w:footnoteReference w:id="601"/>
      </w:r>
      <w:r>
        <w:rPr>
          <w:rFonts w:ascii="IRNazanin" w:hAnsi="IRNazanin" w:eastAsia="IRNazanin"/>
          <w:color w:val="111111"/>
          <w:sz w:val="28"/>
          <w:sz w:val="28"/>
          <w:szCs w:val="28"/>
          <w:rtl w:val="true"/>
          <w:lang w:bidi="fa-IR"/>
        </w:rPr>
        <w:t>و من لم یستطع منکم طولاً ان ینکح المحصنات المؤمنات فمن ماملکت ایمانکم من فتیاتکم المؤمنات ـ الی قوله تعالی ـ فأذا احصنّ فأن اتین بفاحشة فعلیهنّ نصف ما علی المحصنات من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الحرائر کالذّیل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التّزویج، کقوله تعالی</w:t>
      </w:r>
      <w:r>
        <w:rPr>
          <w:rStyle w:val="FootnoteAnchor"/>
          <w:rtl w:val="true"/>
        </w:rPr>
        <w:footnoteReference w:id="602"/>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محصنات غیر مسافحات و لا متّخذات اخدان</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Style w:val="FootnoteAnchor"/>
          <w:rtl w:val="true"/>
        </w:rPr>
        <w:footnoteReference w:id="6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المحصنات من المؤمنات و المحصنات من الّذین اوتوا الکتاب من قبلکم ـ الی قوله تعالی ـ محصنین غیر مسافحین، و قوله تعالی</w:t>
      </w:r>
      <w:r>
        <w:rPr>
          <w:rStyle w:val="FootnoteAnchor"/>
          <w:rtl w:val="true"/>
        </w:rPr>
        <w:footnoteReference w:id="604"/>
      </w:r>
      <w:r>
        <w:rPr>
          <w:rFonts w:ascii="IRNazanin" w:hAnsi="IRNazanin" w:eastAsia="IRNazanin"/>
          <w:color w:val="111111"/>
          <w:sz w:val="28"/>
          <w:sz w:val="28"/>
          <w:szCs w:val="28"/>
          <w:rtl w:val="true"/>
          <w:lang w:bidi="fa-IR"/>
        </w:rPr>
        <w:t>انّ الّذین یرمون المحصنات الغافلات المؤمنات لعنوا فی الدّنیا و الأخرة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و لهم عذاب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الأحصان فی محلّ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الرّابع، او انسب به من غیره مشروطاً بأمور أخر، کما ستعرف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فاعتبر بعضهم کما فی المبسوط فی الأحصان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شرطاً واحداً، و هو الوطی فی نکاح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من عبد، او صبیّ، او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البلوغ و العقل و الحرّیّة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فأنّها من شرائط وجوب 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اعتبر فیه امرین، و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الخلاف</w:t>
      </w:r>
      <w:r>
        <w:rPr>
          <w:rStyle w:val="FootnoteAnchor"/>
          <w:rtl w:val="true"/>
        </w:rPr>
        <w:footnoteReference w:id="6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اعتبر اموراً ثلاثة، کابن ادریس فی السّرائر، و العلاّمة فی 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 السّبزواریّ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المهذّب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الزّکیة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جعلها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القواعد سبعة، و فی الرّوضة ثمانیة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الأختلاف فی بعضها لیس الاّ اختلافاً فی العدد، لا فی المعدود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لم یذکر البلوغ و العقل فی ما یعتبر فی الأحصان کالسّیّد الخوئیّ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هما فی اصل ثبوت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فاکتفائه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بالحرّیّة، و ان تکون له زوجة دائمة قد دخل بها، او امة کذلک، و التمکّن من وطئها متی شاء و اراد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خلافاً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الخلاف</w:t>
      </w:r>
      <w:r>
        <w:rPr>
          <w:rStyle w:val="FootnoteAnchor"/>
          <w:rtl w:val="true"/>
        </w:rPr>
        <w:footnoteReference w:id="6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الأحصان لا یثبت الّا بأن یکون للرّجل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یغدو الیه و یروح، متمکّناً من وطیه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کانت زوجته حرّة او امة، او ملک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لم یکن متمکّناً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محصناً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بأن یکون مسافراً عنها، او محبوساً، او لا یکون مخلیّ بینه و 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الحکم فیها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تزوّج الرّجل و دخل بها، ثمّ طلّقها و بانت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 الأحصان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الفقهاء</w:t>
      </w:r>
      <w:r>
        <w:rPr>
          <w:rStyle w:val="FootnoteAnchor"/>
          <w:rtl w:val="true"/>
        </w:rPr>
        <w:footnoteReference w:id="607"/>
      </w:r>
      <w:r>
        <w:rPr>
          <w:rFonts w:ascii="IRNazanin" w:hAnsi="IRNazanin" w:eastAsia="IRNazanin"/>
          <w:color w:val="111111"/>
          <w:sz w:val="28"/>
          <w:sz w:val="28"/>
          <w:szCs w:val="28"/>
          <w:rtl w:val="true"/>
          <w:lang w:bidi="fa-IR"/>
        </w:rPr>
        <w:t>کلّهم خلاف ذلک فی</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08"/>
      </w:r>
      <w:r>
        <w:rPr>
          <w:rFonts w:ascii="IRNazanin" w:hAnsi="IRNazanin" w:eastAsia="IRNazanin"/>
          <w:color w:val="111111"/>
          <w:sz w:val="28"/>
          <w:sz w:val="28"/>
          <w:szCs w:val="28"/>
          <w:rtl w:val="true"/>
          <w:lang w:bidi="fa-IR"/>
        </w:rPr>
        <w:t>الحرّة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انّة متی عقد علیها و دخل بها ثمّ طلقّها انّة یثبت الأحصان بینهما و ان فارقها بموت او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یراعوا الّتمکن من وطیها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الشّافعیّ اذا اصاب امة بنکاح صحیح، او العبد 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الأحصان للحرّدون المملوک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ابو حنیفة لا یثبت الأحصان لأحد 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وهکذا الصّغیر؛ اذا اصاب کبیرة بالنّکاح الصّحیح، او الکبیر الصّغیرة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الأحصان للکبیر عند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مالک و ابو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یثبت الأحصان لأحد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یحکی عن الشّافعیّ هذا فی القدیم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استدلّ علی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بأجماع الفرقة و اخبارهم، و اصل برائة الذّمّة،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الأحصان الّذی راعیناه مجمع علیه فی الحرّة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ادّعوه لیس علیه دلیل فوجب 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موضع أخر</w:t>
      </w:r>
      <w:r>
        <w:rPr>
          <w:rStyle w:val="FootnoteAnchor"/>
          <w:rtl w:val="true"/>
        </w:rPr>
        <w:footnoteReference w:id="6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الزّانیان کاملین، بأن یکونا حرّین بالغین عاقلین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احصنا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کانا ناقصین؛ بأن یفقد الشّرائط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یحصنا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احد هما کاملاً و الأخر ناقصاً فأن کان النّقص بالرّقّ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فالکامل قد احصن دون النّاقص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بالصّغر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یثبت فیهما الأحصان و به قال ابو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النّقص رقّاً لم یثبت الأحصان لأحد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صغراً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احصن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النّقص بالرّقّ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فالکامل قد احصن دون النّاقص بلا خلاف علی مذاهبهم، و ان کان النّقص بالصّغر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 محصن، و قال فی الأملاء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یثبت الأحصان لأحد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استدلّ علی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بأجماع الفرقة و اخبارهم، و اصل برائة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ثبوت الأحصان و ایجاب ارّجم علی ماقالوه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یحتاج الی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المبسوط</w:t>
      </w:r>
      <w:r>
        <w:rPr>
          <w:rStyle w:val="FootnoteAnchor"/>
          <w:rtl w:val="true"/>
        </w:rPr>
        <w:footnoteReference w:id="6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ممّا ذکره فی الخلاف کلا الموردین، مصیفاً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الوطی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السّرائر</w:t>
      </w:r>
      <w:r>
        <w:rPr>
          <w:rStyle w:val="FootnoteAnchor"/>
          <w:rtl w:val="true"/>
        </w:rPr>
        <w:footnoteReference w:id="6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کالمورد الأوّل فی المبسوط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الی البلوغ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العقل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فیعتبر فی رجم الزّانی المحصن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جعلناه شرطاً فی الأحصان، او للحدّ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الحکم اجماعیّ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زنی و کان و اطیاً لأمرأته لا رجم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فی شروط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یعزّر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اذا کان و اطیاً  لزوجته حال الصّغر مراهقاً، ثمّ زنی حتیّ اولج و غیّب الحشفة حال البلوغ بأمرأة اجنبیّة فلا یرجم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باشتراط الوطی بعد البلوغ لزوجته فی تحقّق الأحصان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فی القواعد و الشّهیدان فی اللّمعة و ارّوضة و کاشف اللّثام و صاحبا الجواهر و المهذّب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 فی الکشف و تبعه فی اکثره صاحب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بالأصل و الأستصحاب، و ضعف فعله عن أن یناط به الأحکام الشّرعیّة، و نقص اللّذّة، و بعده عمّا یسبق الی الذّهن من الدّخول و نحوه، و الأحتیاط فی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اکتفی فی المهذّب بالأجماع، و حدیث رفع القلم مضافاً الی الأصل و الأحتیاط فی الدّماء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یظهر من السّیّد الخوئیّ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تحقّق الأحصان و ترتّب الحدّ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لضعف الوجوه المذکورة سنداً للعدم، کما هو کذلک فی غیر الأنسباق، و هو ایضاً لا یخلو من اشکال؛ الاّ ان یستفاد ممّا ورد فی نفی ارّجم عمّن املک و لم یدخل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 جیّداً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ممّا یعتبر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رجم علی المجنون علی ما سبق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اشتراطه کاشتراط البلوغ فی اصل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اوجب اسقاطهما عن شروط الأحصان من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زنی عاقلاً ؛ ثمّ جنّ فلا یسقط عنه الرّجم، کغیره من اقسام حدّ الزّانی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فالعقل کالبلوغ یعتبر حال الزّنا و حال وطی زوجته؛ حتّی اذا کان وطیه لها حال الجنون ثمّ زنی عاقلاً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ذکرنا فی البلوغ</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صرّح بذلک العلاّمة فی القواعد و الشّهیدان فی اللّمعة و ارّوضة و کاشف اللّثام و صاحبا الجواهر و المهذّب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الأستدلال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کالأستدلال للأوّل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فی المهذّب استدلّ براوایة حمّادین عیسی 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عبّر عنها بالصّحیحة، و بعمومات رفع القلم، و دعوی الأجماع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 علی عدم تحقّق الأحصان؛ فیما لو </w:t>
      </w:r>
      <w:bookmarkStart w:id="219" w:name="pg3023_22564"/>
    </w:p>
    <w:p>
      <w:pPr>
        <w:pStyle w:val="Heading5"/>
        <w:numPr>
          <w:ilvl w:val="4"/>
          <w:numId w:val="1"/>
        </w:numPr>
        <w:rPr/>
      </w:pPr>
      <w:bookmarkStart w:id="220" w:name="__RefHeading___Toc656787_2749589250"/>
      <w:bookmarkStart w:id="221" w:name="_Toc80"/>
      <w:bookmarkEnd w:id="219"/>
      <w:bookmarkEnd w:id="220"/>
      <w:r>
        <w:rPr>
          <w:rtl w:val="true"/>
        </w:rPr>
        <w:t>الاوّل</w:t>
      </w:r>
      <w:r>
        <w:rPr>
          <w:rtl w:val="true"/>
        </w:rPr>
        <w:t xml:space="preserve">: </w:t>
      </w:r>
      <w:r>
        <w:rPr>
          <w:rtl w:val="true"/>
        </w:rPr>
        <w:t>الحرّیّة</w:t>
      </w:r>
      <w:bookmarkEnd w:id="221"/>
    </w:p>
    <w:p>
      <w:pPr>
        <w:pStyle w:val="BookText"/>
        <w:rPr/>
      </w:pPr>
      <w:r>
        <w:rPr>
          <w:rFonts w:ascii="Amiri" w:hAnsi="Amiri" w:eastAsia="Amiri" w:cs="Amiri"/>
          <w:color w:val="111111"/>
          <w:sz w:val="28"/>
          <w:sz w:val="28"/>
          <w:szCs w:val="28"/>
          <w:rtl w:val="true"/>
          <w:lang w:bidi="ar-SA"/>
        </w:rPr>
        <w:t xml:space="preserve">و الحرّیّة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یتحقّق بأمور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تزوّج حال صحّته و لم یدخل بها حتّی جنّ، فوطأها ثمّ زنی سالماً بالغاً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بقاعدة اقتضاء نفی الشّرط لانتفاء المشروط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 تری عدم ارتباط لهذه الأدلّة بمحلّ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تمّ ما ذکر سنداً للأمر الأوّل و تأتّی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فالمسئلة محلّ الأشکال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یتعرّض لاشتراط هذا الأمر، و لم ینف الرّجم علی موضوع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الأدلّة و انکان یساعدة؛ و لکنّ التّوقّف و الأحتیاط احسن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الحرّیّة اجماعاً فلا احصان للمملوک بالتّزویج، حتیّ بالحرّة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لیس للمملوکة احصان بتزویجها بالحرّ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زنی حال رقّیّته و لو کان و اطیاً لزوجته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رجم علیه، بل یضرب نصف الحدّ، علی ما سبق الکلام فی القسم الخامس من اقسام الحدّ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p>
    <w:p>
      <w:pPr>
        <w:pStyle w:val="BookText"/>
        <w:rPr/>
      </w:pPr>
      <w:r>
        <w:rPr>
          <w:rFonts w:ascii="IRNazanin" w:hAnsi="IRNazanin" w:eastAsia="IRNazanin"/>
          <w:color w:val="111111"/>
          <w:sz w:val="28"/>
          <w:sz w:val="28"/>
          <w:szCs w:val="28"/>
          <w:rtl w:val="true"/>
          <w:lang w:bidi="fa-IR"/>
        </w:rPr>
        <w:t>لو زنی بعد العتق و لم یکن و اطئاً لزوجته اصلاً؛ او بعد ما اعتق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علیه صحیحة ابی بصیر</w:t>
      </w:r>
      <w:r>
        <w:rPr>
          <w:rStyle w:val="FootnoteAnchor"/>
          <w:rtl w:val="true"/>
        </w:rPr>
        <w:footnoteReference w:id="613"/>
      </w:r>
      <w:r>
        <w:rPr>
          <w:rFonts w:ascii="IRNazanin" w:hAnsi="IRNazanin" w:eastAsia="IRNazanin"/>
          <w:color w:val="111111"/>
          <w:sz w:val="28"/>
          <w:sz w:val="28"/>
          <w:szCs w:val="28"/>
          <w:rtl w:val="true"/>
          <w:lang w:bidi="fa-IR"/>
        </w:rPr>
        <w:t xml:space="preserve">المرادیّ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العبد یتزوّج الحرّة، ثمّ یعتق فیصیب فاحشة؟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لا رجم علیه حتّی یواقع الحرّة بعد ما یعتق،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فللحرّة خیار علیه اذا اعتق؟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قد رضیت به و هو مملوک، فهو علی نکاحه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ما فی المقنع</w:t>
      </w:r>
      <w:r>
        <w:rPr>
          <w:rStyle w:val="FootnoteAnchor"/>
          <w:rtl w:val="true"/>
        </w:rPr>
        <w:footnoteReference w:id="6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کانت تحت عبد حرّة فأعتق ثمّ زنی؛ فأنکان قد غشیها بعد ما اعتق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رجم، و ان لم یکن غشیها بعد ما اعتق ضرب الحدّ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الأمر فی المملوکة، اذا اعتقت و کانت موطوئة لزوجها حال العتق کذلک</w:t>
      </w:r>
      <w:r>
        <w:rPr>
          <w:rFonts w:eastAsia="IRNazanin" w:cs="IRNazanin"/>
          <w:color w:val="111111"/>
          <w:sz w:val="28"/>
          <w:szCs w:val="28"/>
          <w:rtl w:val="true"/>
          <w:lang w:bidi="fa-IR"/>
        </w:rPr>
        <w:t>.</w:t>
      </w:r>
      <w:bookmarkStart w:id="222" w:name="pg3023_22565"/>
    </w:p>
    <w:p>
      <w:pPr>
        <w:pStyle w:val="Heading5"/>
        <w:numPr>
          <w:ilvl w:val="4"/>
          <w:numId w:val="1"/>
        </w:numPr>
        <w:rPr/>
      </w:pPr>
      <w:bookmarkStart w:id="223" w:name="__RefHeading___Toc656789_2749589250"/>
      <w:bookmarkStart w:id="224" w:name="_Toc81"/>
      <w:bookmarkEnd w:id="222"/>
      <w:bookmarkEnd w:id="223"/>
      <w:r>
        <w:rPr>
          <w:rtl w:val="true"/>
        </w:rPr>
        <w:t>الثّانی</w:t>
      </w:r>
      <w:r>
        <w:rPr>
          <w:rtl w:val="true"/>
        </w:rPr>
        <w:t xml:space="preserve">: </w:t>
      </w:r>
      <w:r>
        <w:rPr>
          <w:rtl w:val="true"/>
        </w:rPr>
        <w:t>ان یکون له زوجة دائمة او امة</w:t>
      </w:r>
      <w:bookmarkEnd w:id="224"/>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له زوجة دائمة او امة</w:t>
      </w:r>
      <w:r>
        <w:rPr>
          <w:rFonts w:eastAsia="IRNazanin" w:cs="IRNazanin"/>
          <w:color w:val="111111"/>
          <w:sz w:val="28"/>
          <w:szCs w:val="28"/>
          <w:rtl w:val="true"/>
          <w:lang w:bidi="fa-IR"/>
        </w:rPr>
        <w:t>.</w:t>
      </w:r>
    </w:p>
    <w:p>
      <w:pPr>
        <w:pStyle w:val="Heading5"/>
        <w:numPr>
          <w:ilvl w:val="4"/>
          <w:numId w:val="1"/>
        </w:numPr>
        <w:rPr/>
      </w:pPr>
      <w:bookmarkStart w:id="225" w:name="__RefHeading___Toc656791_2749589250"/>
      <w:bookmarkStart w:id="226" w:name="_Toc82"/>
      <w:bookmarkEnd w:id="225"/>
      <w:r>
        <w:rPr>
          <w:rtl w:val="true"/>
        </w:rPr>
        <w:t>الثّالث</w:t>
      </w:r>
      <w:r>
        <w:rPr>
          <w:rtl w:val="true"/>
        </w:rPr>
        <w:t xml:space="preserve">: </w:t>
      </w:r>
      <w:r>
        <w:rPr>
          <w:rtl w:val="true"/>
        </w:rPr>
        <w:t>الدّخول بها بالغاً عاقلاً</w:t>
      </w:r>
      <w:bookmarkEnd w:id="226"/>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الدّخول بها بالغاً عاقلاً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الوطی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صریح المبسوط</w:t>
      </w:r>
      <w:r>
        <w:rPr>
          <w:rStyle w:val="FootnoteAnchor"/>
          <w:rtl w:val="true"/>
        </w:rPr>
        <w:footnoteReference w:id="615"/>
      </w:r>
      <w:r>
        <w:rPr>
          <w:rFonts w:ascii="Amiri" w:hAnsi="Amiri" w:eastAsia="Amiri" w:cs="Amiri"/>
          <w:color w:val="111111"/>
          <w:sz w:val="28"/>
          <w:sz w:val="28"/>
          <w:szCs w:val="28"/>
          <w:rtl w:val="true"/>
          <w:lang w:bidi="ar-SA"/>
        </w:rPr>
        <w:t>و السّرائر</w:t>
      </w:r>
      <w:r>
        <w:rPr>
          <w:rStyle w:val="FootnoteAnchor"/>
          <w:rtl w:val="true"/>
        </w:rPr>
        <w:footnoteReference w:id="616"/>
      </w:r>
      <w:r>
        <w:rPr>
          <w:rFonts w:ascii="IRNazanin" w:hAnsi="IRNazanin" w:eastAsia="IRNazanin"/>
          <w:color w:val="111111"/>
          <w:sz w:val="28"/>
          <w:sz w:val="28"/>
          <w:szCs w:val="28"/>
          <w:rtl w:val="true"/>
          <w:lang w:bidi="fa-IR"/>
        </w:rPr>
        <w:t xml:space="preserve">و القواعد و اللّمعة و الشّرایع و الجواهر و المبانی و المهذّب للسّبرزواری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محکّی النّهایة و الجامع و الأصباح و الغنیة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زنی من عنده زوجة و لو دواماً لم یدخل بها فلا یرجم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علیه غیر واحد من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صحیحة رفاعة بن موسی</w:t>
      </w:r>
      <w:r>
        <w:rPr>
          <w:rStyle w:val="FootnoteAnchor"/>
          <w:rtl w:val="true"/>
        </w:rPr>
        <w:footnoteReference w:id="6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یزنی قبل أن یدخل بأهله أیرجم؟ قال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صحیحة عمر بن یزید</w:t>
      </w:r>
      <w:r>
        <w:rPr>
          <w:rStyle w:val="FootnoteAnchor"/>
          <w:rtl w:val="true"/>
        </w:rPr>
        <w:footnoteReference w:id="618"/>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یرجم الغایب عن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المملک الذی لم یبن باهله و لا صاحب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یدلّ علیه ما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صحیحتی حنّان</w:t>
      </w:r>
      <w:r>
        <w:rPr>
          <w:rStyle w:val="FootnoteAnchor"/>
          <w:rtl w:val="true"/>
        </w:rPr>
        <w:footnoteReference w:id="619"/>
      </w:r>
      <w:r>
        <w:rPr>
          <w:rFonts w:ascii="IRNazanin" w:hAnsi="IRNazanin" w:eastAsia="IRNazanin"/>
          <w:color w:val="111111"/>
          <w:sz w:val="28"/>
          <w:sz w:val="28"/>
          <w:szCs w:val="28"/>
          <w:rtl w:val="true"/>
          <w:lang w:bidi="fa-IR"/>
        </w:rPr>
        <w:t>و علیّ بن جعفر</w:t>
      </w:r>
      <w:r>
        <w:rPr>
          <w:rStyle w:val="FootnoteAnchor"/>
          <w:rtl w:val="true"/>
        </w:rPr>
        <w:footnoteReference w:id="6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الجزّ و الحلق فی البکر، و الّذی تزوّج امرأة و لم یدخل بها فزنی و فجر قبل ان یدخل بأهله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صحیحة محمّد بن مسلم</w:t>
      </w:r>
      <w:r>
        <w:rPr>
          <w:rStyle w:val="FootnoteAnchor"/>
          <w:rtl w:val="true"/>
        </w:rPr>
        <w:footnoteReference w:id="6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سألت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یزنی و لم یدخل بأهله ایحصن؟ قال لا، و لا بالأمة</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عاصم بن حمید</w:t>
      </w:r>
      <w:r>
        <w:rPr>
          <w:rStyle w:val="FootnoteAnchor"/>
          <w:rtl w:val="true"/>
        </w:rPr>
        <w:footnoteReference w:id="622"/>
      </w:r>
      <w:r>
        <w:rPr>
          <w:rFonts w:ascii="IRNazanin" w:hAnsi="IRNazanin" w:eastAsia="IRNazanin"/>
          <w:color w:val="111111"/>
          <w:sz w:val="28"/>
          <w:sz w:val="28"/>
          <w:szCs w:val="28"/>
          <w:rtl w:val="true"/>
          <w:lang w:bidi="fa-IR"/>
        </w:rPr>
        <w:t>عن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فی القسم الرّابع من حدّ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حکم المقام کموثّقة زرارة</w:t>
      </w:r>
      <w:r>
        <w:rPr>
          <w:rStyle w:val="FootnoteAnchor"/>
          <w:rtl w:val="true"/>
        </w:rPr>
        <w:footnoteReference w:id="623"/>
      </w:r>
      <w:r>
        <w:rPr>
          <w:rFonts w:ascii="IRNazanin" w:hAnsi="IRNazanin" w:eastAsia="IRNazanin"/>
          <w:color w:val="111111"/>
          <w:sz w:val="28"/>
          <w:sz w:val="28"/>
          <w:szCs w:val="28"/>
          <w:rtl w:val="true"/>
          <w:lang w:bidi="fa-IR"/>
        </w:rPr>
        <w:t>و صحیحة الحلبیّ</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و مرسلة زرارة</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و مسنده، و صحیحة محمّد بن قیس</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و ذیل روایة</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عبد الرّحمن و معتبرة السّکونیّ</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و ما عن نوادر احمد بن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محمّد بن عیسی</w:t>
      </w:r>
      <w:r>
        <w:rPr>
          <w:rStyle w:val="FootnoteAnchor"/>
          <w:rtl w:val="true"/>
        </w:rPr>
        <w:footnoteReference w:id="624"/>
      </w:r>
      <w:r>
        <w:rPr>
          <w:rFonts w:ascii="IRNazanin" w:hAnsi="IRNazanin" w:eastAsia="IRNazanin"/>
          <w:color w:val="111111"/>
          <w:sz w:val="28"/>
          <w:sz w:val="28"/>
          <w:szCs w:val="28"/>
          <w:rtl w:val="true"/>
          <w:lang w:bidi="fa-IR"/>
        </w:rPr>
        <w:t>و روایة قرب الأسناد</w:t>
      </w:r>
      <w:r>
        <w:rPr>
          <w:rStyle w:val="FootnoteAnchor"/>
          <w:rtl w:val="true"/>
        </w:rPr>
        <w:footnoteReference w:id="625"/>
      </w:r>
      <w:r>
        <w:rPr>
          <w:rFonts w:ascii="IRNazanin" w:hAnsi="IRNazanin" w:eastAsia="IRNazanin"/>
          <w:color w:val="111111"/>
          <w:sz w:val="28"/>
          <w:sz w:val="28"/>
          <w:szCs w:val="28"/>
          <w:rtl w:val="true"/>
          <w:lang w:bidi="fa-IR"/>
        </w:rPr>
        <w:t>و مرسلتی الدّعائم</w:t>
      </w:r>
      <w:r>
        <w:rPr>
          <w:rStyle w:val="FootnoteAnchor"/>
          <w:rtl w:val="true"/>
        </w:rPr>
        <w:footnoteReference w:id="626"/>
      </w:r>
      <w:r>
        <w:rPr>
          <w:rStyle w:val="FootnoteAnchor"/>
          <w:rtl w:val="true"/>
        </w:rPr>
        <w:footnoteReference w:id="627"/>
      </w:r>
      <w:r>
        <w:rPr>
          <w:rFonts w:ascii="IRNazanin" w:hAnsi="IRNazanin" w:eastAsia="IRNazanin"/>
          <w:color w:val="111111"/>
          <w:sz w:val="28"/>
          <w:sz w:val="28"/>
          <w:szCs w:val="28"/>
          <w:rtl w:val="true"/>
          <w:lang w:bidi="fa-IR"/>
        </w:rPr>
        <w:t>مضافاً الی مرسلة الصّدوق</w:t>
      </w:r>
      <w:r>
        <w:rPr>
          <w:rStyle w:val="FootnoteAnchor"/>
          <w:rtl w:val="true"/>
        </w:rPr>
        <w:footnoteReference w:id="628"/>
      </w:r>
      <w:r>
        <w:rPr>
          <w:rFonts w:ascii="IRNazanin" w:hAnsi="IRNazanin" w:eastAsia="IRNazanin"/>
          <w:color w:val="111111"/>
          <w:sz w:val="28"/>
          <w:sz w:val="28"/>
          <w:szCs w:val="28"/>
          <w:rtl w:val="true"/>
          <w:lang w:bidi="fa-IR"/>
        </w:rPr>
        <w:t>فی 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 الّذی قد املک و لم یدخل بها یجلد و ینفی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Style w:val="FootnoteAnchor"/>
          <w:rtl w:val="true"/>
        </w:rPr>
        <w:footnoteReference w:id="629"/>
      </w:r>
      <w:r>
        <w:rPr>
          <w:rFonts w:ascii="IRNazanin" w:hAnsi="IRNazanin" w:eastAsia="IRNazanin"/>
          <w:color w:val="111111"/>
          <w:sz w:val="28"/>
          <w:sz w:val="28"/>
          <w:szCs w:val="28"/>
          <w:rtl w:val="true"/>
          <w:lang w:bidi="fa-IR"/>
        </w:rPr>
        <w:t xml:space="preserve">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البکر  البکرة اذا زنیا جلدا مأة ثمّ ینفیان سنة الی غیر مصر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اکمال</w:t>
      </w:r>
    </w:p>
    <w:p>
      <w:pPr>
        <w:pStyle w:val="BookText"/>
        <w:rPr/>
      </w:pPr>
      <w:r>
        <w:rPr>
          <w:rFonts w:ascii="IRNazanin" w:hAnsi="IRNazanin" w:eastAsia="IRNazanin"/>
          <w:color w:val="111111"/>
          <w:sz w:val="28"/>
          <w:sz w:val="28"/>
          <w:szCs w:val="28"/>
          <w:rtl w:val="true"/>
          <w:lang w:bidi="fa-IR"/>
        </w:rPr>
        <w:t>هل المعتبر فی  الدّخول هو القبل ام یکفی و لو بالدّبر؟ صریح القواعد کصریح الرّوضة و ظاهر شارحیه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و طی القبل، فلا یکفی الوطی فی الدّبر، کما لا تفید الخلوة التّامّة او الجماع بطن الفخذین، او فی القبل بأقلّ من غیبوبة الحشفة، او قدرها من مقطوعها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ظاهر السّرائر بل و المبسوط و ظاهر التّبصرة و المبانی و المهذّب للسّبزواریّ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کغیر واحد من الرّوایات؛ لتعبیرها بالدّخول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العموم لوطی الدّبر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فی الجواهر الی التّفصیل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وطیء فی الدّبر متمکّنا من القبل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فیجتزی به، کما فی کلّ مقام اعتبر ادّخول فیه؛ و بین ما اذا لم یتمکّن الاّ منه فقط، فلا ینساق من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وان کان قریباً لکن لا یخلو من اشکال، فلا یبعد الأطلاق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 مرسلة الدّعائم</w:t>
      </w:r>
      <w:r>
        <w:rPr>
          <w:rStyle w:val="FootnoteAnchor"/>
          <w:rtl w:val="true"/>
        </w:rPr>
        <w:footnoteReference w:id="630"/>
      </w:r>
      <w:r>
        <w:rPr>
          <w:rFonts w:ascii="IRNazanin" w:hAnsi="IRNazanin" w:eastAsia="IRNazanin"/>
          <w:color w:val="111111"/>
          <w:sz w:val="28"/>
          <w:sz w:val="28"/>
          <w:szCs w:val="28"/>
          <w:rtl w:val="true"/>
          <w:lang w:bidi="fa-IR"/>
        </w:rPr>
        <w:t xml:space="preserve">عن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 أتی برجل قد اقرّ علی نفسه بالزّنا،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احصنت؟ 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اذاً ترجم، فرفعه الی السّجن، فلمّا کان من العشیّ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النّاس لیرجمه، فقال رجل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المؤمنین انّه تزوّج و لم یدخل بها بعد، ففرح بذلک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ضربه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یقع الأحصان و لا یجب الرّجم الاّ بعد التّزویج الصّحیح و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فرق فیه بین کونه حلالاً او حراماً کحال الحیض و الأحرام و الصّوم و الأعتکاف</w:t>
      </w:r>
      <w:bookmarkStart w:id="227" w:name="pg3023_22567"/>
    </w:p>
    <w:p>
      <w:pPr>
        <w:pStyle w:val="Heading5"/>
        <w:numPr>
          <w:ilvl w:val="4"/>
          <w:numId w:val="1"/>
        </w:numPr>
        <w:rPr/>
      </w:pPr>
      <w:bookmarkStart w:id="228" w:name="__RefHeading___Toc656793_2749589250"/>
      <w:bookmarkStart w:id="229" w:name="_Toc83"/>
      <w:bookmarkEnd w:id="227"/>
      <w:bookmarkEnd w:id="228"/>
      <w:r>
        <w:rPr>
          <w:rtl w:val="true"/>
        </w:rPr>
        <w:t>الرّابع</w:t>
      </w:r>
      <w:r>
        <w:rPr>
          <w:rtl w:val="true"/>
        </w:rPr>
        <w:t xml:space="preserve">: </w:t>
      </w:r>
      <w:r>
        <w:rPr>
          <w:rtl w:val="true"/>
        </w:rPr>
        <w:t>الوطی فی فرج مملوک له بالعقد الدّائم او ملک الیمین</w:t>
      </w:r>
      <w:bookmarkEnd w:id="229"/>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یتحقّق الأحصان بوطی الشّبهة و لا بامتعة و ان کان وطئها و متی ما اراد یمکن وطیها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کما لا فرق بین ما اذا انزل ام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خصیّاً و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محصناً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یتحقّق بمساحقة المجبوب کما هو واضح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الوطی فی فرج مملوک له بالعقد الدّائم او ملک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احصان بوطی الشّبهة و الزّنا اتّفاقاً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المتعة ففی الأنتصار</w:t>
      </w:r>
      <w:r>
        <w:rPr>
          <w:rStyle w:val="FootnoteAnchor"/>
          <w:rtl w:val="true"/>
        </w:rPr>
        <w:footnoteReference w:id="6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المتعة عندنا لا یحصن علی اصحّ الأقول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غیر دائم، و معلّق بأوقات محدودات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اشترط فی السّرائر</w:t>
      </w:r>
      <w:r>
        <w:rPr>
          <w:rStyle w:val="FootnoteAnchor"/>
          <w:rtl w:val="true"/>
        </w:rPr>
        <w:footnoteReference w:id="6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الزّوجة بعقد دوام فی الأحصان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صریح القواعد و اللّمعة و الرّوضة و التّبصرة و المبانی و 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اعترف فی الجواهر بعدم تحقّقه الخلاف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فی اشتراط الدّوام و عدم کفایة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فظاهر بعض الرّوایات و انکان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ذا فرج الخ، و هو یشمل المتعة؛ و لکن قیّد هذا الأطلاق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دلّ اعتبار الدّوام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اسماعیل بن جابر</w:t>
      </w:r>
      <w:r>
        <w:rPr>
          <w:rStyle w:val="FootnoteAnchor"/>
          <w:rtl w:val="true"/>
        </w:rPr>
        <w:footnoteReference w:id="633"/>
      </w:r>
      <w:r>
        <w:rPr>
          <w:rFonts w:ascii="IRNazanin" w:hAnsi="IRNazanin" w:eastAsia="IRNazanin"/>
          <w:color w:val="111111"/>
          <w:sz w:val="28"/>
          <w:sz w:val="28"/>
          <w:szCs w:val="28"/>
          <w:rtl w:val="true"/>
          <w:lang w:bidi="fa-IR"/>
        </w:rPr>
        <w:t xml:space="preserve">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ما المحصن رحمک الله؟ قال من کان له فرج یغدو علیه و یروح فهو محصن</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6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و صحیحة حریز</w:t>
      </w:r>
      <w:r>
        <w:rPr>
          <w:rStyle w:val="FootnoteAnchor"/>
          <w:rtl w:val="true"/>
        </w:rPr>
        <w:footnoteReference w:id="635"/>
      </w:r>
      <w:r>
        <w:rPr>
          <w:rFonts w:ascii="IRNazanin" w:hAnsi="IRNazanin" w:eastAsia="IRNazanin"/>
          <w:color w:val="111111"/>
          <w:sz w:val="28"/>
          <w:sz w:val="28"/>
          <w:szCs w:val="28"/>
          <w:rtl w:val="true"/>
          <w:lang w:bidi="fa-IR"/>
        </w:rPr>
        <w:t xml:space="preserve">قال سألت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المحصن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یزنی و عنده ما یغنیه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ان یکون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ابی بصیر</w:t>
      </w:r>
      <w:r>
        <w:rPr>
          <w:rStyle w:val="FootnoteAnchor"/>
          <w:rtl w:val="true"/>
        </w:rPr>
        <w:footnoteReference w:id="63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 یکون محصناً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عنده امرأة یغلق علیها 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او صحیحة اسحاق بن عمّار</w:t>
      </w:r>
      <w:r>
        <w:rPr>
          <w:rStyle w:val="FootnoteAnchor"/>
          <w:rtl w:val="true"/>
        </w:rPr>
        <w:footnoteReference w:id="6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سألت ابا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اذا هو زنی و عنده السّریّة و الأمة یطأها تحصنه الأمة و تکون عنده؟ فقال نعم انّما ذلک لأنّ عنده ما یغنیه عن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کان عنده امة زعم انّه لا یطأها؟ فقال لا یصدّق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کانت عنده امرأة متعة اتحصنه؟ فقال لا، انّما هو علی الشّیئ الدّائم عنده، و موثّقته او صحیحته</w:t>
      </w:r>
      <w:r>
        <w:rPr>
          <w:rStyle w:val="FootnoteAnchor"/>
          <w:rtl w:val="true"/>
        </w:rPr>
        <w:footnoteReference w:id="638"/>
      </w:r>
      <w:r>
        <w:rPr>
          <w:rFonts w:ascii="IRNazanin" w:hAnsi="IRNazanin" w:eastAsia="IRNazanin"/>
          <w:color w:val="111111"/>
          <w:sz w:val="28"/>
          <w:sz w:val="28"/>
          <w:szCs w:val="28"/>
          <w:rtl w:val="true"/>
          <w:lang w:bidi="fa-IR"/>
        </w:rPr>
        <w:t>الثّانیة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الرّجل تکون له الجاریة اتحصنه؟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نعم، انّما هو علی وجه الأستغناء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 المرأة المتعة؟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لا، انّما ذلک علی الشّیئ الدّائم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فأن زعم انّه لم یکن یطأها؟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لا یصدّق، و انّما اوجب ذلک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یملکها</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مرسلة هشام</w:t>
      </w:r>
      <w:r>
        <w:rPr>
          <w:rStyle w:val="FootnoteAnchor"/>
          <w:rtl w:val="true"/>
        </w:rPr>
        <w:footnoteReference w:id="639"/>
      </w:r>
      <w:r>
        <w:rPr>
          <w:rFonts w:ascii="IRNazanin" w:hAnsi="IRNazanin" w:eastAsia="IRNazanin"/>
          <w:color w:val="111111"/>
          <w:sz w:val="28"/>
          <w:sz w:val="28"/>
          <w:szCs w:val="28"/>
          <w:rtl w:val="true"/>
          <w:lang w:bidi="fa-IR"/>
        </w:rPr>
        <w:t>و حفص البختری عمّن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یتزوّج المتعة اتحصنه؟ قال لا، انّما ذلک علی الشّیئ الدّائم عنده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و روایة عمر بن یزید</w:t>
      </w:r>
      <w:r>
        <w:rPr>
          <w:rStyle w:val="FootnoteAnchor"/>
          <w:rtl w:val="true"/>
        </w:rPr>
        <w:footnoteReference w:id="6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المتقدّمة فی الرّابع صفحة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مرسلة الدّعائم</w:t>
      </w:r>
      <w:r>
        <w:rPr>
          <w:rStyle w:val="FootnoteAnchor"/>
          <w:rtl w:val="true"/>
        </w:rPr>
        <w:footnoteReference w:id="641"/>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یکون الأحصان بنکاح 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فیجمع بطن الطّائفتین بحمل المطبق علی المقیّد، و یکون التّزویج المعتبر فی الأحصان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الدّائم، و لا عبرة بالمنقطع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لا فرق علی الظّاهر فی عدم کفایة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مدّتها قصیرة، کأیّام او شهر مثلاً او طویلة، کسنة او سنین وازید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ربما یتوهّم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الشّیئ الدّائم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اندراج هذا القسم فیه، او انصراف المتعة الی ما هو المتعارف بین الناّس من القسم الأوّل، ای قصیر المدّة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توهّم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الأندراج ممنوع، و المتعارف لا یوجب الأنصراف الی ماهو المتعارف من افراد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یرجع بیان الأمام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للأحکام علی طریق القضایا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خلاف الظّاهر، لا یصار الیه بلا دلیل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اشارة</w:t>
      </w:r>
    </w:p>
    <w:p>
      <w:pPr>
        <w:pStyle w:val="BookText"/>
        <w:rPr/>
      </w:pPr>
      <w:r>
        <w:rPr>
          <w:rFonts w:ascii="IRNazanin" w:hAnsi="IRNazanin" w:eastAsia="IRNazanin"/>
          <w:color w:val="111111"/>
          <w:sz w:val="28"/>
          <w:sz w:val="28"/>
          <w:szCs w:val="28"/>
          <w:rtl w:val="true"/>
          <w:lang w:bidi="fa-IR"/>
        </w:rPr>
        <w:t>قد عرفت من الأخبار المتقدّمة تمامّیتها بالنّسبة الی کفایة و اعتبار التّزویج الدّائم فی الأحصان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غیر واحد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الأحصان بوطی الأمة کما هو المشهور</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علیه مضافاً الی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صحیحة اسماعیل بن جابر</w:t>
      </w:r>
      <w:r>
        <w:rPr>
          <w:rStyle w:val="FootnoteAnchor"/>
          <w:rtl w:val="true"/>
        </w:rPr>
        <w:footnoteReference w:id="6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له فرج یغدو علیه و یروح فهو محصن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و صحیحة علیّ بن جعفر</w:t>
      </w:r>
      <w:r>
        <w:rPr>
          <w:rStyle w:val="FootnoteAnchor"/>
          <w:rtl w:val="true"/>
        </w:rPr>
        <w:footnoteReference w:id="643"/>
      </w:r>
      <w:r>
        <w:rPr>
          <w:rFonts w:ascii="IRNazanin" w:hAnsi="IRNazanin" w:eastAsia="IRNazanin"/>
          <w:color w:val="111111"/>
          <w:sz w:val="28"/>
          <w:sz w:val="28"/>
          <w:szCs w:val="28"/>
          <w:rtl w:val="true"/>
          <w:lang w:bidi="fa-IR"/>
        </w:rPr>
        <w:t xml:space="preserve">عن اخیه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سئلته عن الحرّ تحته المملوکة، هل علیه الرّجم اذا زنی؟ 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للمحکیّ عن القدیمین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ابنا الجنید و ابی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الصّدوق و الدّیلمیّ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لهم روایات عدّة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محمّد بن مسلم</w:t>
      </w:r>
      <w:r>
        <w:rPr>
          <w:rStyle w:val="FootnoteAnchor"/>
          <w:rtl w:val="true"/>
        </w:rPr>
        <w:footnoteReference w:id="644"/>
      </w:r>
      <w:r>
        <w:rPr>
          <w:rFonts w:ascii="IRNazanin" w:hAnsi="IRNazanin" w:eastAsia="IRNazanin"/>
          <w:color w:val="111111"/>
          <w:sz w:val="28"/>
          <w:sz w:val="28"/>
          <w:szCs w:val="28"/>
          <w:rtl w:val="true"/>
          <w:lang w:bidi="fa-IR"/>
        </w:rPr>
        <w:t xml:space="preserve">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الّذی یأتی و لیدة امرأته بغیر اذنها علیه مثل ما علی الزّانی، یجلد مأة جلدة،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یرجم ان زنی بیهودیّة او نصرانیّة او 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فجر بالمرأة حرّة و له امرأة 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علیه 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لا تحصنه الأمة و الیهودیّة و النّصرانیّة ان زنی بحرّة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لا یکون علیه حدّ المحصن ان زنی بیهودیّة او نصرانیّة او امة و تحته 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صحیحة الحلبیّ</w:t>
      </w:r>
      <w:r>
        <w:rPr>
          <w:rStyle w:val="FootnoteAnchor"/>
          <w:rtl w:val="true"/>
        </w:rPr>
        <w:footnoteReference w:id="64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یحصن الحرّ المملوکة و لا المملوک الحرّة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قرائة الحرّ بالنّصب و کذلک فی الحرّة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صحیحته الثّانیة</w:t>
      </w:r>
      <w:r>
        <w:rPr>
          <w:rStyle w:val="FootnoteAnchor"/>
          <w:rtl w:val="true"/>
        </w:rPr>
        <w:footnoteReference w:id="64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الحرّ ایحصن المملوکة؟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یحصن الحرّ المملوکة، و لا یحصن المملوکة الحرّ، و الیهودیّ یحصن النّصرانیّة و النّصرانیّ یحصن الیهودیّة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صحیحة ثانیة لمحمّد بن مسلم</w:t>
      </w:r>
      <w:r>
        <w:rPr>
          <w:rStyle w:val="FootnoteAnchor"/>
          <w:rtl w:val="true"/>
        </w:rPr>
        <w:footnoteReference w:id="647"/>
      </w:r>
      <w:r>
        <w:rPr>
          <w:rFonts w:ascii="IRNazanin" w:hAnsi="IRNazanin" w:eastAsia="IRNazanin"/>
          <w:color w:val="111111"/>
          <w:sz w:val="28"/>
          <w:sz w:val="28"/>
          <w:szCs w:val="28"/>
          <w:rtl w:val="true"/>
          <w:lang w:bidi="fa-IR"/>
        </w:rPr>
        <w:t xml:space="preserve">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سئلته عن الحرّ اتحصنه المملوکة؟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یحصن الحرّ المملوکة و لا یحصن المملوک الحرّة، و النّصرانیّ یحصن الیهودیّة، و الیهودیّ یحصن النّصرانیّة</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صحیحته الثّالثة</w:t>
      </w:r>
      <w:r>
        <w:rPr>
          <w:rStyle w:val="FootnoteAnchor"/>
          <w:rtl w:val="true"/>
        </w:rPr>
        <w:footnoteReference w:id="648"/>
      </w:r>
      <w:r>
        <w:rPr>
          <w:rFonts w:ascii="IRNazanin" w:hAnsi="IRNazanin" w:eastAsia="IRNazanin"/>
          <w:color w:val="111111"/>
          <w:sz w:val="28"/>
          <w:sz w:val="28"/>
          <w:szCs w:val="28"/>
          <w:rtl w:val="true"/>
          <w:lang w:bidi="fa-IR"/>
        </w:rPr>
        <w:t xml:space="preserve">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الرّجل یزنی و لم یدخل بأهله ایحصن؟ قال لا، و لا بالأمة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نحوها رابعته</w:t>
      </w:r>
      <w:r>
        <w:rPr>
          <w:rStyle w:val="FootnoteAnchor"/>
          <w:rtl w:val="true"/>
        </w:rPr>
        <w:footnoteReference w:id="649"/>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یحصن بالأمة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و التّرجیح للمشهور، لما تقدّم دلیلاً لهم، و سلامته عمّا یرد علی دلیل المخالف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صحیحة ابن مسلم</w:t>
      </w:r>
      <w:r>
        <w:rPr>
          <w:rStyle w:val="FootnoteAnchor"/>
          <w:rtl w:val="true"/>
        </w:rPr>
        <w:footnoteReference w:id="650"/>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فلعدم اشتراط الأسلام فی الأحصان؛ لمن یزنی او یزنی بها، و لا الحرّیّة فیها، کما ارشد الیه، مضافاً الی ما سبق حسنة زکریّا بن آدم</w:t>
      </w:r>
      <w:r>
        <w:rPr>
          <w:rStyle w:val="FootnoteAnchor"/>
          <w:rtl w:val="true"/>
        </w:rPr>
        <w:footnoteReference w:id="6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سئلت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و طأ جاریة امرأته و لم تهبها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زان، علیه 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معتبرة السّکونیّ</w:t>
      </w:r>
      <w:r>
        <w:rPr>
          <w:rStyle w:val="FootnoteAnchor"/>
          <w:rtl w:val="true"/>
        </w:rPr>
        <w:footnoteReference w:id="652"/>
      </w:r>
      <w:r>
        <w:rPr>
          <w:rFonts w:ascii="IRNazanin" w:hAnsi="IRNazanin" w:eastAsia="IRNazanin"/>
          <w:color w:val="111111"/>
          <w:sz w:val="28"/>
          <w:sz w:val="28"/>
          <w:szCs w:val="28"/>
          <w:rtl w:val="true"/>
          <w:lang w:bidi="fa-IR"/>
        </w:rPr>
        <w:t xml:space="preserve">المتقدّمة عن جعفر بن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محمّد بن ابی بکر کتب الی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یزنی بالمرأة الیهودیّة و النّصرانیّة؟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محصناً فارجمه، و انکان بکراً فاجلده مأة جلدة ثمّ انفه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یؤیّدها روایة وهب بن وهب</w:t>
      </w:r>
      <w:r>
        <w:rPr>
          <w:rStyle w:val="FootnoteAnchor"/>
          <w:rtl w:val="true"/>
        </w:rPr>
        <w:footnoteReference w:id="653"/>
      </w:r>
      <w:r>
        <w:rPr>
          <w:rFonts w:ascii="IRNazanin" w:hAnsi="IRNazanin" w:eastAsia="IRNazanin"/>
          <w:color w:val="111111"/>
          <w:sz w:val="28"/>
          <w:sz w:val="28"/>
          <w:szCs w:val="28"/>
          <w:rtl w:val="true"/>
          <w:lang w:bidi="fa-IR"/>
        </w:rPr>
        <w:t xml:space="preserve">عن جعفر عن 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برجل وقع علی جاریة امرأته فحملت،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هبتها لی، و انکرت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لتأتینّی بالشّهود علی ذلک؛ او لأرجمنّک بالحجارة، فلمّا رأت المرأة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فجلدها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مرسلة الدّعائم</w:t>
      </w:r>
      <w:r>
        <w:rPr>
          <w:rStyle w:val="FootnoteAnchor"/>
          <w:rtl w:val="true"/>
        </w:rPr>
        <w:footnoteReference w:id="654"/>
      </w:r>
      <w:r>
        <w:rPr>
          <w:rFonts w:ascii="IRNazanin" w:hAnsi="IRNazanin" w:eastAsia="IRNazanin"/>
          <w:color w:val="111111"/>
          <w:sz w:val="28"/>
          <w:sz w:val="28"/>
          <w:szCs w:val="28"/>
          <w:rtl w:val="true"/>
          <w:lang w:bidi="fa-IR"/>
        </w:rPr>
        <w:t xml:space="preserve">عن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من جامع و لیدة امرأئة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ما علی الزّانی، و لا أوتی برجل زنی بولیدة امرأته الّا رجمته بالحجارة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قریب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المناقب</w:t>
      </w:r>
      <w:r>
        <w:rPr>
          <w:rStyle w:val="FootnoteAnchor"/>
          <w:rtl w:val="true"/>
        </w:rPr>
        <w:footnoteReference w:id="6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فیحتمل ورودها تقیّة لموافقته لمذهب ابی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تّقدّم صفحة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الخلاف</w:t>
      </w:r>
      <w:r>
        <w:rPr>
          <w:rStyle w:val="FootnoteAnchor"/>
          <w:rtl w:val="true"/>
        </w:rPr>
        <w:footnoteReference w:id="656"/>
      </w:r>
      <w:r>
        <w:rPr>
          <w:rFonts w:ascii="IRNazanin" w:hAnsi="IRNazanin" w:eastAsia="IRNazanin"/>
          <w:color w:val="111111"/>
          <w:sz w:val="28"/>
          <w:sz w:val="28"/>
          <w:szCs w:val="28"/>
          <w:rtl w:val="true"/>
          <w:lang w:bidi="fa-IR"/>
        </w:rPr>
        <w:t xml:space="preserve">فی الأحصان و انّه لا یثبت الاّ بأن یکون للرّجل الحرّ فرج یغدو و الیه و یروح، متمکّنا من وطیه ـ الی ـ و امّا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الشّافعیّ اذا اصاب امة بنکاح صحیح، او العبد حرّة یثبت الأحصان للحرّ دون المملوک، و هو قول مالک و قال ابوحنیفة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یثبت الأحصان لأحدهما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المراد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فرض التّنزّل عن الحمل علی التّقیّة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فیتساقطان بالمعارضة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المرجع او المرجّح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657"/>
      </w:r>
      <w:r>
        <w:rPr>
          <w:rFonts w:ascii="IRNazanin" w:hAnsi="IRNazanin" w:eastAsia="IRNazanin"/>
          <w:color w:val="111111"/>
          <w:sz w:val="28"/>
          <w:sz w:val="28"/>
          <w:szCs w:val="28"/>
          <w:rtl w:val="true"/>
          <w:lang w:bidi="fa-IR"/>
        </w:rPr>
        <w:t>فی صحیحة اسماعیل بن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له فرج یغدو علیه و یروح فهو محصن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کقول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658"/>
      </w:r>
      <w:r>
        <w:rPr>
          <w:rFonts w:ascii="IRNazanin" w:hAnsi="IRNazanin" w:eastAsia="IRNazanin"/>
          <w:color w:val="111111"/>
          <w:sz w:val="28"/>
          <w:sz w:val="28"/>
          <w:szCs w:val="28"/>
          <w:rtl w:val="true"/>
          <w:lang w:bidi="fa-IR"/>
        </w:rPr>
        <w:t>فی صحیحة حریز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یزنی و عنده ما یغنیه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التّعلیل فی روایة اسحق بن عمّار</w:t>
      </w:r>
      <w:r>
        <w:rPr>
          <w:rStyle w:val="FootnoteAnchor"/>
          <w:rtl w:val="true"/>
        </w:rPr>
        <w:footnoteReference w:id="659"/>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ذلک لأنّ عنده ما یغنیه عن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ظهر الجواب عن صحاحة الثّانیة</w:t>
      </w:r>
      <w:r>
        <w:rPr>
          <w:rStyle w:val="FootnoteAnchor"/>
          <w:rtl w:val="true"/>
        </w:rPr>
        <w:footnoteReference w:id="660"/>
      </w:r>
      <w:r>
        <w:rPr>
          <w:rFonts w:ascii="Amiri" w:hAnsi="Amiri" w:eastAsia="Amiri" w:cs="Amiri"/>
          <w:color w:val="111111"/>
          <w:sz w:val="28"/>
          <w:sz w:val="28"/>
          <w:szCs w:val="28"/>
          <w:rtl w:val="true"/>
          <w:lang w:bidi="ar-SA"/>
        </w:rPr>
        <w:t>و الثّالثة</w:t>
      </w:r>
      <w:r>
        <w:rPr>
          <w:rStyle w:val="FootnoteAnchor"/>
          <w:rtl w:val="true"/>
        </w:rPr>
        <w:footnoteReference w:id="661"/>
      </w:r>
      <w:r>
        <w:rPr>
          <w:rFonts w:ascii="Amiri" w:hAnsi="Amiri" w:eastAsia="Amiri" w:cs="Amiri"/>
          <w:color w:val="111111"/>
          <w:sz w:val="28"/>
          <w:sz w:val="28"/>
          <w:szCs w:val="28"/>
          <w:rtl w:val="true"/>
          <w:lang w:bidi="ar-SA"/>
        </w:rPr>
        <w:t>و الرّابعة</w:t>
      </w:r>
      <w:r>
        <w:rPr>
          <w:rStyle w:val="FootnoteAnchor"/>
          <w:rtl w:val="true"/>
        </w:rPr>
        <w:footnoteReference w:id="662"/>
      </w:r>
      <w:r>
        <w:rPr>
          <w:rFonts w:ascii="IRNazanin" w:hAnsi="IRNazanin" w:eastAsia="IRNazanin"/>
          <w:color w:val="111111"/>
          <w:sz w:val="28"/>
          <w:sz w:val="28"/>
          <w:szCs w:val="28"/>
          <w:rtl w:val="true"/>
          <w:lang w:bidi="fa-IR"/>
        </w:rPr>
        <w:t>و صحیحتی الحلبیّ الأولی</w:t>
      </w:r>
      <w:r>
        <w:rPr>
          <w:rStyle w:val="FootnoteAnchor"/>
          <w:rtl w:val="true"/>
        </w:rPr>
        <w:footnoteReference w:id="663"/>
      </w:r>
      <w:r>
        <w:rPr>
          <w:rFonts w:ascii="Amiri" w:hAnsi="Amiri" w:eastAsia="Amiri" w:cs="Amiri"/>
          <w:color w:val="111111"/>
          <w:sz w:val="28"/>
          <w:sz w:val="28"/>
          <w:szCs w:val="28"/>
          <w:rtl w:val="true"/>
          <w:lang w:bidi="ar-SA"/>
        </w:rPr>
        <w:t>و الثّانیة</w:t>
      </w:r>
      <w:r>
        <w:rPr>
          <w:rStyle w:val="FootnoteAnchor"/>
          <w:rtl w:val="true"/>
        </w:rPr>
        <w:footnoteReference w:id="664"/>
      </w:r>
      <w:r>
        <w:rPr>
          <w:rFonts w:ascii="IRNazanin" w:hAnsi="IRNazanin" w:eastAsia="IRNazanin"/>
          <w:color w:val="111111"/>
          <w:sz w:val="28"/>
          <w:sz w:val="28"/>
          <w:szCs w:val="28"/>
          <w:rtl w:val="true"/>
          <w:lang w:bidi="fa-IR"/>
        </w:rPr>
        <w:t>بناء علی قرائة الحرّ بالنّصب فی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فیحتمل فیها قریبا قرائة الحرّ و الحرّة بالرّفع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تکملة</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روی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صحیحة محمّد بن مسلم</w:t>
      </w:r>
      <w:r>
        <w:rPr>
          <w:rStyle w:val="FootnoteAnchor"/>
          <w:rtl w:val="true"/>
        </w:rPr>
        <w:footnoteReference w:id="665"/>
      </w:r>
      <w:r>
        <w:rPr>
          <w:rFonts w:ascii="IRNazanin" w:hAnsi="IRNazanin" w:eastAsia="IRNazanin"/>
          <w:color w:val="111111"/>
          <w:sz w:val="28"/>
          <w:sz w:val="28"/>
          <w:szCs w:val="28"/>
          <w:rtl w:val="true"/>
          <w:lang w:bidi="fa-IR"/>
        </w:rPr>
        <w:t xml:space="preserve">عن احد 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جامع الرّجل ولیدة امرأته فعلیه ما علی الزّانی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الربوایة مطلقة قابلة لاستفادة الرّجم منها، لو لم یّدع ظهور ها فی خصوصه او غیر الرّجم، فتحمل بقرینة سایر الرّوایات علی الرّجم لمن دخل بامرأته، و الجلد لمن املک و لم یدخل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تحمل صحیحة الحلبیّ</w:t>
      </w:r>
      <w:r>
        <w:rPr>
          <w:rStyle w:val="FootnoteAnchor"/>
          <w:rtl w:val="true"/>
        </w:rPr>
        <w:footnoteReference w:id="666"/>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زوّج امته رجلاً ثمّ وقع علیها قال یضرب الحدّ، و کذا حسنة او صحیحة ابن ابی عمیر</w:t>
      </w:r>
      <w:r>
        <w:rPr>
          <w:rStyle w:val="FootnoteAnchor"/>
          <w:rtl w:val="true"/>
        </w:rPr>
        <w:footnoteReference w:id="66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غیر المحصن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قرینة سایر الرّوایات</w:t>
      </w:r>
      <w:r>
        <w:rPr>
          <w:rFonts w:eastAsia="IRNazanin" w:cs="IRNazanin"/>
          <w:color w:val="111111"/>
          <w:sz w:val="28"/>
          <w:szCs w:val="28"/>
          <w:rtl w:val="true"/>
          <w:lang w:bidi="fa-IR"/>
        </w:rPr>
        <w:t>.</w:t>
      </w:r>
      <w:bookmarkStart w:id="230" w:name="pg3023_22573"/>
    </w:p>
    <w:p>
      <w:pPr>
        <w:pStyle w:val="Heading5"/>
        <w:numPr>
          <w:ilvl w:val="4"/>
          <w:numId w:val="1"/>
        </w:numPr>
        <w:rPr/>
      </w:pPr>
      <w:bookmarkStart w:id="231" w:name="__RefHeading___Toc656795_2749589250"/>
      <w:bookmarkStart w:id="232" w:name="_Toc84"/>
      <w:bookmarkEnd w:id="230"/>
      <w:bookmarkEnd w:id="231"/>
      <w:r>
        <w:rPr>
          <w:rtl w:val="true"/>
        </w:rPr>
        <w:t>الخامس</w:t>
      </w:r>
      <w:r>
        <w:rPr>
          <w:rtl w:val="true"/>
        </w:rPr>
        <w:t xml:space="preserve">: </w:t>
      </w:r>
      <w:r>
        <w:rPr>
          <w:rtl w:val="true"/>
        </w:rPr>
        <w:t>الّتمکّن فی وطیها متی شاء</w:t>
      </w:r>
      <w:bookmarkEnd w:id="232"/>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ممّا یعتبر فی الأحصان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التمکّن من وطی امرأته او مملوکته متی شاء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تنبیه</w:t>
      </w:r>
    </w:p>
    <w:p>
      <w:pPr>
        <w:pStyle w:val="BookText"/>
        <w:rPr/>
      </w:pPr>
      <w:r>
        <w:rPr>
          <w:rFonts w:ascii="IRNazanin" w:hAnsi="IRNazanin" w:eastAsia="IRNazanin"/>
          <w:color w:val="111111"/>
          <w:sz w:val="28"/>
          <w:sz w:val="28"/>
          <w:szCs w:val="28"/>
          <w:rtl w:val="true"/>
          <w:lang w:bidi="fa-IR"/>
        </w:rPr>
        <w:t>الظّاهر انّ الأمة المحلّلة لا توجب احصان الرّجل؛ الاّ ان تکون علی نحو الدّوام، فیمکن اندارجه تحت الأطلاقات و لکن فیه تأمّل</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متمکّنا من وطی  زوجته او امته متی اراد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عبّر عنه فی الرّوایات المتقدّمة، و فی کلمات غیر واحد من الفقهاء منهم الشّیخان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یغدو علیه و یروح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کلّ من الرّجل و المرأة مع الأخر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 الیها و تصل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صحیحة محمّد بن مسلم</w:t>
      </w:r>
      <w:r>
        <w:rPr>
          <w:rStyle w:val="FootnoteAnchor"/>
          <w:rtl w:val="true"/>
        </w:rPr>
        <w:footnoteReference w:id="668"/>
      </w:r>
      <w:r>
        <w:rPr>
          <w:rFonts w:ascii="IRNazanin" w:hAnsi="IRNazanin" w:eastAsia="IRNazanin"/>
          <w:color w:val="111111"/>
          <w:sz w:val="28"/>
          <w:sz w:val="28"/>
          <w:szCs w:val="28"/>
          <w:rtl w:val="true"/>
          <w:lang w:bidi="fa-IR"/>
        </w:rPr>
        <w:t xml:space="preserve">قال سمعت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المغیب و المغیبة لیس علیهما رجم؛ الاّ ان یکون الرّجل مع المرأة و المرأة مع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قریب منها روایة ابی بصیر</w:t>
      </w:r>
      <w:r>
        <w:rPr>
          <w:rStyle w:val="FootnoteAnchor"/>
          <w:rtl w:val="true"/>
        </w:rPr>
        <w:footnoteReference w:id="669"/>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المغیب و المغیبة لیس علیهما رجم الاّ ان یکون رجلاً مقیماً مع امرأته و امرأته مقیمة معه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مرسلتی الدّعائم</w:t>
      </w:r>
      <w:r>
        <w:rPr>
          <w:rStyle w:val="FootnoteAnchor"/>
          <w:rtl w:val="true"/>
        </w:rPr>
        <w:footnoteReference w:id="670"/>
      </w:r>
      <w:r>
        <w:rPr>
          <w:rStyle w:val="FootnoteAnchor"/>
          <w:rtl w:val="true"/>
        </w:rPr>
        <w:footnoteReference w:id="671"/>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ثانیتهما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یقع الأحصان  و لا یجب الرّجم الاّ بعد التّزویج الصّحیح و الدّخول و مقام الزّوجین بعضهما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سبق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صحیحة عمر بن یزید</w:t>
      </w:r>
      <w:r>
        <w:rPr>
          <w:rStyle w:val="FootnoteAnchor"/>
          <w:rtl w:val="true"/>
        </w:rPr>
        <w:footnoteReference w:id="6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یرجم الغایب عن اهله و لا المملک الّذی لم یبن بأهله و لا صاحب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مارواه الحارث</w:t>
      </w:r>
      <w:r>
        <w:rPr>
          <w:rStyle w:val="FootnoteAnchor"/>
          <w:rtl w:val="true"/>
        </w:rPr>
        <w:footnoteReference w:id="6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الحارث بن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سئلت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له امرأة بالعراق فأصاب فجوراً و هو فی الحجاز فقال یضرب حدّ الزّانی مأة جلدة و لا یرجم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کان معها فی بلدة واحدة و هو محبوس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فی سجن، لا یقدر ان یخرج الیها و لا تدخل هی علیه، ارأیت ان زنی فی السّجن؟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بمنزلة الغایب عنه اهله، یجلد مأة جلدة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ابی عبیدة</w:t>
      </w:r>
      <w:r>
        <w:rPr>
          <w:rStyle w:val="FootnoteAnchor"/>
          <w:rtl w:val="true"/>
        </w:rPr>
        <w:footnoteReference w:id="674"/>
      </w:r>
      <w:r>
        <w:rPr>
          <w:rFonts w:ascii="IRNazanin" w:hAnsi="IRNazanin" w:eastAsia="IRNazanin"/>
          <w:color w:val="111111"/>
          <w:sz w:val="28"/>
          <w:sz w:val="28"/>
          <w:szCs w:val="28"/>
          <w:rtl w:val="true"/>
          <w:lang w:bidi="fa-IR"/>
        </w:rPr>
        <w:t xml:space="preserve">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قضی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الّذی له امرأة بالبصرة ففجر بالکوفة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یدرء عنه الرّجم و یضرب حدّ الزّانی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وقضی فی رجل محبوس فی السّجن و له امرأة حرّة فی بیته فی المصر، و هو لا یصل الیها، فزنی فی السّجن؟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یجلد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یدرء عنه الرّجم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صحیحته الثّانیة</w:t>
      </w:r>
      <w:r>
        <w:rPr>
          <w:rStyle w:val="FootnoteAnchor"/>
          <w:rtl w:val="true"/>
        </w:rPr>
        <w:footnoteReference w:id="675"/>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 امرأة تزوّجت رجلاً و لها زوج ؟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زوجها الأوّل مقیماً معها فی المصر الّتی هی فیه، تصل الیه و یصل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علیها ما علی الزّانی المحصن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الزّانیة المحصنة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زوجها الأوّل غایباً عنها؛  او کان مقیماً معها فی المصر؛ لا یصل الیها و لا تصل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علیها ما علی الزّانیة غیر المحصنة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 ذلک مرسلة المناقب</w:t>
      </w:r>
      <w:r>
        <w:rPr>
          <w:rStyle w:val="FootnoteAnchor"/>
          <w:rtl w:val="true"/>
        </w:rPr>
        <w:footnoteReference w:id="6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عمر برجل یمنیّ محصن فجر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یرجم، فقال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یجب علیه الرّجم لأنّه غائب عن اهله، و اهله فی بلد آخر، انّما یجب علیه الحدّ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ابقانی الله لمعضلة لم یکن لها ابوالحسن</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صحیحة ابی بصیر</w:t>
      </w:r>
      <w:r>
        <w:rPr>
          <w:rStyle w:val="FootnoteAnchor"/>
          <w:rtl w:val="true"/>
        </w:rPr>
        <w:footnoteReference w:id="677"/>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الرّجل الّذی اتی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بالکوفة مقرّاً بالزّنا مرّة بعد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 زوجة؟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فمقیمة معک فی البلد؟ 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یضرّ قرب المسافة بینه و بین امرأته او مملوکته فی عدم الاحصان اذا لا یمکنه الوصول الیها و لا یعتبر السفر الموجب لقصر الصّلاة و الأفطار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الکلام یقع فی موارد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اشکال فی عدم تحقّق الأحصان فیما اذا کان مسافراً لا یمکنه الرّجوع و الوصول الی امرأته الاّ بعد مضیّ ایّام، کأسبوع مثلاً، بلا فرق بین قرب المسافة و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فی بعض الرّوایات من تحدید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اذا یقصّر و یفطر فغیر معمول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ذیل معتبرة عمربن یزید</w:t>
      </w:r>
      <w:r>
        <w:rPr>
          <w:rStyle w:val="FootnoteAnchor"/>
          <w:rtl w:val="true"/>
        </w:rPr>
        <w:footnoteReference w:id="678"/>
      </w:r>
      <w:r>
        <w:rPr>
          <w:rFonts w:ascii="IRNazanin" w:hAnsi="IRNazanin" w:eastAsia="IRNazanin"/>
          <w:color w:val="111111"/>
          <w:sz w:val="28"/>
          <w:sz w:val="28"/>
          <w:szCs w:val="28"/>
          <w:rtl w:val="true"/>
          <w:lang w:bidi="fa-IR"/>
        </w:rPr>
        <w:t>المتقدّمة،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ایّ حدّ سفره لا یکون محصناً؟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قصّر و افطر فلیس بمحصن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وصفها الفاضلان بالهجر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مرفوعة محمّد بن الحسین</w:t>
      </w:r>
      <w:r>
        <w:rPr>
          <w:rStyle w:val="FootnoteAnchor"/>
          <w:rtl w:val="true"/>
        </w:rPr>
        <w:footnoteReference w:id="6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قصر فأفطر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الحمل علی اقضیّة الشّخصیّة، و الاّ فقد لا یتمکّن من الوصول الی زوجته لموانع طبیعیّة، کالثّلج و الأمطار فی بعد اقلّ من مسافة التّقصیر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عن التّبیان وفقه القرآن للرّاوندی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غیبة شهور فی نفی الأحصان؛ فلعلّه من باب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روایة عمر بن یزید، بعد و صفها بالصّحیحة؛ بمخالفتها للرّوایات المتقدّمة، و الأجماع و التّسالم بین الأصحاب، و استظهر و ثاقة عبد الرّحمن بن حمّاد الواقع فی سندها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بوقوعه فی اسناد 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دفع مناقشة الشّهید الثّانی فی المسالک بأنّ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سندها جهالة، استناداً الی عدم ورود توثیق له فی کتب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اقتصر اخیراً علی اوّل رجال السّند و رجع عمّا بنی علیه اوّلاً من استظهار و ثاقة کلّ من وقع فی السّند، و علیه فحیث انّ عبد الرّحمن بن حمّاد لم یکن فی اوّل سند الرّوایة الّتی رواها صاحب الکامل فی 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الحدیث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 یکون ثقة، و لا یفید اتّحاده مع عبد الرّحمن بن ابی حمّاد؛ علی ما بنی علیه فی معجمه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صرّح بذلک فی ترجمة کلیهما، و وصف ابن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حمّاد بالوثاقة لبنائها علی کونه من رجال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فتبصّر</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مسافراً فی ساعات من النّهار و یحضر باللّیل او بالعکس، کما اذا یبعد عن طهران الی تبریز، او المشهد الرّضویّ علی مشرفه آلاف التّحیّة و السّلام او الی شیراز او اصفهان؛ سواء کان طیّاراً للطّائرة او سائقاً للقطار او للسّیّارة، او مضیفاً عاملاً فی احد الأوّلین مثلا، او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فزنی فیشکل عدّه مغیباً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اذا اتّفق طول سفره ایّاماً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اذا قصر، کأن یروح صبحاً و یرجع عصراً، او یروح ظهراً و یرجع غروباً؛ و لو الی مسافة بعیدة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یصدق علیه المغیب عن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 فرض طول السّفر اذا کان قصده الرّجوع قریباً، و زنی؛ ثمّ تبدّل القصد الی مسافة بعیدة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فللتّوقّف فی عدّه مغیباً 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ففرق بینه و بین من شغله فی بلده او فی حوالیه، و یروح صبحاً و لا یرجع الاّ ظهراً او عصراً، ککثیر من موظّفی الدّوائر الحکومیّة او الشّرکات الخصوصیّة و التّجار و کسبة السّوق، فلا یصدق علیهم المغیب بلا اشکال، بل هو معها و هی معه، تصل الیه و یصل الیها، مقیمة معه فی المصر، و مقیم معها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صدق کونه معها و هی معه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لمن ذکرناه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المدار علی الصّدق، و اذا شککنا فی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یجری احکام المحصن؛ لو کان المدار علی الأمر الوجودیّ، و هو الوصول او الأقامة، او الکون معه و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اذا کانت الحالة السّابقة هی الوصول و الأقامة</w:t>
      </w:r>
      <w:r>
        <w:rPr>
          <w:rFonts w:eastAsia="IRNazanin" w:cs="IRNazanin"/>
          <w:color w:val="111111"/>
          <w:sz w:val="28"/>
          <w:szCs w:val="28"/>
          <w:rtl w:val="true"/>
          <w:lang w:bidi="fa-IR"/>
        </w:rPr>
        <w:t>.</w:t>
      </w:r>
      <w:bookmarkStart w:id="233" w:name="pg3023_22577"/>
    </w:p>
    <w:p>
      <w:pPr>
        <w:pStyle w:val="Heading5"/>
        <w:numPr>
          <w:ilvl w:val="4"/>
          <w:numId w:val="1"/>
        </w:numPr>
        <w:rPr/>
      </w:pPr>
      <w:bookmarkStart w:id="234" w:name="__RefHeading___Toc656797_2749589250"/>
      <w:bookmarkStart w:id="235" w:name="_Toc85"/>
      <w:bookmarkEnd w:id="233"/>
      <w:bookmarkEnd w:id="234"/>
      <w:r>
        <w:rPr>
          <w:rtl w:val="true"/>
        </w:rPr>
        <w:t>الاشکال فی المحبوس اذا امکنه الوصول لیلاً لا نهاراً او العکس</w:t>
      </w:r>
      <w:bookmarkEnd w:id="235"/>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یشکل الأمر فی المحبوس اذا امکنه الوصول الی زوجته لیلاً دون النّهار، او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الأحصان له وجه قویّ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محبوساً و لا یمکنه الوصول الیها بکلّ 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اشکال فی عدم الأحصان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امکنه الوصول لیلاً دون النّهار، او نهاراً دون اللّیل فیشکل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الأشکال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اذا یتحقّق الوصول الاّ یوماً دون یوم، او کلّ ثلاثة او اربعة ایّام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سیمّا إذا کان ببذل شیئ او مصانعة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الصّدق فی الفرض الأوّل علی اشکال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 یمکنه الوصول الیها و هی معه مطلقا، او یغدر و الیها و یروح؛ لکنّها مریضة مرضاً یشمئزّ من القرب الیها، او یضرّها الوقاع، فهل یتحقّق الأحصان ام لا؟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الصّدق بقصر المدّة و طولها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 بّما یصدق انّه یصل الیها و تصل الیه؛ اذا کان المرض فی مدّة قصیرة، و ربّما لا یصدق مع طوله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لیس المراد من الغدوّ الیها و الرّواح مجرّدهما، و لا مطلق الکون و المعیّة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الأمر فی ما اذا کان هناک موانع أخر، کعدم امکان الخلوة معها و لو سالمین فی عشرة ایّام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الظّاهر عدم الأحصان بنشوز الزّوجة، و فی الزّوج اذا یطول اشهراً بالنّسبة 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الأصحاب فرّقوا بین الغیبة و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الحیض لا یمتدّ، و ربّما امتدّت الغیبة، و بأنّه یتمتّع من الحائض بما دون موضع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انّة یقرب تحقّق الأحصان فیما اذا یسافر فی الأسبوع مرّتین، او بثلاثة ایّام فی السّفر و اربعة فی الحضر، و فی السّجن اذا یمکنه الوصول الیها مرّتین فی الأسبوع مثلاً، کلّ مرّة لیلة واحدة؛ خصوصا بالنّسبة الی من لا یرجی منه الوقاعٍ فی الأسبوع الاّ مرّة واحدة او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سیمّا اذا زنی فی الیوم الثّانی من سجنه مثلاً بعد ان قضی وطره من زوجته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فی النّفس من ذلک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الحیض و مرض عشرة ایّام یقرب العدم علی اشکال فی الأوّل، بل لا یبعد التّحقق، کما فرّق الأصحاب بینه و بین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لتحقّق خصوصیّة فی الکون معها، او امکان الوصول الیها غدوّاً و رواحاً لیست فی السّفر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العناوین الثّلاثة المذکورة فی الرّوایات، تفسیراً للأحصان، عبارة اخری عن تمکّن الوقاع؛ حتیّ یستشکل باحیض و الغیبة و یحتاج الی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لیس مثل الغیبة و عدم امکان الوصول فی المسجون عبارة عن عدم الّتمکّن منه حتیّ یعمّ المریضة و من لا یمکنه الخلوة بها عشرة ایّام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مراد من عبّر عن هذا الشّرط بالّتمکن من الوطی متی شاء؛ او تعلیل الأحصان او الرّجم فی بعض ما تقدّم من الرّوایات بغنائه عن الزّنا بما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یراد منه ما ینافی عدم التّمکن ایّام الحیض و المرض، و الاّ ففیه تأمّل و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یقرّب فصل الخطاب کون المراد بالعناوین المشار الیها شیئاً واحداً، و هو الّتمکن من الوطی و الأستمتاع حسب المتعارف الّذی لا ینافیه عدم الّتمکّن حال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هو بالنّسبة الی اکثر النّساء امر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المرض و غیره من الموانع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یعرض و یطول احیاناً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یرشد الی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التّعبیر بالکون معها و الکون معه فی بعض روایات المقام کما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تتمّة</w:t>
      </w:r>
    </w:p>
    <w:p>
      <w:pPr>
        <w:pStyle w:val="BookText"/>
        <w:rPr/>
      </w:pPr>
      <w:r>
        <w:rPr>
          <w:rFonts w:ascii="IRNazanin" w:hAnsi="IRNazanin" w:eastAsia="IRNazanin"/>
          <w:color w:val="111111"/>
          <w:sz w:val="28"/>
          <w:sz w:val="28"/>
          <w:szCs w:val="28"/>
          <w:rtl w:val="true"/>
          <w:lang w:bidi="fa-IR"/>
        </w:rPr>
        <w:t xml:space="preserve">انّ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القواهد اضاف شرطاً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ان یکون النّکاح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عقد دائماً و کان العقد فاسداً، او اشتری امة فی عقد باطل و وطئهما لم یتحقّق الأحصان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وجب المهر و العدّة و نشر تحریم المصاهرة و لحق به الولد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فرضه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ان یکون فی غیر صورة علمه بالفساد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صدق عنائه عن الزّنا بما عنده؛ لکن لعلّ هذا المقدار بقرینة ظهور سایر الرّوایات او صریحها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صحّة ما اعتبره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الحقیقة هذا یرجع الی الشّرط الخامس، و لا یکون شرطاً زائداً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احصان الرّجل</w:t>
      </w:r>
      <w:r>
        <w:rPr>
          <w:rFonts w:eastAsia="IRNazanin" w:cs="IRNazanin"/>
          <w:color w:val="111111"/>
          <w:sz w:val="28"/>
          <w:szCs w:val="28"/>
          <w:rtl w:val="true"/>
          <w:lang w:bidi="fa-IR"/>
        </w:rPr>
        <w:t>.</w:t>
      </w:r>
      <w:bookmarkStart w:id="236" w:name="pg3023_22579"/>
    </w:p>
    <w:p>
      <w:pPr>
        <w:pStyle w:val="Heading5"/>
        <w:numPr>
          <w:ilvl w:val="4"/>
          <w:numId w:val="1"/>
        </w:numPr>
        <w:rPr/>
      </w:pPr>
      <w:bookmarkStart w:id="237" w:name="__RefHeading___Toc656799_2749589250"/>
      <w:bookmarkStart w:id="238" w:name="_Toc86"/>
      <w:bookmarkEnd w:id="236"/>
      <w:bookmarkEnd w:id="237"/>
      <w:r>
        <w:rPr>
          <w:rtl w:val="true"/>
        </w:rPr>
        <w:t>احصان المرأة کأحصان الرّجل علی تأمّل فی بعض الشّرایط</w:t>
      </w:r>
      <w:bookmarkEnd w:id="238"/>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الأصحاب کون احصان المرأة کأحصان الرّجل فی الشّرائط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فیعتبر فیه البلوغ بکلا نحویه و العقل و الحرّیّة و تحقّق الوطی بالغة و الزّواج الدّائم علی تأمّل فی بعضها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بالنّسبة الی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استظهار اتّحادها مع الرّجل فی الشّرائط من عبارات الأصحاب، و انّ کلّ ما یعتبر فی احصانه، یعتبر فی احصانها، بل صرّح فی الجواهر بعدم وجدانه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کون احصانها کأحصانه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ما تقدّم من اعتبار الشّروط السّتّة فی الرّجل، فیعتبر فی احصان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بکلا نحویه، فلو زنت قبل البلوغ و لو کانت موطوئة من زوجها او زنت بعده قبل وطئها فلا 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بالنّسبة الی قبل 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 لأتّفاق و الأجماع و النّصوص، و امّا فی الثّانی فلعدم دلیل علی غیره، من اطلاق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الأطلاقات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سیقت لبیان شرائط أخر، و علی فرضه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فمنصرفة الی ما بعد البلوغ، و وطئها من زوج بالغ کما سبق فی نظیره الأشارة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اشکال فی اشتراط العقل بلا خلاف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فی اشتراطه فی اصل الزّنا کنفس البلوغ فیها و فی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الخلاف لو کان ففی المجنون علی ما سبق الکلام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زنت عاقلة مع کونها محصنة، ثمّ جنّت فلا یسقط عنها الرّجم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لا اشکال  لا خلاف فی انّ المملوکة لا رجم علیها، و لو کان زوجها حرّاً</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الأتّفاق علی اشتراط الحرّیة قبل الزّنا حال وطی زوجها، فلو وطئها مملوکة و اعتقت فزنت فلا رجم، بل یعتبر فی رجمها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وطئها من زوجها بعدالأعتاق فتزنی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الأستدلال علیه بما ورد فی المملوک الّذی تزوّج حرّة ثمّ اعتق فاصاب فاحشة، قال ابو بصیر</w:t>
      </w:r>
      <w:r>
        <w:rPr>
          <w:rStyle w:val="FootnoteAnchor"/>
          <w:rtl w:val="true"/>
        </w:rPr>
        <w:footnoteReference w:id="680"/>
      </w:r>
      <w:r>
        <w:rPr>
          <w:rFonts w:ascii="IRNazanin" w:hAnsi="IRNazanin" w:eastAsia="IRNazanin"/>
          <w:color w:val="111111"/>
          <w:sz w:val="28"/>
          <w:sz w:val="28"/>
          <w:szCs w:val="28"/>
          <w:rtl w:val="true"/>
          <w:lang w:bidi="fa-IR"/>
        </w:rPr>
        <w:t xml:space="preserve">فی صحیحة 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رجم علیه حتّی یواقع الحرّة بعدما یعتق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یشترط تحقّق الوطی فی احصانهنّ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الأستدلال علیه باشتراکها مع الرّجل فی ما دلّ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علی اعتبار الوطی فی احصانه، و بما رواه ابو بصیر</w:t>
      </w:r>
      <w:r>
        <w:rPr>
          <w:rStyle w:val="FootnoteAnchor"/>
          <w:rtl w:val="true"/>
        </w:rPr>
        <w:footnoteReference w:id="681"/>
      </w:r>
      <w:r>
        <w:rPr>
          <w:rFonts w:ascii="IRNazanin" w:hAnsi="IRNazanin" w:eastAsia="IRNazanin"/>
          <w:color w:val="111111"/>
          <w:sz w:val="28"/>
          <w:sz w:val="28"/>
          <w:szCs w:val="28"/>
          <w:rtl w:val="true"/>
          <w:lang w:bidi="fa-IR"/>
        </w:rPr>
        <w:t>عن ابی عبدالله علیه السّلام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فأذا احصنّ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احصانهنّ اذا دخل بهنّ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ارأیت ان لم یدخل بهنّ واحدثن، ما علیهنّ من حدّ؟ قال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صحیحة محمّد بن مسلم</w:t>
      </w:r>
      <w:r>
        <w:rPr>
          <w:rStyle w:val="FootnoteAnchor"/>
          <w:rtl w:val="true"/>
        </w:rPr>
        <w:footnoteReference w:id="682"/>
      </w:r>
      <w:r>
        <w:rPr>
          <w:rFonts w:ascii="IRNazanin" w:hAnsi="IRNazanin" w:eastAsia="IRNazanin"/>
          <w:color w:val="111111"/>
          <w:sz w:val="28"/>
          <w:sz w:val="28"/>
          <w:szCs w:val="28"/>
          <w:rtl w:val="true"/>
          <w:lang w:bidi="fa-IR"/>
        </w:rPr>
        <w:t xml:space="preserve">عن احد 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مارواه عبدالله بن سنان</w:t>
      </w:r>
      <w:r>
        <w:rPr>
          <w:rStyle w:val="FootnoteAnchor"/>
          <w:rtl w:val="true"/>
        </w:rPr>
        <w:footnoteReference w:id="683"/>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الأیة و ان وردت فی الأماء ؛ لکنّ الظّاهر عموم التّفسیر لغیر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سبق البحث فی کفایة وطی الدّبر و عدمها، و اعتبار الأنزال، و سلامة الخصیتین و عدمها فی احصان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یشترط ان تکون مزوّجة بزواج دائم من حرّ او مملوک، فلو کانت متعة و زنت فلا 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یشترط غدوّه الیها و رواحه علیها او تکون معه و تصل الیه، علی ما سبق؛ لا وطئها متی ارادت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یترکها فلا یطأها شهوراً و سنین فالنّصّ و الفتوی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النّصوص و ان قصرت عن افادة بعض هذه الشّروط فی احصانها؛ لکن یمکن استفادته و اعتباره ممّا ورد فی الرّجل و الأطلاق المقامیّ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تزید المرأة شرطاً فی احصانها، لا یعتبر فی جانب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تحقّق و طی البالغ لها محصنة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کانت محصنة و زنت بصغیر فلا 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الکلام و الدّلیل علی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اعتبار اکثر ما ذکرنا من الشّروط فی احصانها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واحد من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مارواه المشایخ</w:t>
      </w:r>
      <w:r>
        <w:rPr>
          <w:rStyle w:val="FootnoteAnchor"/>
          <w:rtl w:val="true"/>
        </w:rPr>
        <w:footnoteReference w:id="684"/>
      </w:r>
      <w:r>
        <w:rPr>
          <w:rFonts w:ascii="IRNazanin" w:hAnsi="IRNazanin" w:eastAsia="IRNazanin"/>
          <w:color w:val="111111"/>
          <w:sz w:val="28"/>
          <w:sz w:val="28"/>
          <w:szCs w:val="28"/>
          <w:rtl w:val="true"/>
          <w:lang w:bidi="fa-IR"/>
        </w:rPr>
        <w:t>الثّلاثة رضوان الله علیهم و بعض اسانیدها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اتت امرأة محجّ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بتقدیم الحاء المهملة ای 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 یا امیر المؤمنین انبی زنیت فطهّرنی طهّرک الله ـ الی قوله ـ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افحاضراً کان بعلک اذ فعلت ما فعلت ام غائبا کان عنک؟ فقالت بل حاضراً</w:t>
      </w:r>
      <w:r>
        <w:rPr>
          <w:rFonts w:eastAsia="IRNazanin" w:cs="IRNazanin"/>
          <w:color w:val="111111"/>
          <w:sz w:val="28"/>
          <w:szCs w:val="28"/>
          <w:rtl w:val="true"/>
          <w:lang w:bidi="fa-IR"/>
        </w:rPr>
        <w:t>.</w:t>
      </w:r>
      <w:bookmarkStart w:id="239" w:name="pg3023_22581"/>
    </w:p>
    <w:p>
      <w:pPr>
        <w:pStyle w:val="Heading5"/>
        <w:numPr>
          <w:ilvl w:val="4"/>
          <w:numId w:val="1"/>
        </w:numPr>
        <w:rPr/>
      </w:pPr>
      <w:bookmarkStart w:id="240" w:name="__RefHeading___Toc656801_2749589250"/>
      <w:bookmarkStart w:id="241" w:name="_Toc87"/>
      <w:bookmarkEnd w:id="239"/>
      <w:bookmarkEnd w:id="240"/>
      <w:r>
        <w:rPr>
          <w:rtl w:val="true"/>
        </w:rPr>
        <w:t>لا یخرج عن الاحصان بطلاق زوجته رجعیّاً کالمطلّقة</w:t>
      </w:r>
      <w:bookmarkEnd w:id="241"/>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یتحقّق احصان المرأة بوطی زوجها الصّغیر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یخرج الرّجل عن الأحصان بطلاق زوجته رجعّیاً، و المطلّقة کذلک، فلو زنی احد هما مع تحقّق سایر الشّرائط فیرجم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الی قوله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المرّة الثّانیة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قالت انّی زنیت فطهّرنی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ذات بعل انت اذ فعلت ما فعلت؟ قالت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زوجک حاضراً ام غائباً؟ قالت بل حاضراً الی ان تکمّل منها الأقرار اربع مرّات، و أنّ زوجها کان حاضراً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 الحدیث ذکر انّه رجمها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ابی عبیدة</w:t>
      </w:r>
      <w:r>
        <w:rPr>
          <w:rStyle w:val="FootnoteAnchor"/>
          <w:rtl w:val="true"/>
        </w:rPr>
        <w:footnoteReference w:id="685"/>
      </w:r>
      <w:r>
        <w:rPr>
          <w:rFonts w:ascii="IRNazanin" w:hAnsi="IRNazanin" w:eastAsia="IRNazanin"/>
          <w:color w:val="111111"/>
          <w:sz w:val="28"/>
          <w:sz w:val="28"/>
          <w:szCs w:val="28"/>
          <w:rtl w:val="true"/>
          <w:lang w:bidi="fa-IR"/>
        </w:rPr>
        <w:t xml:space="preserve">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المرأة الّتی تزوّجت رجلاً و لها زوج،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انکان زوجها الأوّل مقیماً معها فی المصر الّتی هی فیه، تصل الیه و یصل الیها فأنّ علیها ما علی الزّانی المحصن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الزّانیة المحصنة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 ـ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فی الشّرط الأخیر الّذی ذکرناه عن العلاّمة فی قواعد بالنّسبة الی احصان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 هناک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عم احصان المرأة بوطی زوجها الصّغیر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زنت والحال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ترجم، کما انّ من المسلّم عدم احصان الرّجل بالزّوجة الصّغیرة و لو وطئها قبل بلوغها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دلیل علی رجم المرأة حتّی اذا کان زوجها صغیراً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یخرج الرّجل بطلاق زوجته رجعیّاً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الأحصان، کما انّ المطلّقة الرّجعیة لا تخرج بالطّلاق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بحکم الزّوجة، فلو زنت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رجمت؛ الاّ ان تکون مشتبهة جهلاً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تحدّ، کما اذ تزوّجت جاهلة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صحیحة یزید الکناسیّ</w:t>
      </w:r>
      <w:r>
        <w:rPr>
          <w:rStyle w:val="FootnoteAnchor"/>
          <w:rtl w:val="true"/>
        </w:rPr>
        <w:footnoteReference w:id="68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امرأة تزوّجت فی عدّتها؟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کانت تزوّجت فی عدّة طلاق لزوجها علیها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علیها 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کانت تزوّجت فی عدّة لیس لزوجها علیها الرّجعة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علیها حدّ الزّانی غیر المحصن ـ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و فی معتبرة عمّار بن موسی</w:t>
      </w:r>
      <w:r>
        <w:rPr>
          <w:rStyle w:val="FootnoteAnchor"/>
          <w:rtl w:val="true"/>
        </w:rPr>
        <w:footnoteReference w:id="687"/>
      </w:r>
      <w:r>
        <w:rPr>
          <w:rFonts w:ascii="IRNazanin" w:hAnsi="IRNazanin" w:eastAsia="IRNazanin"/>
          <w:color w:val="111111"/>
          <w:sz w:val="28"/>
          <w:sz w:val="28"/>
          <w:szCs w:val="28"/>
          <w:rtl w:val="true"/>
          <w:lang w:bidi="fa-IR"/>
        </w:rPr>
        <w:t xml:space="preserve">السّاباطی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کانت له امرأة فطلّقها او ماتت فزنی؟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الرّجم، و عن امرأة کان لها زوج فطلّقها او مات ثمّ زنت علیها الرّجم؟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الصّدوق</w:t>
      </w:r>
      <w:r>
        <w:rPr>
          <w:rStyle w:val="FootnoteAnchor"/>
          <w:rtl w:val="true"/>
        </w:rPr>
        <w:footnoteReference w:id="6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بأسناده عن ابن محبوب عن یزید الکناسیّ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امرأة تزوّجت فی عدّتها؟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کانت تزوّجت فی عدّة من بعد موت زوجها من قبل انقضاء الأربعة اشهر و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رجم علیها و علیها ضرب مأة جلدة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کانت تزوّجت فی عدّة طلاق؛  لزوجها علیها 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علیها 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کانت تزوّجت فی عدّة لیس لزوجها علیها فیها 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علیها حدّ الزّانی غیر المحصن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علیّ بن جعفر</w:t>
      </w:r>
      <w:r>
        <w:rPr>
          <w:rStyle w:val="FootnoteAnchor"/>
          <w:rtl w:val="true"/>
        </w:rPr>
        <w:footnoteReference w:id="689"/>
      </w:r>
      <w:r>
        <w:rPr>
          <w:rFonts w:ascii="IRNazanin" w:hAnsi="IRNazanin" w:eastAsia="IRNazanin"/>
          <w:color w:val="111111"/>
          <w:sz w:val="28"/>
          <w:sz w:val="28"/>
          <w:szCs w:val="28"/>
          <w:rtl w:val="true"/>
          <w:lang w:bidi="fa-IR"/>
        </w:rPr>
        <w:t xml:space="preserve">عن اخیه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سئلته عن رجل طلّق او بانت امرأته ثمّ زنی ما علیه؟ قال 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أخری</w:t>
      </w:r>
      <w:r>
        <w:rPr>
          <w:rStyle w:val="FootnoteAnchor"/>
          <w:rtl w:val="true"/>
        </w:rPr>
        <w:footnoteReference w:id="6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سألته عن امرأة طلّقت فزنت بعد ما طلّقت هل علیها الرّجم؟ قال 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طلّقت بسنة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بسنّة بالتّشدید، و هو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الطّلاق محمول علی الرّجعیّ لو لم یکن ظاهراً فیه، کما فی الرّوایة الثّانیة، لما تقدّم، و البینونة علی ما اذا کان له زوجة</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قوله فی معتبرة عمّار</w:t>
      </w:r>
      <w:r>
        <w:rPr>
          <w:rStyle w:val="FootnoteAnchor"/>
          <w:rtl w:val="true"/>
        </w:rPr>
        <w:footnoteReference w:id="691"/>
      </w:r>
      <w:r>
        <w:rPr>
          <w:rFonts w:ascii="IRNazanin" w:hAnsi="IRNazanin" w:eastAsia="IRNazanin"/>
          <w:color w:val="111111"/>
          <w:sz w:val="28"/>
          <w:sz w:val="28"/>
          <w:szCs w:val="28"/>
          <w:rtl w:val="true"/>
          <w:lang w:bidi="fa-IR"/>
        </w:rPr>
        <w:t>، بالرّجم علی کلّ من الرّجل و المرأة لو مات الأخر مع مخالفته لصحیحة یزید الکناسیّ، و روایة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فی الرّجل علی وجود زوجة أخری او مملوکة، او علی الوهم من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متروک، غیر معمول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مجال للأخذ به</w:t>
      </w:r>
      <w:r>
        <w:rPr>
          <w:rFonts w:eastAsia="IRNazanin" w:cs="IRNazanin"/>
          <w:color w:val="111111"/>
          <w:sz w:val="28"/>
          <w:szCs w:val="28"/>
          <w:rtl w:val="true"/>
          <w:lang w:bidi="fa-IR"/>
        </w:rPr>
        <w:t>.</w:t>
      </w:r>
      <w:bookmarkStart w:id="242" w:name="pg3023_22583"/>
    </w:p>
    <w:p>
      <w:pPr>
        <w:pStyle w:val="Heading5"/>
        <w:numPr>
          <w:ilvl w:val="4"/>
          <w:numId w:val="1"/>
        </w:numPr>
        <w:rPr/>
      </w:pPr>
      <w:bookmarkStart w:id="243" w:name="__RefHeading___Toc656803_2749589250"/>
      <w:bookmarkStart w:id="244" w:name="_Toc88"/>
      <w:bookmarkEnd w:id="242"/>
      <w:bookmarkEnd w:id="243"/>
      <w:r>
        <w:rPr>
          <w:rtl w:val="true"/>
        </w:rPr>
        <w:t>اذا خالعها تخرج عن الاحصان</w:t>
      </w:r>
      <w:bookmarkEnd w:id="244"/>
    </w:p>
    <w:p>
      <w:pPr>
        <w:pStyle w:val="BookText"/>
        <w:rPr/>
      </w:pPr>
      <w:r>
        <w:rPr>
          <w:rFonts w:ascii="IRNazanin" w:hAnsi="IRNazanin" w:eastAsia="IRNazanin"/>
          <w:color w:val="111111"/>
          <w:sz w:val="28"/>
          <w:sz w:val="28"/>
          <w:szCs w:val="28"/>
          <w:rtl w:val="true"/>
          <w:lang w:bidi="fa-IR"/>
        </w:rPr>
        <w:t xml:space="preserve">و اذا خرجت من العدّة او کان طلاقها بائناً او مات زوجها فزنت فلا ترجم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خالعها فتخرج عن الأحصان و لو رجعت بالبذل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رجع او عقد علیها جدیداً بعد العدّة؛ و لا زوجة و لا امة له فزنی قبل و طیها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یرجم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المرتدّ فطرة یخرج عن الأحصان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الملّیّ نظر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اشکال فی خروج الزّوجة عن الأحصان بخروجها عن العدّة الرّجعیّة، و کذا بطلاق باین و بموت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علیه بعد الأتّفاق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صحیحتی یزید</w:t>
      </w:r>
      <w:r>
        <w:rPr>
          <w:rStyle w:val="FootnoteAnchor"/>
          <w:rtl w:val="true"/>
        </w:rPr>
        <w:footnoteReference w:id="692"/>
      </w:r>
      <w:r>
        <w:rPr>
          <w:rStyle w:val="FootnoteAnchor"/>
          <w:rtl w:val="true"/>
        </w:rPr>
        <w:footnoteReference w:id="693"/>
      </w:r>
      <w:r>
        <w:rPr>
          <w:rFonts w:ascii="IRNazanin" w:hAnsi="IRNazanin" w:eastAsia="IRNazanin"/>
          <w:color w:val="111111"/>
          <w:sz w:val="28"/>
          <w:sz w:val="28"/>
          <w:szCs w:val="28"/>
          <w:rtl w:val="true"/>
          <w:lang w:bidi="fa-IR"/>
        </w:rPr>
        <w:t xml:space="preserve">، و ان کان کانت تزوّجت فی عدّة لیس لزوجها علیها الرّجعة فأنّ علیها حدّ الزّانی غیر المحصن، و ان کانت تزوّجت فی عدّة بعد موت زوجها من قبل انقضاء الأربعة اشهر و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العشرة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رجم علیها و علیها ضرب مأة جلدة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الرّجل فلا یخرج عن الأحصان بخروجها عن العدّة و لا بالطّلاق عطر الرّجعیّ و لا بموت زوجته؛ الاّ ان لا تکون له زوجة غیرها و لا 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خالعها فتخرج عن الأحصان، کما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زنت فلا رجم علیها، و لو رجعت بالبذل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لزوال العصمة بالخلع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تکون محصنة قبل وطئها بالرّجوع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لو عقد علیها جدیداً بعد لعدّة، و کذا لرّجل لو رجع الیها بعد رجوعها فی البذل فزنی قبل ان یطئها و لا زوجة و لا أمة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رجم علیه، لما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فاقاً فی جمیع ذلک للقواعد و الکشف و المبانی، و فی بعضه للجواهر و المهذّب</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ارتدّ ارّجل عن فطرة خرج عن لأحصان بالنّسبة الی زوجته او ازواجه و جواریه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الأرتداد عن ملّة نظر، لأمکان روجوعه الی زوجته بالتّوبة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قوّاه فی الکشف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 الی 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المهذّب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زنی فی عدّة زوجتها فهو محصن و الاّ فلیس محصناً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لتوقّف تحقّق البینونة علی انقضاء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ابی بکر الحضرمیّ</w:t>
      </w:r>
      <w:r>
        <w:rPr>
          <w:rStyle w:val="FootnoteAnchor"/>
          <w:rtl w:val="true"/>
        </w:rPr>
        <w:footnoteReference w:id="694"/>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ارتدّ الرّجل المسلم عن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اشتبهت الزّانیة بغیرها و لو فی المحصورة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حدّ، بخلاف ما اذا اشتبهت زانیة بغیرها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کان الحدّ و احداً فتحدّان و اذا اختلف الحدّان بالأقلّ و الأکثر فتحدّان بالأقلّ و یترک الزّائد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الأسلام بانت منه امرأته کما تبین المطلّقة، فأن او مات قبل انقضاء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ترثه فی العدّة و لا یرثها ان ماتت و هو مرتدّ عن الأسلام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قریب منها غیرها</w:t>
      </w:r>
      <w:r>
        <w:rPr>
          <w:rStyle w:val="FootnoteAnchor"/>
          <w:rtl w:val="true"/>
        </w:rPr>
        <w:footnoteReference w:id="695"/>
      </w:r>
      <w:r>
        <w:rPr>
          <w:rFonts w:ascii="IRNazanin" w:hAnsi="IRNazanin" w:eastAsia="IRNazanin"/>
          <w:color w:val="111111"/>
          <w:sz w:val="28"/>
          <w:sz w:val="28"/>
          <w:szCs w:val="28"/>
          <w:rtl w:val="true"/>
          <w:lang w:bidi="fa-IR"/>
        </w:rPr>
        <w:t>لکن فی دلالتها علی المدّعی نظر واضح، کروایة الجعفریّات</w:t>
      </w:r>
      <w:r>
        <w:rPr>
          <w:rStyle w:val="FootnoteAnchor"/>
          <w:rtl w:val="true"/>
        </w:rPr>
        <w:footnoteReference w:id="696"/>
      </w:r>
      <w:r>
        <w:rPr>
          <w:rFonts w:ascii="IRNazanin" w:hAnsi="IRNazanin" w:eastAsia="IRNazanin"/>
          <w:color w:val="111111"/>
          <w:sz w:val="28"/>
          <w:sz w:val="28"/>
          <w:szCs w:val="28"/>
          <w:rtl w:val="true"/>
          <w:lang w:bidi="fa-IR"/>
        </w:rPr>
        <w:t xml:space="preserve">بأسنادها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المرتّد عن الأسلام تعزل عنه امرأته و لا تؤکل ذبیحته و یستتاب ثلثة ایّام،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اشتبهت الزّانیة بغیرها ولو فی المحصورة؛ و لا یقین بموجب الحدّ فی احدیهما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تحدّان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اشتبهت زانیة بغیرها حدّ تا؛  ان اتّحد الحدّ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اختلفتا بالأقلّ و الأکثر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فتحدّان بالأقلّ و یدرء عنهما الزّائد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الحال فی الزّانی وغیر الزّنا من موجبات الحدّ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اشکال فی لزوم احراز الموضوع بقیوده و حدوده فی کلّ واحد من اقسام حدّ الزّنا، امّا علماً او علمیّاً او بالأصول العملیّة، فلو اقرّ او ثبت بالبیّنة عند الحاکم انّه متزوّج ؛ و لم یحرز الدّخول فلا رجم، او ثبت الدّخول و ادّعی الغیبة او قرنها او عفلها المانعین من غیبوبة الحشفة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یکون هناک اقرار او بیّنة او حالة سابقة بالخلاف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کانت خنثی و لم یثبت انّها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یتحقّق الزّنا بأدخال الحشفة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کان لها فرجان فأدخلت و ادخل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فیتحقّق الموجب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ادّعی احدهما الزّوجیّة؛ و لم یعلم الکذب فلا حدّ، کما لو ادّعی او ادّعت الشّبهة المحتملة فی حقّة او حقّها، و لو ادّعی احد هما الصّغر حال الزّنا او المجنون او عدم الّتمکّن من وطی زوجته او وطی زوجها متی شاء ؛ و لا بیّنة و لا اقرار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یتوقّف فی اجراء الحدّ للشّبهة الدّارئة للحدّ او لعدم تحقّق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بحجّة علم او علمیّ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لضعف روایة الدّرء</w:t>
      </w:r>
      <w:r>
        <w:rPr>
          <w:rFonts w:eastAsia="IRNazanin" w:cs="IRNazanin"/>
          <w:color w:val="111111"/>
          <w:sz w:val="28"/>
          <w:szCs w:val="28"/>
          <w:rtl w:val="true"/>
          <w:lang w:bidi="fa-IR"/>
        </w:rPr>
        <w:t>).</w:t>
      </w:r>
      <w:bookmarkStart w:id="245" w:name="pg3023_22585"/>
    </w:p>
    <w:p>
      <w:pPr>
        <w:pStyle w:val="BookText"/>
        <w:rPr/>
      </w:pPr>
      <w:bookmarkEnd w:id="245"/>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یرجم الذّمّیّ المحصن اذا رجعوا الینا فی الحکم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246" w:name="__RefHeading___Toc656805_2749589250"/>
      <w:bookmarkStart w:id="247" w:name="_Toc89"/>
      <w:bookmarkEnd w:id="246"/>
      <w:r>
        <w:rPr>
          <w:rtl w:val="true"/>
        </w:rPr>
        <w:t xml:space="preserve">یرجم الذّمیّ المحصن </w:t>
      </w:r>
      <w:r>
        <w:rPr>
          <w:rtl w:val="true"/>
        </w:rPr>
        <w:t>(</w:t>
      </w:r>
      <w:r>
        <w:rPr>
          <w:rtl w:val="true"/>
        </w:rPr>
        <w:t>الاعمی یحدّ کالعمیاء و کذا غیرهما من ناقصی الاعضاء</w:t>
      </w:r>
      <w:r>
        <w:rPr>
          <w:rtl w:val="true"/>
        </w:rPr>
        <w:t>)</w:t>
      </w:r>
      <w:bookmarkEnd w:id="247"/>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الأعمی یحدّ اذا زنی کالعمیاء و الأصمّ و الأبکم و غیرهم من ناقصی الأعضاء، حتّی اذا تحقّق الأحصان فلا مانع من الرّجم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او یفصّل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اذا کان هناک طریق الی احراز الموضوع و لو بمعونة الأصل او الأصول و ما اذا لم یکن؟ الظّاهر هو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متمکّنا منها و ادّعی غیبتها او نشوزها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فمقتضی الأستصحاب خلاف دعواه، و ثبوت الموضوع، و لزوم ترتّب الأثار، و لکن فی النّفس منه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ادّعی احد هما عدم دخول الحشفة، او انّه کان او کانت فی الغیبة او عدم الّتمکّن؛ و لم یکن حالة 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اشکال فی توقّف الحدّ و عدم 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لتوافق الأصل و الشّبهة، بل لعدم احراز الموضوع و لو بمعونة الأصل منضماً الی الوجدان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سبق فی مطاوی الأبحاث الأشارة فی بعض الرّوایات و الکلمات الی عدم اشتراط الأسلام فی الأحصان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المبسوط</w:t>
      </w:r>
      <w:r>
        <w:rPr>
          <w:rStyle w:val="FootnoteAnchor"/>
          <w:rtl w:val="true"/>
        </w:rPr>
        <w:footnoteReference w:id="6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الأسلام عندنا و عندهم، ثمّ نقل الخلاف عن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تزوّج الذّمّیّ او الکافر و دخل لزوجته و زنی او زنت و احیل الطنا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 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لوکان الزّوج مسلماً و تزوّج ذمّیّة دائماً، لو جوّزناه ابتدأً او کان له زوجة کذلک استدامة و دخل بها فزنی فیرجم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لوکان احد هما رقّاً و الأخر حرّ وزنی الحرّ فیرجم، کما سبق الکلام فیه تفصیلاً</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العضو لا مدخل فی الحدّ؛ ما لم یوجب خللاً فی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 عمی یحدّ فی الزّنا کالعمیاء، مثل ما یحدّ البصیر و البصیرة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یحدّ السّالم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یحدّ الأطرش و الأصمّ و الأبکم و الأعرج، و غیرهم من ذوی العلّة حتّی الرّجم، اذا تحقّق و ثبت الموضوع بالأقرار او البیّنة المعتبرة، علی ما سبق الکلام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الحکم مضافاً الی التّسالم 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الأطلاقات و خصوص معتبرة اسحق بن عمّار</w:t>
      </w:r>
      <w:r>
        <w:rPr>
          <w:rStyle w:val="FootnoteAnchor"/>
          <w:rtl w:val="true"/>
        </w:rPr>
        <w:footnoteReference w:id="69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سئلت احدهما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حدّ الأخرس و الأصمّ و الأعمی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الحدود اذا کانو یعقلون ما یأتون</w:t>
      </w:r>
      <w:r>
        <w:rPr>
          <w:rFonts w:eastAsia="IRNazanin" w:cs="IRNazanin"/>
          <w:color w:val="111111"/>
          <w:sz w:val="28"/>
          <w:szCs w:val="28"/>
          <w:rtl w:val="true"/>
          <w:lang w:bidi="fa-IR"/>
        </w:rPr>
        <w:t>.</w:t>
      </w:r>
      <w:bookmarkStart w:id="248" w:name="pg3023_22586"/>
    </w:p>
    <w:p>
      <w:pPr>
        <w:pStyle w:val="Heading5"/>
        <w:numPr>
          <w:ilvl w:val="4"/>
          <w:numId w:val="1"/>
        </w:numPr>
        <w:rPr/>
      </w:pPr>
      <w:bookmarkStart w:id="249" w:name="__RefHeading___Toc656807_2749589250"/>
      <w:bookmarkStart w:id="250" w:name="_Toc90"/>
      <w:bookmarkEnd w:id="248"/>
      <w:bookmarkEnd w:id="249"/>
      <w:r>
        <w:rPr>
          <w:rtl w:val="true"/>
        </w:rPr>
        <w:t xml:space="preserve">المریض غیر المحصن یضرب بعذق فیه </w:t>
      </w:r>
      <w:r>
        <w:rPr/>
        <w:t>100</w:t>
      </w:r>
      <w:r>
        <w:rPr>
          <w:rtl w:val="true"/>
        </w:rPr>
        <w:t xml:space="preserve"> </w:t>
      </w:r>
      <w:r>
        <w:rPr>
          <w:rtl w:val="true"/>
        </w:rPr>
        <w:t>شمراخ</w:t>
      </w:r>
      <w:bookmarkEnd w:id="250"/>
    </w:p>
    <w:p>
      <w:pPr>
        <w:pStyle w:val="BookText"/>
        <w:rPr/>
      </w:pPr>
      <w:r>
        <w:rPr>
          <w:rFonts w:ascii="IRNazanin" w:hAnsi="IRNazanin" w:eastAsia="IRNazanin"/>
          <w:color w:val="111111"/>
          <w:sz w:val="28"/>
          <w:sz w:val="28"/>
          <w:szCs w:val="28"/>
          <w:rtl w:val="true"/>
          <w:lang w:bidi="fa-IR"/>
        </w:rPr>
        <w:t>امّا المریض اذا لم یکن محصناً و کان علیه الجلد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فیضرب بعذق فیه مأة شمراخ مرّة واحدة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المریض ففی الخلاف</w:t>
      </w:r>
      <w:r>
        <w:rPr>
          <w:rStyle w:val="FootnoteAnchor"/>
          <w:rtl w:val="true"/>
        </w:rPr>
        <w:footnoteReference w:id="6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المریض المأیوس منه اذا زنی و هو بکر اخذ عنق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مأة شمراخ او مأة عود یشدّ بعضه الی بعض و یضرب به ضربة واحدة علی وجه لا یؤدّی الی التّلف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حنیفة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یضرب مجتمعاً و متفرّقاً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 مولماً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بضرب بالسّیاط مجتمعاً    ضرباً مولماً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مأة بأطراف الثّیاب و النّعال ضرباً لا یولم الماً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استدلّ بأجماع الفرقة و أخبارهم و بالأیة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خذ بیدک الخ، و روایة مرسلة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اتّفق الأئمّة علی انّ الزّانی غیر المحصن اذا کان مریضاً بمرض یرجی برؤه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یقام علیه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یؤخّر و یسجن حتّی یبرء منه، کی لا یهلک باجتماع الضّرب مع لامرض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الفقه علی المذاهب الأربعة </w:t>
      </w:r>
      <w:r>
        <w:rPr>
          <w:rFonts w:eastAsia="IRNazanin" w:cs="IRNazanin"/>
          <w:color w:val="111111"/>
          <w:sz w:val="28"/>
          <w:szCs w:val="28"/>
          <w:lang w:bidi="fa-IR"/>
        </w:rPr>
        <w:t>5/63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المریض 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هما یرجی برؤه، فقال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یقام علیه الحدّ و لا یؤخّر کما قال ابوبکر فی النّفساء، و هذا قول اسحاق و ابی 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عمر رضی الله عنه اقام الحدّ علی قدّ امة بن مظعون فی مرضه ولم یؤخّره و انتشر ذلک فی الصّحابة فلم ینکروه، فکان اجماعاً، و لأنّ الحدّ واجب فلا یؤخّر ما اوجبه الله بغیر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قول الخرقی تأخیره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لقوله فی من یجب علیه الحدّ و هو صحیح عاقل و هذا قول ابی حنیفة و مالک و الشّافعیّ الخ</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الضّرب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المریض الّذط لا یرجی برؤه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یقام علیه فط الحال و با یؤخّر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بسوط یؤمن معه التّلف، کالقضیب الصّغیر و شمراخ 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خیف علیه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ضغث فیه مأة شمراخ فضرب به ضربة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انکر مالک هذا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المغنی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و فی المبسوط</w:t>
      </w:r>
      <w:r>
        <w:rPr>
          <w:rStyle w:val="FootnoteAnchor"/>
          <w:rtl w:val="true"/>
        </w:rPr>
        <w:footnoteReference w:id="700"/>
      </w:r>
      <w:r>
        <w:rPr>
          <w:rFonts w:ascii="IRNazanin" w:hAnsi="IRNazanin" w:eastAsia="IRNazanin"/>
          <w:color w:val="111111"/>
          <w:sz w:val="28"/>
          <w:sz w:val="28"/>
          <w:szCs w:val="28"/>
          <w:rtl w:val="true"/>
          <w:lang w:bidi="fa-IR"/>
        </w:rPr>
        <w:t>فصّل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اذا یرجی زوال العلّة فلا یقام علیه الحدّ حتّی یبرء من مرضه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انکان علیه حدّان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یقام احد هما و یترک الأخر حتّی یبرء ثمّ یقام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اذا لا یرجی، کالسّلّ و الزّمانة و کان نضو الخلقة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فیضرب بأطراف الثّیاب و انکال 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بالسّیاط و یجلد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یضرب بضغث فیه مأة شمراخ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یجلد المریض و لا المستحاضة اذا لم یجب قتلهما، بل ینتظر البرء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اقتضت المطلحة التّعجیل ضرب بضغث یشتمل علی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فیهما فی الشّرایع و مال الیه فی الجواهر و فی المریض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التّبصرة و فی اللّمعة مع عدم احتماله الضّرب المتکرّر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مهذّب السّبزواریّ فی المریض و صاحب القروح و المستحاضة و نحو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لم یتوقّع البرء او رأی الحاکم المصلحة فی التّعجیل ضربهم بالضّغث المشتمل علی العدد من سیاط او شماریخ او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ففیها ضربه بعذق فیه شمراخ او عرجون فیه مأة شمراخ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صحیحة ابی العبّاس</w:t>
      </w:r>
      <w:r>
        <w:rPr>
          <w:rStyle w:val="FootnoteAnchor"/>
          <w:rtl w:val="true"/>
        </w:rPr>
        <w:footnoteReference w:id="701"/>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برجل دمیم قصیر قد سقی بطنه و قد درّت عروق بطنه قد فجر بامرأة، فقالت المرأة ما علمت به الاّ و قد دخل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أزنیت ؟ فقال له 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احصن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و خفضه ثمّ دعا بعذق فقدّه مأة ثمّ ضربه بشماریخه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معتبرة سماعة</w:t>
      </w:r>
      <w:r>
        <w:rPr>
          <w:rStyle w:val="FootnoteAnchor"/>
          <w:rtl w:val="true"/>
        </w:rPr>
        <w:footnoteReference w:id="702"/>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أتی برجل کبیر البطن قد اصاب محرّماً فدعا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بعرجون فیه مأة شمراخ فضربه مرّة واحدة، فکان الحدّ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قریب منها ما فی المقنع</w:t>
      </w:r>
      <w:r>
        <w:rPr>
          <w:rStyle w:val="FootnoteAnchor"/>
          <w:rtl w:val="true"/>
        </w:rPr>
        <w:footnoteReference w:id="703"/>
      </w:r>
      <w:r>
        <w:rPr>
          <w:rFonts w:ascii="IRNazanin" w:hAnsi="IRNazanin" w:eastAsia="IRNazanin"/>
          <w:color w:val="111111"/>
          <w:sz w:val="28"/>
          <w:sz w:val="28"/>
          <w:szCs w:val="28"/>
          <w:rtl w:val="true"/>
          <w:lang w:bidi="fa-IR"/>
        </w:rPr>
        <w:t xml:space="preserve">و فیه مکان قوله، اصاب محرّماً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علیل قد زنی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و فی ذیله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کره ان یبطل حدّاً من حدود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علیّ بن جعفر</w:t>
      </w:r>
      <w:r>
        <w:rPr>
          <w:rStyle w:val="FootnoteAnchor"/>
          <w:rtl w:val="true"/>
        </w:rPr>
        <w:footnoteReference w:id="704"/>
      </w:r>
      <w:r>
        <w:rPr>
          <w:rFonts w:ascii="IRNazanin" w:hAnsi="IRNazanin" w:eastAsia="IRNazanin"/>
          <w:color w:val="111111"/>
          <w:sz w:val="28"/>
          <w:sz w:val="28"/>
          <w:szCs w:val="28"/>
          <w:rtl w:val="true"/>
          <w:lang w:bidi="fa-IR"/>
        </w:rPr>
        <w:t xml:space="preserve">عن اخیه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بامرأة مریضة و رجل اجرب مریض قد بدت عروق فخذیه قد فجر بامرأة، فقالت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اتیته فقلت له اطعمنی و اسقنی فقد جهدت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لا حتّی افعل بک ففعل، فجلده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بیّنة مأة شمراخ ضربة واحدة و خلّی سبیله، و لم یضرب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قریب منها مسندة الجعفریّات</w:t>
      </w:r>
      <w:r>
        <w:rPr>
          <w:rStyle w:val="FootnoteAnchor"/>
          <w:rtl w:val="true"/>
        </w:rPr>
        <w:footnoteReference w:id="705"/>
      </w:r>
      <w:r>
        <w:rPr>
          <w:rFonts w:ascii="IRNazanin" w:hAnsi="IRNazanin" w:eastAsia="IRNazanin"/>
          <w:color w:val="111111"/>
          <w:sz w:val="28"/>
          <w:sz w:val="28"/>
          <w:szCs w:val="28"/>
          <w:rtl w:val="true"/>
          <w:lang w:bidi="fa-IR"/>
        </w:rPr>
        <w:t>و فی ذیلها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ذروه حتّی یبرء ثمّ یقام علیه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مارواه زرارة</w:t>
      </w:r>
      <w:r>
        <w:rPr>
          <w:rStyle w:val="FootnoteAnchor"/>
          <w:rtl w:val="true"/>
        </w:rPr>
        <w:footnoteReference w:id="70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انّ رجلاً اخذ حزمة من قضبان او اصلاً فیه قضبان فضربه ضربة واحدة اجزأه عن عدّة ما یریدان یجلد من عدّة القضبان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مرسلة الدّعائم</w:t>
      </w:r>
      <w:r>
        <w:rPr>
          <w:rStyle w:val="FootnoteAnchor"/>
          <w:rtl w:val="true"/>
        </w:rPr>
        <w:footnoteReference w:id="7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مارواه المشایخ</w:t>
      </w:r>
      <w:r>
        <w:rPr>
          <w:rStyle w:val="FootnoteAnchor"/>
          <w:rtl w:val="true"/>
        </w:rPr>
        <w:footnoteReference w:id="708"/>
      </w:r>
      <w:r>
        <w:rPr>
          <w:rFonts w:ascii="IRNazanin" w:hAnsi="IRNazanin" w:eastAsia="IRNazanin"/>
          <w:color w:val="111111"/>
          <w:sz w:val="28"/>
          <w:sz w:val="28"/>
          <w:szCs w:val="28"/>
          <w:rtl w:val="true"/>
          <w:lang w:bidi="fa-IR"/>
        </w:rPr>
        <w:t xml:space="preserve">الثّلاثه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اسرارهم عن یحیی بن عباد المکّیّ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عباد المکّیّ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سفیان الثّوریّ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اری لک من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منزلة فسله عن رجل زنی و هو مریض، ان اقیم علیه الحدّمات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خافوا ان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فیه؟ فسألته،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المسألة من تلقاء نفسک او قال انسان ان تسألنی عنها؟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الثّوریّ سألنی ان اسألک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برجل احتبن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مستسقی البطن قد بدت عروق فخذیه و قد زنی بامرأة مریضة، فأمر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بعذق فیه شمراخ، فضرب به الرّجل ضربة و ضرب به المرأة ضربة، ثمّ خلّی سبیلهما ثمّ قرأ هذه الأیة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خذ بیدک ضغثا فاضرب و لا تحنث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قریب منه مع تغییرات مرسلة الدّعائم</w:t>
      </w:r>
      <w:r>
        <w:rPr>
          <w:rStyle w:val="FootnoteAnchor"/>
          <w:rtl w:val="true"/>
        </w:rPr>
        <w:footnoteReference w:id="709"/>
      </w:r>
      <w:r>
        <w:rPr>
          <w:rFonts w:ascii="IRNazanin" w:hAnsi="IRNazanin" w:eastAsia="IRNazanin"/>
          <w:color w:val="111111"/>
          <w:sz w:val="28"/>
          <w:sz w:val="28"/>
          <w:szCs w:val="28"/>
          <w:rtl w:val="true"/>
          <w:lang w:bidi="fa-IR"/>
        </w:rPr>
        <w:t>و لکن لیس فیها ضرب المرأة</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مقتضی اطلاق هذه الرّواطات؛ غیر الأخیرة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الفرق بین ما اذا زنی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صحیحاً ثمّ مرض او ما اذا زنی حال مرضه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الأخیرة، فظاهر ها لو لا صریحها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اصابة الفاحشة حال المرض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حال، فحیث انّه لا تأخیر فی الحدّ فلا ینتظر بالمریض البرء؛ الاّ اذا خیف علیه الموت حتّی بضرب الشّماریخ، کما دلّ علیه مارواه السّکونیّ</w:t>
      </w:r>
      <w:r>
        <w:rPr>
          <w:rStyle w:val="FootnoteAnchor"/>
          <w:rtl w:val="true"/>
        </w:rPr>
        <w:footnoteReference w:id="710"/>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برجل اصاب حدّاً و به قروح فی جسده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اقروه حتّی تبرء و لا تنکئوها علیه فتقتلوه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رواه مسمع بن عبدالملک</w:t>
      </w:r>
      <w:r>
        <w:rPr>
          <w:rStyle w:val="FootnoteAnchor"/>
          <w:rtl w:val="true"/>
        </w:rPr>
        <w:footnoteReference w:id="711"/>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برجل اصاب حدّاً و به قورح و مرض و اشباه ذلک، فقال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اخّروه حتّی تبرء لا تنکأ قروحه علیه فیموت و لکن اذا برء حدّدناه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 ذلک روایة الجعفرّیات</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مرسلة الدّعائم</w:t>
      </w:r>
      <w:r>
        <w:rPr>
          <w:rStyle w:val="FootnoteAnchor"/>
          <w:rtl w:val="true"/>
        </w:rPr>
        <w:footnoteReference w:id="713"/>
      </w:r>
      <w:r>
        <w:rPr>
          <w:rFonts w:ascii="IRNazanin" w:hAnsi="IRNazanin" w:eastAsia="IRNazanin"/>
          <w:color w:val="111111"/>
          <w:sz w:val="28"/>
          <w:sz w:val="28"/>
          <w:szCs w:val="28"/>
          <w:rtl w:val="true"/>
          <w:lang w:bidi="fa-IR"/>
        </w:rPr>
        <w:t xml:space="preserve">، عن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 المجدور و لا علی صاحب الحصبة حدّ حتّی یبرء، انّی اخاف ان اقیم علیه الحدّ فتنکأ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فتناکأ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قروحه فیموت و لکن اذا برء حدّدناه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مسندة الجعفریّات</w:t>
      </w:r>
      <w:r>
        <w:rPr>
          <w:rStyle w:val="FootnoteAnchor"/>
          <w:rtl w:val="true"/>
        </w:rPr>
        <w:footnoteReference w:id="7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المجذوم و لا علی صاحب الحصبة حدّ حتّی یبرء</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حملها علی التّخییر بین التّأخیر کما فی روایتی السّکونی</w:t>
      </w:r>
      <w:r>
        <w:rPr>
          <w:rStyle w:val="FootnoteAnchor"/>
          <w:rtl w:val="true"/>
        </w:rPr>
        <w:footnoteReference w:id="715"/>
      </w:r>
      <w:r>
        <w:rPr>
          <w:rFonts w:ascii="IRNazanin" w:hAnsi="IRNazanin" w:eastAsia="IRNazanin"/>
          <w:color w:val="111111"/>
          <w:sz w:val="28"/>
          <w:sz w:val="28"/>
          <w:szCs w:val="28"/>
          <w:rtl w:val="true"/>
          <w:lang w:bidi="fa-IR"/>
        </w:rPr>
        <w:t>و مسمع</w:t>
      </w:r>
      <w:r>
        <w:rPr>
          <w:rStyle w:val="FootnoteAnchor"/>
          <w:rtl w:val="true"/>
        </w:rPr>
        <w:footnoteReference w:id="716"/>
      </w:r>
      <w:r>
        <w:rPr>
          <w:rFonts w:ascii="IRNazanin" w:hAnsi="IRNazanin" w:eastAsia="IRNazanin"/>
          <w:color w:val="111111"/>
          <w:sz w:val="28"/>
          <w:sz w:val="28"/>
          <w:szCs w:val="28"/>
          <w:rtl w:val="true"/>
          <w:lang w:bidi="fa-IR"/>
        </w:rPr>
        <w:t>، و الضّرب باشّماریخ کما فی 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کأنّه فهم اتّحاد الموضوع</w:t>
      </w:r>
      <w:r>
        <w:rPr>
          <w:rFonts w:eastAsia="IRNazanin" w:cs="IRNazanin"/>
          <w:color w:val="111111"/>
          <w:sz w:val="28"/>
          <w:szCs w:val="28"/>
          <w:rtl w:val="true"/>
          <w:lang w:bidi="fa-IR"/>
        </w:rPr>
        <w:t>.</w:t>
      </w:r>
      <w:bookmarkStart w:id="251" w:name="pg3023_22590"/>
    </w:p>
    <w:p>
      <w:pPr>
        <w:pStyle w:val="Heading5"/>
        <w:numPr>
          <w:ilvl w:val="4"/>
          <w:numId w:val="1"/>
        </w:numPr>
        <w:rPr/>
      </w:pPr>
      <w:bookmarkStart w:id="252" w:name="__RefHeading___Toc656809_2749589250"/>
      <w:bookmarkStart w:id="253" w:name="_Toc91"/>
      <w:bookmarkEnd w:id="251"/>
      <w:bookmarkEnd w:id="252"/>
      <w:r>
        <w:rPr>
          <w:rtl w:val="true"/>
        </w:rPr>
        <w:t>المحیض لا یمنع الحدّ و المستحاضة لا تحدّ حتّی ینقطع الدّم و کذا النّفساء</w:t>
      </w:r>
      <w:bookmarkEnd w:id="253"/>
    </w:p>
    <w:p>
      <w:pPr>
        <w:pStyle w:val="BookText"/>
        <w:rPr/>
      </w:pPr>
      <w:r>
        <w:rPr>
          <w:rFonts w:ascii="IRNazanin" w:hAnsi="IRNazanin" w:eastAsia="IRNazanin"/>
          <w:color w:val="111111"/>
          <w:sz w:val="28"/>
          <w:sz w:val="28"/>
          <w:szCs w:val="28"/>
          <w:rtl w:val="true"/>
          <w:lang w:bidi="fa-IR"/>
        </w:rPr>
        <w:t>لو خیف علیها او تکون متکفّلة لولدها</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الحیض لا یمنع الحدّ و المستحاضة لا تحدّ حتّی ینقطع عنها الدّم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لم یکن الحدّ قتلاً او رجماً، و النّفساء کذلک لو خیف علیها او تکون متکفّلة لولدها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حدّها قتلاً او رجماً او جلداً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و للخدشة فی ذلک مجال 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المذکور فی مورد التّاخیر خوف ان تنکأ القرحة و الموت، بخلاف 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اذا لم تکن قورحه یخاف علیها النّکأ فالموت، فأن تحمّل الحدّ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فیحدّ، کسایر الزّناة و الاّ فبالشّماریخ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حمل روایات الشّمراخ علی الیأس من البرء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تقیید موضوع الرّوایتین بالبرء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یقتضی حکومتهما علی اطلاق تلک بعد عدم اتّحاد الموضوع و علی فرضه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الشّیخ اقرب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الفرق بین طول زمان البرء و قصره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الثّانی ینتظر به البرء، فیضرب الحدّ الکامل و فی الأوّل یعجّل علیه بالحدّ الخفیف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اعتبار کون الشّماریخ مأة یضرب بها ضربة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اشتمل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الضّغث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خمسین ضرب به دفعتین ضرباً مولماً یتثاقل علیه جمیع الشّماریخ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اطلاق الرّوایات عدم اعتبار اصابة جمیع العدد بدن الزّانی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یعتبر فی الضّرب ان یکون مولماً الماً یتحمّله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الضّرب بالشّماریخ او تأخیر الحدّ الی البرء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ماذا یجب قتل الزّانی او الزّانیة او رجمهما، و حینئذٍ یقتل او یرجم ایّاً من کان مریضاً او احبن او غیرهما</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السمتحاضة لا تحدّ حتّی ینقطع عنها الدّم؛ اذا لم یکن الحدّ قتلاً او رجماً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سبق فی عبارة القواعد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السّرائر</w:t>
      </w:r>
      <w:r>
        <w:rPr>
          <w:rStyle w:val="FootnoteAnchor"/>
          <w:rtl w:val="true"/>
        </w:rPr>
        <w:footnoteReference w:id="7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کانت المرأة مستحاضة لم یقم علیها الجلد انکان حدّها جلداً، و ان کان رجماً اقیم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الغرض قتلها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یقام علیها الجلد حتّی ینقطع دمها لأنّها علیلة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دم الأستحاضة علّة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و فی المبانی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تجلد مالم ینقطع عنها الدّم، فأذا انقطع جلدت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یشهد لذلک معتبرة السّکونیّ</w:t>
      </w:r>
      <w:r>
        <w:rPr>
          <w:rStyle w:val="FootnoteAnchor"/>
          <w:rtl w:val="true"/>
        </w:rPr>
        <w:footnoteReference w:id="718"/>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یقام الحدّ علی المستحاضة حتّی ینقطع الدّم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یؤیّدها ما یأتی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الحیض لا یمنع الحدّ وفاقاً 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یوجب تأخیر الجلد لعدم الدّلیل و شمول الأطلاقات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هناک روایات ضعاف فی الحائض و النّفساء لتأخیر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اثنتان منها عن الجعفریّات باسناده عن جعفر بن محمّد عن 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الأولی</w:t>
      </w:r>
      <w:r>
        <w:rPr>
          <w:rStyle w:val="FootnoteAnchor"/>
          <w:rtl w:val="true"/>
        </w:rPr>
        <w:footnoteReference w:id="7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المستحاضة حدّ؛ حتّی تطهر و لا علی الحائض حتّی تطهر و لا علی النّفساء حتّی تطهر و لا علی احامل حتّی تضع و نحوها فی الدعائم</w:t>
      </w:r>
      <w:r>
        <w:rPr>
          <w:rStyle w:val="FootnoteAnchor"/>
          <w:rtl w:val="true"/>
        </w:rPr>
        <w:footnoteReference w:id="720"/>
      </w:r>
      <w:r>
        <w:rPr>
          <w:rFonts w:ascii="IRNazanin" w:hAnsi="IRNazanin" w:eastAsia="IRNazanin"/>
          <w:color w:val="111111"/>
          <w:sz w:val="28"/>
          <w:sz w:val="28"/>
          <w:szCs w:val="28"/>
          <w:rtl w:val="true"/>
          <w:lang w:bidi="fa-IR"/>
        </w:rPr>
        <w:t>و فی الثّانیة</w:t>
      </w:r>
      <w:r>
        <w:rPr>
          <w:rStyle w:val="FootnoteAnchor"/>
          <w:rtl w:val="true"/>
        </w:rPr>
        <w:footnoteReference w:id="721"/>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الحبلی حدّ حتّی تضع ولا علی النّفساء حتّی تطهر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الثّالثة</w:t>
      </w:r>
      <w:r>
        <w:rPr>
          <w:rStyle w:val="FootnoteAnchor"/>
          <w:rtl w:val="true"/>
        </w:rPr>
        <w:footnoteReference w:id="722"/>
      </w:r>
      <w:r>
        <w:rPr>
          <w:rFonts w:ascii="IRNazanin" w:hAnsi="IRNazanin" w:eastAsia="IRNazanin"/>
          <w:color w:val="111111"/>
          <w:sz w:val="28"/>
          <w:sz w:val="28"/>
          <w:szCs w:val="28"/>
          <w:rtl w:val="true"/>
          <w:lang w:bidi="fa-IR"/>
        </w:rPr>
        <w:t>عن غوالی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بامرأة فی نفاسها لیحدّها،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اذهبی حتّی ینقطع عنک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لکنّها لضعف اسنادها لا تکون مدرکاً لحکم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تؤخّر النّفساء مع المرض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یقام الحدّ علی الحامل حتّی تضع و تخرج من نفاسها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ذیّله فی الجواهر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اجده نصّاً و فتویً بل و لا اشکال مع خوف الضّرر علی ولدها لو جلدت الخ</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یظهر من السّیّد الخوئیّ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منع النّفاس من تعجیل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احتاط فی المهذّب حتّی ینقطع دمها، استناداً الی روایة عامیّة</w:t>
      </w:r>
      <w:r>
        <w:rPr>
          <w:rStyle w:val="FootnoteAnchor"/>
          <w:rtl w:val="true"/>
        </w:rPr>
        <w:footnoteReference w:id="723"/>
      </w:r>
      <w:r>
        <w:rPr>
          <w:rFonts w:ascii="IRNazanin" w:hAnsi="IRNazanin" w:eastAsia="IRNazanin"/>
          <w:color w:val="111111"/>
          <w:sz w:val="28"/>
          <w:sz w:val="28"/>
          <w:szCs w:val="28"/>
          <w:rtl w:val="true"/>
          <w:lang w:bidi="fa-IR"/>
        </w:rPr>
        <w:t xml:space="preserve">تذکر قول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امة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زنت، فأمرنی ان اقیم علیها الحدّ، فأتیتها فأذاً هی حدیثة بنفاس،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فخشیت ان انا جلدتها ان تموت، فأتیت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فذکرت 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احسنت، اترکها حتیّ تماثل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مع قصور سند الحدیث موافق للقاعدة فی صورتة خوف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غیرها یصلح للأحتیاط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الرّوایة کالرّوایات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قلنا بلزوم التّاخیر فی فعض الموارد؛ بالنّسبة الی من یخاف علیها ضرر زائد علی ما یقتضیه طبع الحدّ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علم من مقدار الحدّ و نوعه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الأحتفاظ علی المحدود او المحدودة او حملها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مثل الرّجم و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تأخیر فی غیر صورة الأحتفاظ علی الحمل، او الولد حتّی یکفل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اطلاقات روایات الشّمراخ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اعتبار عدم تحمّل الزّانی الجلدات حتّی متفرّفة، فیحدّ بالشّمراخ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یحمّل الجلدات بتفرّقها علی الأیّام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الشّمراخ او القضبان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فی کشف اللّثام، مازجاً کلامه بمتن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بضغث، ای حزمة یشتمل علی العدد، من سیاط او اعواد او شماریخ او نحوها، لخبر سماعة</w:t>
      </w:r>
      <w:r>
        <w:rPr>
          <w:rStyle w:val="FootnoteAnchor"/>
          <w:rtl w:val="true"/>
        </w:rPr>
        <w:footnoteReference w:id="724"/>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تقدّم عن المهذّب نحو هذا و کأنّه لعدم انفهام الخصوصیّة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یخلو عن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احتمل سیاطاً خفافاً فهو اولی من الشّماریخ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یخلو عن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المدار فی الصحّة و المرض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اقامة الحدّ، و لا اعتبار بحال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زنی صحیحاً و مرض حال اقامة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یحدّ حدّ المریض، کما لو کان ممّن یؤخّر عنه الحدّ تلک الحال، فیؤخّر ولو لم یکن حال الزّنا کذلک، کما انّه لو زنی مریضا او کان صاحب قروح، و صحّ حال الأقامة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یحدّ حدّ الصّحیح، و لا یؤخّر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العقل</w:t>
      </w:r>
      <w:bookmarkStart w:id="254" w:name="pg3023_22593"/>
    </w:p>
    <w:p>
      <w:pPr>
        <w:pStyle w:val="Heading5"/>
        <w:numPr>
          <w:ilvl w:val="4"/>
          <w:numId w:val="1"/>
        </w:numPr>
        <w:rPr/>
      </w:pPr>
      <w:bookmarkStart w:id="255" w:name="__RefHeading___Toc656811_2749589250"/>
      <w:bookmarkStart w:id="256" w:name="_Toc92"/>
      <w:bookmarkEnd w:id="254"/>
      <w:bookmarkEnd w:id="255"/>
      <w:r>
        <w:rPr>
          <w:rtl w:val="true"/>
        </w:rPr>
        <w:t>لا تکرّر للحدّ بتکرّر الزّنا لو کان قسماً واحداً الاّ اذا حدّ و حکم اختلاف مقتضی الزّنا</w:t>
      </w:r>
      <w:bookmarkEnd w:id="256"/>
    </w:p>
    <w:p>
      <w:pPr>
        <w:pStyle w:val="BookText"/>
        <w:rPr/>
      </w:pPr>
      <w:r>
        <w:rPr>
          <w:rFonts w:ascii="Amiri" w:hAnsi="Amiri" w:eastAsia="Amiri" w:cs="Amiri"/>
          <w:color w:val="111111"/>
          <w:sz w:val="28"/>
          <w:sz w:val="28"/>
          <w:szCs w:val="28"/>
          <w:rtl w:val="true"/>
          <w:lang w:bidi="ar-SA"/>
        </w:rPr>
        <w:t xml:space="preserve">مسئلة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یتکرّر الحدّ بتکررّ الزّنا؛ لو کان قسماً و احداً قابلاً للتّکرّر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اذا زنی بعدالحدّ فیحدّ، و لو کان مثل ما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اختلف مقتضی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فیحدّ بالأکثر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المتباینین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یحدّ بهما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و الجنون، فالمدار فیهما حال الفعل لا حال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زنی الرّجل او زنت المرأة مکرّراً؛ فأن کان الحدّ الّذی یجب لکلّ زنیة، لو کانت و حدها مثل غیرها، و کان قابلاً للتّکرار، کالجلد و التّغریب سنة و جزّ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تکرّر للحدّ، بلا خلاف و لا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الأستدلال علیه بأنّ مقتضی تعلیق الجزاء علی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الاّ حصول طبیعة الجزاء، و کذا عنوان الموضوع للحکم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الزّانیة و الزّانی فاجلدوا کلّ واحد منهما مأة جلدة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الأمر کذلک فی موجبات الوضوء و النّجاسات واکثر مفطرات الصّوم او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لیست المسألة من باب تداخل المسبّبات او 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لیس المسبّب الاّ نفس الطّبیعة، و هی لا تتکرّر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یمکن استظهار ذلک فی السّبب و الموجب ایضاً، کما نبّه علیه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لو لا التّسالم و عدم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للمناقشة فیه مجال واسع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اذا لم یتخلّل الحدّ، و الاّ فلا اشکال فی کون ما یقع بعده مقتضیاً للحدّ بلا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اذا اختلف المقتضی، و کان قابلاً للتّکرّر فی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فی الجزاء المشترک، کالجلد، فلا یکرّر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الأقلّ و الأکثر یؤخذ بالأکثر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المتباینین یعمل بمقتضی کلّ منهما او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اذا زنی غیر المحصن الشّائب غیر المملک، ثمّ زنی مملکاً قبل الدّخول و ثالثة زنی بعده، فیجمع له بین الجلد و التّغریب و جزّ الشّعر و 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زنی محصناً شابّاً ثمّ زنی کذلک شائباً، فیجمع بین الجلد و الرّجم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لا فرق فیما ذکرنا بین ان یکون الزّنا فی یوم واحد؛ بمرأة واحدة او رجل واحد،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او فی ایّام متفرقّة او بنسوة شتّی او رجال مختلفین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اذا کان الزّنا فی یوم واحد بنسوة شتّی فمقتضی روایة ابی بصیر</w:t>
      </w:r>
      <w:r>
        <w:rPr>
          <w:rStyle w:val="FootnoteAnchor"/>
          <w:rtl w:val="true"/>
        </w:rPr>
        <w:footnoteReference w:id="725"/>
      </w:r>
      <w:r>
        <w:rPr>
          <w:rFonts w:ascii="IRNazanin" w:hAnsi="IRNazanin" w:eastAsia="IRNazanin"/>
          <w:color w:val="111111"/>
          <w:sz w:val="28"/>
          <w:sz w:val="28"/>
          <w:szCs w:val="28"/>
          <w:rtl w:val="true"/>
          <w:lang w:bidi="fa-IR"/>
        </w:rPr>
        <w:t xml:space="preserve">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تکرّر الحدّ بتکرّر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سئله عن الرّجل یزنی فی الیوم الواحد مراراً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ان زنی بامرأة واحدة کذا و کذا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فأنّما علیه حدّ واحد، فأن هو زنی بنسوة شتّی فی یوم واحد و فی ساعة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علیه فی کلّ امرأة فجر بها 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نحوها فی المقنع</w:t>
      </w:r>
      <w:r>
        <w:rPr>
          <w:rStyle w:val="FootnoteAnchor"/>
          <w:rtl w:val="true"/>
        </w:rPr>
        <w:footnoteReference w:id="726"/>
      </w:r>
      <w:r>
        <w:rPr>
          <w:rFonts w:ascii="IRNazanin" w:hAnsi="IRNazanin" w:eastAsia="IRNazanin"/>
          <w:color w:val="111111"/>
          <w:sz w:val="28"/>
          <w:sz w:val="28"/>
          <w:szCs w:val="28"/>
          <w:rtl w:val="true"/>
          <w:lang w:bidi="fa-IR"/>
        </w:rPr>
        <w:t xml:space="preserve">و حکی القول بمضمونها عن الشّیخ الصّدوق و الأسکافیّ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المشهور لم یفتوا بالرّوایة، و ضعّفها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باشتمال سندها علی علیّ بن ابی حمزة البطائنیّ و هو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علیّ بن ابی حمزة و ان کان و اقفیّاً؛ و لکن اخباره معمول بها عند الأصحاب، کما عن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عملت الطّائفة بأخباره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اعتمد علیه صاحب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استند الیه فی ضعفه من عبارة ابن 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الحسن علیّ بن الحسن ابن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کذّاب متّهم ملعون، قد رویت عنه احادیث کثیرة، و کتبت عنه تفسیر القرآن، من اوّله الی أخره، الاّ انّی لا استحلّ ان اروی عنه حدیثاً و 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عارض بین ما ذکر و بین توثیق الشّیخ و اعتماد صاحب الکامل  لم یثبت عنده التّرجیح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مخدوش، بما فی التّنقیح عن صاحب المعالم عن هامش التّحریر الطّاوسّی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کلام بنی فیه علی کون ما عن ابن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حقّ الحسن بن علیّ بن ابی حمزة، لا فی حقّ نفسه، و صادقه علیه صاحب تنقیح المقال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ذکره، مضافاً الی شواهد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خاتمة المستدرک</w:t>
      </w:r>
      <w:r>
        <w:rPr>
          <w:rStyle w:val="FootnoteAnchor"/>
          <w:rtl w:val="true"/>
        </w:rPr>
        <w:footnoteReference w:id="7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دعوی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الأصحاب علی العمل بروایته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فأذا، الحقّ و فاقاً لغیر واحد من مهرة الفنّ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معتمد</w:t>
      </w:r>
      <w:r>
        <w:rPr>
          <w:rFonts w:eastAsia="IRNazanin" w:cs="IRNazanin"/>
          <w:color w:val="111111"/>
          <w:sz w:val="28"/>
          <w:szCs w:val="28"/>
          <w:rtl w:val="true"/>
          <w:lang w:bidi="fa-IR"/>
        </w:rPr>
        <w:t>.</w:t>
      </w:r>
      <w:bookmarkStart w:id="257" w:name="pg3023_22595"/>
    </w:p>
    <w:p>
      <w:pPr>
        <w:pStyle w:val="Heading5"/>
        <w:numPr>
          <w:ilvl w:val="4"/>
          <w:numId w:val="1"/>
        </w:numPr>
        <w:rPr/>
      </w:pPr>
      <w:bookmarkStart w:id="258" w:name="__RefHeading___Toc656813_2749589250"/>
      <w:bookmarkStart w:id="259" w:name="_Toc93"/>
      <w:bookmarkEnd w:id="257"/>
      <w:bookmarkEnd w:id="258"/>
      <w:r>
        <w:rPr>
          <w:rtl w:val="true"/>
        </w:rPr>
        <w:t>قتل الزّانی غیر المحصن اذا حدّ ثلاثاً المرّة الرّابعه کالزّانیة</w:t>
      </w:r>
      <w:bookmarkEnd w:id="259"/>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قتل الزّانی الحرّ غیر المحصن؛ اذا حدّ ثلاث مرّات للزّنا فی الرّابعة، کالزّانیة الحرّة غیر المحصنة، و هو المنصور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نعم یبقی اعراض المشهور مانعاً قویّاً عن العمل بالتّفصیل، و استناد الصّدوق و ابن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 الأطمینان و الأعتماد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قتل الزّانی الحرّ غیر المحصن اذا حدّ للزّنا ثلاث مرّات؛ فی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کالزّانیة الحرّة غیر المحصنة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 الصّدوقان و الحلّیّ الی قتل الحرّ فی المرّة الثّالثة، بل الأخیر ادّعی الأجماع قال</w:t>
      </w:r>
      <w:r>
        <w:rPr>
          <w:rStyle w:val="FootnoteAnchor"/>
          <w:rtl w:val="true"/>
        </w:rPr>
        <w:footnoteReference w:id="7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یقتضیه اصول مذهبنا انّه یقتل فی 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الزّانی الّذی لیس بمحصن و لا بکر اذا زنی مرّات و جلد بعد کلّ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لأجماعنا انّ اصحال الکبائر یقتلون فی الثّالثّة، و هذا منهم بغیر خلاف ـ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لقتل الحرّ و الحرّة اذا اقیم علیهما الحدّ مرّتین فی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بصحیحة یونس</w:t>
      </w:r>
      <w:r>
        <w:rPr>
          <w:rStyle w:val="FootnoteAnchor"/>
          <w:rtl w:val="true"/>
        </w:rPr>
        <w:footnoteReference w:id="729"/>
      </w:r>
      <w:r>
        <w:rPr>
          <w:rFonts w:ascii="IRNazanin" w:hAnsi="IRNazanin" w:eastAsia="IRNazanin"/>
          <w:color w:val="111111"/>
          <w:sz w:val="28"/>
          <w:sz w:val="28"/>
          <w:szCs w:val="28"/>
          <w:rtl w:val="true"/>
          <w:lang w:bidi="fa-IR"/>
        </w:rPr>
        <w:t xml:space="preserve">عن ابی الحسن الماضی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الکبائر کلّها اذا اقیم علیهم الحدّ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قتلو فی الثّالثة</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نحوها بعینها ما فی 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7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تقیّدها بالزّانی موثقّة ابی بصیر</w:t>
      </w:r>
      <w:r>
        <w:rPr>
          <w:rStyle w:val="FootnoteAnchor"/>
          <w:rtl w:val="true"/>
        </w:rPr>
        <w:footnoteReference w:id="7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الزّانی اذا زنی یجلد ثلاثاً و یقتل فی الرّابعة، یعنی جلد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یشهد له ایضاً مارواه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732"/>
      </w:r>
      <w:r>
        <w:rPr>
          <w:rFonts w:ascii="IRNazanin" w:hAnsi="IRNazanin" w:eastAsia="IRNazanin"/>
          <w:color w:val="111111"/>
          <w:sz w:val="28"/>
          <w:sz w:val="28"/>
          <w:szCs w:val="28"/>
          <w:rtl w:val="true"/>
          <w:lang w:bidi="fa-IR"/>
        </w:rPr>
        <w:t xml:space="preserve">باسناده عن محمّد بن سنان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فیما 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علّة القتل بعد اقامة الحدّ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اقامة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الثّالثة علی الزّانی و الزّانیة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لاستحقاقهما و قلّة مبالاتهما بالضّرب حتّی کأنّه مطلق لهما ذلک الشّیئ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تعلّق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الثّالثة بالقتل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 ما فی المقنع</w:t>
      </w:r>
      <w:r>
        <w:rPr>
          <w:rStyle w:val="FootnoteAnchor"/>
          <w:rtl w:val="true"/>
        </w:rPr>
        <w:footnoteReference w:id="7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الحرّ اذا زنی بغیر محصنة ضرب مأة جلدة فأن عاد ضرب مأة جلدة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عاد الثّالثة قتل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و هیهنا قول للشّیخ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بقتله فی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7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حلد الزّانی الحرّ البکر اربع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فی الخامسة، و کذلک فی القذف یقتل فی الخامسة، و العبد یقتل فی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روی انّ الحرّ یقتل فی الرّابعة، و خالف جمیع الفقهاء فی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تقدّمت الأشارة الی ذلک صفحة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 التّعلیق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علیه الحدّ بالغاً ما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 اجماع الفرقة و اخبارهم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العجب انّ الأجماع قد ادّعی فی الأقوال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فحکی فی السّرائر و الخلاف ما سمعت و فی الأنتصار و محکیّ 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الأوّل</w:t>
      </w:r>
      <w:r>
        <w:rPr>
          <w:rStyle w:val="FootnoteAnchor"/>
          <w:rtl w:val="true"/>
        </w:rPr>
        <w:footnoteReference w:id="7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انفردت به الأمامیّة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الحرّ البکر اذا زنی فجلد ثمّ عاد فجلد ثمّ عاد الثّالثة فجلد انّه ان عاد الرّابعة قتله الأمام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العبد یقتل فی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خالف باقی الفقهاء فی ذلک، و لم یقولو بشیئ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دلیلنا علی صحّة ما ذهبنا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الطّائفة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المراد منه و هذا ممّا یوهن الأعتماد علی الأجماع المنقول بمجرّده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نقل الخلاف و الأستدلال للأقوال الثّلاثة، الّتی قیلت فی زنا المملوک و المملوکة، و جلد هما سبع مرّات او ثمانیاً و القتل فی الثّامنة او التّاسعة، و اختیار ما هو الأصحّ منها فی المسئلة الأولی من مسائل اقسام حدّ الزّانی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 ـ </w:t>
      </w:r>
      <w:r>
        <w:rPr>
          <w:rFonts w:eastAsia="IRNazanin" w:cs="IRNazanin"/>
          <w:color w:val="111111"/>
          <w:sz w:val="28"/>
          <w:szCs w:val="28"/>
          <w:lang w:bidi="fa-IR"/>
        </w:rPr>
        <w:t>159</w:t>
      </w:r>
      <w:r>
        <w:rPr>
          <w:rFonts w:eastAsia="IRNazanin" w:cs="IRNazanin"/>
          <w:color w:val="111111"/>
          <w:sz w:val="28"/>
          <w:szCs w:val="28"/>
          <w:rtl w:val="true"/>
          <w:lang w:bidi="fa-IR"/>
        </w:rPr>
        <w:t>).</w:t>
      </w:r>
      <w:bookmarkStart w:id="260" w:name="pg3023_22597"/>
    </w:p>
    <w:p>
      <w:pPr>
        <w:pStyle w:val="BookText"/>
        <w:rPr/>
      </w:pPr>
      <w:bookmarkEnd w:id="260"/>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زنی العبد الذّمّیّ بمسلمة او بذات محرم او مکرهاً للمرأة او بامرأة ابیه، فهل یقتل او یضرب خمسین جلدة؟ و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یبعد القتل فی بعضها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261" w:name="__RefHeading___Toc656815_2749589250"/>
      <w:bookmarkStart w:id="262" w:name="_Toc94"/>
      <w:bookmarkEnd w:id="261"/>
      <w:r>
        <w:rPr>
          <w:rtl w:val="true"/>
        </w:rPr>
        <w:t>یؤخّر رجم الحامل حتّی تضع و ترضع اللّبأ</w:t>
      </w:r>
      <w:bookmarkEnd w:id="262"/>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یؤخرّ رجم الحامل الی وضع الحمل و ارضاع اللّبأ، و کذلک الجلد اذا یخاف علی الولد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زنی العبد الذّمّیّ بمسلمة او بذات محرم او اکراهاً للمرأة او بامرأة ابیه ممّا یقتل فیه الزّانی الحرّ، فهل یقتل؟ تقدیماً لأطلاق ادلّة القتل فی هذه الموارد علی دلیل ضرب خمسین جلدة، او یضرب خمسین، ترجیجاً لدلیل نفی الرّجم؟ و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ان ینظر الی اظهریّة احد الدّلیلین فی مرود الأجتماع علی الأخر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مثل یهودیّ زنی بمسلمة یمکن انصرافه الی الحرّ، لعدم قدرة للعبد الذّمّیّ زمن السّؤال علی ذلک، لذلّته من و 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الیهودیّة و الرّقّیّة، فیقدّم اطلاق نفی القتل و الرّجم، بل فی الحقیقة لا 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مثل الزّنا بذات المحرم او بذی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اظهریّة دلیله علی نفی القتل و الرّجم، و لو فرض التّکافؤ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مجال الأعمال المرجّحات السّندیّة فی مثل المقام، من موارد تعارض العموم من وجه، فیتساقطان، و یرجع الی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مرجّحا للخاصّ الموافق او مرجعاً، و حینئذٍ فلا بدّ من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المحصن و غیره و المحصنه و غیرها</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ارید حدّ الزّانیة الحامل من حلال او حرام؛ فأن کان جلداً و لا یخاف علی الولد فلا یؤخّر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خیف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 و اجّل، کما اذا کان رجماً فلا بدّ من التّأجیل الی وضع الحمل و ارضاع اللّبأ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لا یعیش الولد بدونه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اذا کان الحدّ جلداً و یخاف منه علی الولد فی ارضاعها، بلا خلاف بین الأصحاب، اذ لا تزر وازرة وزر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الیه اشار فی روایة 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736"/>
      </w:r>
      <w:r>
        <w:rPr>
          <w:rFonts w:ascii="IRNazanin" w:hAnsi="IRNazanin" w:eastAsia="IRNazanin"/>
          <w:color w:val="111111"/>
          <w:sz w:val="28"/>
          <w:sz w:val="28"/>
          <w:szCs w:val="28"/>
          <w:rtl w:val="true"/>
          <w:lang w:bidi="fa-IR"/>
        </w:rPr>
        <w:t xml:space="preserve">فی الأرشاد عن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قال لعمر و قد أتی بحامل قد زنت فأمر برجمها؟ هب لک سبیل</w:t>
      </w:r>
    </w:p>
    <w:p>
      <w:pPr>
        <w:pStyle w:val="BookText"/>
        <w:rPr/>
      </w:pPr>
      <w:r>
        <w:rPr>
          <w:rFonts w:ascii="IRNazanin" w:hAnsi="IRNazanin" w:eastAsia="IRNazanin"/>
          <w:color w:val="111111"/>
          <w:sz w:val="28"/>
          <w:sz w:val="28"/>
          <w:szCs w:val="28"/>
          <w:rtl w:val="true"/>
          <w:lang w:bidi="fa-IR"/>
        </w:rPr>
        <w:t xml:space="preserve">و هل یؤجّل الحدّ الی اتمام الرّضاع؛ ان لم یوجد کافل او مطلقا؟ فیه و جهان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علیها، ایّ سبیل لک علی ما فی بطنها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تزروازرة وزر أخری،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عشت لمعضلة لا یکون لها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فما اصنع بها یا ابا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احتط علیها حتّی تلد، فأذا ولدت و وجدت لولدها من یکفله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فأقم الحدّ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عن المناقب</w:t>
      </w:r>
      <w:r>
        <w:rPr>
          <w:rStyle w:val="FootnoteAnchor"/>
          <w:rtl w:val="true"/>
        </w:rPr>
        <w:footnoteReference w:id="737"/>
      </w:r>
      <w:r>
        <w:rPr>
          <w:rFonts w:ascii="IRNazanin" w:hAnsi="IRNazanin" w:eastAsia="IRNazanin"/>
          <w:color w:val="111111"/>
          <w:sz w:val="28"/>
          <w:sz w:val="28"/>
          <w:szCs w:val="28"/>
          <w:rtl w:val="true"/>
          <w:lang w:bidi="fa-IR"/>
        </w:rPr>
        <w:t>و فی ذیله فلمّا ولدت ماتت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علیّ لهلک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مرسلة الدّعائم</w:t>
      </w:r>
      <w:r>
        <w:rPr>
          <w:rStyle w:val="FootnoteAnchor"/>
          <w:rtl w:val="true"/>
        </w:rPr>
        <w:footnoteReference w:id="738"/>
      </w:r>
      <w:r>
        <w:rPr>
          <w:rFonts w:ascii="IRNazanin" w:hAnsi="IRNazanin" w:eastAsia="IRNazanin"/>
          <w:color w:val="111111"/>
          <w:sz w:val="28"/>
          <w:sz w:val="28"/>
          <w:szCs w:val="28"/>
          <w:rtl w:val="true"/>
          <w:lang w:bidi="fa-IR"/>
        </w:rPr>
        <w:t xml:space="preserve">فی الّتی حملت من غیر زوج،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حامل هی؟ قالو نعم ـ الی ـ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لکم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لک سبیل علی ما فی بطنها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علیّ لهلک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نحو صدر الولی فی الأختصاص</w:t>
      </w:r>
      <w:r>
        <w:rPr>
          <w:rStyle w:val="FootnoteAnchor"/>
          <w:rtl w:val="true"/>
        </w:rPr>
        <w:footnoteReference w:id="739"/>
      </w:r>
      <w:r>
        <w:rPr>
          <w:rFonts w:ascii="IRNazanin" w:hAnsi="IRNazanin" w:eastAsia="IRNazanin"/>
          <w:color w:val="111111"/>
          <w:sz w:val="28"/>
          <w:sz w:val="28"/>
          <w:szCs w:val="28"/>
          <w:rtl w:val="true"/>
          <w:lang w:bidi="fa-IR"/>
        </w:rPr>
        <w:t>عند تعرّضه لکلام جری بین مؤمن الطّاق و ابی حنیفة</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یؤجّل الحدّ الی اتمام الرّضاع ان لم یوجد کافل و لو بمؤنة بیت المال؛ ان لم یوجد متبرّع، او لم یکن للولد مال؛ اذا لم یجب علی من تجب نفقته علیه وقام بها، او مطلقا حتّی اذا وجد؟ فیه و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 الأوّل السّیّد الخوئئ رحمه الله، اذا توقّفت حیاة الولد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الثّانی، نظراً الی موثّقة عمّار السّاباطیّ و النّبویّ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الاولی</w:t>
      </w:r>
      <w:r>
        <w:rPr>
          <w:rStyle w:val="FootnoteAnchor"/>
          <w:rtl w:val="true"/>
        </w:rPr>
        <w:footnoteReference w:id="7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محصنة زنت و هی حبلی، قال تقرّ تضع ما فی بطنها و ترضع و لدها ثمّ 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الثّانی</w:t>
      </w:r>
      <w:r>
        <w:rPr>
          <w:rStyle w:val="FootnoteAnchor"/>
          <w:rtl w:val="true"/>
        </w:rPr>
        <w:footnoteReference w:id="7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للغامدیّة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تضعی ما فی بطنک، فلمّا ولدت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اذهبی فارضعیه حتّی تفطمیه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و لا ینافی ذلک ما فی غوالی اللّئالی</w:t>
      </w:r>
      <w:r>
        <w:rPr>
          <w:rStyle w:val="FootnoteAnchor"/>
          <w:rtl w:val="true"/>
        </w:rPr>
        <w:footnoteReference w:id="742"/>
      </w:r>
      <w:r>
        <w:rPr>
          <w:rFonts w:ascii="IRNazanin" w:hAnsi="IRNazanin" w:eastAsia="IRNazanin"/>
          <w:color w:val="111111"/>
          <w:sz w:val="28"/>
          <w:sz w:val="28"/>
          <w:szCs w:val="28"/>
          <w:rtl w:val="true"/>
          <w:lang w:bidi="fa-IR"/>
        </w:rPr>
        <w:t xml:space="preserve">من 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الجهنیّة المقرّة بالزّنا و هی حامل منه بعد ما وضعت و اتاه بها ولیّها، ثمّ صلیّ علیها، لعدم صحّة السّند مضافاً الی السّکوت عن الولد، و لعلّه وجد له مرضع لو بقی حیّاً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حمل السّیّد الخوئیّ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الموثّقة علی مدّة اللّبأ، لصحیحة ابی مریم</w:t>
      </w:r>
      <w:r>
        <w:rPr>
          <w:rStyle w:val="FootnoteAnchor"/>
          <w:rtl w:val="true"/>
        </w:rPr>
        <w:footnoteReference w:id="743"/>
      </w:r>
      <w:r>
        <w:rPr>
          <w:rFonts w:ascii="IRNazanin" w:hAnsi="IRNazanin" w:eastAsia="IRNazanin"/>
          <w:color w:val="111111"/>
          <w:sz w:val="28"/>
          <w:sz w:val="28"/>
          <w:szCs w:val="28"/>
          <w:rtl w:val="true"/>
          <w:lang w:bidi="fa-IR"/>
        </w:rPr>
        <w:t xml:space="preserve">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اتت امرأة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 انّی قد فجرت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فأعرض بوجه عنها، فتحوّلت حتّی استقبلت وجهه، فقالت انّی قد فجرت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فأعرض عنها ثم استقبلته، فقالت انّی قد فجرت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فأعرض عنها، ثمّ استقبلته، فقالت انّی قد فجرت، فأمر بها فحبست و کانت حاملاً، فتربّص بها حتّی وضعت، ثمّ امر بها بعد ذلک، فحفر لها حفیرة فی الرّحبة و خاط علیها ثوباً جدیداً ـ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دفع اشکال اعتبار الرّوایة، لأشتراک ابی مریم بین الأنصاریّ الثّقة و بین بکربن حبیب الکوفیّ الّذی لم یثبت و ثاقته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بانصراف ابی مریم الی الأنصاریّ، الّذی هو معروف بین الأصحاب و له کتاب، و کون الرّاوی عنه 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یونس بن یعقوب، و هو من رواة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دفع الأشکال عن ما یظهر من روایة الأصبغ بن نباتة</w:t>
      </w:r>
      <w:r>
        <w:rPr>
          <w:rStyle w:val="FootnoteAnchor"/>
          <w:rtl w:val="true"/>
        </w:rPr>
        <w:footnoteReference w:id="7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الأصبغ فی اسناد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ردّ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المحجّة المقرّة بالزّنا ثلاث مرّات، الی ان تکفل ولدها حتّی یعقل ان یأکل و یشرب و لا یتردّی من سطح و لا یتهوّر فی بنر بعد ان ارضعته حولین کاملین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ثبوت الزّنا باقرار اربع مرّات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لاجواهر عن 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لم یکمل نصاب الأقرار الاّ بعد ذلک لم یسترضع لولدها و الّا فالظّاهر وجوبه، و الأجرة من بیت المال؛ ان لم یتبرّع احد و لا کان للولد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أخر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یتعرّض فی روایة ابی مریم لحال الولد بعد</w:t>
      </w:r>
      <w:bookmarkStart w:id="263" w:name="pg3023_22600"/>
    </w:p>
    <w:p>
      <w:pPr>
        <w:pStyle w:val="BookText"/>
        <w:rPr/>
      </w:pPr>
      <w:bookmarkEnd w:id="263"/>
      <w:r>
        <w:rPr>
          <w:rFonts w:ascii="IRNazanin" w:hAnsi="IRNazanin" w:eastAsia="IRNazanin"/>
          <w:color w:val="111111"/>
          <w:sz w:val="28"/>
          <w:sz w:val="28"/>
          <w:szCs w:val="28"/>
          <w:rtl w:val="true"/>
          <w:lang w:bidi="fa-IR"/>
        </w:rPr>
        <w:t xml:space="preserve">و لا یؤخّر الرّجم مع احتمال الحمل و لم تدّعه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264" w:name="__RefHeading___Toc656817_2749589250"/>
      <w:bookmarkStart w:id="265" w:name="_Toc95"/>
      <w:bookmarkEnd w:id="264"/>
      <w:r>
        <w:rPr>
          <w:rtl w:val="true"/>
        </w:rPr>
        <w:t>تخییر الامام فی حدّ الکافرین من اهل الذّمة و دفعها الی اهل ملّتهما</w:t>
      </w:r>
      <w:bookmarkEnd w:id="265"/>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الأمام مخیّر فی اقامة الحدّ علی الکافرین الزّانیین من اهل الذّمّة، او ذفع الزّانی او الزّانیة من اهل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ملّته لیقیموا علیهما الحدّ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الوضع و انّه هل عاش وارضعته اللّبأ؟ ثمّ تکفّله واحد من النّاس او مات، او استرضع له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بیت المال، او من ماله او اقربائه؟ 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یبعد قوّة ما ذهب الیه صاحب الجواهر، لأحتمال روایة ابی مریم موت الولد، او تبرّع متبرّع اتّفاقاً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لیعلم انّ ما دفع به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ضعف روایة الی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متین، و ابو مریم هذا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الغفّار بن القاسم بن قیس بن فهد، او قهد الأنصاریّ، الثّقة دون الأحمسیّ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 بن حبیب المجهول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لم تدّع الحمل و لم یعلم، بل احتمل فلا یؤخّر الرّجم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زنی الذّمّیّ بذمّیّة او کافرة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فالأمام مخیّر بین اقامة الحدّ علیهما او دفعه الی ملّته، لیقیموا هم الحدّ علیه، بلا خلاف بین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اذا کان الزّانی بها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قوله تعالی</w:t>
      </w:r>
      <w:r>
        <w:rPr>
          <w:rStyle w:val="FootnoteAnchor"/>
          <w:rtl w:val="true"/>
        </w:rPr>
        <w:footnoteReference w:id="7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جاؤوک فاحکم بینهم او اعرض عنهم و أن تعرض عنهم فلن یضرّوک شیئاً ـ الأیة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تنسخ بقوله تعالی </w:t>
      </w:r>
      <w:r>
        <w:rPr>
          <w:rFonts w:eastAsia="IRNazanin" w:cs="IRNazanin"/>
          <w:color w:val="111111"/>
          <w:sz w:val="28"/>
          <w:szCs w:val="28"/>
          <w:rtl w:val="true"/>
          <w:lang w:bidi="fa-IR"/>
        </w:rPr>
        <w:t>:</w:t>
      </w:r>
      <w:r>
        <w:rPr>
          <w:rStyle w:val="FootnoteAnchor"/>
          <w:rtl w:val="true"/>
        </w:rPr>
        <w:footnoteReference w:id="746"/>
      </w:r>
      <w:r>
        <w:rPr>
          <w:rFonts w:ascii="IRNazanin" w:hAnsi="IRNazanin" w:eastAsia="IRNazanin"/>
          <w:color w:val="111111"/>
          <w:sz w:val="28"/>
          <w:sz w:val="28"/>
          <w:szCs w:val="28"/>
          <w:rtl w:val="true"/>
          <w:lang w:bidi="fa-IR"/>
        </w:rPr>
        <w:t>و انزلنا الیک الکتاب بالحقّ مصدّقاً لما بین یدیه من الکتاب و مهیمناً علیه فاحکم بینهم بما انزل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لما عن بعض العامّة</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المبسوط</w:t>
      </w:r>
      <w:r>
        <w:rPr>
          <w:rStyle w:val="FootnoteAnchor"/>
          <w:rtl w:val="true"/>
        </w:rPr>
        <w:footnoteReference w:id="7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تحاکم اهل الذّمّة الی حاکم المسلمین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بالخیار بین ان یحکم بینهم، او یدع، و هو الظّاهر فی روایاتنا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و لقوله تعالی</w:t>
      </w:r>
      <w:r>
        <w:rPr>
          <w:rStyle w:val="FootnoteAnchor"/>
          <w:rtl w:val="true"/>
        </w:rPr>
        <w:footnoteReference w:id="7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فاحکم بینهم او اعرض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ان یحکم بینهم لقوله تعالی</w:t>
      </w:r>
      <w:r>
        <w:rPr>
          <w:rStyle w:val="FootnoteAnchor"/>
          <w:rtl w:val="true"/>
        </w:rPr>
        <w:footnoteReference w:id="7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احکم بینهم بما انزل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یوافق الأیة روایة ابی بصیر</w:t>
      </w:r>
      <w:r>
        <w:rPr>
          <w:rStyle w:val="FootnoteAnchor"/>
          <w:rtl w:val="true"/>
        </w:rPr>
        <w:footnoteReference w:id="750"/>
      </w:r>
      <w:r>
        <w:rPr>
          <w:rFonts w:ascii="IRNazanin" w:hAnsi="IRNazanin" w:eastAsia="IRNazanin"/>
          <w:color w:val="111111"/>
          <w:sz w:val="28"/>
          <w:sz w:val="28"/>
          <w:szCs w:val="28"/>
          <w:rtl w:val="true"/>
          <w:lang w:bidi="fa-IR"/>
        </w:rPr>
        <w:t xml:space="preserve">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الحاکم اذا اتاه اهل التّوراة و اهل الأنجیل، یتحاکمون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ذلک الیه، ان شاء حکم بینهم و ان شاء ترکهم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ذلک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بین ما ورد فی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الحکم علیهم طبق الشّریعة الأسلامیّة، و ما ورد من بعثهم الی اهل نحلتهم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مارواه علیّ بن جعفر</w:t>
      </w:r>
      <w:r>
        <w:rPr>
          <w:rStyle w:val="FootnoteAnchor"/>
          <w:rtl w:val="true"/>
        </w:rPr>
        <w:footnoteReference w:id="751"/>
      </w:r>
      <w:r>
        <w:rPr>
          <w:rFonts w:ascii="IRNazanin" w:hAnsi="IRNazanin" w:eastAsia="IRNazanin"/>
          <w:color w:val="111111"/>
          <w:sz w:val="28"/>
          <w:sz w:val="28"/>
          <w:szCs w:val="28"/>
          <w:rtl w:val="true"/>
          <w:lang w:bidi="fa-IR"/>
        </w:rPr>
        <w:t xml:space="preserve">عن اخیه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یهودیّ او نصرانیّ او مجوسیّ أخذ زانیاض او شارب خمر ما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یقام علیه حدود المسلمین؛ اذا فعلوا ذلک فی مصر من امصار المسلمین، او فی غیر امصار المسلمین؛ اذا رفعوا الی حکّام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صحیحة ابی بصیر</w:t>
      </w:r>
      <w:r>
        <w:rPr>
          <w:rStyle w:val="FootnoteAnchor"/>
          <w:rtl w:val="true"/>
        </w:rPr>
        <w:footnoteReference w:id="75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دیة الیهود و النّصاری و المجوس،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سواء، ثمانمأة در 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أخذوا فی بلاد المسلمین و هم یعملون الفاحشة ایقام علیهم الحدّ ؟ قال نعم یحکم فیهم باحکام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مارواه الشّیخ</w:t>
      </w:r>
      <w:r>
        <w:rPr>
          <w:rStyle w:val="FootnoteAnchor"/>
          <w:rtl w:val="true"/>
        </w:rPr>
        <w:footnoteReference w:id="753"/>
      </w:r>
      <w:r>
        <w:rPr>
          <w:rFonts w:ascii="IRNazanin" w:hAnsi="IRNazanin" w:eastAsia="IRNazanin"/>
          <w:color w:val="111111"/>
          <w:sz w:val="28"/>
          <w:sz w:val="28"/>
          <w:szCs w:val="28"/>
          <w:rtl w:val="true"/>
          <w:lang w:bidi="fa-IR"/>
        </w:rPr>
        <w:t xml:space="preserve">باسناده عن علیّ بن ابراهیم عن ابیه عن محمّد بن الفرات عن الأصبغ بن نباتة فی ما قدّم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واحداً من الخمسة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اتی بهم عمر اخذوا فی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الأوّل فکان ذمّیّاً فخرج عن ذمّته، لم یکن له حدّ الاّ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یؤیّد ذلک ما ورد من مرسلتی الدّعائم </w:t>
      </w:r>
      <w:r>
        <w:rPr>
          <w:rStyle w:val="FootnoteAnchor"/>
          <w:rtl w:val="true"/>
        </w:rPr>
        <w:footnoteReference w:id="754"/>
      </w:r>
      <w:r>
        <w:rPr>
          <w:rFonts w:ascii="IRNazanin" w:hAnsi="IRNazanin" w:eastAsia="IRNazanin"/>
          <w:color w:val="111111"/>
          <w:sz w:val="28"/>
          <w:sz w:val="28"/>
          <w:szCs w:val="28"/>
          <w:rtl w:val="true"/>
          <w:lang w:bidi="fa-IR"/>
        </w:rPr>
        <w:t>و</w:t>
      </w:r>
      <w:r>
        <w:rPr>
          <w:rStyle w:val="FootnoteAnchor"/>
          <w:rtl w:val="true"/>
        </w:rPr>
        <w:footnoteReference w:id="755"/>
      </w:r>
      <w:r>
        <w:rPr>
          <w:rFonts w:ascii="IRNazanin" w:hAnsi="IRNazanin" w:eastAsia="IRNazanin"/>
          <w:color w:val="111111"/>
          <w:sz w:val="28"/>
          <w:sz w:val="28"/>
          <w:szCs w:val="28"/>
          <w:rtl w:val="true"/>
          <w:lang w:bidi="fa-IR"/>
        </w:rPr>
        <w:t>و مرسلة الغوالی</w:t>
      </w:r>
      <w:r>
        <w:rPr>
          <w:rStyle w:val="FootnoteAnchor"/>
          <w:rtl w:val="true"/>
        </w:rPr>
        <w:footnoteReference w:id="756"/>
      </w:r>
      <w:bookmarkStart w:id="266" w:name="pg3023_22602"/>
    </w:p>
    <w:p>
      <w:pPr>
        <w:pStyle w:val="Heading5"/>
        <w:numPr>
          <w:ilvl w:val="4"/>
          <w:numId w:val="1"/>
        </w:numPr>
        <w:rPr/>
      </w:pPr>
      <w:bookmarkStart w:id="267" w:name="__RefHeading___Toc656819_2749589250"/>
      <w:bookmarkStart w:id="268" w:name="_Toc96"/>
      <w:bookmarkEnd w:id="266"/>
      <w:bookmarkEnd w:id="267"/>
      <w:r>
        <w:rPr>
          <w:rtl w:val="true"/>
        </w:rPr>
        <w:t>لایقام الحدّ علی الزّانی و الجانی فی ارض العدوّ</w:t>
      </w:r>
      <w:bookmarkEnd w:id="268"/>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یقام الحدّ علی الزّانی و الجانی فی ارض العدوّ، مخافة ان تلحقه الحمیّة فیلحق بالعدوّ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 من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السّکونیّ</w:t>
      </w:r>
      <w:r>
        <w:rPr>
          <w:rStyle w:val="FootnoteAnchor"/>
          <w:rtl w:val="true"/>
        </w:rPr>
        <w:footnoteReference w:id="757"/>
      </w:r>
      <w:r>
        <w:rPr>
          <w:rFonts w:ascii="IRNazanin" w:hAnsi="IRNazanin" w:eastAsia="IRNazanin"/>
          <w:color w:val="111111"/>
          <w:sz w:val="28"/>
          <w:sz w:val="28"/>
          <w:szCs w:val="28"/>
          <w:rtl w:val="true"/>
          <w:lang w:bidi="fa-IR"/>
        </w:rPr>
        <w:t xml:space="preserve">عن جعفر بن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محمّد بن ابی بکر کتب الی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زنی بالمرأة الیهودیّة و النّصرانیّة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محصناً فارجمه و انکان بکراً فاجلده مأة جلدة، ثمّ انفه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الیهودیّة فابعث بها الی اهل ملّتها، فلیقضوا فیها مااحبّوا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نحوها روایة صاحب کتاب الغارات</w:t>
      </w:r>
      <w:r>
        <w:rPr>
          <w:rStyle w:val="FootnoteAnchor"/>
          <w:rtl w:val="true"/>
        </w:rPr>
        <w:footnoteReference w:id="758"/>
      </w:r>
      <w:r>
        <w:rPr>
          <w:rFonts w:ascii="IRNazanin" w:hAnsi="IRNazanin" w:eastAsia="IRNazanin"/>
          <w:color w:val="111111"/>
          <w:sz w:val="28"/>
          <w:sz w:val="28"/>
          <w:szCs w:val="28"/>
          <w:rtl w:val="true"/>
          <w:lang w:bidi="fa-IR"/>
        </w:rPr>
        <w:t>عن الحارث عن ربیعة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ابی بکر امیراً علی مصر، فکتب الی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یسأله عن رجل مسلم فجر بامرأة نصرانیّة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قوم زنادقة، فیهم من یعبد الشّمس و القمر، و منهم من یعبد غیر ذلک، و فیهم مرتدّ عن الأسلام ـ الی قوله ـ فکتب الیه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اقم الحدّ فیهم علی المسلم الّذی فجر بانّصرانیّة، و ادفع النّصرانیّة الی النّصاری، یقضون فیها ما شاؤا ـ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صدرها ـ الی قوله ـ بامرأة نصرانیّة، و ذیلها جواب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البحار</w:t>
      </w:r>
      <w:r>
        <w:rPr>
          <w:rStyle w:val="FootnoteAnchor"/>
          <w:rtl w:val="true"/>
        </w:rPr>
        <w:footnoteReference w:id="759"/>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یقام الجلد بل الحدّ مطلقا علی الزّانی و الجانی فی ارض العدوّ، مخافة ان تحمله الحمیّة فی الأوّل فیلحق بالعدوّ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فاقاً فی الأوّل للمبانی و المهذّب و التّبصرة و السّرائر</w:t>
      </w:r>
      <w:r>
        <w:rPr>
          <w:rStyle w:val="FootnoteAnchor"/>
          <w:rtl w:val="true"/>
        </w:rPr>
        <w:footnoteReference w:id="760"/>
      </w:r>
      <w:r>
        <w:rPr>
          <w:rFonts w:ascii="IRNazanin" w:hAnsi="IRNazanin" w:eastAsia="IRNazanin"/>
          <w:color w:val="111111"/>
          <w:sz w:val="28"/>
          <w:sz w:val="28"/>
          <w:szCs w:val="28"/>
          <w:rtl w:val="true"/>
          <w:lang w:bidi="fa-IR"/>
        </w:rPr>
        <w:t>و الشّرایع و الجواهر و فی الحدّ للقواعد،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و عن المنتهی و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لمعتبرة ابی مریم</w:t>
      </w:r>
      <w:r>
        <w:rPr>
          <w:rStyle w:val="FootnoteAnchor"/>
          <w:rtl w:val="true"/>
        </w:rPr>
        <w:footnoteReference w:id="761"/>
      </w:r>
      <w:r>
        <w:rPr>
          <w:rFonts w:ascii="IRNazanin" w:hAnsi="IRNazanin" w:eastAsia="IRNazanin"/>
          <w:color w:val="111111"/>
          <w:sz w:val="28"/>
          <w:sz w:val="28"/>
          <w:szCs w:val="28"/>
          <w:rtl w:val="true"/>
          <w:lang w:bidi="fa-IR"/>
        </w:rPr>
        <w:t xml:space="preserve">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یقام علی احد حدّ بأرض العدوّ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معتبرة غیاث بن ابراهیم</w:t>
      </w:r>
      <w:r>
        <w:rPr>
          <w:rStyle w:val="FootnoteAnchor"/>
          <w:rtl w:val="true"/>
        </w:rPr>
        <w:footnoteReference w:id="762"/>
      </w:r>
      <w:r>
        <w:rPr>
          <w:rFonts w:ascii="IRNazanin" w:hAnsi="IRNazanin" w:eastAsia="IRNazanin"/>
          <w:color w:val="111111"/>
          <w:sz w:val="28"/>
          <w:sz w:val="28"/>
          <w:szCs w:val="28"/>
          <w:rtl w:val="true"/>
          <w:lang w:bidi="fa-IR"/>
        </w:rPr>
        <w:t xml:space="preserve">عن جعفر عن ابیه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اقیم علی رجل حدّاً بأرض العدوّ حتّی یخرج منها، مخافة ان تحمله الحمیّة، فیلحق بالعدوّ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 مرسلة الدّعائم</w:t>
      </w:r>
      <w:r>
        <w:rPr>
          <w:rStyle w:val="FootnoteAnchor"/>
          <w:rtl w:val="true"/>
        </w:rPr>
        <w:footnoteReference w:id="763"/>
      </w:r>
      <w:r>
        <w:rPr>
          <w:rFonts w:ascii="IRNazanin" w:hAnsi="IRNazanin" w:eastAsia="IRNazanin"/>
          <w:color w:val="111111"/>
          <w:sz w:val="28"/>
          <w:sz w:val="28"/>
          <w:szCs w:val="28"/>
          <w:rtl w:val="true"/>
          <w:lang w:bidi="fa-IR"/>
        </w:rPr>
        <w:t xml:space="preserve">عن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الأولی</w:t>
      </w:r>
      <w:r>
        <w:rPr>
          <w:rStyle w:val="FootnoteAnchor"/>
          <w:rtl w:val="true"/>
        </w:rPr>
        <w:footnoteReference w:id="764"/>
      </w:r>
      <w:r>
        <w:rPr>
          <w:rFonts w:ascii="Amiri" w:hAnsi="Amiri" w:eastAsia="Amiri" w:cs="Amiri"/>
          <w:color w:val="111111"/>
          <w:sz w:val="28"/>
          <w:sz w:val="28"/>
          <w:szCs w:val="28"/>
          <w:rtl w:val="true"/>
          <w:lang w:bidi="ar-SA"/>
        </w:rPr>
        <w:t>و انکانت مطلقة؛ الاّ انّ الثّانیة</w:t>
      </w:r>
      <w:r>
        <w:rPr>
          <w:rStyle w:val="FootnoteAnchor"/>
          <w:rtl w:val="true"/>
        </w:rPr>
        <w:footnoteReference w:id="765"/>
      </w:r>
      <w:r>
        <w:rPr>
          <w:rFonts w:ascii="IRNazanin" w:hAnsi="IRNazanin" w:eastAsia="IRNazanin"/>
          <w:color w:val="111111"/>
          <w:sz w:val="28"/>
          <w:sz w:val="28"/>
          <w:szCs w:val="28"/>
          <w:rtl w:val="true"/>
          <w:lang w:bidi="fa-IR"/>
        </w:rPr>
        <w:t>مختصّة بغیر القتل و الرّجم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تنافی بینها حتّی یقیّد الأولی بالثّانیة، فلا مانع من الأخذ باطلاق الأولی، و کذلک فی الخوف و عدمه، حتّی اذا لم یخف الألتحاق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الخوف حکمة لا علّة، حتّی تشمل ارض الصّدیق ایضاً، یظهر هذا بأذنی تأمّل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اقیم الخ، فأنّه ظاهر فی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 نکرة فی سیاق النّفی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تعلیله بالمخافة یدلّ علی انّ الحدّ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مظنّة اللّحوق، و لو بعد 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بذلک یظهر النّظر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تقیید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بما اذا خیف؛ لا مطلقا</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ربّما یظهر الموافقة لما ذکرنا من صاحب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لعنوانه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بباب انّه لا یقام الحدّ علی احد فی ارض العدوّ</w:t>
      </w:r>
      <w:r>
        <w:rPr>
          <w:rFonts w:eastAsia="IRNazanin" w:cs="IRNazanin"/>
          <w:color w:val="111111"/>
          <w:sz w:val="28"/>
          <w:szCs w:val="28"/>
          <w:rtl w:val="true"/>
          <w:lang w:bidi="fa-IR"/>
        </w:rPr>
        <w:t>.</w:t>
      </w:r>
      <w:bookmarkStart w:id="269" w:name="pg3023_22604"/>
    </w:p>
    <w:p>
      <w:pPr>
        <w:pStyle w:val="Heading5"/>
        <w:numPr>
          <w:ilvl w:val="4"/>
          <w:numId w:val="1"/>
        </w:numPr>
        <w:rPr/>
      </w:pPr>
      <w:bookmarkStart w:id="270" w:name="__RefHeading___Toc656821_2749589250"/>
      <w:bookmarkStart w:id="271" w:name="_Toc97"/>
      <w:bookmarkEnd w:id="269"/>
      <w:bookmarkEnd w:id="270"/>
      <w:r>
        <w:rPr>
          <w:rtl w:val="true"/>
        </w:rPr>
        <w:t xml:space="preserve">اذا جنی فی غیر الحرم ثمّ التجأ الی الحرم و حکم مالو جنی فی الحرم </w:t>
      </w:r>
      <w:r>
        <w:rPr>
          <w:rtl w:val="true"/>
        </w:rPr>
        <w:t>(</w:t>
      </w:r>
      <w:r>
        <w:rPr>
          <w:rtl w:val="true"/>
        </w:rPr>
        <w:t>فی کیفیّة ایقاع الحدّ</w:t>
      </w:r>
      <w:r>
        <w:rPr>
          <w:rtl w:val="true"/>
        </w:rPr>
        <w:t>)</w:t>
      </w:r>
      <w:bookmarkEnd w:id="271"/>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جنی فی غیر الحرم ثمّ التجأ الی الحرم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یقام علیه الحدّ؛ بل یضیّق علیه، فلا یطعم و لا یسقی و لا یکلّم و لا یبایع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جنی فی الحرم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فیقام علیه الحدّ فیه و لا یجوز التّأخیر الی خارجه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جنی فی غیر الحرم، ثمّ لجأ الی الحرم فلا یقام علیه الحدّ هناک، و یضیّق علیه فلا یطعم و لا یسقی و لا یکلّم و لا یبایع بلا خلاف و 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ذخله کان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النّسبة بینها و بین ادلّة الحدود و ان کانت بالعموم من وجه، کلنّ الأیة حاکمة، و لا تلاحظ النّسبة بین الحاکم و المحکوم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جنی فی الحرم فلا مانع من اقامته علیه هناک، بل لا یجوز التّأخیر الی خارجه بلا خلاف و لا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هشام بن الحکم</w:t>
      </w:r>
      <w:r>
        <w:rPr>
          <w:rStyle w:val="FootnoteAnchor"/>
          <w:rtl w:val="true"/>
        </w:rPr>
        <w:footnoteReference w:id="766"/>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یجنی فی غیر الحرم، ثمّ یلجأ الی الحرم ؟ قال لا یقام علیه الحدّ و لا یطعم و لا یسقی و لا یکلّم و لا یبایع، فأنّه اذا فعل به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یوشک ان یخرج، فیقام علیه الحدّ، و ان جنی فی الحرم جنایة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اقیم علیه الحدّ فی الحرم، فأنّه لم یر للحرم 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فی الجعفریّات مسنداً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 قتل قتیلاً او اذنب ذنباً نحواً منها</w:t>
      </w:r>
      <w:r>
        <w:rPr>
          <w:rStyle w:val="FootnoteAnchor"/>
          <w:rtl w:val="true"/>
        </w:rPr>
        <w:footnoteReference w:id="767"/>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مقتضی اطلاق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الفرق فی جنایته، بین ما اذا او جبت قتلاً برجم او غیره، او جلداً وحده، او منضمّاً الی غیره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هناک روایات، مسند بعضها و مرسل آخر فی ما اذا بال فی الکعبة؛ معانداً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من الکعبة و الحرم و ضربت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انّ العمل بها اولی و احوط</w:t>
      </w:r>
      <w:r>
        <w:rPr>
          <w:rFonts w:eastAsia="IRNazanin" w:cs="IRNazanin"/>
          <w:color w:val="111111"/>
          <w:sz w:val="28"/>
          <w:szCs w:val="28"/>
          <w:rtl w:val="true"/>
          <w:lang w:bidi="fa-IR"/>
        </w:rPr>
        <w:t>.</w:t>
      </w:r>
      <w:bookmarkStart w:id="272" w:name="pg3023_22605"/>
    </w:p>
    <w:p>
      <w:pPr>
        <w:pStyle w:val="Heading3"/>
        <w:numPr>
          <w:ilvl w:val="2"/>
          <w:numId w:val="1"/>
        </w:numPr>
        <w:rPr/>
      </w:pPr>
      <w:bookmarkStart w:id="273" w:name="__RefHeading___Toc656823_2749589250"/>
      <w:bookmarkStart w:id="274" w:name="_Toc98"/>
      <w:bookmarkEnd w:id="272"/>
      <w:bookmarkEnd w:id="273"/>
      <w:r>
        <w:rPr>
          <w:rtl w:val="true"/>
        </w:rPr>
        <w:t>فی کیفیّة ایقاع الحدّ</w:t>
      </w:r>
      <w:r>
        <w:rPr>
          <w:rtl w:val="true"/>
        </w:rPr>
        <w:t>:</w:t>
      </w:r>
      <w:bookmarkEnd w:id="274"/>
    </w:p>
    <w:p>
      <w:pPr>
        <w:pStyle w:val="Heading4"/>
        <w:numPr>
          <w:ilvl w:val="3"/>
          <w:numId w:val="1"/>
        </w:numPr>
        <w:rPr/>
      </w:pPr>
      <w:bookmarkStart w:id="275" w:name="__RefHeading___Toc656825_2749589250"/>
      <w:bookmarkStart w:id="276" w:name="_Toc99"/>
      <w:bookmarkEnd w:id="275"/>
      <w:r>
        <w:rPr>
          <w:rtl w:val="true"/>
        </w:rPr>
        <w:t>(</w:t>
      </w:r>
      <w:r>
        <w:rPr>
          <w:rtl w:val="true"/>
        </w:rPr>
        <w:t>و فیها مسائل</w:t>
      </w:r>
      <w:r>
        <w:rPr>
          <w:rtl w:val="true"/>
        </w:rPr>
        <w:t>)</w:t>
      </w:r>
      <w:bookmarkEnd w:id="276"/>
    </w:p>
    <w:p>
      <w:pPr>
        <w:pStyle w:val="Heading5"/>
        <w:numPr>
          <w:ilvl w:val="4"/>
          <w:numId w:val="1"/>
        </w:numPr>
        <w:rPr/>
      </w:pPr>
      <w:bookmarkStart w:id="277" w:name="__RefHeading___Toc656827_2749589250"/>
      <w:bookmarkStart w:id="278" w:name="_Toc100"/>
      <w:bookmarkEnd w:id="277"/>
      <w:r>
        <w:rPr>
          <w:rtl w:val="true"/>
        </w:rPr>
        <w:t>الاولی</w:t>
      </w:r>
      <w:r>
        <w:rPr>
          <w:rtl w:val="true"/>
        </w:rPr>
        <w:t xml:space="preserve">: </w:t>
      </w:r>
      <w:r>
        <w:rPr>
          <w:rtl w:val="true"/>
        </w:rPr>
        <w:t>اذا اجتمعت حدود یجمع بینها بما لا یفوت مع واحد آخر</w:t>
      </w:r>
      <w:bookmarkEnd w:id="278"/>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اجتمع الجلد و الرّجم او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یبدء بالجلد، ثمّ یرجم او یقتل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اجتمعت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فیجمع بینها بما لا یفوت مع واحد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منها حسنة عبد الرّحیم</w:t>
      </w:r>
      <w:r>
        <w:rPr>
          <w:rStyle w:val="FootnoteAnchor"/>
          <w:rtl w:val="true"/>
        </w:rPr>
        <w:footnoteReference w:id="769"/>
      </w:r>
      <w:r>
        <w:rPr>
          <w:rFonts w:ascii="IRNazanin" w:hAnsi="IRNazanin" w:eastAsia="IRNazanin"/>
          <w:color w:val="111111"/>
          <w:sz w:val="28"/>
          <w:sz w:val="28"/>
          <w:szCs w:val="28"/>
          <w:rtl w:val="true"/>
          <w:lang w:bidi="fa-IR"/>
        </w:rPr>
        <w:t xml:space="preserve">القصیر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حدیث الأسلام و الأیمان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مضمرة سماعة المعتبرة</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مقتضی اطلاق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الفرق فی الطّعم و السّقی بین ما یتوقّف علیه حفظ رمقه و ما لا یتوقّف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فی الجواهر فسّر قول صاحب الشّرایع، الّذی هو کعبارة القواعد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یضیّق علیه فی المطعم و المشرب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یقتصر علی ما یسدّ به الرّمق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الأستیناس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فی الرّوایة، من انّ القصد حیاته، کی یخرج فیقام علیه الحدّ، و بأنّ المقام من موارد تزاحم التّکلیفین، لو جوب حفظ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w:t>
      </w:r>
    </w:p>
    <w:p>
      <w:pPr>
        <w:pStyle w:val="BookText"/>
        <w:rPr/>
      </w:pPr>
      <w:r>
        <w:rPr>
          <w:rFonts w:ascii="IRNazanin" w:hAnsi="IRNazanin" w:eastAsia="IRNazanin"/>
          <w:color w:val="111111"/>
          <w:sz w:val="28"/>
          <w:sz w:val="28"/>
          <w:szCs w:val="28"/>
          <w:rtl w:val="true"/>
          <w:lang w:bidi="fa-IR"/>
        </w:rPr>
        <w:t>الحق فی محکیّ النّهایة و التّحریر بحرم الله فیما تقدّم من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رسول الله 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محکیّ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دلیل علیه غیر الأعتبار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کیفیّة ایقاع الحدّ، و فیه 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اجتمع الجلد و الرّجم او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یبدء بالجلد ثمّ الرّجم او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اذا اجتمعت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یجمع بینها بما لا یفوت مع واحد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لوجوب العمل بکلا الحکمین واجراء کلا الحدّین، او الأحکام و الحدود، او السّببین و 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بین ما اذا کان هناک حقّ آدمیّ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الأمر فی القصاص فیما یمکن الجمع</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ذلک مع انّه مقتضی القاعدة و لا خلاف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عدّة،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صحیحة زرارة</w:t>
      </w:r>
      <w:r>
        <w:rPr>
          <w:rStyle w:val="FootnoteAnchor"/>
          <w:rtl w:val="true"/>
        </w:rPr>
        <w:footnoteReference w:id="771"/>
      </w:r>
      <w:r>
        <w:rPr>
          <w:rFonts w:ascii="IRNazanin" w:hAnsi="IRNazanin" w:eastAsia="IRNazanin"/>
          <w:color w:val="111111"/>
          <w:sz w:val="28"/>
          <w:sz w:val="28"/>
          <w:szCs w:val="28"/>
          <w:rtl w:val="true"/>
          <w:lang w:bidi="fa-IR"/>
        </w:rPr>
        <w:t xml:space="preserve">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 رجل اجتمعت علیه حدود؛ فیها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یبدء بالحدود الّتی هی دون القتل، ثمّ یقتل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قریب منها صحیحة عبدالله بن سنان</w:t>
      </w:r>
      <w:r>
        <w:rPr>
          <w:rStyle w:val="FootnoteAnchor"/>
          <w:rtl w:val="true"/>
        </w:rPr>
        <w:footnoteReference w:id="772"/>
      </w:r>
      <w:r>
        <w:rPr>
          <w:rFonts w:ascii="IRNazanin" w:hAnsi="IRNazanin" w:eastAsia="IRNazanin"/>
          <w:color w:val="111111"/>
          <w:sz w:val="28"/>
          <w:sz w:val="28"/>
          <w:szCs w:val="28"/>
          <w:rtl w:val="true"/>
          <w:lang w:bidi="fa-IR"/>
        </w:rPr>
        <w:t xml:space="preserve">و ابن بکیر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موثّقة عبید بن زرارة</w:t>
      </w:r>
      <w:r>
        <w:rPr>
          <w:rStyle w:val="FootnoteAnchor"/>
          <w:rtl w:val="true"/>
        </w:rPr>
        <w:footnoteReference w:id="773"/>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یؤخذ و علیه 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احدها القتل؟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یقیم علیه الحدّ ثمّ یقتله، و لا تخالف 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نحوه ما رواه ابن مسلم</w:t>
      </w:r>
      <w:r>
        <w:rPr>
          <w:rStyle w:val="FootnoteAnchor"/>
          <w:rtl w:val="true"/>
        </w:rPr>
        <w:footnoteReference w:id="774"/>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صحیحة حمّاد بن عثمان</w:t>
      </w:r>
      <w:r>
        <w:rPr>
          <w:rStyle w:val="FootnoteAnchor"/>
          <w:rtl w:val="true"/>
        </w:rPr>
        <w:footnoteReference w:id="775"/>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یکون علیه الحدود، منها القتل؟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تقام علیه الحدود، ثمّ 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قریب منها مرسلة الدّعائم</w:t>
      </w:r>
      <w:r>
        <w:rPr>
          <w:rStyle w:val="FootnoteAnchor"/>
          <w:rtl w:val="true"/>
        </w:rPr>
        <w:footnoteReference w:id="776"/>
      </w:r>
      <w:r>
        <w:rPr>
          <w:rFonts w:ascii="IRNazanin" w:hAnsi="IRNazanin" w:eastAsia="IRNazanin"/>
          <w:color w:val="111111"/>
          <w:sz w:val="28"/>
          <w:sz w:val="28"/>
          <w:szCs w:val="28"/>
          <w:rtl w:val="true"/>
          <w:lang w:bidi="fa-IR"/>
        </w:rPr>
        <w:t xml:space="preserve">عن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ذیلها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کذلک لو اجتمعت علیه حدود کثیرة، فیها القتل، لکان یبدء باحدود الّتی دون القتل ثمّ 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علیّ بن جعفر</w:t>
      </w:r>
      <w:r>
        <w:rPr>
          <w:rStyle w:val="FootnoteAnchor"/>
          <w:rtl w:val="true"/>
        </w:rPr>
        <w:footnoteReference w:id="777"/>
      </w:r>
      <w:r>
        <w:rPr>
          <w:rFonts w:ascii="IRNazanin" w:hAnsi="IRNazanin" w:eastAsia="IRNazanin"/>
          <w:color w:val="111111"/>
          <w:sz w:val="28"/>
          <w:sz w:val="28"/>
          <w:szCs w:val="28"/>
          <w:rtl w:val="true"/>
          <w:lang w:bidi="fa-IR"/>
        </w:rPr>
        <w:t xml:space="preserve">عن اخیه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 رجل اخذ و علیه ثلاثة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و الزّنا و السّرقة بأیّها یبدء به من الحدود؟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بحدّ الخمر، ثمّ السّرقة، ثمّ الزّنا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روایة سماعة</w:t>
      </w:r>
      <w:r>
        <w:rPr>
          <w:rStyle w:val="FootnoteAnchor"/>
          <w:rtl w:val="true"/>
        </w:rPr>
        <w:footnoteReference w:id="778"/>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 قتل و شرب خمراً و سرق، فأقام علیه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فجلده لشربه الخمر، و قطع یده فی سرقته و قتله بقتله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المبسوط و صریح 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القتل عن بعض العامّة، و اسنده فی الخلاف</w:t>
      </w:r>
      <w:r>
        <w:rPr>
          <w:rStyle w:val="FootnoteAnchor"/>
          <w:rtl w:val="true"/>
        </w:rPr>
        <w:footnoteReference w:id="779"/>
      </w:r>
      <w:r>
        <w:rPr>
          <w:rFonts w:ascii="IRNazanin" w:hAnsi="IRNazanin" w:eastAsia="IRNazanin"/>
          <w:color w:val="111111"/>
          <w:sz w:val="28"/>
          <w:sz w:val="28"/>
          <w:szCs w:val="28"/>
          <w:rtl w:val="true"/>
          <w:lang w:bidi="fa-IR"/>
        </w:rPr>
        <w:t>الی ابی حنیفة و النخعیّ</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فیه</w:t>
      </w:r>
      <w:r>
        <w:rPr>
          <w:rStyle w:val="FootnoteAnchor"/>
          <w:rtl w:val="true"/>
        </w:rPr>
        <w:footnoteReference w:id="7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اجتمع حدّ القذف و حدّ الزّنا و حدّ السّرقة و وجوب القطع،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و قطع الید و الرّجل بالمحاربة، و اخذ المال فیها، و وجب علیه القود بقتل فی غیر المحاربة، فاجتمع حدّان علیه، و قطعان و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فأنّه تستوفی منه الحدود کلّها، ثمّ یقتل</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قال الشّافعیّ</w:t>
      </w:r>
      <w:r>
        <w:rPr>
          <w:rFonts w:eastAsia="Amiri" w:cs="Amiri" w:ascii="Amiri" w:hAnsi="Amiri"/>
          <w:color w:val="111111"/>
          <w:sz w:val="28"/>
          <w:szCs w:val="28"/>
          <w:rtl w:val="true"/>
          <w:lang w:bidi="ar-SA"/>
        </w:rPr>
        <w:t>.</w:t>
      </w:r>
      <w:r>
        <w:rPr>
          <w:rStyle w:val="FootnoteAnchor"/>
          <w:rtl w:val="true"/>
        </w:rPr>
        <w:footnoteReference w:id="781"/>
      </w:r>
      <w:r>
        <w:rPr>
          <w:rFonts w:ascii="IRNazanin" w:hAnsi="IRNazanin" w:eastAsia="IRNazanin"/>
          <w:color w:val="111111"/>
          <w:sz w:val="28"/>
          <w:sz w:val="28"/>
          <w:szCs w:val="28"/>
          <w:rtl w:val="true"/>
          <w:lang w:bidi="fa-IR"/>
        </w:rPr>
        <w:t>و قال ابو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یسقط کلّها و 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القتل یأتی علی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ذلک عن ابن مسعود و هو قول النّخعیّ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لأبی حنیفة تفصیل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یقتل بغیر حدّ الاّ حدّ القذف، فأنّه یقام علیه الحدّ ثمّ یقتل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ثمّ</w:t>
      </w:r>
      <w:r>
        <w:rPr>
          <w:rStyle w:val="FootnoteAnchor"/>
          <w:rtl w:val="true"/>
        </w:rPr>
        <w:footnoteReference w:id="783"/>
      </w:r>
      <w:r>
        <w:rPr>
          <w:rFonts w:ascii="IRNazanin" w:hAnsi="IRNazanin" w:eastAsia="IRNazanin"/>
          <w:color w:val="111111"/>
          <w:sz w:val="28"/>
          <w:sz w:val="28"/>
          <w:szCs w:val="28"/>
          <w:rtl w:val="true"/>
          <w:lang w:bidi="fa-IR"/>
        </w:rPr>
        <w:t>استدلّ الشّیخ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فوجب اقامة هذه الحدود کلّها لهذه الظّواهر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ادّعی تداخلها فعلیه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المبسوط</w:t>
      </w:r>
      <w:r>
        <w:rPr>
          <w:rStyle w:val="FootnoteAnchor"/>
          <w:rtl w:val="true"/>
        </w:rPr>
        <w:footnoteReference w:id="784"/>
      </w:r>
      <w:r>
        <w:rPr>
          <w:rFonts w:ascii="IRNazanin" w:hAnsi="IRNazanin" w:eastAsia="IRNazanin"/>
          <w:color w:val="111111"/>
          <w:sz w:val="28"/>
          <w:sz w:val="28"/>
          <w:szCs w:val="28"/>
          <w:rtl w:val="true"/>
          <w:lang w:bidi="fa-IR"/>
        </w:rPr>
        <w:t>نحوه، الی قوله تستوفی کلّها منه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یقتل عندنا و عند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یسقط کلّها منه و یقتل، فأنّ القتل یأتی علی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 تفصیلاً مشبعاً فی تقدیم بعضها علی بعض بما لایخلو بعضه عن 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اشارة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روایة 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البدئة بحدّ الخمر ثمّ السّرقة، ثمّ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 الطّرفین حقّ الله، و الوسط 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بعضهم تقدیم حقّ الأدمیّ؛ لو طالبه، فیما اذا کان موجب الحقّین الفوات، و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کانا معاً حقّ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الجواهر</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الشّیخان</w:t>
      </w:r>
      <w:r>
        <w:rPr>
          <w:rStyle w:val="FootnoteAnchor"/>
          <w:rtl w:val="true"/>
        </w:rPr>
        <w:footnoteReference w:id="785"/>
      </w:r>
      <w:r>
        <w:rPr>
          <w:rFonts w:ascii="IRNazanin" w:hAnsi="IRNazanin" w:eastAsia="IRNazanin"/>
          <w:color w:val="111111"/>
          <w:sz w:val="28"/>
          <w:sz w:val="28"/>
          <w:szCs w:val="28"/>
          <w:rtl w:val="true"/>
          <w:lang w:bidi="fa-IR"/>
        </w:rPr>
        <w:t>و الحلبیّ و بنو زهرة و حمزة و البرّج 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انتظار برء المجلود</w:t>
      </w:r>
      <w:bookmarkStart w:id="279" w:name="pg3023_22610"/>
    </w:p>
    <w:p>
      <w:pPr>
        <w:pStyle w:val="Heading5"/>
        <w:numPr>
          <w:ilvl w:val="4"/>
          <w:numId w:val="1"/>
        </w:numPr>
        <w:rPr/>
      </w:pPr>
      <w:bookmarkStart w:id="280" w:name="__RefHeading___Toc656829_2749589250"/>
      <w:bookmarkStart w:id="281" w:name="_Toc101"/>
      <w:bookmarkEnd w:id="279"/>
      <w:bookmarkEnd w:id="280"/>
      <w:r>
        <w:rPr>
          <w:rtl w:val="true"/>
        </w:rPr>
        <w:t>الثّانیة</w:t>
      </w:r>
      <w:r>
        <w:rPr>
          <w:rtl w:val="true"/>
        </w:rPr>
        <w:t xml:space="preserve">: </w:t>
      </w:r>
      <w:r>
        <w:rPr>
          <w:rtl w:val="true"/>
        </w:rPr>
        <w:t>الاولی عدم اقام الحدّ فی شدّة البرد و الحرّ</w:t>
      </w:r>
      <w:bookmarkEnd w:id="281"/>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و الأحوط ان لا یقام الحدّ غیر القتل فی شدّة البرد ولا فی شدّة الحرّ بل یتوخّی وسط النّهار فی الشّتاء و طرفاه فی الصّیف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ثمّ یرجم، لأحتمال کون 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المبالغة فی الزّجر و زیادة العقوبة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السّرائر</w:t>
      </w:r>
      <w:r>
        <w:rPr>
          <w:rStyle w:val="FootnoteAnchor"/>
          <w:rtl w:val="true"/>
        </w:rPr>
        <w:footnoteReference w:id="7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روی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یرجم حتّی یبرء جلده، فاذا برء 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الرّوایة علی جهة الأستحباب، دون الفرض و الأیجاب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الغرض فی 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اتلافه و اهلاکه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جلده؛ قبل رجمه بیوم، لفعل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اذ ورد</w:t>
      </w:r>
      <w:r>
        <w:rPr>
          <w:rStyle w:val="FootnoteAnchor"/>
          <w:rtl w:val="true"/>
        </w:rPr>
        <w:footnoteReference w:id="787"/>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شراحه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الهمدانیّة یوم الخمیس و رجمها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غوالی اللّئالی</w:t>
      </w:r>
      <w:r>
        <w:rPr>
          <w:rStyle w:val="FootnoteAnchor"/>
          <w:rtl w:val="true"/>
        </w:rPr>
        <w:footnoteReference w:id="788"/>
      </w:r>
      <w:r>
        <w:rPr>
          <w:rFonts w:ascii="IRNazanin" w:hAnsi="IRNazanin" w:eastAsia="IRNazanin"/>
          <w:color w:val="111111"/>
          <w:sz w:val="28"/>
          <w:sz w:val="28"/>
          <w:szCs w:val="28"/>
          <w:rtl w:val="true"/>
          <w:lang w:bidi="fa-IR"/>
        </w:rPr>
        <w:t>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تحدّها حدّین؟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جلدتها بکتاب الله و رجمتها بسنّة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المبسوط</w:t>
      </w:r>
      <w:r>
        <w:rPr>
          <w:rStyle w:val="FootnoteAnchor"/>
          <w:rtl w:val="true"/>
        </w:rPr>
        <w:footnoteReference w:id="789"/>
      </w:r>
      <w:r>
        <w:rPr>
          <w:rFonts w:ascii="IRNazanin" w:hAnsi="IRNazanin" w:eastAsia="IRNazanin"/>
          <w:color w:val="111111"/>
          <w:sz w:val="28"/>
          <w:sz w:val="28"/>
          <w:szCs w:val="28"/>
          <w:rtl w:val="true"/>
          <w:lang w:bidi="fa-IR"/>
        </w:rPr>
        <w:t>بتأخیر الجلد فی شدّة الحرّ او البرد الی اعتدال الهواء لئلاّ یتلف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قریب ممّا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السّرائر</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الشّرایع و نحوه 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یقام الحدّ فی شدّة البرد و لا فی شدّة الحرّ و یتوخّی به فی الشّتاء، وسط النّهار و فی الصّیف طرفاه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الجواهر اورد کالدّلیل روایات کلّها مشترکة فی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بأس بالعمل بها، 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انجبار ضعفها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باعتماد الأصحاب، او الأتّکال علی اخبار من بلغ،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یخلو من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انّه یمکن الأستدلال لبعض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فی الجواهر معلّقاً بعد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شدّة الحرّ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خشیة الهلاک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فمن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مانقله هشام بن احمر</w:t>
      </w:r>
      <w:r>
        <w:rPr>
          <w:rStyle w:val="FootnoteAnchor"/>
          <w:rtl w:val="true"/>
        </w:rPr>
        <w:footnoteReference w:id="791"/>
      </w:r>
      <w:r>
        <w:rPr>
          <w:rFonts w:ascii="IRNazanin" w:hAnsi="IRNazanin" w:eastAsia="IRNazanin"/>
          <w:color w:val="111111"/>
          <w:sz w:val="28"/>
          <w:sz w:val="28"/>
          <w:szCs w:val="28"/>
          <w:rtl w:val="true"/>
          <w:lang w:bidi="fa-IR"/>
        </w:rPr>
        <w:t xml:space="preserve">عن العبد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جالساً فی المسجد و أنا معه، فسمع صوت رجل یضرب، صلاة الغداة، فی یوم شدید البرد، فقال ما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یضرب، فقال سبحان الله، فی هذه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یضرب احد فی شیئ من الحدود فی الشّتاء؛ الاّ فی احرّ ساعة من النّهار، و لا فی الصّیف؛ الاّ ابرد ما یکون من النّهار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مرسلة الی داود المسترقّ</w:t>
      </w:r>
      <w:r>
        <w:rPr>
          <w:rStyle w:val="FootnoteAnchor"/>
          <w:rtl w:val="true"/>
        </w:rPr>
        <w:footnoteReference w:id="792"/>
      </w:r>
      <w:r>
        <w:rPr>
          <w:rFonts w:ascii="IRNazanin" w:hAnsi="IRNazanin" w:eastAsia="IRNazanin"/>
          <w:color w:val="111111"/>
          <w:sz w:val="28"/>
          <w:sz w:val="28"/>
          <w:szCs w:val="28"/>
          <w:rtl w:val="true"/>
          <w:lang w:bidi="fa-IR"/>
        </w:rPr>
        <w:t>عن بعض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مع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رجل یضرب بالسّیاط ـ 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للضّرب حدّ ؟ قال نعم، اذا کان فی البرد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فی حرّ النّهار، و اذا کان فی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فی برد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مرسلة سعدان بن مسلم</w:t>
      </w:r>
      <w:r>
        <w:rPr>
          <w:rStyle w:val="FootnoteAnchor"/>
          <w:rtl w:val="true"/>
        </w:rPr>
        <w:footnoteReference w:id="793"/>
      </w:r>
      <w:r>
        <w:rPr>
          <w:rFonts w:ascii="IRNazanin" w:hAnsi="IRNazanin" w:eastAsia="IRNazanin"/>
          <w:color w:val="111111"/>
          <w:sz w:val="28"/>
          <w:sz w:val="28"/>
          <w:szCs w:val="28"/>
          <w:rtl w:val="true"/>
          <w:lang w:bidi="fa-IR"/>
        </w:rPr>
        <w:t xml:space="preserve">عن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حیث سألة الرّاوی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حین مرّ بالرّجل یحدّ فی الشّتاء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ما ینبغی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ینبغی لمن یحدّ فی الشّتاء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یحدّ فی حرّ النّهار، و لمن حدّ فی الصّیف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یحدّ فی برد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مرسلة النّوادر</w:t>
      </w:r>
      <w:r>
        <w:rPr>
          <w:rStyle w:val="FootnoteAnchor"/>
          <w:rtl w:val="true"/>
        </w:rPr>
        <w:footnoteReference w:id="794"/>
      </w:r>
      <w:r>
        <w:rPr>
          <w:rFonts w:ascii="IRNazanin" w:hAnsi="IRNazanin" w:eastAsia="IRNazanin"/>
          <w:color w:val="111111"/>
          <w:sz w:val="28"/>
          <w:sz w:val="28"/>
          <w:szCs w:val="28"/>
          <w:rtl w:val="true"/>
          <w:lang w:bidi="fa-IR"/>
        </w:rPr>
        <w:t xml:space="preserve">و 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کیف کان فموردها الجلد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الرّوایة الأخیرة، ینبغی لمن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یشعر بالأستحباب؛ لو لم یکن ظاهراً فیه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استظهر فی الجواهر من النّصّ و الفتوی، کما اعترف به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ذلک الحکم علی الوجوب، و انّه لو اقامه علی غیر الوجه المزبور ضمن، کما فی المهذّب بعد أنت ادّعی الأجماع علی اصل الحکم، استناداً الی کون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الأقتصار علی ضرب الحدّ فقط، لا ما یوجب ضرراً آخر، و لو کان من الحدّ</w:t>
      </w:r>
      <w:r>
        <w:rPr>
          <w:rFonts w:eastAsia="IRNazanin" w:cs="IRNazanin"/>
          <w:color w:val="111111"/>
          <w:sz w:val="28"/>
          <w:szCs w:val="28"/>
          <w:rtl w:val="true"/>
          <w:lang w:bidi="fa-IR"/>
        </w:rPr>
        <w:t>.</w:t>
      </w:r>
      <w:bookmarkStart w:id="282" w:name="pg3023_22612"/>
    </w:p>
    <w:p>
      <w:pPr>
        <w:pStyle w:val="Heading5"/>
        <w:numPr>
          <w:ilvl w:val="4"/>
          <w:numId w:val="1"/>
        </w:numPr>
        <w:rPr/>
      </w:pPr>
      <w:bookmarkStart w:id="283" w:name="__RefHeading___Toc656831_2749589250"/>
      <w:bookmarkStart w:id="284" w:name="_Toc102"/>
      <w:bookmarkEnd w:id="282"/>
      <w:bookmarkEnd w:id="283"/>
      <w:r>
        <w:rPr>
          <w:rtl w:val="true"/>
        </w:rPr>
        <w:t>الثّالثة</w:t>
      </w:r>
      <w:r>
        <w:rPr>
          <w:rtl w:val="true"/>
        </w:rPr>
        <w:t xml:space="preserve">: </w:t>
      </w:r>
      <w:r>
        <w:rPr>
          <w:rtl w:val="true"/>
        </w:rPr>
        <w:t>دفن الرّجل عند الرّجم الی حقویه و المرأة الی صدرها</w:t>
      </w:r>
      <w:bookmarkEnd w:id="284"/>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یدفن الرّجل عند الرّجم الی حقویه، و المرأة الی صدرها علی المشهور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تتمیم  </w:t>
      </w:r>
    </w:p>
    <w:p>
      <w:pPr>
        <w:pStyle w:val="BookText"/>
        <w:rPr/>
      </w:pPr>
      <w:r>
        <w:rPr>
          <w:rFonts w:ascii="IRNazanin" w:hAnsi="IRNazanin" w:eastAsia="IRNazanin"/>
          <w:color w:val="111111"/>
          <w:sz w:val="28"/>
          <w:sz w:val="28"/>
          <w:szCs w:val="28"/>
          <w:rtl w:val="true"/>
          <w:lang w:bidi="fa-IR"/>
        </w:rPr>
        <w:t>الحق العلاّمة 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الرّجم باحدّ، المراد به الجلد، فی عدم الأقامة فی حرّ، او برد شدیدین؛ ان توهّم سقوطه برجوعه او توبته او فراره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علّله فی 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بالأحتیاط فی الدّم، و الأبقاء علیه ما امکن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لا دلیل علیه، الاّ انّه لا بأس به بهذا القدر من التّأخیر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یدفن الرّجل عند الرّجم الی حقویه، و المرأة الی صدرها علی الأشهر او المشهور فیهما، کما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علیه فی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سماعة</w:t>
      </w:r>
      <w:r>
        <w:rPr>
          <w:rStyle w:val="FootnoteAnchor"/>
          <w:rtl w:val="true"/>
        </w:rPr>
        <w:footnoteReference w:id="796"/>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تدفن المرأً الی وسطها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یرمی الأمام و یرمی النّاس بأحجار صغار و لا یدفن الرّجل اذا رجم الاّ الی حقویه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المرأة صحیحة ابی مریم</w:t>
      </w:r>
      <w:r>
        <w:rPr>
          <w:rStyle w:val="FootnoteAnchor"/>
          <w:rtl w:val="true"/>
        </w:rPr>
        <w:footnoteReference w:id="797"/>
      </w:r>
      <w:r>
        <w:rPr>
          <w:rFonts w:ascii="IRNazanin" w:hAnsi="IRNazanin" w:eastAsia="IRNazanin"/>
          <w:color w:val="111111"/>
          <w:sz w:val="28"/>
          <w:sz w:val="28"/>
          <w:szCs w:val="28"/>
          <w:rtl w:val="true"/>
          <w:lang w:bidi="fa-IR"/>
        </w:rPr>
        <w:t xml:space="preserve">المتقدّمة فی صفحة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امر بها بعد ذلک فحفر لها حفیرة فی الرّحبة و خاط علیها ثوباً جدیداً و ادخلها الحفیرة الی الحقو و موضع الثّدیین  اغلق باب الرّحبة ورماها بحجر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بها یعیّن حدّ الوسط الوارد فی موثّقة سماعة</w:t>
      </w:r>
      <w:r>
        <w:rPr>
          <w:rStyle w:val="FootnoteAnchor"/>
          <w:rtl w:val="true"/>
        </w:rPr>
        <w:footnoteReference w:id="798"/>
      </w:r>
      <w:r>
        <w:rPr>
          <w:rFonts w:ascii="IRNazanin" w:hAnsi="IRNazanin" w:eastAsia="IRNazanin"/>
          <w:color w:val="111111"/>
          <w:sz w:val="28"/>
          <w:sz w:val="28"/>
          <w:szCs w:val="28"/>
          <w:rtl w:val="true"/>
          <w:lang w:bidi="fa-IR"/>
        </w:rPr>
        <w:t>و معتبرة ابی بصیر</w:t>
      </w:r>
      <w:r>
        <w:rPr>
          <w:rStyle w:val="FootnoteAnchor"/>
          <w:rtl w:val="true"/>
        </w:rPr>
        <w:footnoteReference w:id="79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تدفن المرأة الی وسطها اذا ارادوا ان یرجموها الخ</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نحوه ما فی نوادر احمد بن عیسی</w:t>
      </w:r>
      <w:r>
        <w:rPr>
          <w:rStyle w:val="FootnoteAnchor"/>
          <w:rtl w:val="true"/>
        </w:rPr>
        <w:footnoteReference w:id="800"/>
      </w:r>
      <w:r>
        <w:rPr>
          <w:rFonts w:ascii="IRNazanin" w:hAnsi="IRNazanin" w:eastAsia="IRNazanin"/>
          <w:color w:val="111111"/>
          <w:sz w:val="28"/>
          <w:sz w:val="28"/>
          <w:szCs w:val="28"/>
          <w:rtl w:val="true"/>
          <w:lang w:bidi="fa-IR"/>
        </w:rPr>
        <w:t>و فی مرسلة الدّعائم</w:t>
      </w:r>
      <w:r>
        <w:rPr>
          <w:rStyle w:val="FootnoteAnchor"/>
          <w:rtl w:val="true"/>
        </w:rPr>
        <w:footnoteReference w:id="8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یدفن المرجوم و المرجومة الی او ساطهما، ثمّ یرمی الأمام و یرمی النّاس بعده بأحجار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صغار، لأنّه امکن للرّمی و ارفق بالمرجوم، و یجعل وجهه ممّا یلی القبلة و لا یرجم من قبل وجهه و یرجم حتّی یموت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 اراد المشهور من الصّدر ما دلّ علیه صحیحة ابی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فنعم الوفاق، و ان ازادوا ما هو المتبادر منه عرفاً فلا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المقنع</w:t>
      </w:r>
      <w:r>
        <w:rPr>
          <w:rStyle w:val="FootnoteAnchor"/>
          <w:rtl w:val="true"/>
        </w:rPr>
        <w:footnoteReference w:id="8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الرّجم ان یحفر له حفیرة، مقدار ما یقوم فیها، فیکون طوله الی عنقه فیرجم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المقنعة و 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التّسویة بینهما الی الصّدر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الحفر له الی صدره؟ ولها الی وسطها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دلیل علی شیئ منها الاّ الأخیر، فیقبل الأنطباق بالنّسبة الی المرأة علی مارواه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803"/>
      </w:r>
      <w:r>
        <w:rPr>
          <w:rFonts w:ascii="IRNazanin" w:hAnsi="IRNazanin" w:eastAsia="IRNazanin"/>
          <w:color w:val="111111"/>
          <w:sz w:val="28"/>
          <w:sz w:val="28"/>
          <w:szCs w:val="28"/>
          <w:rtl w:val="true"/>
          <w:lang w:bidi="fa-IR"/>
        </w:rPr>
        <w:t>و کذلک رواها فی المحاسن</w:t>
      </w:r>
      <w:r>
        <w:rPr>
          <w:rStyle w:val="FootnoteAnchor"/>
          <w:rtl w:val="true"/>
        </w:rPr>
        <w:footnoteReference w:id="804"/>
      </w:r>
      <w:r>
        <w:rPr>
          <w:rFonts w:ascii="IRNazanin" w:hAnsi="IRNazanin" w:eastAsia="IRNazanin"/>
          <w:color w:val="111111"/>
          <w:sz w:val="28"/>
          <w:sz w:val="28"/>
          <w:szCs w:val="28"/>
          <w:rtl w:val="true"/>
          <w:lang w:bidi="fa-IR"/>
        </w:rPr>
        <w:t>فی المرأة الّتی تکفّل ولدها عمرو بن حریث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فحفر لها حفیرة ثمّ دفنها فیها لی الحقوین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یوافق مرسلة الدّعائم</w:t>
      </w:r>
      <w:r>
        <w:rPr>
          <w:rStyle w:val="FootnoteAnchor"/>
          <w:rtl w:val="true"/>
        </w:rPr>
        <w:footnoteReference w:id="805"/>
      </w:r>
      <w:r>
        <w:rPr>
          <w:rFonts w:ascii="IRNazanin" w:hAnsi="IRNazanin" w:eastAsia="IRNazanin"/>
          <w:color w:val="111111"/>
          <w:sz w:val="28"/>
          <w:sz w:val="28"/>
          <w:szCs w:val="28"/>
          <w:rtl w:val="true"/>
          <w:lang w:bidi="fa-IR"/>
        </w:rPr>
        <w:t xml:space="preserve">فی کیفیّة رجم سراجة الهمدانیّة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فأدخلت لحقوتها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یوافق الرّوایة سحیحة ابی مریم</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واختار فی المبانی دفن المرأة الی موضع الثّدیین، استناداً الی الصّحیحة</w:t>
      </w:r>
      <w:r>
        <w:rPr>
          <w:rStyle w:val="FootnoteAnchor"/>
          <w:rtl w:val="true"/>
        </w:rPr>
        <w:footnoteReference w:id="8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فی المهذّب اختار الدّفن الی وسطها، فوق الحقوة تحت الصّدر، استناداً الی روایتین عامّیّتین،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 للغامدیّة</w:t>
      </w:r>
      <w:r>
        <w:rPr>
          <w:rStyle w:val="FootnoteAnchor"/>
          <w:rtl w:val="true"/>
        </w:rPr>
        <w:footnoteReference w:id="808"/>
      </w:r>
      <w:r>
        <w:rPr>
          <w:rFonts w:ascii="Amiri" w:hAnsi="Amiri" w:eastAsia="Amiri" w:cs="Amiri"/>
          <w:color w:val="111111"/>
          <w:sz w:val="28"/>
          <w:sz w:val="28"/>
          <w:szCs w:val="28"/>
          <w:rtl w:val="true"/>
          <w:lang w:bidi="ar-SA"/>
        </w:rPr>
        <w:t>الی الصّدر، و انّه</w:t>
      </w:r>
      <w:r>
        <w:rPr>
          <w:rStyle w:val="FootnoteAnchor"/>
          <w:rtl w:val="true"/>
        </w:rPr>
        <w:footnoteReference w:id="8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رجم امرأة، فحفر لها الی الثّندوة، و بذلک فسّر موثّقة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حاجة الی  الأستعانة بروایاتهم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من الصّحیحة واضح، ولو شککنا فکما اشار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تکون المسئلة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صغریات الأقلّ و الأکثر، ففی الزّاید عمّا تطابقت علیه النّصوص یرجع الی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لا مضائقة فی احتمال طریقیّة الحفیرة للأستیثاق، و علیه فیحتمل اجزاء ربطه بشجرة او عمود و نحوها، لکنّه یحتاج الی دلیل یخرجنا عن ما هو ظاهر الأخبار من 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کان فما فی 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8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 الرّجم ان یحفر بئر بقامة الرّجل الی صدره و المرأة الی فوق ثدیها و یرجم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یشکل انطباقه علی مامرّ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اشارة</w:t>
      </w:r>
    </w:p>
    <w:p>
      <w:pPr>
        <w:pStyle w:val="BookText"/>
        <w:rPr/>
      </w:pPr>
      <w:r>
        <w:rPr>
          <w:rFonts w:ascii="IRNazanin" w:hAnsi="IRNazanin" w:eastAsia="IRNazanin"/>
          <w:color w:val="111111"/>
          <w:sz w:val="28"/>
          <w:sz w:val="28"/>
          <w:szCs w:val="28"/>
          <w:rtl w:val="true"/>
          <w:lang w:bidi="fa-IR"/>
        </w:rPr>
        <w:t>عن الکافی و 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الدّفن ان ثبت الزّنا بالبینة او بعلم الأمام، لا ان ثبت بالأقرار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لیتمکّن من الفرار اذا اراد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ذلک فی المرأة و لم یعتبر فی الرّجل الدّفن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الشّیخ و ابن ادریس</w:t>
      </w:r>
      <w:r>
        <w:rPr>
          <w:rStyle w:val="FootnoteAnchor"/>
          <w:rtl w:val="true"/>
        </w:rPr>
        <w:footnoteReference w:id="811"/>
      </w:r>
      <w:r>
        <w:rPr>
          <w:rFonts w:ascii="IRNazanin" w:hAnsi="IRNazanin" w:eastAsia="IRNazanin"/>
          <w:color w:val="111111"/>
          <w:sz w:val="28"/>
          <w:sz w:val="28"/>
          <w:szCs w:val="28"/>
          <w:rtl w:val="true"/>
          <w:lang w:bidi="fa-IR"/>
        </w:rPr>
        <w:t>و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الدّفن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 المبسوط</w:t>
      </w:r>
      <w:r>
        <w:rPr>
          <w:rStyle w:val="FootnoteAnchor"/>
          <w:rtl w:val="true"/>
        </w:rPr>
        <w:footnoteReference w:id="8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ثبت الحدّ بلأعتراف لم یحفر له لأنّ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یحفر لما عز، و ان ثبت بالبیّنة فأن کان رجلاً لم یحفر له، لأنّه لیس بعورة، و ان کانت امرأة حفر لها، لأنّ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 للعامریّة الی الصّدر، و روی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یحفر لمن یجب علیه الرّجم ولم یفصّلو</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یذکره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ایکال الأمر الی الأمام، استناداً الی روایات ضعاف من طرق القوم،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Style w:val="FootnoteAnchor"/>
          <w:rtl w:val="true"/>
        </w:rPr>
        <w:footnoteReference w:id="813"/>
      </w:r>
      <w:r>
        <w:rPr>
          <w:rFonts w:ascii="IRNazanin" w:hAnsi="IRNazanin" w:eastAsia="IRNazanin"/>
          <w:color w:val="111111"/>
          <w:sz w:val="28"/>
          <w:sz w:val="28"/>
          <w:szCs w:val="28"/>
          <w:rtl w:val="true"/>
          <w:lang w:bidi="fa-IR"/>
        </w:rPr>
        <w:t>حفر للعامریّة، و لم یحفر للجهنیّة</w:t>
      </w:r>
      <w:r>
        <w:rPr>
          <w:rStyle w:val="FootnoteAnchor"/>
          <w:rtl w:val="true"/>
        </w:rPr>
        <w:footnoteReference w:id="8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ابی سعید الخدریّ</w:t>
      </w:r>
      <w:r>
        <w:rPr>
          <w:rStyle w:val="FootnoteAnchor"/>
          <w:rtl w:val="true"/>
        </w:rPr>
        <w:footnoteReference w:id="815"/>
      </w:r>
      <w:r>
        <w:rPr>
          <w:rFonts w:ascii="IRNazanin" w:hAnsi="IRNazanin" w:eastAsia="IRNazanin"/>
          <w:color w:val="111111"/>
          <w:sz w:val="28"/>
          <w:sz w:val="28"/>
          <w:szCs w:val="28"/>
          <w:rtl w:val="true"/>
          <w:lang w:bidi="fa-IR"/>
        </w:rPr>
        <w:t>فی قضیّة ماعز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انطلقوا به حین امر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برجمه الی بقیع الغرقد، فما او ثقناه و لا حفرنا له حفیرة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الحقّ لزوم الدّفن مطلقا، سواء ثبت الزّنا بالبیّنة او الأقرار او علم به الأمام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لزوم الدّفن مطلقا، لما تقدّم من الرّوایات المعتبرة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صحیحة ابی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حمله علی الدّفن جمعاً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خبر الحسین بن خالد</w:t>
      </w:r>
      <w:r>
        <w:rPr>
          <w:rStyle w:val="FootnoteAnchor"/>
          <w:rtl w:val="true"/>
        </w:rPr>
        <w:footnoteReference w:id="8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اخبرنی عن المحصن، اذا هو هرب من الحفیرة، هل یردّ حتّی یقام علیه احدّ؟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یردّ و لا یّرد ـ الی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ـ ان کان هو المقرّ علی نفسه ثمّ هرب من الحفیرة، بعد ما یصیبه شیء من الحجارة لم 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انّ ما عزبن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بالزّنا، فأمر به ان یرجم، فهرب من الحفیرة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ابی العّباس</w:t>
      </w:r>
      <w:r>
        <w:rPr>
          <w:rStyle w:val="FootnoteAnchor"/>
          <w:rtl w:val="true"/>
        </w:rPr>
        <w:footnoteReference w:id="817"/>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اتی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فأقرّ بالزّنا اربع مرّات فأمر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یرجم، فحفروا له حفیرة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مرسل ابی بصیر</w:t>
      </w:r>
      <w:r>
        <w:rPr>
          <w:rStyle w:val="FootnoteAnchor"/>
          <w:rtl w:val="true"/>
        </w:rPr>
        <w:footnoteReference w:id="818"/>
      </w:r>
      <w:r>
        <w:rPr>
          <w:rFonts w:ascii="IRNazanin" w:hAnsi="IRNazanin" w:eastAsia="IRNazanin"/>
          <w:color w:val="111111"/>
          <w:sz w:val="28"/>
          <w:sz w:val="28"/>
          <w:szCs w:val="28"/>
          <w:rtl w:val="true"/>
          <w:lang w:bidi="fa-IR"/>
        </w:rPr>
        <w:t xml:space="preserve">و غیره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المرجوم یفرّ من الحفیرة فیطلب؟ قال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صحیحة ابی بصیر</w:t>
      </w:r>
      <w:r>
        <w:rPr>
          <w:rStyle w:val="FootnoteAnchor"/>
          <w:rtl w:val="true"/>
        </w:rPr>
        <w:footnoteReference w:id="819"/>
      </w:r>
      <w:r>
        <w:rPr>
          <w:rFonts w:ascii="IRNazanin" w:hAnsi="IRNazanin" w:eastAsia="IRNazanin"/>
          <w:color w:val="111111"/>
          <w:sz w:val="28"/>
          <w:sz w:val="28"/>
          <w:szCs w:val="28"/>
          <w:rtl w:val="true"/>
          <w:lang w:bidi="fa-IR"/>
        </w:rPr>
        <w:t>الأتیة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وضعه فی حرفته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ینبغی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بالدّفن لیس الاّ مایمکن معه الفرار، و لیس حمل الأدخال علی الدّفن بأولی من حمل الدّفن علی الأدخال کذلک، و ان ابیت الاّ عن الدّفن بمعنی الأخفاء حتّی علی من اطّلع علی الحفیرة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فیکفی فیما ذکرنا روایات الفرار من الحفیرة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روایتا الحسین بن خالد</w:t>
      </w:r>
      <w:r>
        <w:rPr>
          <w:rStyle w:val="FootnoteAnchor"/>
          <w:rtl w:val="true"/>
        </w:rPr>
        <w:footnoteReference w:id="820"/>
      </w:r>
      <w:r>
        <w:rPr>
          <w:rFonts w:ascii="IRNazanin" w:hAnsi="IRNazanin" w:eastAsia="IRNazanin"/>
          <w:color w:val="111111"/>
          <w:sz w:val="28"/>
          <w:sz w:val="28"/>
          <w:szCs w:val="28"/>
          <w:rtl w:val="true"/>
          <w:lang w:bidi="fa-IR"/>
        </w:rPr>
        <w:t>و ابی العبّاس</w:t>
      </w:r>
      <w:r>
        <w:rPr>
          <w:rStyle w:val="FootnoteAnchor"/>
          <w:rtl w:val="true"/>
        </w:rPr>
        <w:footnoteReference w:id="821"/>
      </w:r>
      <w:r>
        <w:rPr>
          <w:rFonts w:ascii="IRNazanin" w:hAnsi="IRNazanin" w:eastAsia="IRNazanin"/>
          <w:color w:val="111111"/>
          <w:sz w:val="28"/>
          <w:sz w:val="28"/>
          <w:szCs w:val="28"/>
          <w:rtl w:val="true"/>
          <w:lang w:bidi="fa-IR"/>
        </w:rPr>
        <w:t>و الظّاهر اعتبار الثّانیة</w:t>
      </w:r>
      <w:r>
        <w:rPr>
          <w:rStyle w:val="FootnoteAnchor"/>
          <w:rtl w:val="true"/>
        </w:rPr>
        <w:footnoteReference w:id="8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 ذلک او یدّل علیه ما رواه فی النّوادر</w:t>
      </w:r>
      <w:r>
        <w:rPr>
          <w:rStyle w:val="FootnoteAnchor"/>
          <w:rtl w:val="true"/>
        </w:rPr>
        <w:footnoteReference w:id="823"/>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مرسلة الدّعائم</w:t>
      </w:r>
      <w:r>
        <w:rPr>
          <w:rStyle w:val="FootnoteAnchor"/>
          <w:rtl w:val="true"/>
        </w:rPr>
        <w:footnoteReference w:id="824"/>
      </w:r>
      <w:r>
        <w:rPr>
          <w:rFonts w:ascii="IRNazanin" w:hAnsi="IRNazanin" w:eastAsia="IRNazanin"/>
          <w:color w:val="111111"/>
          <w:sz w:val="28"/>
          <w:sz w:val="28"/>
          <w:szCs w:val="28"/>
          <w:rtl w:val="true"/>
          <w:lang w:bidi="fa-IR"/>
        </w:rPr>
        <w:t xml:space="preserve">و ما فی 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825"/>
      </w:r>
      <w:bookmarkStart w:id="285" w:name="pg3023_22616"/>
    </w:p>
    <w:p>
      <w:pPr>
        <w:pStyle w:val="Heading5"/>
        <w:numPr>
          <w:ilvl w:val="4"/>
          <w:numId w:val="1"/>
        </w:numPr>
        <w:rPr/>
      </w:pPr>
      <w:bookmarkStart w:id="286" w:name="__RefHeading___Toc656833_2749589250"/>
      <w:bookmarkStart w:id="287" w:name="_Toc103"/>
      <w:bookmarkEnd w:id="285"/>
      <w:bookmarkEnd w:id="286"/>
      <w:r>
        <w:rPr>
          <w:rtl w:val="true"/>
        </w:rPr>
        <w:t>الرّابعة</w:t>
      </w:r>
      <w:r>
        <w:rPr>
          <w:rtl w:val="true"/>
        </w:rPr>
        <w:t xml:space="preserve">: </w:t>
      </w:r>
      <w:r>
        <w:rPr>
          <w:rtl w:val="true"/>
        </w:rPr>
        <w:t>بدء الامام اذا ثبت الزّنا بالاقرار و الشّهود اذا ثبت بالشّهادة</w:t>
      </w:r>
      <w:bookmarkEnd w:id="287"/>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یبدء الأمام بالرّجم اذا ثبت الزّنا بالأقرار، و یبدء الشّهود اذا ثبت بالشّهادة لی المشهور بین الأصحاب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الرّابعة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یبدء الأمام بارّجم اذا ثبت زناه بالأقرار، و الشّهود اذا ثبت بالشّهادة، ثمّ النّاس بعد الأمام فی الموضعین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المشهور، بل ادّعی الأجماع فی الموردین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 الخلاف</w:t>
      </w:r>
      <w:r>
        <w:rPr>
          <w:rStyle w:val="FootnoteAnchor"/>
          <w:rtl w:val="true"/>
        </w:rPr>
        <w:footnoteReference w:id="8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ثبت الزّنا بالبیّنة لم یجب علی الشّهود حضور موضع 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الشّافعیّ</w:t>
      </w:r>
      <w:r>
        <w:rPr>
          <w:rFonts w:eastAsia="IRNazanin" w:cs="IRNazanin"/>
          <w:color w:val="111111"/>
          <w:sz w:val="28"/>
          <w:szCs w:val="28"/>
          <w:rtl w:val="true"/>
          <w:lang w:bidi="fa-IR"/>
        </w:rPr>
        <w:t>.</w:t>
      </w:r>
      <w:r>
        <w:rPr>
          <w:rStyle w:val="FootnoteAnchor"/>
          <w:rtl w:val="true"/>
        </w:rPr>
        <w:footnoteReference w:id="827"/>
      </w:r>
      <w:r>
        <w:rPr>
          <w:rFonts w:ascii="IRNazanin" w:hAnsi="IRNazanin" w:eastAsia="IRNazanin"/>
          <w:color w:val="111111"/>
          <w:sz w:val="28"/>
          <w:sz w:val="28"/>
          <w:szCs w:val="28"/>
          <w:rtl w:val="true"/>
          <w:lang w:bidi="fa-IR"/>
        </w:rPr>
        <w:t>و قال ابو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یلزمهم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استدلّ باصل برائة الذّمّة،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روی اصحابنا انّه اذا وجب الرّجم بالبیّنة فأوّل من یرجمه الشّهود، ثمّ الأمام، و ان کان مقرّاً علی نفسه، کان اوّل من یرجمه الأمام، فعلی هذا یلزمهم الحضور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Style w:val="FootnoteAnchor"/>
          <w:rtl w:val="true"/>
        </w:rPr>
        <w:footnoteReference w:id="828"/>
      </w:r>
      <w:r>
        <w:rPr>
          <w:rFonts w:ascii="IRNazanin" w:hAnsi="IRNazanin" w:eastAsia="IRNazanin"/>
          <w:color w:val="111111"/>
          <w:sz w:val="28"/>
          <w:sz w:val="28"/>
          <w:szCs w:val="28"/>
          <w:rtl w:val="true"/>
          <w:lang w:bidi="fa-IR"/>
        </w:rPr>
        <w:t>اذا حضر الأمام و الشّهود موضع الرّجم، فان کان الحدّ ثبت بالأقرار وجب علی الأمام البدئة به، ثمّ یتبعه النّاس، و انکان ثبت بالبیّنة بدء اوّلاً الشّهود، ثمّ الأمام، ثمّ النّاس، و قال ابو حنیفة مثل ذلک، و 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 واحد منهم البدئة بالرّجم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 اجماع الفرقة و اخبارهم و طریقة الأحتیاط الخ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المبسوط</w:t>
      </w:r>
      <w:r>
        <w:rPr>
          <w:rStyle w:val="FootnoteAnchor"/>
          <w:rtl w:val="true"/>
        </w:rPr>
        <w:footnoteReference w:id="8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للأمام ان یحضر عند من وجب علیه الحدّ و لیس من شرط استیفائه حضور شاهد الأمام و لا الأمام، لأنّ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رجم ما عزاً و الیهودیّین ولم یحضرهم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اذا ثبت باعترافه، و امّا اذا ثبت بالبیّنة فلیس من شرطه حضور الشّهود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اصحابنا انّه یبدء الشّهود بالرّجم ان ثبت بالبیّنة ثمّ الأمام، ثمّ النّاس و ان یثبت باعترافه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بدء برجمه الأمام، ثمّ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یدلّ علی انّ من شرطه حضور الأمام و الشّهود و به قال جماعة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و یشهد علی ذلک ما رواه صفوان</w:t>
      </w:r>
      <w:r>
        <w:rPr>
          <w:rStyle w:val="FootnoteAnchor"/>
          <w:rtl w:val="true"/>
        </w:rPr>
        <w:footnoteReference w:id="830"/>
      </w:r>
      <w:r>
        <w:rPr>
          <w:rFonts w:ascii="IRNazanin" w:hAnsi="IRNazanin" w:eastAsia="IRNazanin"/>
          <w:color w:val="111111"/>
          <w:sz w:val="28"/>
          <w:sz w:val="28"/>
          <w:szCs w:val="28"/>
          <w:rtl w:val="true"/>
          <w:lang w:bidi="fa-IR"/>
        </w:rPr>
        <w:t xml:space="preserve">عمّن رواه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مارواه</w:t>
      </w:r>
      <w:r>
        <w:rPr>
          <w:rStyle w:val="FootnoteAnchor"/>
          <w:rtl w:val="true"/>
        </w:rPr>
        <w:footnoteReference w:id="831"/>
      </w:r>
      <w:r>
        <w:rPr>
          <w:rFonts w:ascii="IRNazanin" w:hAnsi="IRNazanin" w:eastAsia="IRNazanin"/>
          <w:color w:val="111111"/>
          <w:sz w:val="28"/>
          <w:sz w:val="28"/>
          <w:szCs w:val="28"/>
          <w:rtl w:val="true"/>
          <w:lang w:bidi="fa-IR"/>
        </w:rPr>
        <w:t xml:space="preserve">عبدالله بن المغیرة و صفوان و غیر واحد، رفعوه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اقرّ الزّانی المحصن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اوّل من یرجمه الأمام، ثمّ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فأذا قامت علیه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اوّل من یرجمه البیّنة، ثمّ الأمام، ثمّ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فی 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832"/>
      </w:r>
      <w:r>
        <w:rPr>
          <w:rFonts w:ascii="IRNazanin" w:hAnsi="IRNazanin" w:eastAsia="IRNazanin"/>
          <w:color w:val="111111"/>
          <w:sz w:val="28"/>
          <w:sz w:val="28"/>
          <w:szCs w:val="28"/>
          <w:rtl w:val="true"/>
          <w:lang w:bidi="fa-IR"/>
        </w:rPr>
        <w:t>و معتبرة ابی بصیر</w:t>
      </w:r>
      <w:r>
        <w:rPr>
          <w:rStyle w:val="FootnoteAnchor"/>
          <w:rtl w:val="true"/>
        </w:rPr>
        <w:footnoteReference w:id="83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تدفن المرأة الی وسطها، اذا ارادوا ان یرجموها، و یرمی الأمام ثمّ یرمی النّاس بعد، بأحجار صغار و لا یخلو صحیحة ابی بصیر</w:t>
      </w:r>
      <w:r>
        <w:rPr>
          <w:rStyle w:val="FootnoteAnchor"/>
          <w:rtl w:val="true"/>
        </w:rPr>
        <w:footnoteReference w:id="834"/>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الّذی اتی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بالکوفة و اقرّ بالزّنا اربع مرّات ـ الی فأخذ حجراً فکبّر اربع تکبیرات، ثمّ رماه بثلاثة احجار، فی کلّ حجر ثلاث تکبیرات، ثمّ رماه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یقیّد اطلاق موثّقة سماعة</w:t>
      </w:r>
      <w:r>
        <w:rPr>
          <w:rStyle w:val="FootnoteAnchor"/>
          <w:rtl w:val="true"/>
        </w:rPr>
        <w:footnoteReference w:id="835"/>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تدفن المرأة الی وسطها، ثمّ یرمی الأمام و یرمی النّاس باحجار صغار الحدیث</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نحوه ما فی النّوادر</w:t>
      </w:r>
      <w:r>
        <w:rPr>
          <w:rStyle w:val="FootnoteAnchor"/>
          <w:rtl w:val="true"/>
        </w:rPr>
        <w:footnoteReference w:id="836"/>
      </w:r>
      <w:r>
        <w:rPr>
          <w:rFonts w:ascii="Amiri" w:hAnsi="Amiri" w:eastAsia="Amiri" w:cs="Amiri"/>
          <w:color w:val="111111"/>
          <w:sz w:val="28"/>
          <w:sz w:val="28"/>
          <w:szCs w:val="28"/>
          <w:rtl w:val="true"/>
          <w:lang w:bidi="ar-SA"/>
        </w:rPr>
        <w:t>و اطلاق مرسلة الدّعائم</w:t>
      </w:r>
      <w:r>
        <w:rPr>
          <w:rStyle w:val="FootnoteAnchor"/>
          <w:rtl w:val="true"/>
        </w:rPr>
        <w:footnoteReference w:id="837"/>
      </w:r>
      <w:r>
        <w:rPr>
          <w:rFonts w:ascii="IRNazanin" w:hAnsi="IRNazanin" w:eastAsia="IRNazanin"/>
          <w:color w:val="111111"/>
          <w:sz w:val="28"/>
          <w:sz w:val="28"/>
          <w:szCs w:val="28"/>
          <w:rtl w:val="true"/>
          <w:lang w:bidi="fa-IR"/>
        </w:rPr>
        <w:t>قال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الأمام احقّ من بدء بالرّجم فی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مجال لما فی 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838"/>
      </w:r>
      <w:r>
        <w:rPr>
          <w:rFonts w:ascii="IRNazanin" w:hAnsi="IRNazanin" w:eastAsia="IRNazanin"/>
          <w:color w:val="111111"/>
          <w:sz w:val="28"/>
          <w:sz w:val="28"/>
          <w:szCs w:val="28"/>
          <w:rtl w:val="true"/>
          <w:lang w:bidi="fa-IR"/>
        </w:rPr>
        <w:t>من التّخییر بین بدء الشّهود بالرّجم او الأمام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استشکل فی اعتبار مرسلة صفوان و الرمفوعة، و لم نعتن بما هو المعروف، من کون مراسیل صفوان و اضرابه بحکم المسانید، و ما هو المعروف من انجبار ضعف السّند بعمل المشهور و اعتماد هم علی</w:t>
      </w:r>
    </w:p>
    <w:p>
      <w:pPr>
        <w:pStyle w:val="BookText"/>
        <w:rPr/>
      </w:pPr>
      <w:r>
        <w:rPr>
          <w:rFonts w:ascii="Amiri" w:hAnsi="Amiri" w:eastAsia="Amiri" w:cs="Amiri"/>
          <w:color w:val="111111"/>
          <w:sz w:val="28"/>
          <w:sz w:val="28"/>
          <w:szCs w:val="28"/>
          <w:rtl w:val="true"/>
          <w:lang w:bidi="ar-SA"/>
        </w:rPr>
        <w:t xml:space="preserve">و اذا زاحم البدئة اهمّ فتسقط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الرّوایة کما فی المقام، مع انّه شیئ وجدانیّ، یحصل الوثوق و الأطمینان بتصوّر الطراف القضیّة، و یخرج عن التّقلید لهم، و عن کونه عملاً بالظّن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فیکفینا معتبرتا ابی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مناقشة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لعلّها فی غیر محلّها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لم یستبعد بعد الأشکال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المشهور، من وجوب بدء الأمام بالرّجم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ینافی فی لزوم بدء الأمام فی الأقرار، و الشّهود فی البیّنة بحسب طبع القضیّة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مزاحمة ذلک بحقّ اهمّ، فلا یحضر، او لا یحضرون، و لا یؤخرّ الحدّ الی الحضور، بل یقام، و یرجم الزّانی بدون حضوره و حضورهم، او بعضهم، و علیه یحمل ما فی روایة الحسین بن خالد</w:t>
      </w:r>
      <w:r>
        <w:rPr>
          <w:rStyle w:val="FootnoteAnchor"/>
          <w:rtl w:val="true"/>
        </w:rPr>
        <w:footnoteReference w:id="839"/>
      </w:r>
      <w:r>
        <w:rPr>
          <w:rFonts w:ascii="IRNazanin" w:hAnsi="IRNazanin" w:eastAsia="IRNazanin"/>
          <w:color w:val="111111"/>
          <w:sz w:val="28"/>
          <w:sz w:val="28"/>
          <w:szCs w:val="28"/>
          <w:rtl w:val="true"/>
          <w:lang w:bidi="fa-IR"/>
        </w:rPr>
        <w:t>و روایة ابی العبّاس</w:t>
      </w:r>
      <w:r>
        <w:rPr>
          <w:rStyle w:val="FootnoteAnchor"/>
          <w:rtl w:val="true"/>
        </w:rPr>
        <w:footnoteReference w:id="840"/>
      </w:r>
      <w:r>
        <w:rPr>
          <w:rFonts w:ascii="IRNazanin" w:hAnsi="IRNazanin" w:eastAsia="IRNazanin"/>
          <w:color w:val="111111"/>
          <w:sz w:val="28"/>
          <w:sz w:val="28"/>
          <w:szCs w:val="28"/>
          <w:rtl w:val="true"/>
          <w:lang w:bidi="fa-IR"/>
        </w:rPr>
        <w:t>المتقدّم الیهما الأشارة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بعدان هرب ما عز من الحفیرة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فرماه الزّبیر بن العوّام بساق بعیر فعقله، فسقط، فلحقه النّاس فقتلوه، ثمّ اخبروا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ترکتموه اذا هرب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یذهب ـ الی ـ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لو کان علیّ حاضراً معکم لما ضللتم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الثّانیة</w:t>
      </w:r>
      <w:r>
        <w:rPr>
          <w:rStyle w:val="FootnoteAnchor"/>
          <w:rtl w:val="true"/>
        </w:rPr>
        <w:footnoteReference w:id="8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ان وجد مسّ الحجارة خرج یشتدّ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فلقیه الزّبیر، فرماه بساق بعیر فعقله به، فأدرکه النّاس فقتلوه، فأخبروا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ترکتموه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نحوها روایة نوادر احمد بن عیسی</w:t>
      </w:r>
      <w:r>
        <w:rPr>
          <w:rStyle w:val="FootnoteAnchor"/>
          <w:rtl w:val="true"/>
        </w:rPr>
        <w:footnoteReference w:id="842"/>
      </w:r>
      <w:r>
        <w:rPr>
          <w:rFonts w:ascii="IRNazanin" w:hAnsi="IRNazanin" w:eastAsia="IRNazanin"/>
          <w:color w:val="111111"/>
          <w:sz w:val="28"/>
          <w:sz w:val="28"/>
          <w:szCs w:val="28"/>
          <w:rtl w:val="true"/>
          <w:lang w:bidi="fa-IR"/>
        </w:rPr>
        <w:t xml:space="preserve">عن ابی بصیر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لم یسمّ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مرسلة الدّعائم</w:t>
      </w:r>
      <w:r>
        <w:rPr>
          <w:rStyle w:val="FootnoteAnchor"/>
          <w:rtl w:val="true"/>
        </w:rPr>
        <w:footnoteReference w:id="843"/>
      </w:r>
      <w:r>
        <w:rPr>
          <w:rFonts w:ascii="IRNazanin" w:hAnsi="IRNazanin" w:eastAsia="IRNazanin"/>
          <w:color w:val="111111"/>
          <w:sz w:val="28"/>
          <w:sz w:val="28"/>
          <w:szCs w:val="28"/>
          <w:rtl w:val="true"/>
          <w:lang w:bidi="fa-IR"/>
        </w:rPr>
        <w:t xml:space="preserve">فأنّ صریح الأولی و ظاهر الثّانیة عدم حضور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الرّجم، و کذا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للکلام تتمّة ستوافیک 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ما تقدّم من معتبرتی سماعة و ابی بصیر و روایته فی النوّادر</w:t>
      </w:r>
      <w:r>
        <w:rPr>
          <w:rStyle w:val="FootnoteAnchor"/>
          <w:rtl w:val="true"/>
        </w:rPr>
        <w:footnoteReference w:id="844"/>
      </w:r>
      <w:r>
        <w:rPr>
          <w:rFonts w:ascii="IRNazanin" w:hAnsi="IRNazanin" w:eastAsia="IRNazanin"/>
          <w:color w:val="111111"/>
          <w:sz w:val="28"/>
          <w:sz w:val="28"/>
          <w:szCs w:val="28"/>
          <w:rtl w:val="true"/>
          <w:lang w:bidi="fa-IR"/>
        </w:rPr>
        <w:t>کون</w:t>
      </w:r>
      <w:bookmarkStart w:id="288" w:name="pg3023_22620"/>
    </w:p>
    <w:p>
      <w:pPr>
        <w:pStyle w:val="Heading5"/>
        <w:numPr>
          <w:ilvl w:val="4"/>
          <w:numId w:val="1"/>
        </w:numPr>
        <w:rPr/>
      </w:pPr>
      <w:bookmarkStart w:id="289" w:name="__RefHeading___Toc656835_2749589250"/>
      <w:bookmarkStart w:id="290" w:name="_Toc104"/>
      <w:bookmarkEnd w:id="288"/>
      <w:bookmarkEnd w:id="289"/>
      <w:r>
        <w:rPr>
          <w:rtl w:val="true"/>
        </w:rPr>
        <w:t>الخامسة</w:t>
      </w:r>
      <w:r>
        <w:rPr>
          <w:rtl w:val="true"/>
        </w:rPr>
        <w:t xml:space="preserve">: </w:t>
      </w:r>
      <w:r>
        <w:rPr>
          <w:rtl w:val="true"/>
        </w:rPr>
        <w:t>ان فرّ المرجوم او مرجومة فیعادان و لا یعاد احدهما ان ثبت بالاقرار و اصابه الحجارة</w:t>
      </w:r>
      <w:bookmarkEnd w:id="290"/>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فرّ المرجوم او المرجومة من الحفیرة و ثبت الزّنا بالبیّنة فیعادان مطلقا، اصابهما الحجارة ام لا، و ان ثبت بالأقرار فلا یعاد احد هما اذا اصابه الحجارة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الأحجار الّتی یرمی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صغاراً، فلا یجوز بالحصی و لا الصّخر و لا السّیف و لا غیر ذلک ممّا یقتل، و علّل الحکم فی کشف اللّثام بالنّسبة الی عدم القتل بالسّیف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الأمر، و لا جعل ذلک کفّارة لذنبه، بل ینکل بالرّجم، و هو الرّمی بالرّجام ای الحجارة، لا بصخرة تدفّف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فرّ المرجوم او المرجومة من الحفیرة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فیعاد لیقام علیه او علیها الحدّ مطلقا؛ ان ثبت الزّنا بالبیّنة، اصابهما الم الحجارة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فی ذلک بین الأصحاب، بل فی کشف اللّثام ادّعی علیه الأجماع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انّه یعادان ان ثبت الزّنا باأقرار و لم تصبهما الحجارة، و فاقاً لمحکیّ النّهایة و الوسیلة و ابن الجنید و ظاهر التّبصرة و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نسبه الی المشهور بین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خلافاً للمحقّق فی الشّرایع و العلاّمة و ولده فی القواعد و الأیضاح، فاختاروا عدم الأعادة فی الأقرار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عن الشّیخ المفید و سلاّر و ابی الصّلاح و ابنی سعید و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نسبته الی الشّهرة، و افتی به السّیّد السّبزواری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المهذّب</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 اصابته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 ثبت اقراره و بالزّنا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یعاد، بلا خلاف فیه بین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الحکم فی الموارد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روایة الحسین بن خالد</w:t>
      </w:r>
      <w:r>
        <w:rPr>
          <w:rStyle w:val="FootnoteAnchor"/>
          <w:rtl w:val="true"/>
        </w:rPr>
        <w:footnoteReference w:id="845"/>
      </w:r>
      <w:r>
        <w:rPr>
          <w:rFonts w:ascii="IRNazanin" w:hAnsi="IRNazanin" w:eastAsia="IRNazanin"/>
          <w:color w:val="111111"/>
          <w:sz w:val="28"/>
          <w:sz w:val="28"/>
          <w:szCs w:val="28"/>
          <w:rtl w:val="true"/>
          <w:lang w:bidi="fa-IR"/>
        </w:rPr>
        <w:t xml:space="preserve">المتقدّمة فی صفحة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عبّر عنها فی المبانی بالصّحیحة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اخبرنی عن المحصن اذا هو هرب من الحفیرة هل یردّ حتّی یقام علیه الحدّ؟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و لا 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و کیف ذاک؟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هو المقرّ علیّ نفسه، ثمّ هرب من الحفیرة بعد ما یصیبه شیئ من الحجارة لم یردّ، و ان کان انّما قامت علیه البیّنة و هو یجحد،ثمّ هرب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و هو صاغر، حتّی یقام علیه الحدّ، و ذلک انّ ما عز بن مالک اقرّ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بالزّنا، فأمر به 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یرجم، فهرب من الحفیرة ـ 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اذا هرب یذهب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فأنّما هو الّذی اقرّ علی نفسه،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لو کان علیّ حاضراً 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ضللتم،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وداه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بیت مال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یشهد للثّالث روایة النّوادر</w:t>
      </w:r>
      <w:r>
        <w:rPr>
          <w:rStyle w:val="FootnoteAnchor"/>
          <w:rtl w:val="true"/>
        </w:rPr>
        <w:footnoteReference w:id="846"/>
      </w:r>
      <w:r>
        <w:rPr>
          <w:rFonts w:ascii="IRNazanin" w:hAnsi="IRNazanin" w:eastAsia="IRNazanin"/>
          <w:color w:val="111111"/>
          <w:sz w:val="28"/>
          <w:sz w:val="28"/>
          <w:szCs w:val="28"/>
          <w:rtl w:val="true"/>
          <w:lang w:bidi="fa-IR"/>
        </w:rPr>
        <w:t>، و فی ذیلها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ارکه النّاس فقتلوه، فأخبر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ترکتموه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مرسلة الدّعائم</w:t>
      </w:r>
      <w:r>
        <w:rPr>
          <w:rStyle w:val="FootnoteAnchor"/>
          <w:rtl w:val="true"/>
        </w:rPr>
        <w:footnoteReference w:id="847"/>
      </w:r>
      <w:r>
        <w:rPr>
          <w:rFonts w:ascii="IRNazanin" w:hAnsi="IRNazanin" w:eastAsia="IRNazanin"/>
          <w:color w:val="111111"/>
          <w:sz w:val="28"/>
          <w:sz w:val="28"/>
          <w:szCs w:val="28"/>
          <w:rtl w:val="true"/>
          <w:lang w:bidi="fa-IR"/>
        </w:rPr>
        <w:t xml:space="preserve">و 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8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لو ناقشنا فی اعتبار الحسین بن خالد، لمافی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کونه مجهولاً، ولم یتمّ ما رکن الیه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 الحسین بن خالد المشهور، و الّذی کثرت الرّوایة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الخفّاف لا الصّیر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ثقة و لم یثبت و ثاقة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فیکفینا معتبرة ابی العبّاس</w:t>
      </w:r>
      <w:r>
        <w:rPr>
          <w:rStyle w:val="FootnoteAnchor"/>
          <w:rtl w:val="true"/>
        </w:rPr>
        <w:footnoteReference w:id="849"/>
      </w:r>
      <w:r>
        <w:rPr>
          <w:rFonts w:ascii="IRNazanin" w:hAnsi="IRNazanin" w:eastAsia="IRNazanin"/>
          <w:color w:val="111111"/>
          <w:sz w:val="28"/>
          <w:sz w:val="28"/>
          <w:szCs w:val="28"/>
          <w:rtl w:val="true"/>
          <w:lang w:bidi="fa-IR"/>
        </w:rPr>
        <w:t xml:space="preserve">المتقدّم ذکرها صفحة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هلاّ ترکتموه،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استتر ثمّ تاب کان خیراً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الرّجل المذکور فیها هو ما عز المذکور فی روایة الحسین بن خالد</w:t>
      </w:r>
      <w:r>
        <w:rPr>
          <w:rStyle w:val="FootnoteAnchor"/>
          <w:rtl w:val="true"/>
        </w:rPr>
        <w:footnoteReference w:id="8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موردها الأقرار، بعد ان مسّ الحجارة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صحیحة صفوان</w:t>
      </w:r>
      <w:r>
        <w:rPr>
          <w:rStyle w:val="FootnoteAnchor"/>
          <w:rtl w:val="true"/>
        </w:rPr>
        <w:footnoteReference w:id="851"/>
      </w:r>
      <w:r>
        <w:rPr>
          <w:rFonts w:ascii="IRNazanin" w:hAnsi="IRNazanin" w:eastAsia="IRNazanin"/>
          <w:color w:val="111111"/>
          <w:sz w:val="28"/>
          <w:sz w:val="28"/>
          <w:szCs w:val="28"/>
          <w:rtl w:val="true"/>
          <w:lang w:bidi="fa-IR"/>
        </w:rPr>
        <w:t xml:space="preserve">عن غیر واحد عن ابی بصیر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 ان کان اصابه الم الحجارة فلا یردّ، و ان لم یکن اصابه الم الحجارة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 مرسلته</w:t>
      </w:r>
      <w:r>
        <w:rPr>
          <w:rStyle w:val="FootnoteAnchor"/>
          <w:rtl w:val="true"/>
        </w:rPr>
        <w:footnoteReference w:id="852"/>
      </w:r>
      <w:r>
        <w:rPr>
          <w:rFonts w:ascii="IRNazanin" w:hAnsi="IRNazanin" w:eastAsia="IRNazanin"/>
          <w:color w:val="111111"/>
          <w:sz w:val="28"/>
          <w:sz w:val="28"/>
          <w:szCs w:val="28"/>
          <w:rtl w:val="true"/>
          <w:lang w:bidi="fa-IR"/>
        </w:rPr>
        <w:t xml:space="preserve">عن رجل عن ابی بصیر و غیره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فیها بعد ما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یعرض له ان کان اصابه حجر واحد لم یطلب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هرب قبل ان تصیبه الحجارة ردّ، حتّی یصیبه الم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مرسلة ابن بابویه</w:t>
      </w:r>
      <w:r>
        <w:rPr>
          <w:rStyle w:val="FootnoteAnchor"/>
          <w:rtl w:val="true"/>
        </w:rPr>
        <w:footnoteReference w:id="853"/>
      </w: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المرجوم یفرّ،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اقرّ علی نفسه فلا یردّ، و ان کان شهد علیه الشّهود 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اطلاق الأخیر مقیّد بصحیحة صفوان، و اطلاقها لو ثبت</w:t>
      </w:r>
      <w:bookmarkStart w:id="291" w:name="pg3023_22622"/>
    </w:p>
    <w:p>
      <w:pPr>
        <w:pStyle w:val="BookText"/>
        <w:rPr/>
      </w:pPr>
      <w:bookmarkEnd w:id="291"/>
      <w:r>
        <w:rPr>
          <w:rFonts w:ascii="IRNazanin" w:hAnsi="IRNazanin" w:eastAsia="IRNazanin"/>
          <w:color w:val="111111"/>
          <w:sz w:val="28"/>
          <w:sz w:val="28"/>
          <w:szCs w:val="28"/>
          <w:rtl w:val="true"/>
          <w:lang w:bidi="fa-IR"/>
        </w:rPr>
        <w:t xml:space="preserve">و القول بعدم الأعادة فیه مطلقاً ضعیف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292" w:name="__RefHeading___Toc656837_2749589250"/>
      <w:bookmarkStart w:id="293" w:name="_Toc105"/>
      <w:bookmarkEnd w:id="292"/>
      <w:r>
        <w:rPr>
          <w:rtl w:val="true"/>
        </w:rPr>
        <w:t>ان فرّ المجلود فیردّ</w:t>
      </w:r>
      <w:bookmarkEnd w:id="293"/>
    </w:p>
    <w:p>
      <w:pPr>
        <w:pStyle w:val="BookText"/>
        <w:rPr/>
      </w:pPr>
      <w:r>
        <w:rPr>
          <w:rFonts w:ascii="Amiri" w:hAnsi="Amiri" w:eastAsia="Amiri" w:cs="Amiri"/>
          <w:color w:val="111111"/>
          <w:sz w:val="28"/>
          <w:sz w:val="28"/>
          <w:szCs w:val="28"/>
          <w:rtl w:val="true"/>
          <w:lang w:bidi="ar-SA"/>
        </w:rPr>
        <w:t xml:space="preserve">مسئلة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فرّ المجلود فیردّ، لیکمل علیه الحدّ، قولاً واحداً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مقیّد بروایة الحسین بن خالد، کأطلاق المرسلة</w:t>
      </w:r>
      <w:r>
        <w:rPr>
          <w:rStyle w:val="FootnoteAnchor"/>
          <w:rtl w:val="true"/>
        </w:rPr>
        <w:footnoteReference w:id="854"/>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فیختصّ التّفصیل بین اصابة الحجارة و 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اذا ثبت بالأقرار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الی کون ظهور مصحّحة الحسین بن خالد</w:t>
      </w:r>
      <w:r>
        <w:rPr>
          <w:rStyle w:val="FootnoteAnchor"/>
          <w:rtl w:val="true"/>
        </w:rPr>
        <w:footnoteReference w:id="855"/>
      </w:r>
      <w:r>
        <w:rPr>
          <w:rFonts w:ascii="IRNazanin" w:hAnsi="IRNazanin" w:eastAsia="IRNazanin"/>
          <w:color w:val="111111"/>
          <w:sz w:val="28"/>
          <w:sz w:val="28"/>
          <w:szCs w:val="28"/>
          <w:rtl w:val="true"/>
          <w:lang w:bidi="fa-IR"/>
        </w:rPr>
        <w:t>اقوی بقرینة التّفصیل بین الأقرار و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ظهور صحیحة ابی</w:t>
      </w:r>
      <w:r>
        <w:rPr>
          <w:rStyle w:val="FootnoteAnchor"/>
          <w:rtl w:val="true"/>
        </w:rPr>
        <w:footnoteReference w:id="856"/>
      </w:r>
      <w:r>
        <w:rPr>
          <w:rFonts w:ascii="IRNazanin" w:hAnsi="IRNazanin" w:eastAsia="IRNazanin"/>
          <w:color w:val="111111"/>
          <w:sz w:val="28"/>
          <w:sz w:val="28"/>
          <w:szCs w:val="28"/>
          <w:rtl w:val="true"/>
          <w:lang w:bidi="fa-IR"/>
        </w:rPr>
        <w:t>بصیر بعد ان جعل النّسبة بینهما العموم من وجه، فیقدّم علی ظهور صحیحة ابی بصیر، و لو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التّساقط، فالمرجع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اطلاقات ادلّة 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ذکره قدّس جیّد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بما ذکرنا یظهر ضعف ما بنی علیه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حیث مال الی ما اختاره المحقّق و موافقوه، من عدم الأعادة فی صورة الأقرار مطلقا بعد ان استدلّ لهم بأطلاق المرسل</w:t>
      </w:r>
      <w:r>
        <w:rPr>
          <w:rStyle w:val="FootnoteAnchor"/>
          <w:rtl w:val="true"/>
        </w:rPr>
        <w:footnoteReference w:id="857"/>
      </w:r>
      <w:r>
        <w:rPr>
          <w:rFonts w:ascii="IRNazanin" w:hAnsi="IRNazanin" w:eastAsia="IRNazanin"/>
          <w:color w:val="111111"/>
          <w:sz w:val="28"/>
          <w:sz w:val="28"/>
          <w:szCs w:val="28"/>
          <w:rtl w:val="true"/>
          <w:lang w:bidi="fa-IR"/>
        </w:rPr>
        <w:t>بمفهوم التّعلیل فی خبر الحسین بن خالد، مؤیّداً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بمنزلة الرّجوع عن الأقرار، و للشّبهة و الأحتیاط فی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تضعیف مصحّحة الحسین بن خالد والمرسلة الأولی، و لا جابر کی یقیّد بهما اطلاق مرسلة الصّدوق، و منع اختصاصها بصورة الفرار بعد لأصابة، کمنع اقتضاء الأصل بقاء الحدّ و المتیقّن سقوطه هو الزّائد عن الم الحجارة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بدعوی انقطاعه بالمرسل المنجبر بالعمل، الّذی لا اقلّ من ان یکون موجباً للتّردّد کما استظهره من السّرائر و التّحریر و الصّیمریّ،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مقتضاه عدم الأعادة، درءاً للحدّ بالشّبهة ان لم نقل بعدم فائدتها بعد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انّ مارکن الیه فی المهذّب من رمی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مرسلة ابی بصیر</w:t>
      </w:r>
      <w:r>
        <w:rPr>
          <w:rStyle w:val="FootnoteAnchor"/>
          <w:rtl w:val="true"/>
        </w:rPr>
        <w:footnoteReference w:id="858"/>
      </w:r>
      <w:r>
        <w:rPr>
          <w:rFonts w:ascii="IRNazanin" w:hAnsi="IRNazanin" w:eastAsia="IRNazanin"/>
          <w:color w:val="111111"/>
          <w:sz w:val="28"/>
          <w:sz w:val="28"/>
          <w:szCs w:val="28"/>
          <w:rtl w:val="true"/>
          <w:lang w:bidi="fa-IR"/>
        </w:rPr>
        <w:t>و روایة الحسین بن خالد</w:t>
      </w:r>
      <w:r>
        <w:rPr>
          <w:rStyle w:val="FootnoteAnchor"/>
          <w:rtl w:val="true"/>
        </w:rPr>
        <w:footnoteReference w:id="8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بالأعراض، مع امکان حمل الأصابة و لو فی الجملة علی الغالب، فلا یصلح للتّقیید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مخدوش بالمنع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تکمیل</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فرّ المجلود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فیردّ، قولاً واحداً، بلا خلاف و لا اشکال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یدلّ علیه مضافاً</w:t>
      </w:r>
      <w:bookmarkStart w:id="294" w:name="pg3023_22623"/>
    </w:p>
    <w:p>
      <w:pPr>
        <w:pStyle w:val="Heading5"/>
        <w:numPr>
          <w:ilvl w:val="4"/>
          <w:numId w:val="1"/>
        </w:numPr>
        <w:rPr/>
      </w:pPr>
      <w:bookmarkStart w:id="295" w:name="__RefHeading___Toc656839_2749589250"/>
      <w:bookmarkStart w:id="296" w:name="_Toc106"/>
      <w:bookmarkEnd w:id="294"/>
      <w:bookmarkEnd w:id="295"/>
      <w:r>
        <w:rPr>
          <w:rtl w:val="true"/>
        </w:rPr>
        <w:t>السّادسة</w:t>
      </w:r>
      <w:r>
        <w:rPr>
          <w:rtl w:val="true"/>
        </w:rPr>
        <w:t xml:space="preserve">: </w:t>
      </w:r>
      <w:r>
        <w:rPr>
          <w:rtl w:val="true"/>
        </w:rPr>
        <w:t>اعلام النّاس عند الحدّ</w:t>
      </w:r>
      <w:bookmarkEnd w:id="296"/>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اعلام النّاس عند استیفاء الحدّ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الی مقتضی الأطلاقات، و الأستصحاب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مارواه الشّیخ</w:t>
      </w:r>
      <w:r>
        <w:rPr>
          <w:rStyle w:val="FootnoteAnchor"/>
          <w:rtl w:val="true"/>
        </w:rPr>
        <w:footnoteReference w:id="860"/>
      </w:r>
      <w:r>
        <w:rPr>
          <w:rFonts w:ascii="IRNazanin" w:hAnsi="IRNazanin" w:eastAsia="IRNazanin"/>
          <w:color w:val="111111"/>
          <w:sz w:val="28"/>
          <w:sz w:val="28"/>
          <w:szCs w:val="28"/>
          <w:rtl w:val="true"/>
          <w:lang w:bidi="fa-IR"/>
        </w:rPr>
        <w:t>باسناده عن محمّد بن علیّ بن محبوب عن جعفر بن محمّد بن عبدالله عن محمّد بن عیسی بن عبدالله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الزّانی یجلد، فیهرب بعد ان اصبه بعض الحدّ، ایجب علیه ان یخلّی عنه، و لا یردّکما یجب للمحصن اذا رجم؟ قال لا، ولکن یردّ حتّی یضرب الحدّ 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فرق بینه و بین المحصن، و هو حدّ من حدود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المحصن هرب من القتل، و لم یهرب الاّ الی التّوبة، لأنّه عاین الموت بعینه، و هذا انّما یجلد، فلا بدّ من ان یوفی الحدّ، لأنّه لا یقتل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ان یعلم النّاس عند استیفاء الحدّ، کما فعل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رواه ابو بصیر</w:t>
      </w:r>
      <w:r>
        <w:rPr>
          <w:rStyle w:val="FootnoteAnchor"/>
          <w:rtl w:val="true"/>
        </w:rPr>
        <w:footnoteReference w:id="861"/>
      </w:r>
      <w:r>
        <w:rPr>
          <w:rFonts w:ascii="IRNazanin" w:hAnsi="IRNazanin" w:eastAsia="IRNazanin"/>
          <w:color w:val="111111"/>
          <w:sz w:val="28"/>
          <w:sz w:val="28"/>
          <w:szCs w:val="28"/>
          <w:rtl w:val="true"/>
          <w:lang w:bidi="fa-IR"/>
        </w:rPr>
        <w:t xml:space="preserve">عن عمران بن میثم او صالح بن میثم عن ابیه فی الّتی اقرّت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ما رواه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بن حمّاد</w:t>
      </w:r>
      <w:r>
        <w:rPr>
          <w:rStyle w:val="FootnoteAnchor"/>
          <w:rtl w:val="true"/>
        </w:rPr>
        <w:footnoteReference w:id="862"/>
      </w:r>
      <w:r>
        <w:rPr>
          <w:rFonts w:ascii="IRNazanin" w:hAnsi="IRNazanin" w:eastAsia="IRNazanin"/>
          <w:color w:val="111111"/>
          <w:sz w:val="28"/>
          <w:sz w:val="28"/>
          <w:szCs w:val="28"/>
          <w:rtl w:val="true"/>
          <w:lang w:bidi="fa-IR"/>
        </w:rPr>
        <w:t xml:space="preserve">هم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ان استبعد روایته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مبانی تکملته، و انّه لم توجد له روایة غیر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انّ امامکم خارج بهذه المرأة الی هذا الظّهر، لیقیم علیها الحدّ انشاء الله، فعزم علیکم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خرجتم و انتم متنکّرون</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صحیحة زرارة</w:t>
      </w:r>
      <w:r>
        <w:rPr>
          <w:rStyle w:val="FootnoteAnchor"/>
          <w:rtl w:val="true"/>
        </w:rPr>
        <w:footnoteReference w:id="863"/>
      </w:r>
      <w:r>
        <w:rPr>
          <w:rFonts w:ascii="IRNazanin" w:hAnsi="IRNazanin" w:eastAsia="IRNazanin"/>
          <w:color w:val="111111"/>
          <w:sz w:val="28"/>
          <w:sz w:val="28"/>
          <w:szCs w:val="28"/>
          <w:rtl w:val="true"/>
          <w:lang w:bidi="fa-IR"/>
        </w:rPr>
        <w:t xml:space="preserve">فی الرّجل الّذی اقرّ علی نفسه بالفوجور،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اغدوا غداً علیّ متلثّمین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مارواه ابن ابراهیم</w:t>
      </w:r>
      <w:r>
        <w:rPr>
          <w:rStyle w:val="FootnoteAnchor"/>
          <w:rtl w:val="true"/>
        </w:rPr>
        <w:footnoteReference w:id="864"/>
      </w:r>
      <w:r>
        <w:rPr>
          <w:rFonts w:ascii="IRNazanin" w:hAnsi="IRNazanin" w:eastAsia="IRNazanin"/>
          <w:color w:val="111111"/>
          <w:sz w:val="28"/>
          <w:sz w:val="28"/>
          <w:szCs w:val="28"/>
          <w:rtl w:val="true"/>
          <w:lang w:bidi="fa-IR"/>
        </w:rPr>
        <w:t xml:space="preserve">فی تفسیره معتبراً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معشر المسلمین اخرجوا لیقام علی هذا الرّجل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الأصبغ</w:t>
      </w:r>
      <w:r>
        <w:rPr>
          <w:rStyle w:val="FootnoteAnchor"/>
          <w:rtl w:val="true"/>
        </w:rPr>
        <w:footnoteReference w:id="865"/>
      </w:r>
      <w:r>
        <w:rPr>
          <w:rFonts w:ascii="IRNazanin" w:hAnsi="IRNazanin" w:eastAsia="IRNazanin"/>
          <w:color w:val="111111"/>
          <w:sz w:val="28"/>
          <w:sz w:val="28"/>
          <w:szCs w:val="28"/>
          <w:rtl w:val="true"/>
          <w:lang w:bidi="fa-IR"/>
        </w:rPr>
        <w:t xml:space="preserve">فی الرّجل الذی اقرّ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انّه یجزی من حضر منکم رجمه ممّن غاب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امکن المناقشة فی بعضها، بکون الحضور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تمهیداً لحکمه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الرّجم ممّن علیه حدّ، و لکن فی ظهور بعضها الأخر 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یجب الحضور، و اقلّه واحد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الحضور عند الجلد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لیشهد عذابهما طائفة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جماعة نهم الحلّیّ  و المحقّق فی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اقامة الحدّ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عبارة السّرائر</w:t>
      </w:r>
      <w:r>
        <w:rPr>
          <w:rStyle w:val="FootnoteAnchor"/>
          <w:rtl w:val="true"/>
        </w:rPr>
        <w:footnoteReference w:id="866"/>
      </w:r>
      <w:r>
        <w:rPr>
          <w:rFonts w:ascii="IRNazanin" w:hAnsi="IRNazanin" w:eastAsia="IRNazanin"/>
          <w:color w:val="111111"/>
          <w:sz w:val="28"/>
          <w:sz w:val="28"/>
          <w:szCs w:val="28"/>
          <w:rtl w:val="true"/>
          <w:lang w:bidi="fa-IR"/>
        </w:rPr>
        <w:t>قاصرة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استظهره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جعله فی الجواهر احوط، لو لم یکن اقوی، کما احتاط فی المهذّب استحباباً خلافاً لجماعة آخرین، منهم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الخلاف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فیه</w:t>
      </w:r>
      <w:r>
        <w:rPr>
          <w:rStyle w:val="FootnoteAnchor"/>
          <w:rtl w:val="true"/>
        </w:rPr>
        <w:footnoteReference w:id="8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ان یحضر عند اقامة الحدّ علی الزّانی طائفة من المؤمنین، بلا خلاف،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لیشهد عذابها طائفة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اقلّ ذلک 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التّعلیق الثّالث صفحة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الحسن البصری، و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اقلّه واحد، و قد روی ذلک اصحابنا ایضاً، و قال عکرمة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اثنان، و 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و 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دلیلنا طریقة الأحتیاط، لأنّه اذا حضر عشرة دخل الأقلّ فیه، ولو قلنا باحد ما قالوه لکان قویاً، لأنّ لفظ الطّائفة یقع علی جمیع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سبق کلام المبسوط</w:t>
      </w:r>
      <w:r>
        <w:rPr>
          <w:rStyle w:val="FootnoteAnchor"/>
          <w:rtl w:val="true"/>
        </w:rPr>
        <w:footnoteReference w:id="8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فی موضع آخر</w:t>
      </w:r>
      <w:r>
        <w:rPr>
          <w:rStyle w:val="FootnoteAnchor"/>
          <w:rtl w:val="true"/>
        </w:rPr>
        <w:footnoteReference w:id="8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وجب الحدّ علی الزّانی یستحبّ ان یحضر اقامته طائفة،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لیشهد غذابهما طائفة من المؤمنین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کان فی روایة الأصبغ</w:t>
      </w:r>
      <w:r>
        <w:rPr>
          <w:rStyle w:val="FootnoteAnchor"/>
          <w:rtl w:val="true"/>
        </w:rPr>
        <w:footnoteReference w:id="870"/>
      </w:r>
      <w:r>
        <w:rPr>
          <w:rFonts w:ascii="IRNazanin" w:hAnsi="IRNazanin" w:eastAsia="IRNazanin"/>
          <w:color w:val="111111"/>
          <w:sz w:val="28"/>
          <w:sz w:val="28"/>
          <w:szCs w:val="28"/>
          <w:rtl w:val="true"/>
          <w:lang w:bidi="fa-IR"/>
        </w:rPr>
        <w:t>اشارة الی لزوم الحضور</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یکفی حضور طائفة، تصدق علی واحد فما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الشّرایع و القواعد، و شرحه للفخر، و محکیّ النّافع و النّهایة، و الجامع و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علیه معتبرة غیاث بن ابراهیم</w:t>
      </w:r>
      <w:r>
        <w:rPr>
          <w:rStyle w:val="FootnoteAnchor"/>
          <w:rtl w:val="true"/>
        </w:rPr>
        <w:footnoteReference w:id="871"/>
      </w:r>
      <w:r>
        <w:rPr>
          <w:rFonts w:ascii="IRNazanin" w:hAnsi="IRNazanin" w:eastAsia="IRNazanin"/>
          <w:color w:val="111111"/>
          <w:sz w:val="28"/>
          <w:sz w:val="28"/>
          <w:szCs w:val="28"/>
          <w:rtl w:val="true"/>
          <w:lang w:bidi="fa-IR"/>
        </w:rPr>
        <w:t>عن جعفر عن ابیه عن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فی 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تأخذکم بهما رأفة فی دین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اقامة الحدود، و فی قوله تعالی و لیشهد عذابهما طائفة من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الطاّئفة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ما عن کتاب التّنزیل و التّحریف</w:t>
      </w:r>
      <w:r>
        <w:rPr>
          <w:rStyle w:val="FootnoteAnchor"/>
          <w:rtl w:val="true"/>
        </w:rPr>
        <w:footnoteReference w:id="872"/>
      </w:r>
      <w:r>
        <w:rPr>
          <w:rFonts w:ascii="IRNazanin" w:hAnsi="IRNazanin" w:eastAsia="IRNazanin"/>
          <w:color w:val="111111"/>
          <w:sz w:val="28"/>
          <w:sz w:val="28"/>
          <w:szCs w:val="28"/>
          <w:rtl w:val="true"/>
          <w:lang w:bidi="fa-IR"/>
        </w:rPr>
        <w:t xml:space="preserve">، لأحمد بن محمّد بن سیّار عن عیسی بن ابی حمزة عن ابی بصیر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قوله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لیشهد عذابهما طائفة من المؤمنین،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الواحد یجزی اذا شهد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عکرمة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اثنان،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لا نفر من کلّ فرقة منهم طائفة، حیث انّ اقلّ الفرقة ثلاثة، و الخارج اثنان او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الأحتیاط اعتبار الأوّل لما فی السّرائر</w:t>
      </w:r>
      <w:r>
        <w:rPr>
          <w:rStyle w:val="FootnoteAnchor"/>
          <w:rtl w:val="true"/>
        </w:rPr>
        <w:footnoteReference w:id="873"/>
      </w:r>
      <w:r>
        <w:rPr>
          <w:rFonts w:ascii="IRNazanin" w:hAnsi="IRNazanin" w:eastAsia="IRNazanin"/>
          <w:color w:val="111111"/>
          <w:sz w:val="28"/>
          <w:sz w:val="28"/>
          <w:szCs w:val="28"/>
          <w:rtl w:val="true"/>
          <w:lang w:bidi="fa-IR"/>
        </w:rPr>
        <w:t xml:space="preserve">من قول ابن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الّذی اقول فی الأقل انّه ثلاثه نفر، لأنّه من حیث العرف دون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الزّهریّ و قتادة للعرف، لکونها فیه کالجماعة و اقلّها ذلک، و لأنّ الحدّ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بالبیّنة فهی ترجمه و تحضر، و هم اکثر من ثلاثة، و ان کان باعترافه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 من یرجمه الأمام ثمّ النّاس مع الأمام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سبق فی الخلاف</w:t>
      </w:r>
      <w:r>
        <w:rPr>
          <w:rStyle w:val="FootnoteAnchor"/>
          <w:rtl w:val="true"/>
        </w:rPr>
        <w:footnoteReference w:id="8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عشرة، و مال صاحب الجواهر الی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المهذّب، کما یظهر من روایة ابی الجارود</w:t>
      </w:r>
      <w:r>
        <w:rPr>
          <w:rStyle w:val="FootnoteAnchor"/>
          <w:rtl w:val="true"/>
        </w:rPr>
        <w:footnoteReference w:id="8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ازید من واحد او اثنین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یجمع لهما النّاس اذا جلدوا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مسندة الجعفریّات</w:t>
      </w:r>
      <w:r>
        <w:rPr>
          <w:rStyle w:val="FootnoteAnchor"/>
          <w:rtl w:val="true"/>
        </w:rPr>
        <w:footnoteReference w:id="876"/>
      </w:r>
      <w:r>
        <w:rPr>
          <w:rFonts w:ascii="IRNazanin" w:hAnsi="IRNazanin" w:eastAsia="IRNazanin"/>
          <w:color w:val="111111"/>
          <w:sz w:val="28"/>
          <w:sz w:val="28"/>
          <w:szCs w:val="28"/>
          <w:rtl w:val="true"/>
          <w:lang w:bidi="fa-IR"/>
        </w:rPr>
        <w:t xml:space="preserve">عن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لیشهد عذابها طائفة من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الطّائفة من واحد الی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نحوها مرسلة الدّعائم</w:t>
      </w:r>
      <w:r>
        <w:rPr>
          <w:rStyle w:val="FootnoteAnchor"/>
          <w:rtl w:val="true"/>
        </w:rPr>
        <w:footnoteReference w:id="877"/>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الطّائفة واحد الی عشرة</w:t>
      </w:r>
      <w:r>
        <w:rPr>
          <w:rFonts w:eastAsia="IRNazanin" w:cs="IRNazanin"/>
          <w:color w:val="111111"/>
          <w:sz w:val="28"/>
          <w:szCs w:val="28"/>
          <w:rtl w:val="true"/>
          <w:lang w:bidi="fa-IR"/>
        </w:rPr>
        <w:t>.</w:t>
      </w:r>
      <w:bookmarkStart w:id="297" w:name="pg3023_22626"/>
    </w:p>
    <w:p>
      <w:pPr>
        <w:pStyle w:val="Heading5"/>
        <w:numPr>
          <w:ilvl w:val="4"/>
          <w:numId w:val="1"/>
        </w:numPr>
        <w:rPr/>
      </w:pPr>
      <w:bookmarkStart w:id="298" w:name="__RefHeading___Toc656841_2749589250"/>
      <w:bookmarkStart w:id="299" w:name="_Toc107"/>
      <w:bookmarkEnd w:id="297"/>
      <w:bookmarkEnd w:id="298"/>
      <w:r>
        <w:rPr>
          <w:rtl w:val="true"/>
        </w:rPr>
        <w:t>السّابعة</w:t>
      </w:r>
      <w:r>
        <w:rPr>
          <w:rtl w:val="true"/>
        </w:rPr>
        <w:t xml:space="preserve">: </w:t>
      </w:r>
      <w:r>
        <w:rPr>
          <w:rtl w:val="true"/>
        </w:rPr>
        <w:t>یجلد الزّانی علی الحال الّتی یوجد علیها کاسیاً او عاریاً</w:t>
      </w:r>
      <w:bookmarkEnd w:id="299"/>
    </w:p>
    <w:p>
      <w:pPr>
        <w:pStyle w:val="Heading6"/>
        <w:numPr>
          <w:ilvl w:val="5"/>
          <w:numId w:val="1"/>
        </w:numPr>
        <w:rPr/>
      </w:pPr>
      <w:bookmarkStart w:id="300" w:name="__RefHeading___Toc656843_2749589250"/>
      <w:bookmarkStart w:id="301" w:name="_Toc108"/>
      <w:bookmarkEnd w:id="300"/>
      <w:r>
        <w:rPr>
          <w:rtl w:val="true"/>
        </w:rPr>
        <w:t>اشارة</w:t>
      </w:r>
      <w:bookmarkEnd w:id="301"/>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یجلد الزّانی علی الحال الّتی یوجد علیها، ان کان کاسیاً فکاسیاً و ان عاریاً فعاریاً علی المشهور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یجلد الرّجل الزّانی علی الحال الّتی یوجد علیها، ان کاسیاً فکاسیاً، و ان عاریاً فعاریاً، کما عن المشهور و یظهر اختیاره عن صاحب المبانی، و مال الیه فی الجواهر خلافاً لآخرین، مهم المحقّق فی الشّرایع و العلاّمة فی القواعد فمجرّداً، و اختاره فی المهذّب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المشهور ما رواه طلحة بن زید</w:t>
      </w:r>
      <w:r>
        <w:rPr>
          <w:rStyle w:val="FootnoteAnchor"/>
          <w:rtl w:val="true"/>
        </w:rPr>
        <w:footnoteReference w:id="878"/>
      </w:r>
      <w:r>
        <w:rPr>
          <w:rFonts w:ascii="IRNazanin" w:hAnsi="IRNazanin" w:eastAsia="IRNazanin"/>
          <w:color w:val="111111"/>
          <w:sz w:val="28"/>
          <w:sz w:val="28"/>
          <w:szCs w:val="28"/>
          <w:rtl w:val="true"/>
          <w:lang w:bidi="fa-IR"/>
        </w:rPr>
        <w:t xml:space="preserve">عن جعفر عن 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الموثّق،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یجرّد فی حدّ و لا یشنح یعنی یمدّ،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یضرب الزّانی علی الحال الّتی وجد علیها، ان وجد عریاناً ضرب عریاناً،  و ان وجد و علیه ثیابه ضرب و علیه ثیابه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قریب منه مرسلة الدّعائم</w:t>
      </w:r>
      <w:r>
        <w:rPr>
          <w:rStyle w:val="FootnoteAnchor"/>
          <w:rtl w:val="true"/>
        </w:rPr>
        <w:footnoteReference w:id="879"/>
      </w:r>
      <w:r>
        <w:rPr>
          <w:rFonts w:ascii="IRNazanin" w:hAnsi="IRNazanin" w:eastAsia="IRNazanin"/>
          <w:color w:val="111111"/>
          <w:sz w:val="28"/>
          <w:sz w:val="28"/>
          <w:szCs w:val="28"/>
          <w:rtl w:val="true"/>
          <w:lang w:bidi="fa-IR"/>
        </w:rPr>
        <w:t xml:space="preserve">و 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مارواه فی قرب الأسناد</w:t>
      </w:r>
      <w:r>
        <w:rPr>
          <w:rStyle w:val="FootnoteAnchor"/>
          <w:rtl w:val="true"/>
        </w:rPr>
        <w:footnoteReference w:id="881"/>
      </w:r>
      <w:r>
        <w:rPr>
          <w:rFonts w:ascii="IRNazanin" w:hAnsi="IRNazanin" w:eastAsia="IRNazanin"/>
          <w:color w:val="111111"/>
          <w:sz w:val="28"/>
          <w:sz w:val="28"/>
          <w:szCs w:val="28"/>
          <w:rtl w:val="true"/>
          <w:lang w:bidi="fa-IR"/>
        </w:rPr>
        <w:t>ضعیفاً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ما اختاره الأخرون معتبرة اسحاق بن عمّار</w:t>
      </w:r>
      <w:r>
        <w:rPr>
          <w:rStyle w:val="FootnoteAnchor"/>
          <w:rtl w:val="true"/>
        </w:rPr>
        <w:footnoteReference w:id="88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ابا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الزّانی کیف یجلد؟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اشدّ الجلد،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فوق ثیابه،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تخلع ثیابه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معتبرته</w:t>
      </w:r>
      <w:r>
        <w:rPr>
          <w:rStyle w:val="FootnoteAnchor"/>
          <w:rtl w:val="true"/>
        </w:rPr>
        <w:footnoteReference w:id="883"/>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رواها عنه صفوان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من فوق الثّیاب؟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انّ مستند الجماعة مطلق فیقیّد بروایة طلحة بن زید</w:t>
      </w:r>
      <w:r>
        <w:rPr>
          <w:rStyle w:val="FootnoteAnchor"/>
          <w:rtl w:val="true"/>
        </w:rPr>
        <w:footnoteReference w:id="884"/>
      </w:r>
      <w:r>
        <w:rPr>
          <w:rFonts w:ascii="IRNazanin" w:hAnsi="IRNazanin" w:eastAsia="IRNazanin"/>
          <w:color w:val="111111"/>
          <w:sz w:val="28"/>
          <w:sz w:val="28"/>
          <w:szCs w:val="28"/>
          <w:rtl w:val="true"/>
          <w:lang w:bidi="fa-IR"/>
        </w:rPr>
        <w:t>، و یفصّل بین وجدانه عاریاً فعاریاً، او کاسیاً فیجلد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روایة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الوجدان حال الزّنا، و ان اطلق الشّیخ فی محکیّ</w:t>
      </w:r>
    </w:p>
    <w:p>
      <w:pPr>
        <w:pStyle w:val="BookText"/>
        <w:rPr/>
      </w:pPr>
      <w:r>
        <w:rPr>
          <w:rFonts w:ascii="IRNazanin" w:hAnsi="IRNazanin" w:eastAsia="IRNazanin"/>
          <w:color w:val="111111"/>
          <w:sz w:val="28"/>
          <w:sz w:val="28"/>
          <w:szCs w:val="28"/>
          <w:rtl w:val="true"/>
          <w:lang w:bidi="fa-IR"/>
        </w:rPr>
        <w:t xml:space="preserve">و ینزع عنه فی الأوّل ما یمنع من ایلامه بالجلد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نهایته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الحالة الّتی زنی فیها، و احتمال الوجدان حال الأخذ و الرّفع الی الحاکم خلاف الظّاهر،</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ظاهرها ایضاً حسب اختصاص التّفصیل بما اذا عثر علیه حال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ذلک اذا ثبت بالبیّنة، و یبقی اطلاق المطلقین فی الثّبوت بغیر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حاله من التّجرید، کما اذا شهد الشّهود، و لم یذکروا الکسی والعری، و لم یستفسرهم الحاکم، فربّما لا یجوز تجریده، بل یکتفی بالضّرب کاسیاً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کونه من الدّوران بین المتباینین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اذ الضّرب عاریاٌ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زائد علی الضّرب عاریاً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زائد علی الضّرب کاسیاً من ناحیة قیده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الثّبوت بعلم الحاکم یجری بعض ما ذکر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اشارة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یستثنی من الضّرب کاسیاً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استثناه ابن ادریس</w:t>
      </w:r>
      <w:r>
        <w:rPr>
          <w:rStyle w:val="FootnoteAnchor"/>
          <w:rtl w:val="true"/>
        </w:rPr>
        <w:footnoteReference w:id="8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یمنع الثّیاب من ایصال شیئ من الم الضّرب الیه</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کلام بعضهم، و نسبه فی الجواهر الی محکّی المبسوط و ان لم یعبّر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نزع مثل الفروة و الجبّة و المحشوّة، و ترکه بقمیص او قمیصین</w:t>
      </w:r>
      <w:r>
        <w:rPr>
          <w:rFonts w:eastAsia="IRNazanin" w:cs="IRNazanin"/>
          <w:color w:val="111111"/>
          <w:sz w:val="28"/>
          <w:szCs w:val="28"/>
          <w:rtl w:val="true"/>
          <w:lang w:bidi="fa-IR"/>
        </w:rPr>
        <w:t>.</w:t>
      </w:r>
      <w:bookmarkStart w:id="302" w:name="pg3023_22628"/>
    </w:p>
    <w:p>
      <w:pPr>
        <w:pStyle w:val="Heading6"/>
        <w:numPr>
          <w:ilvl w:val="5"/>
          <w:numId w:val="1"/>
        </w:numPr>
        <w:rPr/>
      </w:pPr>
      <w:bookmarkStart w:id="303" w:name="__RefHeading___Toc656845_2749589250"/>
      <w:bookmarkStart w:id="304" w:name="_Toc109"/>
      <w:bookmarkEnd w:id="302"/>
      <w:bookmarkEnd w:id="303"/>
      <w:r>
        <w:rPr>
          <w:rtl w:val="true"/>
        </w:rPr>
        <w:t>یجلد الزّانی قائماً اشدّ الضّرب و یفرّق علی جسده</w:t>
      </w:r>
      <w:bookmarkEnd w:id="304"/>
    </w:p>
    <w:p>
      <w:pPr>
        <w:pStyle w:val="BookText"/>
        <w:rPr/>
      </w:pPr>
      <w:r>
        <w:rPr>
          <w:rFonts w:ascii="Amiri" w:hAnsi="Amiri" w:eastAsia="Amiri" w:cs="Amiri"/>
          <w:color w:val="111111"/>
          <w:sz w:val="28"/>
          <w:sz w:val="28"/>
          <w:szCs w:val="28"/>
          <w:rtl w:val="true"/>
          <w:lang w:bidi="ar-SA"/>
        </w:rPr>
        <w:t xml:space="preserve">مسئلة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یجلد الزّانی قائماً اشدّ الضّرب، و یفرّق علی جسده؛</w:t>
      </w:r>
    </w:p>
    <w:p>
      <w:pPr>
        <w:pStyle w:val="BookText"/>
        <w:rPr/>
      </w:pPr>
      <w:r>
        <w:rPr>
          <w:rFonts w:ascii="IRNazanin" w:hAnsi="IRNazanin" w:eastAsia="IRNazanin"/>
          <w:color w:val="111111"/>
          <w:sz w:val="28"/>
          <w:sz w:val="28"/>
          <w:szCs w:val="28"/>
          <w:rtl w:val="true"/>
          <w:lang w:bidi="fa-IR"/>
        </w:rPr>
        <w:t xml:space="preserve">سوی الرّأس و المذاکیر و الوجه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یجلد الزّانی قائماً، اشدّ الضّرب، و یفرّق الضّرب علی جسده سوی الرّأس و المذاکیر، لقول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صحفیحة زرارة</w:t>
      </w:r>
      <w:r>
        <w:rPr>
          <w:rStyle w:val="FootnoteAnchor"/>
          <w:rtl w:val="true"/>
        </w:rPr>
        <w:footnoteReference w:id="8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الرّجل الحدّ قائماً و المرأة قاعدةً، و یضرب کلّ عضو و یترک الرّأس و المذاکیر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لقول ابی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تقدّم من معتبرتی</w:t>
      </w:r>
      <w:r>
        <w:rPr>
          <w:rStyle w:val="FootnoteAnchor"/>
          <w:rtl w:val="true"/>
        </w:rPr>
        <w:footnoteReference w:id="887"/>
      </w:r>
      <w:r>
        <w:rPr>
          <w:rStyle w:val="FootnoteAnchor"/>
          <w:rtl w:val="true"/>
        </w:rPr>
        <w:footnoteReference w:id="888"/>
      </w:r>
      <w:r>
        <w:rPr>
          <w:rFonts w:ascii="IRNazanin" w:hAnsi="IRNazanin" w:eastAsia="IRNazanin"/>
          <w:color w:val="111111"/>
          <w:sz w:val="28"/>
          <w:sz w:val="28"/>
          <w:szCs w:val="28"/>
          <w:rtl w:val="true"/>
          <w:lang w:bidi="fa-IR"/>
        </w:rPr>
        <w:t>اسحاق بن عمّار، و فی الثّانیة کالأولی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الزّانی کیف یجلد؟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اشدّ الجلد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ماوراه زرعة</w:t>
      </w:r>
      <w:r>
        <w:rPr>
          <w:rStyle w:val="FootnoteAnchor"/>
          <w:rtl w:val="true"/>
        </w:rPr>
        <w:footnoteReference w:id="889"/>
      </w:r>
      <w:r>
        <w:rPr>
          <w:rFonts w:ascii="IRNazanin" w:hAnsi="IRNazanin" w:eastAsia="IRNazanin"/>
          <w:color w:val="111111"/>
          <w:sz w:val="28"/>
          <w:sz w:val="28"/>
          <w:szCs w:val="28"/>
          <w:rtl w:val="true"/>
          <w:lang w:bidi="fa-IR"/>
        </w:rPr>
        <w:t xml:space="preserve">عن سماعة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الزّانی کأشدّ ما یکون من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 ذلک ما فی مسند الجعفریّات</w:t>
      </w:r>
      <w:r>
        <w:rPr>
          <w:rStyle w:val="FootnoteAnchor"/>
          <w:rtl w:val="true"/>
        </w:rPr>
        <w:footnoteReference w:id="890"/>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الزّانی اشدّ من جلد القاذف اشدّ من جلد الشّارب و جلد الشّارب اشدّ من جلد التّعزیر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روایة ابی البختری</w:t>
      </w:r>
      <w:r>
        <w:rPr>
          <w:rStyle w:val="FootnoteAnchor"/>
          <w:rtl w:val="true"/>
        </w:rPr>
        <w:footnoteReference w:id="891"/>
      </w:r>
      <w:r>
        <w:rPr>
          <w:rFonts w:ascii="Amiri" w:hAnsi="Amiri" w:eastAsia="Amiri" w:cs="Amiri"/>
          <w:color w:val="111111"/>
          <w:sz w:val="28"/>
          <w:sz w:val="28"/>
          <w:szCs w:val="28"/>
          <w:rtl w:val="true"/>
          <w:lang w:bidi="ar-SA"/>
        </w:rPr>
        <w:t xml:space="preserve">عن جعفر عن ابیه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الزّانی اشدّ من حدّ القاذفف و حدّ الشّارب اشدّ من حدّ القاذف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فی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8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 الزّانی و الزّانیة اغلظ ما یکون من الحدّ و اشدّ ما یکون من 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w:t>
      </w:r>
      <w:r>
        <w:rPr>
          <w:rStyle w:val="FootnoteAnchor"/>
          <w:rtl w:val="true"/>
        </w:rPr>
        <w:footnoteReference w:id="893"/>
      </w:r>
      <w:r>
        <w:rPr>
          <w:rFonts w:ascii="IRNazanin" w:hAnsi="IRNazanin" w:eastAsia="IRNazanin"/>
          <w:color w:val="111111"/>
          <w:sz w:val="28"/>
          <w:sz w:val="28"/>
          <w:szCs w:val="28"/>
          <w:rtl w:val="true"/>
          <w:lang w:bidi="fa-IR"/>
        </w:rPr>
        <w:t>انّ جلد الزّانی اشدّ الضّرب و انّه یضرب من قرنه الی قدمه، لما یقضی من اللّذّة بجمیع جوارحه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الدّعائم</w:t>
      </w:r>
      <w:r>
        <w:rPr>
          <w:rStyle w:val="FootnoteAnchor"/>
          <w:rtl w:val="true"/>
        </w:rPr>
        <w:footnoteReference w:id="894"/>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الزّانی من اشدّ الجلد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Style w:val="FootnoteAnchor"/>
          <w:rtl w:val="true"/>
        </w:rPr>
        <w:footnoteReference w:id="895"/>
      </w:r>
      <w:r>
        <w:rPr>
          <w:rFonts w:ascii="IRNazanin" w:hAnsi="IRNazanin" w:eastAsia="IRNazanin"/>
          <w:color w:val="111111"/>
          <w:sz w:val="28"/>
          <w:sz w:val="28"/>
          <w:szCs w:val="28"/>
          <w:rtl w:val="true"/>
          <w:lang w:bidi="fa-IR"/>
        </w:rPr>
        <w:t xml:space="preserve">عن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اشدّ الجلد، و یضرب الرّجل قائماً و تجلد المرأة قاعدة، و یضرب کلّ عضو منه و منها ما خلا الوجه و الفرج و المذاکیر، کأشدّ ما یکون من الضّرب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و فی مارواه</w:t>
      </w:r>
      <w:r>
        <w:rPr>
          <w:rStyle w:val="FootnoteAnchor"/>
          <w:rtl w:val="true"/>
        </w:rPr>
        <w:footnoteReference w:id="896"/>
      </w:r>
      <w:r>
        <w:rPr>
          <w:rFonts w:ascii="IRNazanin" w:hAnsi="IRNazanin" w:eastAsia="IRNazanin"/>
          <w:color w:val="111111"/>
          <w:sz w:val="28"/>
          <w:sz w:val="28"/>
          <w:szCs w:val="28"/>
          <w:rtl w:val="true"/>
          <w:lang w:bidi="fa-IR"/>
        </w:rPr>
        <w:t xml:space="preserve">فی العلل و العیون بأسانیده عن محمّد بن سنان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علّة ضرب الزّانی علی جسده بأشدّ الضّرب لمباشرته الزّنا، و استلذاذ الجسد کلّه به، فجعل الضّرب عقوبی له و عبرة لغیره و هو اعظم الجنایات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ذکرنا یخصّص مرسل حریز</w:t>
      </w:r>
      <w:r>
        <w:rPr>
          <w:rStyle w:val="FootnoteAnchor"/>
          <w:rtl w:val="true"/>
        </w:rPr>
        <w:footnoteReference w:id="897"/>
      </w:r>
      <w:r>
        <w:rPr>
          <w:rFonts w:ascii="IRNazanin" w:hAnsi="IRNazanin" w:eastAsia="IRNazanin"/>
          <w:color w:val="111111"/>
          <w:sz w:val="28"/>
          <w:sz w:val="28"/>
          <w:szCs w:val="28"/>
          <w:rtl w:val="true"/>
          <w:lang w:bidi="fa-IR"/>
        </w:rPr>
        <w:t xml:space="preserve">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یفرّق الحدّ علی الجسد کلّه، و یتّقی الفرج و الوجه، و یضرب بین الضّربین،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معتبراً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الوجه ایضاً، فلا یضرب، کالرّأس و المذاکیر، و کذلک فی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اقتصر فی المبسوط</w:t>
      </w:r>
      <w:r>
        <w:rPr>
          <w:rStyle w:val="FootnoteAnchor"/>
          <w:rtl w:val="true"/>
        </w:rPr>
        <w:footnoteReference w:id="898"/>
      </w:r>
      <w:r>
        <w:rPr>
          <w:rFonts w:ascii="IRNazanin" w:hAnsi="IRNazanin" w:eastAsia="IRNazanin"/>
          <w:color w:val="111111"/>
          <w:sz w:val="28"/>
          <w:sz w:val="28"/>
          <w:szCs w:val="28"/>
          <w:rtl w:val="true"/>
          <w:lang w:bidi="fa-IR"/>
        </w:rPr>
        <w:t>و الخلاف</w:t>
      </w:r>
      <w:r>
        <w:rPr>
          <w:rStyle w:val="FootnoteAnchor"/>
          <w:rtl w:val="true"/>
        </w:rPr>
        <w:footnoteReference w:id="899"/>
      </w:r>
      <w:r>
        <w:rPr>
          <w:rFonts w:ascii="IRNazanin" w:hAnsi="IRNazanin" w:eastAsia="IRNazanin"/>
          <w:color w:val="111111"/>
          <w:sz w:val="28"/>
          <w:sz w:val="28"/>
          <w:szCs w:val="28"/>
          <w:rtl w:val="true"/>
          <w:lang w:bidi="fa-IR"/>
        </w:rPr>
        <w:t>علی الوجه و 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الأقتصار علی الرّأس 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یشهد له بعض ما تقدّم من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الخلاف</w:t>
      </w:r>
      <w:r>
        <w:rPr>
          <w:rStyle w:val="FootnoteAnchor"/>
          <w:rtl w:val="true"/>
        </w:rPr>
        <w:footnoteReference w:id="9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یفرّق حدّ الزّانی علی جمیع البدن؛ الاّ الوجه و الفرج، و به قال الشّافعیّ</w:t>
      </w:r>
      <w:r>
        <w:rPr>
          <w:rFonts w:eastAsia="Amiri" w:cs="Amiri" w:ascii="Amiri" w:hAnsi="Amiri"/>
          <w:color w:val="111111"/>
          <w:sz w:val="28"/>
          <w:szCs w:val="28"/>
          <w:rtl w:val="true"/>
          <w:lang w:bidi="ar-SA"/>
        </w:rPr>
        <w:t>.</w:t>
      </w:r>
      <w:r>
        <w:rPr>
          <w:rStyle w:val="FootnoteAnchor"/>
          <w:rtl w:val="true"/>
        </w:rPr>
        <w:footnoteReference w:id="901"/>
      </w:r>
      <w:r>
        <w:rPr>
          <w:rFonts w:ascii="IRNazanin" w:hAnsi="IRNazanin" w:eastAsia="IRNazanin"/>
          <w:color w:val="111111"/>
          <w:sz w:val="28"/>
          <w:sz w:val="28"/>
          <w:szCs w:val="28"/>
          <w:rtl w:val="true"/>
          <w:lang w:bidi="fa-IR"/>
        </w:rPr>
        <w:t>و قال ابو حنیفة الاّ الوجه و الفرج و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 اجماع الفرقة و اخبارهم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بدون الأستدلال فی المبسوط</w:t>
      </w:r>
      <w:r>
        <w:rPr>
          <w:rStyle w:val="FootnoteAnchor"/>
          <w:rtl w:val="true"/>
        </w:rPr>
        <w:footnoteReference w:id="9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الأستیناس لذلک، مضافاً الی التّجنّب عن المثلة و القتل و العمی و اختلال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رواه محمّد بن مسلم</w:t>
      </w:r>
      <w:r>
        <w:rPr>
          <w:rStyle w:val="FootnoteAnchor"/>
          <w:rtl w:val="true"/>
        </w:rPr>
        <w:footnoteReference w:id="903"/>
      </w:r>
      <w:r>
        <w:rPr>
          <w:rFonts w:ascii="IRNazanin" w:hAnsi="IRNazanin" w:eastAsia="IRNazanin"/>
          <w:color w:val="111111"/>
          <w:sz w:val="28"/>
          <w:sz w:val="28"/>
          <w:szCs w:val="28"/>
          <w:rtl w:val="true"/>
          <w:lang w:bidi="fa-IR"/>
        </w:rPr>
        <w:t xml:space="preserve">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یجب علیه 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یرجم من ورائه و لا یرجم من وجهه، لأنّ الرّجم و الضّرب لا یصیبان الوجه، و انّما یضربان علی الجسد علی الأعضاء کلّها</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یمکن الأستدلال بصحیحة زرارة</w:t>
      </w:r>
      <w:r>
        <w:rPr>
          <w:rStyle w:val="FootnoteAnchor"/>
          <w:rtl w:val="true"/>
        </w:rPr>
        <w:footnoteReference w:id="904"/>
      </w:r>
      <w:r>
        <w:rPr>
          <w:rFonts w:ascii="IRNazanin" w:hAnsi="IRNazanin" w:eastAsia="IRNazanin"/>
          <w:color w:val="111111"/>
          <w:sz w:val="28"/>
          <w:sz w:val="28"/>
          <w:szCs w:val="28"/>
          <w:rtl w:val="true"/>
          <w:lang w:bidi="fa-IR"/>
        </w:rPr>
        <w:t xml:space="preserve">بناء علی ما عن الفقیه و التّهذیب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یضرب علی کلّ عضو و یترک الوجه و المذاکیر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تجرّد المرأة فی الجلد حتّی اذا وجدت عاریة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عدّة من الأخبار عدم جواز رجم علیه حدّ مثل حدّ المرجوم، او مطلقا، و هو احوط و اولی من حملها علی الأستحباب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و فی 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90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ان لا یتعمّد بالرّجم رأسه، وروی لا یقتله الاّ حجر الأمام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سبق قوله عن الدّعائم</w:t>
      </w:r>
      <w:r>
        <w:rPr>
          <w:rStyle w:val="FootnoteAnchor"/>
          <w:rtl w:val="true"/>
        </w:rPr>
        <w:footnoteReference w:id="907"/>
      </w:r>
      <w:r>
        <w:rPr>
          <w:rFonts w:ascii="IRNazanin" w:hAnsi="IRNazanin" w:eastAsia="IRNazanin"/>
          <w:color w:val="111111"/>
          <w:sz w:val="28"/>
          <w:sz w:val="28"/>
          <w:szCs w:val="28"/>
          <w:rtl w:val="true"/>
          <w:lang w:bidi="fa-IR"/>
        </w:rPr>
        <w:t>و لا یرجم من قبل وجه و یرجم حتّی یموت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تتمیع</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تجرّد المرأة فی الجلد سواء وجدت عاریة ام کاسیة، لأختصاص الدّلیل بارّجل، و لا وجه لا شتراکها معه فی التّجرید، لعدم تمامیّة ادلّة الأشتراک کلّیّة، بل ربّما یکون عمدتها مناسبة الحکم و الموضوع، و عدم فهم الخصوصیةّ بحیث یوجب الظّهور فی العموم و هی مفقودة فی المقام، مع انّ بدنها عورة، و مناسبتها للسّتر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عن المقنع من تعمیم حال الوجدان، و کون حال الحدّ تبعاً لها فی المرأة ایضاً غیر 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فی صحیحة زرارة</w:t>
      </w:r>
      <w:r>
        <w:rPr>
          <w:rStyle w:val="FootnoteAnchor"/>
          <w:rtl w:val="true"/>
        </w:rPr>
        <w:footnoteReference w:id="908"/>
      </w:r>
      <w:r>
        <w:rPr>
          <w:rFonts w:ascii="IRNazanin" w:hAnsi="IRNazanin" w:eastAsia="IRNazanin"/>
          <w:color w:val="111111"/>
          <w:sz w:val="28"/>
          <w:sz w:val="28"/>
          <w:szCs w:val="28"/>
          <w:rtl w:val="true"/>
          <w:lang w:bidi="fa-IR"/>
        </w:rPr>
        <w:t>من ضربها الحدّ قاعدة، و کذا فی مرسلة الدّعائم</w:t>
      </w:r>
      <w:r>
        <w:rPr>
          <w:rStyle w:val="FootnoteAnchor"/>
          <w:rtl w:val="true"/>
        </w:rPr>
        <w:footnoteReference w:id="9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عدّة من روایات المقام عدم جواز رجم من علیه الحدّ، امّا مطلقا او مثل الحدّ الذّی یرادان یقام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الأوّل صحیحة ابی بصیر</w:t>
      </w:r>
      <w:r>
        <w:rPr>
          <w:rStyle w:val="FootnoteAnchor"/>
          <w:rtl w:val="true"/>
        </w:rPr>
        <w:footnoteReference w:id="910"/>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فی تفسیره مرفوعة الی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الّذی اتاه بالکوفة، و اقرّ بالزّنا اربع مرّات ـ الی ـ ثمّ وضعه فی حفرته و استقبل النّاس بوجهه،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المسلمین انّ هذه حقوق الله، فمن کان لله فی عنقه حقّ فلینصرف، و لا یقیم حدود الله من فی عنقه حدّ، فانصرف النّاس، و بقی هو والحسن 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bookmarkStart w:id="305" w:name="pg3023_22632"/>
    </w:p>
    <w:p>
      <w:pPr>
        <w:pStyle w:val="Heading5"/>
        <w:numPr>
          <w:ilvl w:val="4"/>
          <w:numId w:val="1"/>
        </w:numPr>
        <w:rPr/>
      </w:pPr>
      <w:bookmarkStart w:id="306" w:name="__RefHeading___Toc656847_2749589250"/>
      <w:bookmarkStart w:id="307" w:name="_Toc110"/>
      <w:bookmarkEnd w:id="305"/>
      <w:bookmarkEnd w:id="306"/>
      <w:r>
        <w:rPr>
          <w:rtl w:val="true"/>
        </w:rPr>
        <w:t>الثّامنة</w:t>
      </w:r>
      <w:r>
        <w:rPr>
          <w:rtl w:val="true"/>
        </w:rPr>
        <w:t xml:space="preserve">: </w:t>
      </w:r>
      <w:r>
        <w:rPr>
          <w:rtl w:val="true"/>
        </w:rPr>
        <w:t>عدم رجم من علیه حدّ کالمرجوم او مطلقا</w:t>
      </w:r>
      <w:bookmarkEnd w:id="30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و منه ما فی 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9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یقیم حدّاً من فی جنبه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یؤمی الیه روایة الصّدوق</w:t>
      </w:r>
      <w:r>
        <w:rPr>
          <w:rStyle w:val="FootnoteAnchor"/>
          <w:rtl w:val="true"/>
        </w:rPr>
        <w:footnoteReference w:id="912"/>
      </w:r>
      <w:r>
        <w:rPr>
          <w:rFonts w:ascii="IRNazanin" w:hAnsi="IRNazanin" w:eastAsia="IRNazanin"/>
          <w:color w:val="111111"/>
          <w:sz w:val="28"/>
          <w:sz w:val="28"/>
          <w:szCs w:val="28"/>
          <w:rtl w:val="true"/>
          <w:lang w:bidi="fa-IR"/>
        </w:rPr>
        <w:t>المسندة فی العیون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زرارة</w:t>
      </w:r>
      <w:r>
        <w:rPr>
          <w:rStyle w:val="FootnoteAnchor"/>
          <w:rtl w:val="true"/>
        </w:rPr>
        <w:footnoteReference w:id="9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عبّر عنها فی الجواهر تبعاض لکشف اللّثام بمرسل ابن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رواه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914"/>
      </w:r>
      <w:r>
        <w:rPr>
          <w:rFonts w:ascii="IRNazanin" w:hAnsi="IRNazanin" w:eastAsia="IRNazanin"/>
          <w:color w:val="111111"/>
          <w:sz w:val="28"/>
          <w:sz w:val="28"/>
          <w:szCs w:val="28"/>
          <w:rtl w:val="true"/>
          <w:lang w:bidi="fa-IR"/>
        </w:rPr>
        <w:t>باسنادة عن سعد بن طریف عن الأصبغ بن نباتة، ففی ذیل الأولی</w:t>
      </w:r>
      <w:r>
        <w:rPr>
          <w:rStyle w:val="FootnoteAnchor"/>
          <w:rtl w:val="true"/>
        </w:rPr>
        <w:footnoteReference w:id="9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رجم الرّجل الّذی قد اقرّ علی نفسه بالفجور عند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فعل مثل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یرجمه و لینصرف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ذی الثّانیة</w:t>
      </w:r>
      <w:r>
        <w:rPr>
          <w:rStyle w:val="FootnoteAnchor"/>
          <w:rtl w:val="true"/>
        </w:rPr>
        <w:footnoteReference w:id="9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 الله رجلاً منکم لله علیه مثل هذا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یأخذ لله به، فأنّه لا یأخذ لله بحقّ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یطلبه الله بمثله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عمران بن میثم</w:t>
      </w:r>
      <w:r>
        <w:rPr>
          <w:rStyle w:val="FootnoteAnchor"/>
          <w:rtl w:val="true"/>
        </w:rPr>
        <w:footnoteReference w:id="917"/>
      </w:r>
      <w:r>
        <w:rPr>
          <w:rFonts w:ascii="IRNazanin" w:hAnsi="IRNazanin" w:eastAsia="IRNazanin"/>
          <w:color w:val="111111"/>
          <w:sz w:val="28"/>
          <w:sz w:val="28"/>
          <w:szCs w:val="28"/>
          <w:rtl w:val="true"/>
          <w:lang w:bidi="fa-IR"/>
        </w:rPr>
        <w:t>او صالح عن ابیه ما یشهد للأوّل  الثّانی کلیهما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یشهد للأطلاق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عهد الی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عهداً عهده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 یقیم الحدّ من لله علیه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یشهد للتّقیید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الکلام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کان لله علیه مثل ماله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یقیم علیها لاحدّ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الأصحاب حملوا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استشکل الحرمة 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الرّیاض انّه مال الی 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الصّیمری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ثبوت الزّنا بالبیّنة و الأقرار، فوافق الأصحاب فی الثّانی دون الأوّل، لو جوب بدئة الشّهود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وافقهم فی الموردین صاحب المهذّب، کما قرّب عدم الجواز کذلک فی المبانی و هو الصّحیح، اذ لا معدل عن ظاهر الرّوایات من الحرمة و الأطلاق</w:t>
      </w:r>
      <w:r>
        <w:rPr>
          <w:rFonts w:eastAsia="IRNazanin" w:cs="IRNazanin"/>
          <w:color w:val="111111"/>
          <w:sz w:val="28"/>
          <w:szCs w:val="28"/>
          <w:rtl w:val="true"/>
          <w:lang w:bidi="fa-IR"/>
        </w:rPr>
        <w:t>.</w:t>
      </w:r>
      <w:bookmarkStart w:id="308" w:name="pg3023_22633"/>
    </w:p>
    <w:p>
      <w:pPr>
        <w:pStyle w:val="Heading5"/>
        <w:numPr>
          <w:ilvl w:val="4"/>
          <w:numId w:val="1"/>
        </w:numPr>
        <w:rPr/>
      </w:pPr>
      <w:bookmarkStart w:id="309" w:name="__RefHeading___Toc656849_2749589250"/>
      <w:bookmarkStart w:id="310" w:name="_Toc111"/>
      <w:bookmarkEnd w:id="308"/>
      <w:bookmarkEnd w:id="309"/>
      <w:r>
        <w:rPr>
          <w:rtl w:val="true"/>
        </w:rPr>
        <w:t>التّاسعة</w:t>
      </w:r>
      <w:r>
        <w:rPr>
          <w:rtl w:val="true"/>
        </w:rPr>
        <w:t xml:space="preserve">: </w:t>
      </w:r>
      <w:r>
        <w:rPr>
          <w:rtl w:val="true"/>
        </w:rPr>
        <w:t>اغتسال المرجوم قبل الرّجم و التّکفین و الصّلاة و الدّفن بعده</w:t>
      </w:r>
      <w:bookmarkEnd w:id="310"/>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الاغتسال قبل الرّجم و التّکفین ثمّ الصّلاة و الدّفن بعده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التّاسعة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الصّلاة علی المرجوم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المقتول کالمرجومة و المقتولة حدّاً و دفنهما فی مقابر المسلمین اذا کانا مسلمین کما فی سایر المقتولین حدّاً او قصاصاً الاّ المرتدّ بلا خلاف و 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یجب علیه تقدیم الغسل و التّکفین علی القتل و الرّجم و سایر ما یوجب زهاق روحه بلا فرق بین الرّجل و المرأة و عن الشّیخین و الصّدوقین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اسرارهم و غیرهم زیادة التّحنیط</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الخلاف</w:t>
      </w:r>
      <w:r>
        <w:rPr>
          <w:rStyle w:val="FootnoteAnchor"/>
          <w:rtl w:val="true"/>
        </w:rPr>
        <w:footnoteReference w:id="918"/>
      </w:r>
      <w:r>
        <w:rPr>
          <w:rFonts w:ascii="IRNazanin" w:hAnsi="IRNazanin" w:eastAsia="IRNazanin"/>
          <w:color w:val="111111"/>
          <w:sz w:val="28"/>
          <w:sz w:val="28"/>
          <w:szCs w:val="28"/>
          <w:rtl w:val="true"/>
          <w:lang w:bidi="fa-IR"/>
        </w:rPr>
        <w:t>من وجب علیه الرّجم یؤمر بالأغتسال أولاً و التّکفین ثمّ یرجم و یدفن بعد ذلک بعد ان یصلّی علیه و لا یعسّل بعد قتله و قال جمیع الفقها</w:t>
      </w:r>
      <w:r>
        <w:rPr>
          <w:rFonts w:eastAsia="IRNazanin" w:cs="IRNazanin"/>
          <w:color w:val="111111"/>
          <w:sz w:val="28"/>
          <w:szCs w:val="28"/>
          <w:rtl w:val="true"/>
          <w:lang w:bidi="fa-IR"/>
        </w:rPr>
        <w:t>:</w:t>
      </w:r>
      <w:r>
        <w:rPr>
          <w:rStyle w:val="FootnoteAnchor"/>
          <w:rtl w:val="true"/>
        </w:rPr>
        <w:footnoteReference w:id="919"/>
      </w:r>
      <w:r>
        <w:rPr>
          <w:rFonts w:ascii="IRNazanin" w:hAnsi="IRNazanin" w:eastAsia="IRNazanin"/>
          <w:color w:val="111111"/>
          <w:sz w:val="28"/>
          <w:sz w:val="28"/>
          <w:szCs w:val="28"/>
          <w:rtl w:val="true"/>
          <w:lang w:bidi="fa-IR"/>
        </w:rPr>
        <w:t xml:space="preserve">انّه یغسّل بعد موته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یصلّی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 اجماع الفرقة و اخبار هم لا یختلفون فیه و نحوه فی السّرائر</w:t>
      </w:r>
      <w:r>
        <w:rPr>
          <w:rStyle w:val="FootnoteAnchor"/>
          <w:rtl w:val="true"/>
        </w:rPr>
        <w:footnoteReference w:id="920"/>
      </w:r>
      <w:r>
        <w:rPr>
          <w:rFonts w:ascii="IRNazanin" w:hAnsi="IRNazanin" w:eastAsia="IRNazanin"/>
          <w:color w:val="111111"/>
          <w:sz w:val="28"/>
          <w:sz w:val="28"/>
          <w:szCs w:val="28"/>
          <w:rtl w:val="true"/>
          <w:lang w:bidi="fa-IR"/>
        </w:rPr>
        <w:t>بزیادة و جوب الغسل علی من مسّه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لکن فی المبسوط</w:t>
      </w:r>
      <w:r>
        <w:rPr>
          <w:rStyle w:val="FootnoteAnchor"/>
          <w:rtl w:val="true"/>
        </w:rPr>
        <w:footnoteReference w:id="921"/>
      </w:r>
      <w:r>
        <w:rPr>
          <w:rFonts w:ascii="IRNazanin" w:hAnsi="IRNazanin" w:eastAsia="IRNazanin"/>
          <w:color w:val="111111"/>
          <w:sz w:val="28"/>
          <w:sz w:val="28"/>
          <w:szCs w:val="28"/>
          <w:rtl w:val="true"/>
          <w:lang w:bidi="fa-IR"/>
        </w:rPr>
        <w:t>اذا رجم غسّل وصلّی علیه وحکمه بعد الرّجم حکم المسلم اذامات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من یقتل قصاصاً یُغسّل و یصلّی علیه و یُدفن فی مقابر المسلمین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اصحابنا انّه یؤمر بالأغتسال قبل الرّجم و التّحنیط و کذلک مَن وَجب علیه القصاص فاذا قتل صلّی علیه و دفن، انتهی کلامه  لا یبعد کون نظره فی أوّل کلامه الی مانقله فی الخلاف عن العامّة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النبویّ</w:t>
      </w:r>
      <w:r>
        <w:rPr>
          <w:rStyle w:val="FootnoteAnchor"/>
          <w:rtl w:val="true"/>
        </w:rPr>
        <w:footnoteReference w:id="922"/>
      </w:r>
      <w:r>
        <w:rPr>
          <w:rFonts w:ascii="IRNazanin" w:hAnsi="IRNazanin" w:eastAsia="IRNazanin"/>
          <w:color w:val="111111"/>
          <w:sz w:val="28"/>
          <w:sz w:val="28"/>
          <w:szCs w:val="28"/>
          <w:rtl w:val="true"/>
          <w:lang w:bidi="fa-IR"/>
        </w:rPr>
        <w:t>الوراد فی المرجومة لقد تابت توبة لَو قسّمت بین سبعین من اهل المدینة لو سعتهم و هل وجدت توبة افضل ان جادت بنفسها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w:t>
      </w:r>
      <w:r>
        <w:rPr>
          <w:rStyle w:val="FootnoteAnchor"/>
          <w:rtl w:val="true"/>
        </w:rPr>
        <w:footnoteReference w:id="923"/>
      </w:r>
      <w:r>
        <w:rPr>
          <w:rFonts w:ascii="IRNazanin" w:hAnsi="IRNazanin" w:eastAsia="IRNazanin"/>
          <w:color w:val="111111"/>
          <w:sz w:val="28"/>
          <w:sz w:val="28"/>
          <w:szCs w:val="28"/>
          <w:rtl w:val="true"/>
          <w:lang w:bidi="fa-IR"/>
        </w:rPr>
        <w:t xml:space="preserve">آخر لقد تابت توبة لو تابها صاحب میسر لغفر الله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بها فصلّی علیها و دفنت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صحیحة ابی بصیر</w:t>
      </w:r>
      <w:r>
        <w:rPr>
          <w:rStyle w:val="FootnoteAnchor"/>
          <w:rtl w:val="true"/>
        </w:rPr>
        <w:footnoteReference w:id="924"/>
      </w:r>
      <w:r>
        <w:rPr>
          <w:rFonts w:ascii="IRNazanin" w:hAnsi="IRNazanin" w:eastAsia="IRNazanin"/>
          <w:color w:val="111111"/>
          <w:sz w:val="28"/>
          <w:sz w:val="28"/>
          <w:szCs w:val="28"/>
          <w:rtl w:val="true"/>
          <w:lang w:bidi="fa-IR"/>
        </w:rPr>
        <w:t xml:space="preserve">المتقدّمة فی رجم الزّانی برمی امیر المؤمنین و الحسنین علیهم السّلام فمات الرّجل فاخرجه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فحر له و صلّی علیه و دفنه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یا أمیر المؤمنین الا تغسّله فقال قد اغتسل بما هو طاهر الی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صبر علی امر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نحوها</w:t>
      </w:r>
      <w:r>
        <w:rPr>
          <w:rStyle w:val="FootnoteAnchor"/>
          <w:rtl w:val="true"/>
        </w:rPr>
        <w:footnoteReference w:id="925"/>
      </w:r>
      <w:r>
        <w:rPr>
          <w:rFonts w:ascii="IRNazanin" w:hAnsi="IRNazanin" w:eastAsia="IRNazanin"/>
          <w:color w:val="111111"/>
          <w:sz w:val="28"/>
          <w:sz w:val="28"/>
          <w:szCs w:val="28"/>
          <w:rtl w:val="true"/>
          <w:lang w:bidi="fa-IR"/>
        </w:rPr>
        <w:t xml:space="preserve">مارواه فی المستدرک عن البحار عن کتاب مقصد الرّاغب عن ابراهیم بن علیّ بن ابراهیم عن ابیه عن جدّه عن ابن ابی عمیر عن عاصم بن حمید عن محمّد بن قیس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صحیحة ابی مریم</w:t>
      </w:r>
      <w:r>
        <w:rPr>
          <w:rStyle w:val="FootnoteAnchor"/>
          <w:rtl w:val="true"/>
        </w:rPr>
        <w:footnoteReference w:id="926"/>
      </w:r>
      <w:r>
        <w:rPr>
          <w:rFonts w:ascii="IRNazanin" w:hAnsi="IRNazanin" w:eastAsia="IRNazanin"/>
          <w:color w:val="111111"/>
          <w:sz w:val="28"/>
          <w:sz w:val="28"/>
          <w:szCs w:val="28"/>
          <w:rtl w:val="true"/>
          <w:lang w:bidi="fa-IR"/>
        </w:rPr>
        <w:t>المتقدّم الیها الاشارة فی رجم المرأة التی أقرّت</w:t>
      </w:r>
      <w:bookmarkStart w:id="311" w:name="pg3023_22635"/>
    </w:p>
    <w:p>
      <w:pPr>
        <w:pStyle w:val="Heading5"/>
        <w:numPr>
          <w:ilvl w:val="4"/>
          <w:numId w:val="1"/>
        </w:numPr>
        <w:rPr/>
      </w:pPr>
      <w:bookmarkStart w:id="312" w:name="__RefHeading___Toc656851_2749589250"/>
      <w:bookmarkStart w:id="313" w:name="_Toc112"/>
      <w:bookmarkEnd w:id="311"/>
      <w:bookmarkEnd w:id="312"/>
      <w:r>
        <w:rPr>
          <w:rtl w:val="true"/>
        </w:rPr>
        <w:t>العاشرة</w:t>
      </w:r>
      <w:r>
        <w:rPr>
          <w:rtl w:val="true"/>
        </w:rPr>
        <w:t xml:space="preserve">: </w:t>
      </w:r>
      <w:r>
        <w:rPr>
          <w:rtl w:val="true"/>
        </w:rPr>
        <w:t>الزّنا بالمیّتة او المیّت کالزّنا با لحیّة و الحیّ</w:t>
      </w:r>
      <w:bookmarkEnd w:id="313"/>
    </w:p>
    <w:p>
      <w:pPr>
        <w:pStyle w:val="BookText"/>
        <w:rPr/>
      </w:pPr>
      <w:r>
        <w:rPr>
          <w:rFonts w:ascii="Amiri" w:hAnsi="Amiri" w:eastAsia="Amiri" w:cs="Amiri"/>
          <w:color w:val="111111"/>
          <w:sz w:val="28"/>
          <w:sz w:val="28"/>
          <w:szCs w:val="28"/>
          <w:rtl w:val="true"/>
          <w:lang w:bidi="ar-SA"/>
        </w:rPr>
        <w:t xml:space="preserve">مسئلة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الزّانی بالمیّتة او العکس حدّ هما کالزّانی بالحیّة و الحیّ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بالفجور عند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رجمها حتّی ماتت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 قد ماتت فکیف نصنع بها؟</w:t>
      </w:r>
    </w:p>
    <w:p>
      <w:pPr>
        <w:pStyle w:val="BookText"/>
        <w:rPr/>
      </w:pPr>
      <w:r>
        <w:rPr>
          <w:rFonts w:ascii="IRNazanin" w:hAnsi="IRNazanin" w:eastAsia="IRNazanin"/>
          <w:color w:val="111111"/>
          <w:sz w:val="28"/>
          <w:sz w:val="28"/>
          <w:szCs w:val="28"/>
          <w:rtl w:val="true"/>
          <w:lang w:bidi="fa-IR"/>
        </w:rPr>
        <w:t xml:space="preserve">قال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فادفعوها الی اولیائها و مروهم أن یصنعوا بها کما یصنعون بموتاهم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لزوم تقدیم الغُسل و التّحنیط و الکفن کما یدلّ علی الحکم الأوّل مارواه</w:t>
      </w:r>
      <w:r>
        <w:rPr>
          <w:rStyle w:val="FootnoteAnchor"/>
          <w:rtl w:val="true"/>
        </w:rPr>
        <w:footnoteReference w:id="927"/>
      </w:r>
      <w:r>
        <w:rPr>
          <w:rFonts w:ascii="IRNazanin" w:hAnsi="IRNazanin" w:eastAsia="IRNazanin"/>
          <w:color w:val="111111"/>
          <w:sz w:val="28"/>
          <w:sz w:val="28"/>
          <w:szCs w:val="28"/>
          <w:rtl w:val="true"/>
          <w:lang w:bidi="fa-IR"/>
        </w:rPr>
        <w:t xml:space="preserve">مسمع کردین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المرجوم و المرجومة یغسّلان و یحنّطان و یلبسان الکفن قبل ذلک ثمّ یرجمان و یصلی علیها و المقتصّ منه بمنزلة ذلک، یغسّل و یحنّط و یلبس الکفن ثمّ یفاد و یصلّی علیه و قریب منه ما فی 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928"/>
      </w:r>
      <w:r>
        <w:rPr>
          <w:rFonts w:ascii="IRNazanin" w:hAnsi="IRNazanin" w:eastAsia="IRNazanin"/>
          <w:color w:val="111111"/>
          <w:sz w:val="28"/>
          <w:sz w:val="28"/>
          <w:szCs w:val="28"/>
          <w:rtl w:val="true"/>
          <w:lang w:bidi="fa-IR"/>
        </w:rPr>
        <w:t xml:space="preserve">بالنّسبة الی المرجوم و المقنع و لکن ربما یُستفاد من قول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صحیحة ابی</w:t>
      </w:r>
      <w:r>
        <w:rPr>
          <w:rStyle w:val="FootnoteAnchor"/>
          <w:rtl w:val="true"/>
        </w:rPr>
        <w:footnoteReference w:id="929"/>
      </w:r>
      <w:r>
        <w:rPr>
          <w:rFonts w:ascii="IRNazanin" w:hAnsi="IRNazanin" w:eastAsia="IRNazanin"/>
          <w:color w:val="111111"/>
          <w:sz w:val="28"/>
          <w:sz w:val="28"/>
          <w:szCs w:val="28"/>
          <w:rtl w:val="true"/>
          <w:lang w:bidi="fa-IR"/>
        </w:rPr>
        <w:t xml:space="preserve">بصیر قد اغتسل بما هو طاهر الخ،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یأمره بالغسل قبل الرّجم و لا بعده کما یمکن ان یستفاد جواز تغسیله بعد الرّجم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صحیحة</w:t>
      </w:r>
      <w:r>
        <w:rPr>
          <w:rStyle w:val="FootnoteAnchor"/>
          <w:rtl w:val="true"/>
        </w:rPr>
        <w:footnoteReference w:id="930"/>
      </w:r>
      <w:r>
        <w:rPr>
          <w:rFonts w:ascii="IRNazanin" w:hAnsi="IRNazanin" w:eastAsia="IRNazanin"/>
          <w:color w:val="111111"/>
          <w:sz w:val="28"/>
          <w:sz w:val="28"/>
          <w:szCs w:val="28"/>
          <w:rtl w:val="true"/>
          <w:lang w:bidi="fa-IR"/>
        </w:rPr>
        <w:t>ابی مریم و مروهم ان یصنعوا بها کما یصنعون بموتاهم و حینئذ فیجمع بینهما و بین روایة مسمع بالتّخییر ان لم یکن خلاف الاجماع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العاشرة</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حرمة الزّنا و الحدّ بأقسامه بین الزّنا بالحیّ او الحیّة او المیّت او المیّتة بلا خلاف و لا اشکال، بل ادّعی علیه الاجماع و استدلّ علیه باطلاق الأدلّة و ان کان الحکم لو لا الأتفاق و التّسالم علیه کان للمناقشة فی ما استدلّ علیه مجال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و یؤیّده مارواه</w:t>
      </w:r>
      <w:r>
        <w:rPr>
          <w:rStyle w:val="FootnoteAnchor"/>
          <w:rtl w:val="true"/>
        </w:rPr>
        <w:footnoteReference w:id="931"/>
      </w:r>
      <w:r>
        <w:rPr>
          <w:rFonts w:ascii="IRNazanin" w:hAnsi="IRNazanin" w:eastAsia="IRNazanin"/>
          <w:color w:val="111111"/>
          <w:sz w:val="28"/>
          <w:sz w:val="28"/>
          <w:szCs w:val="28"/>
          <w:rtl w:val="true"/>
          <w:lang w:bidi="fa-IR"/>
        </w:rPr>
        <w:t xml:space="preserve">عبدالله بن محمّد الجعفی قال کُنت عند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جاءه کتاب هشام بن عبد الملک فی رجل نبش امرأة فسلبها ثیابها ثمّ نکحها فأنّ النّاس قد اختلفوا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طائفة قالوا اقتلوه و طائفة قالوا احرقوه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فکتب الیه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حرمة المیّت کحرمة الحیّ تقطع یده لنبشه و سلبه الثّیاب و یُقام علیه الحدّ فی الزّنا، ان احصن رجم و ان لم یکن احصن جلد مائة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مرسلة</w:t>
      </w:r>
      <w:r>
        <w:rPr>
          <w:rStyle w:val="FootnoteAnchor"/>
          <w:rtl w:val="true"/>
        </w:rPr>
        <w:footnoteReference w:id="932"/>
      </w:r>
      <w:r>
        <w:rPr>
          <w:rFonts w:ascii="IRNazanin" w:hAnsi="IRNazanin" w:eastAsia="IRNazanin"/>
          <w:color w:val="111111"/>
          <w:sz w:val="28"/>
          <w:sz w:val="28"/>
          <w:szCs w:val="28"/>
          <w:rtl w:val="true"/>
          <w:lang w:bidi="fa-IR"/>
        </w:rPr>
        <w:t xml:space="preserve">ابن ابی عمیر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الّذی یأتی المرأة و هی میّتة قال وزره اعظم من ذلک الذی یأتیها  هی 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مارواه</w:t>
      </w:r>
      <w:r>
        <w:rPr>
          <w:rStyle w:val="FootnoteAnchor"/>
          <w:rtl w:val="true"/>
        </w:rPr>
        <w:footnoteReference w:id="933"/>
      </w:r>
      <w:r>
        <w:rPr>
          <w:rFonts w:ascii="IRNazanin" w:hAnsi="IRNazanin" w:eastAsia="IRNazanin"/>
          <w:color w:val="111111"/>
          <w:sz w:val="28"/>
          <w:sz w:val="28"/>
          <w:szCs w:val="28"/>
          <w:rtl w:val="true"/>
          <w:lang w:bidi="fa-IR"/>
        </w:rPr>
        <w:t xml:space="preserve">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الاختصاص عن علیّ بن ابراهیم عن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مات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حججنا فدخلنا علی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حضر خلق من الشّیعة الی ان قال، فقال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ابی عن رجل نبش قبر أمرأة فنکحها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ابی یقطع یمینه للنّبش و یضرب حدّ الزّنا فأن حرمة المیّتة کحرمة الحیّة،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مارواه</w:t>
      </w:r>
      <w:r>
        <w:rPr>
          <w:rStyle w:val="FootnoteAnchor"/>
          <w:rtl w:val="true"/>
        </w:rPr>
        <w:footnoteReference w:id="934"/>
      </w:r>
      <w:r>
        <w:rPr>
          <w:rFonts w:ascii="IRNazanin" w:hAnsi="IRNazanin" w:eastAsia="IRNazanin"/>
          <w:color w:val="111111"/>
          <w:sz w:val="28"/>
          <w:sz w:val="28"/>
          <w:szCs w:val="28"/>
          <w:rtl w:val="true"/>
          <w:lang w:bidi="fa-IR"/>
        </w:rPr>
        <w:t xml:space="preserve">النّعمان بن عبد السّلام عن ابی حنیفة قال سألت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زنی بمیّتة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حدّ علیه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ففیه مضافاً الی ضعف سند الرّوایة احتمال عَدم حدّ موظّف فیه کما احتمله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 کان محصناً رجم و الاّ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کأحتمال من أتی زوجته 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الوسائل امکان الحمل علی الأنکار او مادون الأیلاج و کلّها خلاف الظّاهر و بعضها أشدّ من بعض و الأوّل أقرب</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مقتضی ماذکر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 اذا کانت الموطوئة ذات محرم أو الواطیء ذمّیّاً و الرّجم اذا کانت امرأة ابیه الی آخر ما ذُکر تفصیلاً من اقسام الحدود المختلفة فی الأبحاث السّابقة کتنصیف الحدّ اذا کان الزّانی مملوکاً و ثلاثة ارباعه اذا کان نصفه حرّاً و النّفی و الجزّ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الزّنا بالمیّت بأن تدخل ذکره فی فرجها کالزّنا بالحیّ؟</w:t>
      </w:r>
    </w:p>
    <w:p>
      <w:pPr>
        <w:pStyle w:val="BookText"/>
        <w:rPr/>
      </w:pPr>
      <w:r>
        <w:rPr>
          <w:rFonts w:ascii="IRNazanin" w:hAnsi="IRNazanin" w:eastAsia="IRNazanin"/>
          <w:color w:val="111111"/>
          <w:sz w:val="28"/>
          <w:sz w:val="28"/>
          <w:szCs w:val="28"/>
          <w:rtl w:val="true"/>
          <w:lang w:bidi="fa-IR"/>
        </w:rPr>
        <w:t>متقضی بعض ما ذکر ذلک و لکن ان کان المدرک الأجماع فیمکن تطرّق المناقشة فی معقده بعدم اطلاق فیه للمقام کعدم تعرّض له فیما تقدّم من الرّوایات ان کانت هی السّند، و هو لیس الاّ کأدخال لحم فی فرجها و من ذلک یمکن التّأمل فی ترتّب الأحکام الوضعیّة علیه کحرمتها علی ابنه اذا قلنا بترتّبها علی نکاح الحیّ للمیّتة من حرمة امّها و ابنتها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فان لم نقل بلزوم الحدّ علیها فلا اشکال فی التّعزیز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جزم بعضهم بأنّ العقوبة تغلظ علیه زیادة علی الحدّ بما یراه الامام و الحاکم بل فی الجواهر لم یجد فیه خلافاً و فی کشف اللّثام الأتّفاق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اذا ثبت علیه القتل بالزّنا فیعاقب قبله ثمّ یُقتل و لکن الرّوایات لم تذکر ذلک و لم تتعرّض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یحرم وطیء زوجته المیّتة او مملوکته؟</w:t>
      </w:r>
    </w:p>
    <w:p>
      <w:pPr>
        <w:pStyle w:val="BookText"/>
        <w:rPr/>
      </w:pPr>
      <w:r>
        <w:rPr>
          <w:rFonts w:ascii="IRNazanin" w:hAnsi="IRNazanin" w:eastAsia="IRNazanin"/>
          <w:color w:val="111111"/>
          <w:sz w:val="28"/>
          <w:sz w:val="28"/>
          <w:szCs w:val="28"/>
          <w:rtl w:val="true"/>
          <w:lang w:bidi="fa-IR"/>
        </w:rPr>
        <w:t>مقتضی ما عن الاکثر بل لعلّه لا خلاف فیه کما لم یجده صاحب الجواهر فی التّأدیب تعزیراً ذلک</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علّق علی قول صاحب شرایع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سقوط الحدّ بالشّبهة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شرعاً و بقاء علقة الزّوجیة و ان عزّر لا نتهاک الحرمة او لکونه محرّماً اجماعاً و ان لم یکن زنا لغة و عرفاً و لا بحکمه شرعاً و ربما حل علیه اطلاق الخبر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عن رجل</w:t>
      </w:r>
      <w:r>
        <w:rPr>
          <w:rStyle w:val="FootnoteAnchor"/>
          <w:rtl w:val="true"/>
        </w:rPr>
        <w:footnoteReference w:id="935"/>
      </w:r>
      <w:r>
        <w:rPr>
          <w:rFonts w:ascii="IRNazanin" w:hAnsi="IRNazanin" w:eastAsia="IRNazanin"/>
          <w:color w:val="111111"/>
          <w:sz w:val="28"/>
          <w:sz w:val="28"/>
          <w:szCs w:val="28"/>
          <w:rtl w:val="true"/>
          <w:lang w:bidi="fa-IR"/>
        </w:rPr>
        <w:t>زنی بمیّتة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حدّ علیه، ثمّ استبعده و احتمل فی الخبر بعض ماذکرناه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تَمّ اجماع علی الحرمة و الاّ  فللتّأمل فیها لموتها مجال واسع اذ کما اشارَ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ینقطع علقة الزّوجیّة و لذا یغسّل کلّ من الزّوجین الأخر بعد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لیس بقاء العلقة یمنع من زواج اختها و الخامسة، ولکن لا شبهة فی انّها لم تصر أجنبیّة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الاشکال فی انتهاک الحرمة اذ کیف یتصوّر هتک حرمتها میّتة بوطیها دون حال الحیاة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الظّاهر عدم کفایة أقّل من شهود الزنّا الأربعة او ما بحکمها  من الرّجال و النّساء فی ثبوت وطی المیّتة الأجنبیّة وفاقاً لأبن</w:t>
      </w:r>
      <w:r>
        <w:rPr>
          <w:rStyle w:val="FootnoteAnchor"/>
          <w:rtl w:val="true"/>
        </w:rPr>
        <w:footnoteReference w:id="936"/>
      </w:r>
      <w:r>
        <w:rPr>
          <w:rFonts w:ascii="IRNazanin" w:hAnsi="IRNazanin" w:eastAsia="IRNazanin"/>
          <w:color w:val="111111"/>
          <w:sz w:val="28"/>
          <w:sz w:val="28"/>
          <w:szCs w:val="28"/>
          <w:rtl w:val="true"/>
          <w:lang w:bidi="fa-IR"/>
        </w:rPr>
        <w:t>ادریس و المحقّق فی شرایع الاسلام بل فی الجواهر قیل انّه المشهور بل لعلّه لا خلاف فیه بین المتأخّرین لأنّه زنا فیحتاج الی شهوده خلافاً لما عن الشّیخین و ابنی حمزة و سعید و المختلف من کفایة شاهدین لکونه شهادة علی فعل واحد لا کالزّنا بالحیّة فانّه شهادة علی 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مستندهم ضعیف أذ لیس هو الاّ مارواه</w:t>
      </w:r>
      <w:r>
        <w:rPr>
          <w:rStyle w:val="FootnoteAnchor"/>
          <w:rtl w:val="true"/>
        </w:rPr>
        <w:footnoteReference w:id="937"/>
      </w:r>
      <w:r>
        <w:rPr>
          <w:rFonts w:ascii="IRNazanin" w:hAnsi="IRNazanin" w:eastAsia="IRNazanin"/>
          <w:color w:val="111111"/>
          <w:sz w:val="28"/>
          <w:sz w:val="28"/>
          <w:szCs w:val="28"/>
          <w:rtl w:val="true"/>
          <w:lang w:bidi="fa-IR"/>
        </w:rPr>
        <w:t>ابو حنیفة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صار القتل یجوز فیه شاهدان و الزّنا لا یجوز فیه الّا اربعة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القتل اشدّ من الزّنا؟ قال لأنّ القتل فعل واحد و الزّنا فعلان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ثمّ لا یجوز الاّ اربعة شهود، علی الرّجل شاهدان و علی المرأة شاهدان</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الرّوایة مضافاً الی ما فیها من ضعف السّند قاصرة الدّلالة و مخالفة لما هو المسلّم لو ارید منها کفایة شاهدین علی فعل المرأة و أخرین علی فعل الرجّل</w:t>
      </w:r>
      <w:r>
        <w:rPr>
          <w:rFonts w:eastAsia="IRNazanin" w:cs="IRNazanin"/>
          <w:color w:val="111111"/>
          <w:sz w:val="28"/>
          <w:szCs w:val="28"/>
          <w:rtl w:val="true"/>
          <w:lang w:bidi="fa-IR"/>
        </w:rPr>
        <w:t>:</w:t>
      </w:r>
      <w:bookmarkStart w:id="314" w:name="pg3023_22639"/>
    </w:p>
    <w:p>
      <w:pPr>
        <w:pStyle w:val="Heading4"/>
        <w:numPr>
          <w:ilvl w:val="3"/>
          <w:numId w:val="1"/>
        </w:numPr>
        <w:rPr/>
      </w:pPr>
      <w:bookmarkStart w:id="315" w:name="__RefHeading___Toc656853_2749589250"/>
      <w:bookmarkStart w:id="316" w:name="_Toc113"/>
      <w:bookmarkEnd w:id="314"/>
      <w:bookmarkEnd w:id="315"/>
      <w:r>
        <w:rPr>
          <w:rtl w:val="true"/>
        </w:rPr>
        <w:t>(</w:t>
      </w:r>
      <w:r>
        <w:rPr>
          <w:rtl w:val="true"/>
        </w:rPr>
        <w:t>مسائل</w:t>
      </w:r>
      <w:r>
        <w:rPr>
          <w:rtl w:val="true"/>
        </w:rPr>
        <w:t>)</w:t>
      </w:r>
      <w:bookmarkEnd w:id="316"/>
    </w:p>
    <w:p>
      <w:pPr>
        <w:pStyle w:val="Heading5"/>
        <w:numPr>
          <w:ilvl w:val="4"/>
          <w:numId w:val="1"/>
        </w:numPr>
        <w:rPr/>
      </w:pPr>
      <w:bookmarkStart w:id="317" w:name="__RefHeading___Toc656855_2749589250"/>
      <w:bookmarkStart w:id="318" w:name="_Toc114"/>
      <w:bookmarkEnd w:id="317"/>
      <w:r>
        <w:rPr>
          <w:rtl w:val="true"/>
        </w:rPr>
        <w:t>الاولی</w:t>
      </w:r>
      <w:r>
        <w:rPr>
          <w:rtl w:val="true"/>
        </w:rPr>
        <w:t xml:space="preserve">: </w:t>
      </w:r>
      <w:r>
        <w:rPr>
          <w:rtl w:val="true"/>
        </w:rPr>
        <w:t>لو اقرّ بحدّ ثمّ انکر فیسقط موجبه ان کان رجما</w:t>
      </w:r>
      <w:bookmarkEnd w:id="318"/>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اقرّ بحدّ ثمّ انکر و کان موجبه الرّجم فیسقط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فالّلازم حملها علی بیان الحکمة کما فی کثیر من العلل المذکورة فی الرّوایات لدفع استبعاد الرّواة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یجری فی المقام ماذکر فی الشّهادة علی الزّنا بالنّسبة للأحیاء من کفایة رجلین و اربع نساء او ثلاثة رجال و امرأتین و لا مجال لا شکال القواعد لضعف ما عللّوه به من ابتناء الحدود علی التّخفیف و عدم قبول شهادتهنّ فی الحدود نصّاً و فتویً و انّما خرج الزّنا بالحیّة بانّص و 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وطی زوجته المیّتة او مملوکته لو قلنا بالحرمة یمکن الأکتفاء بشاهدین عدلین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الاقرار کالشّهادة فکلّ مقام اُعتبر فیه اربعة شهود لا یکفی فیه الاقرار اقلّ من اربع مرّات، و کلّ مقام اکتفی فیه شاهدان فیکفی فیه الاقرار مرّتین ولعلّ فی بعضها مرّةً واحدة کما سنتعرّض له فی ما یأتی ان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اقرّ بحدّ ثمّ انکر فلا اشکال فی عدم الحدّ علیه اذا لم یبلغ نصاب الإقرار المعتبر فی ذلک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اذا اقرّ مرّة فی الزّنا او مرّتین فی اللّواط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یُعزّر ام لا؟ فیه خلاف اذا لم یُنکر سنتعرّض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اذا بلغ اقراره العدد المعتبر فی لزوم الحدّ ثمّ انکر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اشکال، فی عدم تأثیر انکاره و لا یترتّب علیه اثر اذا لم یکن الحدّ قتلاً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اذا کان ما أقرّ به حکه الرّجم فیمنع انکاره منه و یسقط الرّجم بلا کلام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الحکم الثّانی مضافاً الی عدم الخلاف بل ادّعی علیه الأجماع روایات قسمٌ منها صحیح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منها صحیحة</w:t>
      </w:r>
      <w:r>
        <w:rPr>
          <w:rStyle w:val="FootnoteAnchor"/>
          <w:rtl w:val="true"/>
        </w:rPr>
        <w:footnoteReference w:id="938"/>
      </w:r>
      <w:r>
        <w:rPr>
          <w:rFonts w:ascii="IRNazanin" w:hAnsi="IRNazanin" w:eastAsia="IRNazanin"/>
          <w:color w:val="111111"/>
          <w:sz w:val="28"/>
          <w:sz w:val="28"/>
          <w:szCs w:val="28"/>
          <w:rtl w:val="true"/>
          <w:lang w:bidi="fa-IR"/>
        </w:rPr>
        <w:t xml:space="preserve">الحلبیّ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اقرّ علی نفسه بحدّ ثمّ حجد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اذا اقرّ علی نفسه عند الامام انّه سرق ثمّ جحد قُطعت یده و ان رغم انفه، و ان اقرّ علی نفسه انّه شرب خمراً او بفریة فاجلدوه ثمانین جلدة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اقرّ علی نفسه بحدّ یجب فیه الرّجم أکنت راجمه؟ فقال لا ولکن کنت ضاربه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صحیحة الثّانیة</w:t>
      </w:r>
      <w:r>
        <w:rPr>
          <w:rStyle w:val="FootnoteAnchor"/>
          <w:rtl w:val="true"/>
        </w:rPr>
        <w:footnoteReference w:id="939"/>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اذا اقرّ الرّجل علی نفسه بحدّ او فریة ثمّ حجد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ارأیت ان اقرّ علی نفسه بحدّ یبلغ فیه الرّجم أکنت ترجمه؟ قال لا ولکن کنت 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 ذیل مرسلة</w:t>
      </w:r>
      <w:r>
        <w:rPr>
          <w:rStyle w:val="FootnoteAnchor"/>
          <w:rtl w:val="true"/>
        </w:rPr>
        <w:footnoteReference w:id="940"/>
      </w:r>
      <w:r>
        <w:rPr>
          <w:rFonts w:ascii="IRNazanin" w:hAnsi="IRNazanin" w:eastAsia="IRNazanin"/>
          <w:color w:val="111111"/>
          <w:sz w:val="28"/>
          <w:sz w:val="28"/>
          <w:szCs w:val="28"/>
          <w:rtl w:val="true"/>
          <w:lang w:bidi="fa-IR"/>
        </w:rPr>
        <w:t xml:space="preserve">الدّعائم عن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یرجم ان کان محصناً اذا رجع عن اقراره ولکن یضرب الحدّ و یخلّی عن سبیله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ذیل ما فی فقه</w:t>
      </w:r>
      <w:r>
        <w:rPr>
          <w:rStyle w:val="FootnoteAnchor"/>
          <w:rtl w:val="true"/>
        </w:rPr>
        <w:footnoteReference w:id="941"/>
      </w: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رجع و انکر ترک و لم یرجم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صحیحة</w:t>
      </w:r>
      <w:r>
        <w:rPr>
          <w:rStyle w:val="FootnoteAnchor"/>
          <w:rtl w:val="true"/>
        </w:rPr>
        <w:footnoteReference w:id="942"/>
      </w:r>
      <w:r>
        <w:rPr>
          <w:rFonts w:ascii="IRNazanin" w:hAnsi="IRNazanin" w:eastAsia="IRNazanin"/>
          <w:color w:val="111111"/>
          <w:sz w:val="28"/>
          <w:sz w:val="28"/>
          <w:szCs w:val="28"/>
          <w:rtl w:val="true"/>
          <w:lang w:bidi="fa-IR"/>
        </w:rPr>
        <w:t xml:space="preserve">محمّد بن مسلم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من اقرّ علی نفسه بحدّ اقمته علیه الاّ الرّجم فانّه اذا اقرّ علی نفسه ثمّ حجد لم یرجم و یؤیّد الحکم مرسلة</w:t>
      </w:r>
      <w:r>
        <w:rPr>
          <w:rStyle w:val="FootnoteAnchor"/>
          <w:rtl w:val="true"/>
        </w:rPr>
        <w:footnoteReference w:id="943"/>
      </w:r>
      <w:r>
        <w:rPr>
          <w:rFonts w:ascii="IRNazanin" w:hAnsi="IRNazanin" w:eastAsia="IRNazanin"/>
          <w:color w:val="111111"/>
          <w:sz w:val="28"/>
          <w:sz w:val="28"/>
          <w:szCs w:val="28"/>
          <w:rtl w:val="true"/>
          <w:lang w:bidi="fa-IR"/>
        </w:rPr>
        <w:t xml:space="preserve">جمیل ابن درّاج عن احدهما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اذا اقرّ الرّجل علی نفسه بالقتل قتل اذا لم یکن علیه شهود فان رجع و قال لم افعل ترک و لم یقتل</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مرسلته</w:t>
      </w:r>
      <w:r>
        <w:rPr>
          <w:rStyle w:val="FootnoteAnchor"/>
          <w:rtl w:val="true"/>
        </w:rPr>
        <w:footnoteReference w:id="944"/>
      </w:r>
      <w:r>
        <w:rPr>
          <w:rFonts w:ascii="IRNazanin" w:hAnsi="IRNazanin" w:eastAsia="IRNazanin"/>
          <w:color w:val="111111"/>
          <w:sz w:val="28"/>
          <w:sz w:val="28"/>
          <w:szCs w:val="28"/>
          <w:rtl w:val="true"/>
          <w:lang w:bidi="fa-IR"/>
        </w:rPr>
        <w:t xml:space="preserve">الثّانیة عن احدهما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فی رجل اقرّ علی نفسه بالزّنا اربع مرات و هو محصن رجم الی ان یموت او یکذّب نفسه قبل ان یرجم فیقول لم افعل، فان قال ذلک ترک و لم یرجم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لا یقطع السّارق حتّی یقرّ بالسّرقة مرّتین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فان رجع ضمن السّرقة ولم یقطع اذا لم یکن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لا یرجم الزّانی حتّی یقرّ اربع مرّات بالزّنا اذا لم یکن شهود فان رجع ترک و لم یرجم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ظاهر هذه الرّوایات عدم الأحتیاج فی السّقوط الی الیمین فما عن جامع البزنطّی انّه یحلف و یسقط و انّه رواه عن الصّادقین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بعدّة اسانید ضعیف  و قد اعترف فی الجواهر بعدم الوقوف علی شیء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اذا کان مقتضی الاقرار القتل غیر الرّجم فهل یسقط ام لا؟ فیه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ابن حمزة السّقوط و عن الرّیاض اختیاره و جعله فی الأیضاح اقرب و هو مقتضی ما عن الخلاف و الغنیة من سقوط االحدّ اذا اقرّ به ثمّ رجع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کلامهم بالأحتیاط فی الدّماء و بناء الحدّ علی التّخفیف و ایّده فی الجواهر بعد ما مال الیه بمرسل ابن ابی عمیر و جمیل</w:t>
      </w:r>
      <w:r>
        <w:rPr>
          <w:rStyle w:val="FootnoteAnchor"/>
          <w:rtl w:val="true"/>
        </w:rPr>
        <w:footnoteReference w:id="945"/>
      </w:r>
      <w:r>
        <w:rPr>
          <w:rFonts w:ascii="IRNazanin" w:hAnsi="IRNazanin" w:eastAsia="IRNazanin"/>
          <w:color w:val="111111"/>
          <w:sz w:val="28"/>
          <w:sz w:val="28"/>
          <w:szCs w:val="28"/>
          <w:rtl w:val="true"/>
          <w:lang w:bidi="fa-IR"/>
        </w:rPr>
        <w:t>المذکور آنفاً، و لکن صحیحة ابن مسلم</w:t>
      </w:r>
      <w:r>
        <w:rPr>
          <w:rStyle w:val="FootnoteAnchor"/>
          <w:rtl w:val="true"/>
        </w:rPr>
        <w:footnoteReference w:id="946"/>
      </w:r>
      <w:r>
        <w:rPr>
          <w:rFonts w:ascii="IRNazanin" w:hAnsi="IRNazanin" w:eastAsia="IRNazanin"/>
          <w:color w:val="111111"/>
          <w:sz w:val="28"/>
          <w:sz w:val="28"/>
          <w:szCs w:val="28"/>
          <w:rtl w:val="true"/>
          <w:lang w:bidi="fa-IR"/>
        </w:rPr>
        <w:t>ربما تدلّ علی العدم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عدم السّقوط فی غیر الرّجم و هو الحکم الأوّل مضافاً الی انّه مقتضی القاعدة، ما اشار الیه فی الرّوایات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اختاره الشّیخ فی الخلاف و عن الغنیة من السّقوط ضعیف لضعف دلیله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947"/>
      </w:r>
      <w:r>
        <w:rPr>
          <w:rFonts w:ascii="IRNazanin" w:hAnsi="IRNazanin" w:eastAsia="IRNazanin"/>
          <w:color w:val="111111"/>
          <w:sz w:val="28"/>
          <w:sz w:val="28"/>
          <w:szCs w:val="28"/>
          <w:rtl w:val="true"/>
          <w:lang w:bidi="fa-IR"/>
        </w:rPr>
        <w:t>اذا اقرّ بحدّ ثمّ رجع عنه سقط الحدّ و هو قول ابی حنیفة و الشّافعی</w:t>
      </w:r>
      <w:r>
        <w:rPr>
          <w:rStyle w:val="FootnoteAnchor"/>
          <w:rtl w:val="true"/>
        </w:rPr>
        <w:footnoteReference w:id="948"/>
      </w:r>
      <w:r>
        <w:rPr>
          <w:rFonts w:ascii="IRNazanin" w:hAnsi="IRNazanin" w:eastAsia="IRNazanin"/>
          <w:color w:val="111111"/>
          <w:sz w:val="28"/>
          <w:sz w:val="28"/>
          <w:szCs w:val="28"/>
          <w:rtl w:val="true"/>
          <w:lang w:bidi="fa-IR"/>
        </w:rPr>
        <w:t xml:space="preserve">ـ </w:t>
      </w:r>
      <w:r>
        <w:rPr>
          <w:rStyle w:val="FootnoteAnchor"/>
          <w:rtl w:val="true"/>
        </w:rPr>
        <w:footnoteReference w:id="9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واحدی الرّوایتین عن مالک و عنه روایة اخری انّه لا یسقط و به قال الحسن البصری و سعید بن جبیر و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دلیلنا اجماعٍ الفرقة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ایضاً فانّ ماعزاً اقرّ عند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بالزّنا فاعرض عنه مرّتین او ثلاثاً، ثمّ قال لعلّک لمست، لعلّک قبّلت، فعرض له بالرّجوع حین اعرض عنده اقراره و صرّح له بذلک فی قوله لعلّک لمست، لعلّک قبّلت، و لو لا انّ ذلک یقبل منه لم یکن له 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استدلاله بقضیّة ما عزّ لا یتّم لعدم تمامیّة نصاب الأقرار فی غیر المرّة الأخیرة فلم یثبت موجب الحدّکی یسقط بالأنکار و الرّجوع، و امّا اجماعه فیظهر خلافه من کلامه فی المبسوط</w:t>
      </w:r>
      <w:r>
        <w:rPr>
          <w:rStyle w:val="FootnoteAnchor"/>
          <w:rtl w:val="true"/>
        </w:rPr>
        <w:footnoteReference w:id="950"/>
      </w:r>
      <w:r>
        <w:rPr>
          <w:rFonts w:ascii="Amiri" w:hAnsi="Amiri" w:eastAsia="Amiri" w:cs="Amiri"/>
          <w:color w:val="111111"/>
          <w:sz w:val="28"/>
          <w:sz w:val="28"/>
          <w:szCs w:val="28"/>
          <w:rtl w:val="true"/>
          <w:lang w:bidi="ar-SA"/>
        </w:rPr>
        <w:t>، فانّه بعد ان حکم بالسّقوط بالرّجوع فی الزّنا و کلّ حقّ لله خالص قال</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رواه اصحابنا فی الاعتراف الذی یوجب الرّجم اذا رجع عنه فانّه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فیما عدا ذلک او الزّنا الّذی یوجب الحدّ فلا یسقط بالرّجوع</w:t>
      </w:r>
      <w:r>
        <w:rPr>
          <w:rFonts w:eastAsia="IRNazanin" w:cs="IRNazanin"/>
          <w:color w:val="111111"/>
          <w:sz w:val="28"/>
          <w:szCs w:val="28"/>
          <w:rtl w:val="true"/>
          <w:lang w:bidi="fa-IR"/>
        </w:rPr>
        <w:t>.  </w:t>
      </w:r>
      <w:bookmarkStart w:id="319" w:name="pg3023_22643"/>
    </w:p>
    <w:p>
      <w:pPr>
        <w:pStyle w:val="Heading5"/>
        <w:numPr>
          <w:ilvl w:val="4"/>
          <w:numId w:val="1"/>
        </w:numPr>
        <w:rPr/>
      </w:pPr>
      <w:bookmarkStart w:id="320" w:name="__RefHeading___Toc656857_2749589250"/>
      <w:bookmarkStart w:id="321" w:name="_Toc115"/>
      <w:bookmarkEnd w:id="319"/>
      <w:bookmarkEnd w:id="320"/>
      <w:r>
        <w:rPr>
          <w:rtl w:val="true"/>
        </w:rPr>
        <w:t>الثّانیة</w:t>
      </w:r>
      <w:r>
        <w:rPr>
          <w:rtl w:val="true"/>
        </w:rPr>
        <w:t xml:space="preserve">: </w:t>
      </w:r>
      <w:r>
        <w:rPr>
          <w:rtl w:val="true"/>
        </w:rPr>
        <w:t>لو اقرّ بحد ثمّ تاب فالامام مخیّر بین اقامته و عفوه اذا کان رجماً</w:t>
      </w:r>
      <w:bookmarkEnd w:id="321"/>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اقرّ بحدّ ثمّ تاب فالأمام مخیّر بین اقامته علیه و عفوه اذا کان رجماً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اقرّ بحدّ ثمّ تاب  فالأمام مخیّر فی اقامته علیه و عفوه اذا کان الحدّ رجماً بلا خلاف بل فی السّرائر</w:t>
      </w:r>
      <w:r>
        <w:rPr>
          <w:rStyle w:val="FootnoteAnchor"/>
          <w:rtl w:val="true"/>
        </w:rPr>
        <w:footnoteReference w:id="951"/>
      </w:r>
      <w:r>
        <w:rPr>
          <w:rFonts w:ascii="IRNazanin" w:hAnsi="IRNazanin" w:eastAsia="IRNazanin"/>
          <w:color w:val="111111"/>
          <w:sz w:val="28"/>
          <w:sz w:val="28"/>
          <w:szCs w:val="28"/>
          <w:rtl w:val="true"/>
          <w:lang w:bidi="fa-IR"/>
        </w:rPr>
        <w:t xml:space="preserve">ما یظهر منه الاجماع قال فأن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 علی نفسه و هو عاقل حرّ عند الامام ثمّ اظهر التّوبة کان للأمام الخیار فی العفو عنه او اقامة الحدّ علیه حسب ما یراه من المصلحة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اذا کان الحدّ رجماً یوجب تلف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فامّا اذا کان الحدّ جلداً فلا یجوز العفو عنه و لا یکون الحاکم بالخیار فیه، لأنّا اجمعنا علی انّه بالخیار فی الموضع الّذی ذکرناه و لا اجماع علی غیره الی آخر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الکلام فی غیر الرّجم فی القواعد و اطلاق التّبصرة و فی شرایع الاسلام و ان کان عبّر بالجلد، و فی الرّوضة و عن الجامع و النّافع انّه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 علی ذلک بامور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الذّنب بالتّوبة فیسقط موجبه، و عن المختلف انّ المقتضی لأسقاط الرّجم اعترافه بالذّنب و هو موجود فی الحدّ لأنّه احدی العقوبتین و لأنّ التّوبة تسقط تحتّم اشدّ العقوبتین فاسقاطها لتحتّم الأخری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الأجماع فی الرّجم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رجم ما غز لمّا فرّ من الحفیرة هلاّ رددتموه الیّ لعلّه یتوب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الاخبار الواردهة فی جواز عفو الامام عن حدود الله تعالی</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غیر الاخیر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الاول فلا دلیل علی سقوط موجب الذّنب بها کما فی الأرتداد بناءً علی ما هو الأصحّ من قبول توبة الفطریّ مع انّه لایرتفع بها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الخلاف</w:t>
      </w:r>
      <w:r>
        <w:rPr>
          <w:rStyle w:val="FootnoteAnchor"/>
          <w:rtl w:val="true"/>
        </w:rPr>
        <w:footnoteReference w:id="952"/>
      </w:r>
      <w:r>
        <w:rPr>
          <w:rFonts w:ascii="IRNazanin" w:hAnsi="IRNazanin" w:eastAsia="IRNazanin"/>
          <w:color w:val="111111"/>
          <w:sz w:val="28"/>
          <w:sz w:val="28"/>
          <w:szCs w:val="28"/>
          <w:rtl w:val="true"/>
          <w:lang w:bidi="fa-IR"/>
        </w:rPr>
        <w:t>ذکر فی حکم المحارب</w:t>
      </w:r>
      <w:r>
        <w:rPr>
          <w:rStyle w:val="FootnoteAnchor"/>
          <w:rtl w:val="true"/>
        </w:rPr>
        <w:footnoteReference w:id="953"/>
      </w:r>
      <w:r>
        <w:rPr>
          <w:rFonts w:ascii="IRNazanin" w:hAnsi="IRNazanin" w:eastAsia="IRNazanin"/>
          <w:color w:val="111111"/>
          <w:sz w:val="28"/>
          <w:sz w:val="28"/>
          <w:szCs w:val="28"/>
          <w:rtl w:val="true"/>
          <w:lang w:bidi="fa-IR"/>
        </w:rPr>
        <w:t>و ما یجب علیه من حدود الله التی لا تختّص بالمجاربة کحدّ الزّنا و الشّرب و اللّواط، فانّها تسقط عنه بالتّوبة قبل القدرة علیه و ذکر فی المسئلة</w:t>
      </w:r>
      <w:r>
        <w:rPr>
          <w:rStyle w:val="FootnoteAnchor"/>
          <w:rtl w:val="true"/>
        </w:rPr>
        <w:footnoteReference w:id="954"/>
      </w:r>
      <w:r>
        <w:rPr>
          <w:rFonts w:ascii="IRNazanin" w:hAnsi="IRNazanin" w:eastAsia="IRNazanin"/>
          <w:color w:val="111111"/>
          <w:sz w:val="28"/>
          <w:sz w:val="28"/>
          <w:szCs w:val="28"/>
          <w:rtl w:val="true"/>
          <w:lang w:bidi="fa-IR"/>
        </w:rPr>
        <w:t>التّالیة کلّ من وجب علیه حدّ من حدود الله تعالی من شرب الخمر او الزّنا او السّرقة من غیر المحاربین ثمّ تاب من قبل قیام البیّنة علیه بذلک فانّها بالتّوبة تسقط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 فی المقامین باجماع الفرقة</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لامساس للمسئلتین بمسئلتنا، اذا الأولی الأجماع علی انّ التّائب قبل اقامة الحدّ علیه یسقط 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الثّانیة انّها فی التوّبة قبل قیام البیّنة و محّل البحث التّوبة بعد الاقرار مع ضعف بعض الوجوه التی اضافها الی الجماع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 تجّب ما قبلها، و ما رواه مرسلاً فی سقوط الحدّ بالوضوء و الصّلاة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امّا الاخبار الواردة 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أشار الیه فی الجواهر من مرسلة</w:t>
      </w:r>
      <w:r>
        <w:rPr>
          <w:rStyle w:val="FootnoteAnchor"/>
          <w:rtl w:val="true"/>
        </w:rPr>
        <w:footnoteReference w:id="955"/>
      </w:r>
      <w:r>
        <w:rPr>
          <w:rFonts w:ascii="IRNazanin" w:hAnsi="IRNazanin" w:eastAsia="IRNazanin"/>
          <w:color w:val="111111"/>
          <w:sz w:val="28"/>
          <w:sz w:val="28"/>
          <w:szCs w:val="28"/>
          <w:rtl w:val="true"/>
          <w:lang w:bidi="fa-IR"/>
        </w:rPr>
        <w:t xml:space="preserve">البرقیّ عن بعض اصحابه عن بعض الصّادقین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فأقرّ بالسّرقة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اتقرء شیئاً من القرأن؟ 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قد وهبت یدک لسورة البقرة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جاء رجل الی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اتعطّل حدّاً من حدود الله؟ فقال و ما یدریک ماهذا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قامت البیّنة فلیس للأمام أن یعفوا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اقرّ الرّجل علی نفسه فذاک الی الأمام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عفا و ان شاء قطع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نحوها معتبرة</w:t>
      </w:r>
      <w:r>
        <w:rPr>
          <w:rStyle w:val="FootnoteAnchor"/>
          <w:rtl w:val="true"/>
        </w:rPr>
        <w:footnoteReference w:id="956"/>
      </w:r>
      <w:r>
        <w:rPr>
          <w:rFonts w:ascii="IRNazanin" w:hAnsi="IRNazanin" w:eastAsia="IRNazanin"/>
          <w:color w:val="111111"/>
          <w:sz w:val="28"/>
          <w:sz w:val="28"/>
          <w:szCs w:val="28"/>
          <w:rtl w:val="true"/>
          <w:lang w:bidi="fa-IR"/>
        </w:rPr>
        <w:t xml:space="preserve">طلحة بن زید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ما</w:t>
      </w:r>
      <w:r>
        <w:rPr>
          <w:rStyle w:val="FootnoteAnchor"/>
          <w:rtl w:val="true"/>
        </w:rPr>
        <w:footnoteReference w:id="957"/>
      </w:r>
      <w:r>
        <w:rPr>
          <w:rFonts w:ascii="IRNazanin" w:hAnsi="IRNazanin" w:eastAsia="IRNazanin"/>
          <w:color w:val="111111"/>
          <w:sz w:val="28"/>
          <w:sz w:val="28"/>
          <w:szCs w:val="28"/>
          <w:rtl w:val="true"/>
          <w:lang w:bidi="fa-IR"/>
        </w:rPr>
        <w:t xml:space="preserve">رواه ابن شعبة فی تحف العقول عن ابی الحسن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المناقب</w:t>
      </w:r>
      <w:r>
        <w:rPr>
          <w:rStyle w:val="FootnoteAnchor"/>
          <w:rtl w:val="true"/>
        </w:rPr>
        <w:footnoteReference w:id="958"/>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الرّجل الذّی اعترف بالّواط فأنّه لم یَقُم علیه البیّنة و انما تطوّع بالأقرار من نفسه و اذا کان للأمام الّذی من الله ان یعاقب عن الله کن له ان یَمُنّ عن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سمعت قول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عطاؤنا فامنن او امسک بغیر حساب</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امکن عند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الأستدلال بصحیحة ضریس</w:t>
      </w:r>
      <w:r>
        <w:rPr>
          <w:rStyle w:val="FootnoteAnchor"/>
          <w:rtl w:val="true"/>
        </w:rPr>
        <w:footnoteReference w:id="959"/>
      </w:r>
      <w:r>
        <w:rPr>
          <w:rFonts w:ascii="IRNazanin" w:hAnsi="IRNazanin" w:eastAsia="IRNazanin"/>
          <w:color w:val="111111"/>
          <w:sz w:val="28"/>
          <w:sz w:val="28"/>
          <w:szCs w:val="28"/>
          <w:rtl w:val="true"/>
          <w:lang w:bidi="fa-IR"/>
        </w:rPr>
        <w:t xml:space="preserve">الکنّاسی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یعفی عن الحدود الّتی لله دون الأمام، فامّا ما کان من حقّ النّاس فی حدًّ فلا بأسَ ان یعفا عنه دون الأمام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تقییدها بغیر مورد البیّنة، و قریب منها مؤیّداً صدر مرسل</w:t>
      </w:r>
      <w:r>
        <w:rPr>
          <w:rStyle w:val="FootnoteAnchor"/>
          <w:rtl w:val="true"/>
        </w:rPr>
        <w:footnoteReference w:id="960"/>
      </w:r>
      <w:r>
        <w:rPr>
          <w:rFonts w:ascii="IRNazanin" w:hAnsi="IRNazanin" w:eastAsia="IRNazanin"/>
          <w:color w:val="111111"/>
          <w:sz w:val="28"/>
          <w:sz w:val="28"/>
          <w:szCs w:val="28"/>
          <w:rtl w:val="true"/>
          <w:lang w:bidi="fa-IR"/>
        </w:rPr>
        <w:t xml:space="preserve">الدّعائم و ما فی 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961"/>
      </w:r>
      <w:r>
        <w:rPr>
          <w:rFonts w:ascii="IRNazanin" w:hAnsi="IRNazanin" w:eastAsia="IRNazanin"/>
          <w:color w:val="111111"/>
          <w:sz w:val="28"/>
          <w:sz w:val="28"/>
          <w:szCs w:val="28"/>
          <w:rtl w:val="true"/>
          <w:lang w:bidi="fa-IR"/>
        </w:rPr>
        <w:t>و ذیل روایة</w:t>
      </w:r>
      <w:r>
        <w:rPr>
          <w:rStyle w:val="FootnoteAnchor"/>
          <w:rtl w:val="true"/>
        </w:rPr>
        <w:footnoteReference w:id="962"/>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w:t>
      </w:r>
      <w:bookmarkStart w:id="322" w:name="pg3023_22646"/>
    </w:p>
    <w:p>
      <w:pPr>
        <w:pStyle w:val="Heading5"/>
        <w:numPr>
          <w:ilvl w:val="4"/>
          <w:numId w:val="1"/>
        </w:numPr>
        <w:rPr/>
      </w:pPr>
      <w:bookmarkStart w:id="323" w:name="__RefHeading___Toc656859_2749589250"/>
      <w:bookmarkStart w:id="324" w:name="_Toc116"/>
      <w:bookmarkEnd w:id="322"/>
      <w:bookmarkEnd w:id="323"/>
      <w:r>
        <w:rPr>
          <w:rtl w:val="true"/>
        </w:rPr>
        <w:t>الثّالثة</w:t>
      </w:r>
      <w:r>
        <w:rPr>
          <w:rtl w:val="true"/>
        </w:rPr>
        <w:t xml:space="preserve">: </w:t>
      </w:r>
      <w:r>
        <w:rPr>
          <w:rtl w:val="true"/>
        </w:rPr>
        <w:t>من تاب قبل قیام البیّنة سقط عنه الحدّ</w:t>
      </w:r>
      <w:bookmarkEnd w:id="324"/>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تاب قبل قیام البیّنة علیه سقط الحدّ عنه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و هذه الأخبار لم یُقیّد فیها العفو بالتّوبة و لکن فی الجواهر جعل اتفّاق الأصحاب کافیاً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کما تری، و لذا لم یرتضه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أفتی بأطلاق العفو للأمام وعدم اقامة الحدّ و هذا هو الظّاهر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الأحتیاط فی موافقة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یتعدّی الی نائب الإمام، و أنّ له العفو کالأمام؟</w:t>
      </w:r>
    </w:p>
    <w:p>
      <w:pPr>
        <w:pStyle w:val="BookText"/>
        <w:rPr/>
      </w:pPr>
      <w:r>
        <w:rPr>
          <w:rFonts w:ascii="IRNazanin" w:hAnsi="IRNazanin" w:eastAsia="IRNazanin"/>
          <w:color w:val="111111"/>
          <w:sz w:val="28"/>
          <w:sz w:val="28"/>
          <w:szCs w:val="28"/>
          <w:rtl w:val="true"/>
          <w:lang w:bidi="fa-IR"/>
        </w:rPr>
        <w:t xml:space="preserve">مال الیه فی الجواهر لکن فی المبانی اقتصر علی الأمام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صحیح علی مبناه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عموم النّیابة بحیث یشمل مورد البحث الاّ ان الأنسب مختار الجواهر و وافقه علیه فی المهذّب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تاب قبل قیام البیّنة علیه سقط عنه الحدّ بلا خلاف فیه بینهم بل قد سبق فی المسئلة السّابقة نقل اجماع الخلاف</w:t>
      </w:r>
      <w:r>
        <w:rPr>
          <w:rStyle w:val="FootnoteAnchor"/>
          <w:rtl w:val="true"/>
        </w:rPr>
        <w:footnoteReference w:id="963"/>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علیه بمرسل</w:t>
      </w:r>
      <w:r>
        <w:rPr>
          <w:rStyle w:val="FootnoteAnchor"/>
          <w:rtl w:val="true"/>
        </w:rPr>
        <w:footnoteReference w:id="964"/>
      </w:r>
      <w:r>
        <w:rPr>
          <w:rFonts w:ascii="IRNazanin" w:hAnsi="IRNazanin" w:eastAsia="IRNazanin"/>
          <w:color w:val="111111"/>
          <w:sz w:val="28"/>
          <w:sz w:val="28"/>
          <w:szCs w:val="28"/>
          <w:rtl w:val="true"/>
          <w:lang w:bidi="fa-IR"/>
        </w:rPr>
        <w:t xml:space="preserve">جمیل عن رجل عن احد 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سرق او شرب الخمر او زنی فلم یعلم ذلک منه و لم یؤخذ حتّی تاب و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اذا صلح و عرف منه امر جمیل لم یقم علیه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ابی عمیر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امرءً غریباً لم تقم؟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لو کان خمسة اشهر او اقلّ و قد ظهر منه امر جمیل لم تقم علیه الحدود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ذلک بعض اصحابنا عن احدهما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 استشکل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لم یقم الأجماع علی الحکم لعدم دلیل علیه غیر هذه المرسلة و هی غیر قابلة للأعتماد علیها لا رسالها، کما انّ ماورد فی مجیء السّارق من قبل نفسه تائباً و انّه لا قطع علیه من صحیحة</w:t>
      </w:r>
      <w:r>
        <w:rPr>
          <w:rStyle w:val="FootnoteAnchor"/>
          <w:rtl w:val="true"/>
        </w:rPr>
        <w:footnoteReference w:id="965"/>
      </w:r>
      <w:r>
        <w:rPr>
          <w:rFonts w:ascii="IRNazanin" w:hAnsi="IRNazanin" w:eastAsia="IRNazanin"/>
          <w:color w:val="111111"/>
          <w:sz w:val="28"/>
          <w:sz w:val="28"/>
          <w:szCs w:val="28"/>
          <w:rtl w:val="true"/>
          <w:lang w:bidi="fa-IR"/>
        </w:rPr>
        <w:t>عبدالله بن سنان لمذکورة فی باب السّرقة مختصّة بها لا تتعدّاها و نحوه ماورد فی المحارب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نعم ما یظهر من معتبرة</w:t>
      </w:r>
      <w:r>
        <w:rPr>
          <w:rStyle w:val="FootnoteAnchor"/>
          <w:rtl w:val="true"/>
        </w:rPr>
        <w:footnoteReference w:id="966"/>
      </w:r>
      <w:r>
        <w:rPr>
          <w:rFonts w:ascii="IRNazanin" w:hAnsi="IRNazanin" w:eastAsia="IRNazanin"/>
          <w:color w:val="111111"/>
          <w:sz w:val="28"/>
          <w:sz w:val="28"/>
          <w:szCs w:val="28"/>
          <w:rtl w:val="true"/>
          <w:lang w:bidi="fa-IR"/>
        </w:rPr>
        <w:t>السّکونی من قبول الحدّ للشّفاعة قبل ان یبلغ الأمام اذا رأی منه الندّم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انّه قابل للعفو مع التّوبة و هذا غیر سقوطه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الظّاهر من عدّة روایات انّها بمجرّدها لا توجب سقوط الحدّ و انّما للأمام العفو اذا ثَبَت موجبه بالأقرار کمعتبرة</w:t>
      </w:r>
      <w:r>
        <w:rPr>
          <w:rStyle w:val="FootnoteAnchor"/>
          <w:rtl w:val="true"/>
        </w:rPr>
        <w:footnoteReference w:id="967"/>
      </w:r>
      <w:r>
        <w:rPr>
          <w:rFonts w:ascii="IRNazanin" w:hAnsi="IRNazanin" w:eastAsia="IRNazanin"/>
          <w:color w:val="111111"/>
          <w:sz w:val="28"/>
          <w:sz w:val="28"/>
          <w:szCs w:val="28"/>
          <w:rtl w:val="true"/>
          <w:lang w:bidi="fa-IR"/>
        </w:rPr>
        <w:t xml:space="preserve">الأصبغ بن نباتة 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وایّ طهارة افضل من التوبّة، انتهی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 یمکن الأستدلال لما ذهب الیه المشهور بقوله تعالی</w:t>
      </w:r>
      <w:r>
        <w:rPr>
          <w:rFonts w:eastAsia="IRNazanin" w:cs="IRNazanin"/>
          <w:color w:val="111111"/>
          <w:sz w:val="28"/>
          <w:szCs w:val="28"/>
          <w:rtl w:val="true"/>
          <w:lang w:bidi="fa-IR"/>
        </w:rPr>
        <w:t>:</w:t>
      </w:r>
      <w:r>
        <w:rPr>
          <w:rStyle w:val="FootnoteAnchor"/>
          <w:rtl w:val="true"/>
        </w:rPr>
        <w:footnoteReference w:id="9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والّلذان یأتیانها منکُم فاذوهما فان تابا و اصلحا فاعرضوا عنهما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خصّصناها بالزّنا او اللّواط او عمّمناها للقسمین لعدم الفرق علی الفرض الثّانی و تکون الأیة مصدّقة للمرسلة فتدبّر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بمرسلة</w:t>
      </w:r>
      <w:r>
        <w:rPr>
          <w:rStyle w:val="FootnoteAnchor"/>
          <w:rtl w:val="true"/>
        </w:rPr>
        <w:footnoteReference w:id="969"/>
      </w:r>
      <w:r>
        <w:rPr>
          <w:rFonts w:ascii="IRNazanin" w:hAnsi="IRNazanin" w:eastAsia="IRNazanin"/>
          <w:color w:val="111111"/>
          <w:sz w:val="28"/>
          <w:sz w:val="28"/>
          <w:szCs w:val="28"/>
          <w:rtl w:val="true"/>
          <w:lang w:bidi="fa-IR"/>
        </w:rPr>
        <w:t xml:space="preserve">ابی بصیر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اقیمت علیه البیّنة بانّه زنی ثمّ هرب قبل ان یضرب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تاب فما علیه شیئ و ان وقع فی ید الأمام اقام علیه الحدّ و ان علم مکانه بعث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فانّها مسندة فی روایة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علی الظّاهر بل وثّقها فی الرّوضة اذ اسناد الصّدوق الی ابی بصیر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Style w:val="FootnoteAnchor"/>
          <w:rtl w:val="true"/>
        </w:rPr>
        <w:footnoteReference w:id="970"/>
      </w:r>
      <w:r>
        <w:rPr>
          <w:rFonts w:ascii="IRNazanin" w:hAnsi="IRNazanin" w:eastAsia="IRNazanin"/>
          <w:color w:val="111111"/>
          <w:sz w:val="28"/>
          <w:sz w:val="28"/>
          <w:szCs w:val="28"/>
          <w:rtl w:val="true"/>
          <w:lang w:bidi="fa-IR"/>
        </w:rPr>
        <w:t>بن علیّ ما جیلویه عن عمّه محمّد بن ابی القاسم عن احمد بن محمّد بن خالد عن ابیه محمّد بن ابی عمیر عن علیّ بن ابی حمزة عن ابی بصیر</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متنها کالصّریح فی مختار المشهور فانّ قوله فیها ان تاب فما علیه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فی اسناد</w:t>
      </w:r>
      <w:r>
        <w:rPr>
          <w:rStyle w:val="FootnoteAnchor"/>
          <w:rtl w:val="true"/>
        </w:rPr>
        <w:footnoteReference w:id="971"/>
      </w: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وقع فی ید الأمام قبل ذلک اقام علیه الحدّ و ان علم مکانه بعث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ظاهر ظهوراً بیّناً فی عدم اقامة الحدّ علیه لو تاب قبل وقوعه فی ید الامام و ان اقیمت علیه البیّنة و حینئذ فما یظهر منه علی ارسالها من سقوط الحدّ اذا تاب بینه و بین الله ولکن الأمام یقیم علیه الحدّ فی الظّاهر لامجال له علی هذا الأسناد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اسناد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یمکن المناقشة بظهورها فی التّوبة قبل قیام البیّنة، لکنّه علی هذا ایضاً عین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فی السّند من یتوقّف فیه الاّ محمّد بن علیّ ماجیلویه الّذی هو من مشایخ الصّدوق وروی عنه مترضّیاً فی مواضع عدیدة و قد وثّقه بعض اهل الفنّ لعدم احتیاج الی توثیق مشایخ الأجازة عند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علیّ بن ابی حمزة الّذی هو من عُمد الواقفة لکن عن الشّیخ انّه عملت الطّائفة باخباره و قد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لو لم نقل بانجبار ضعف سند المرسلة باعتماد المشهور علیها کما هو المشهور لا سیمّا و قد اشتمل السّند علی صفوان بن یحیی الّذی هو من اصحاب الأجماع الوارد فیهم اجمعت العصابة علی تصحیح ما یصّح عنهم و المشهور انّه لا یضرّ ضعف السّند او الأرسال الواقع بین من بعد احدهم الی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 ناقشه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قبله لیس الاّ رجال ثقات معتمدون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انّ عمّ ما جیلویه فی اسناد الصّدوق محمّد بن ابی القاسم و هو عبیدالله بن عمران الجنابیّ البرقیّ ابو عبدالله الملقّب بما جیلویه و ابو القاسم یلقّب بندار سیّد من اصحابنا القمّیّین ثقة عارف بالادب و الشّعر الی آخر ما عن النّجاشیّ فی ترجمة الرّجل، و احمد بن محمّد بن خالد ثقة فی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و ان اکثر الرّوایة عن الضّعفاء و المراسیل و محمّد بن خالد ابوه ثقة و ابن ابی عمیر الظّاهر هو محمّد بن زیاد المعروف</w:t>
      </w:r>
    </w:p>
    <w:p>
      <w:pPr>
        <w:pStyle w:val="BookText"/>
        <w:rPr/>
      </w:pPr>
      <w:r>
        <w:rPr>
          <w:rFonts w:ascii="IRNazanin" w:hAnsi="IRNazanin" w:eastAsia="IRNazanin"/>
          <w:color w:val="111111"/>
          <w:sz w:val="28"/>
          <w:sz w:val="28"/>
          <w:szCs w:val="28"/>
          <w:rtl w:val="true"/>
          <w:lang w:bidi="fa-IR"/>
        </w:rPr>
        <w:t xml:space="preserve">و لا یسقط بعده علی المشهور و هو الأوفق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و ابو بصیر کلاهما من اصحاب الأجماع، و حینئذ فما علیه الأصحاب هو الحقّ الحقیق بالقبول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اذا کانت التّوبة قبل قیام البیّنة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اذا کانت بعده فلا یسقط عنه الحدّ فی المشهور رجماً کان او غیره استناداً الی مرسلة ابی بصیر</w:t>
      </w:r>
      <w:r>
        <w:rPr>
          <w:rStyle w:val="FootnoteAnchor"/>
          <w:rtl w:val="true"/>
        </w:rPr>
        <w:footnoteReference w:id="972"/>
      </w:r>
      <w:r>
        <w:rPr>
          <w:rFonts w:ascii="IRNazanin" w:hAnsi="IRNazanin" w:eastAsia="IRNazanin"/>
          <w:color w:val="111111"/>
          <w:sz w:val="28"/>
          <w:sz w:val="28"/>
          <w:szCs w:val="28"/>
          <w:rtl w:val="true"/>
          <w:lang w:bidi="fa-IR"/>
        </w:rPr>
        <w:t xml:space="preserve">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ارادة اقامة الحدّ بعد التّوبة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اطلاق مادلّ علی لزوم اجراء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دلیل علی السّقوط بالتّوبة و ماورد فی</w:t>
      </w:r>
      <w:r>
        <w:rPr>
          <w:rStyle w:val="FootnoteAnchor"/>
          <w:rtl w:val="true"/>
        </w:rPr>
        <w:footnoteReference w:id="973"/>
      </w:r>
      <w:r>
        <w:rPr>
          <w:rFonts w:ascii="IRNazanin" w:hAnsi="IRNazanin" w:eastAsia="IRNazanin"/>
          <w:color w:val="111111"/>
          <w:sz w:val="28"/>
          <w:sz w:val="28"/>
          <w:szCs w:val="28"/>
          <w:rtl w:val="true"/>
          <w:lang w:bidi="fa-IR"/>
        </w:rPr>
        <w:t>من فرّ من الحفیرة اذا ثبت الزّنا علیه بالبیّنة و التّفصیل بینه و بین ثبوته بالأقرار اذا اصابه الم الحجارة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خلافاً لما حکّی عن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الحلبیّین فالأمام مخیّر بین الأقامة و عدمها لوجوه ضعیفة کاصل البرائة و منع ثبوت الحدّ فی الذّمة بمجرّد قیام البیّنة لیستصحب و سقوط عقوبة الأخرة فالدّنیا اولی و عمدتها روایة</w:t>
      </w:r>
      <w:r>
        <w:rPr>
          <w:rStyle w:val="FootnoteAnchor"/>
          <w:rtl w:val="true"/>
        </w:rPr>
        <w:footnoteReference w:id="974"/>
      </w:r>
      <w:r>
        <w:rPr>
          <w:rFonts w:ascii="IRNazanin" w:hAnsi="IRNazanin" w:eastAsia="IRNazanin"/>
          <w:color w:val="111111"/>
          <w:sz w:val="28"/>
          <w:sz w:val="28"/>
          <w:szCs w:val="28"/>
          <w:rtl w:val="true"/>
          <w:lang w:bidi="fa-IR"/>
        </w:rPr>
        <w:t xml:space="preserve">ابی بصیر المتقدّمة بدعوی ظهورها فی حصول التّوبة عند الهرب او بعده و معنی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وقع فی ید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الوقوع قبل التّوبة کما فی اسناد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لا یخفی انّ بعض هذه الوجوه لو تمّ یقتضی تحتّم السّقوط کظاهر الرّوایة و سقوط عقوبة الدّنیا لسقوط عقوبة الأخرة، لکن عرفت المراد بالرّوایة و انّه سقوط الحدّ بالتّوبة قبل قیام البیّنة علیه و لا ظهور مستقرّاً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تحقّق التبوبة بعد قیام البیّنة کی یفید المستدلّ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ذکر فی الجواهر تبعاً لکشف اللّثام انِه لو ادّعی التوّبة اذا اُخذ قبل الثّبوت قُبل</w:t>
      </w:r>
      <w:bookmarkStart w:id="325" w:name="pg3023_22650"/>
    </w:p>
    <w:p>
      <w:pPr>
        <w:pStyle w:val="Heading5"/>
        <w:numPr>
          <w:ilvl w:val="4"/>
          <w:numId w:val="1"/>
        </w:numPr>
        <w:rPr/>
      </w:pPr>
      <w:bookmarkStart w:id="326" w:name="__RefHeading___Toc656861_2749589250"/>
      <w:bookmarkStart w:id="327" w:name="_Toc117"/>
      <w:bookmarkEnd w:id="325"/>
      <w:bookmarkEnd w:id="326"/>
      <w:r>
        <w:rPr>
          <w:rtl w:val="true"/>
        </w:rPr>
        <w:t>الرّابعة لو حملت بلابعل لم تحدّ</w:t>
      </w:r>
      <w:bookmarkEnd w:id="327"/>
    </w:p>
    <w:p>
      <w:pPr>
        <w:pStyle w:val="BookText"/>
        <w:rPr/>
      </w:pPr>
      <w:r>
        <w:rPr>
          <w:rFonts w:ascii="Amiri" w:hAnsi="Amiri" w:eastAsia="Amiri" w:cs="Amiri"/>
          <w:color w:val="111111"/>
          <w:sz w:val="28"/>
          <w:sz w:val="28"/>
          <w:szCs w:val="28"/>
          <w:rtl w:val="true"/>
          <w:lang w:bidi="ar-SA"/>
        </w:rPr>
        <w:t xml:space="preserve">مسئلة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حملت بلابعل لم تحدّ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من غیر یمین للشّبهة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ناقشنا فی روایة درء الحدّ بالشّبهة کما تقدّم الیه الاشارة فی بعض الأبحاث المتقدّمة فیمکن العکس بدعوی تعلیق الحکم فی مرسل</w:t>
      </w:r>
      <w:r>
        <w:rPr>
          <w:rStyle w:val="FootnoteAnchor"/>
          <w:rtl w:val="true"/>
        </w:rPr>
        <w:footnoteReference w:id="975"/>
      </w:r>
      <w:r>
        <w:rPr>
          <w:rFonts w:ascii="IRNazanin" w:hAnsi="IRNazanin" w:eastAsia="IRNazanin"/>
          <w:color w:val="111111"/>
          <w:sz w:val="28"/>
          <w:sz w:val="28"/>
          <w:szCs w:val="28"/>
          <w:rtl w:val="true"/>
          <w:lang w:bidi="fa-IR"/>
        </w:rPr>
        <w:t>جمیل او فی مرسلة</w:t>
      </w:r>
      <w:r>
        <w:rPr>
          <w:rStyle w:val="FootnoteAnchor"/>
          <w:rtl w:val="true"/>
        </w:rPr>
        <w:footnoteReference w:id="976"/>
      </w:r>
      <w:r>
        <w:rPr>
          <w:rFonts w:ascii="IRNazanin" w:hAnsi="IRNazanin" w:eastAsia="IRNazanin"/>
          <w:color w:val="111111"/>
          <w:sz w:val="28"/>
          <w:sz w:val="28"/>
          <w:szCs w:val="28"/>
          <w:rtl w:val="true"/>
          <w:lang w:bidi="fa-IR"/>
        </w:rPr>
        <w:t xml:space="preserve">ابی بصیر علی التّوبة بجریان استصحاب نفیها عند الشّک فیجری علیه الحدّ و لا یخلو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المرسل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صلح و عرف منه امر جمیل لم یقم علیه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دلالة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حملت بلا بعل فلا تحدّ بلا اشکال و فی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لعدم کون الحمل بمجرّده اقراراً و لا شهادة بالزّنا لأحتمال کونه بسبب غیر الوطیء او الوطیء شبهةً او اکرهاً و نحو هما فلا یتحقّق موضوع الحدّ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الخلاف</w:t>
      </w:r>
      <w:r>
        <w:rPr>
          <w:rStyle w:val="FootnoteAnchor"/>
          <w:rtl w:val="true"/>
        </w:rPr>
        <w:footnoteReference w:id="977"/>
      </w:r>
      <w:r>
        <w:rPr>
          <w:rFonts w:ascii="IRNazanin" w:hAnsi="IRNazanin" w:eastAsia="IRNazanin"/>
          <w:color w:val="111111"/>
          <w:sz w:val="28"/>
          <w:sz w:val="28"/>
          <w:szCs w:val="28"/>
          <w:rtl w:val="true"/>
          <w:lang w:bidi="fa-IR"/>
        </w:rPr>
        <w:t>اذا وجدت امرأة حُبلی و لا زوج لها و انکرت ان یکون من زنا لا حدَّ علیها و به قال ابو حنیفة و الشّافعیّ، و قال مالک علیها الحدّ</w:t>
      </w:r>
      <w:r>
        <w:rPr>
          <w:rStyle w:val="FootnoteAnchor"/>
          <w:rtl w:val="true"/>
        </w:rPr>
        <w:footnoteReference w:id="978"/>
      </w:r>
      <w:bookmarkStart w:id="328" w:name="pg3023_22651"/>
    </w:p>
    <w:p>
      <w:pPr>
        <w:pStyle w:val="Heading4"/>
        <w:numPr>
          <w:ilvl w:val="3"/>
          <w:numId w:val="1"/>
        </w:numPr>
        <w:rPr/>
      </w:pPr>
      <w:bookmarkStart w:id="329" w:name="__RefHeading___Toc656863_2749589250"/>
      <w:bookmarkStart w:id="330" w:name="_Toc118"/>
      <w:bookmarkEnd w:id="328"/>
      <w:bookmarkEnd w:id="329"/>
      <w:r>
        <w:rPr>
          <w:rtl w:val="true"/>
        </w:rPr>
        <w:t>(</w:t>
      </w:r>
      <w:r>
        <w:rPr>
          <w:rtl w:val="true"/>
        </w:rPr>
        <w:t>مسائل عشر</w:t>
      </w:r>
      <w:r>
        <w:rPr>
          <w:rtl w:val="true"/>
        </w:rPr>
        <w:t>)</w:t>
      </w:r>
      <w:bookmarkEnd w:id="330"/>
    </w:p>
    <w:p>
      <w:pPr>
        <w:pStyle w:val="Heading5"/>
        <w:numPr>
          <w:ilvl w:val="4"/>
          <w:numId w:val="1"/>
        </w:numPr>
        <w:rPr/>
      </w:pPr>
      <w:bookmarkStart w:id="331" w:name="__RefHeading___Toc656865_2749589250"/>
      <w:bookmarkStart w:id="332" w:name="_Toc119"/>
      <w:bookmarkEnd w:id="331"/>
      <w:r>
        <w:rPr>
          <w:rtl w:val="true"/>
        </w:rPr>
        <w:t>الاولی</w:t>
      </w:r>
      <w:r>
        <w:rPr>
          <w:rtl w:val="true"/>
        </w:rPr>
        <w:t xml:space="preserve">: </w:t>
      </w:r>
      <w:r>
        <w:rPr>
          <w:rtl w:val="true"/>
        </w:rPr>
        <w:t>اذا شهد اربعة عدول بالزّنا قبلاً وادّعت انّها بکر و شهدت اربع نساء فلا تحدّ</w:t>
      </w:r>
      <w:bookmarkEnd w:id="332"/>
    </w:p>
    <w:p>
      <w:pPr>
        <w:pStyle w:val="BookText"/>
        <w:rPr/>
      </w:pPr>
      <w:r>
        <w:rPr>
          <w:rFonts w:ascii="Amiri" w:hAnsi="Amiri" w:eastAsia="Amiri" w:cs="Amiri"/>
          <w:color w:val="111111"/>
          <w:sz w:val="28"/>
          <w:sz w:val="28"/>
          <w:szCs w:val="28"/>
          <w:rtl w:val="true"/>
          <w:lang w:bidi="ar-SA"/>
        </w:rPr>
        <w:t xml:space="preserve">مسئلة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شهد اربعة عُدول بالزّنا قُبُلاً و ادّعت انّها بکرٌ و شهدت اربع نساء بذلک فلا تحدّ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ثمّ استدلّ بأصل البرائة و بعض ما ذکرنا، و فی</w:t>
      </w:r>
      <w:r>
        <w:rPr>
          <w:rStyle w:val="FootnoteAnchor"/>
          <w:rtl w:val="true"/>
        </w:rPr>
        <w:footnoteReference w:id="979"/>
      </w:r>
      <w:r>
        <w:rPr>
          <w:rFonts w:ascii="IRNazanin" w:hAnsi="IRNazanin" w:eastAsia="IRNazanin"/>
          <w:color w:val="111111"/>
          <w:sz w:val="28"/>
          <w:sz w:val="28"/>
          <w:szCs w:val="28"/>
          <w:rtl w:val="true"/>
          <w:lang w:bidi="fa-IR"/>
        </w:rPr>
        <w:t>المبسوط انّها تسئل عن ذلک فان قالت من زنا فعلیها الحدّ و ان قالت من غیر زنا فلا حدّ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 علیها الحدّ و الأوّل اقوی، ثمّ اخذ فی الاستدلال بنحو ما فی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علینا سئوالها للأصل بل الأصول، ثمّ اشار الی عدم اتّجاه ما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عشر</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شهد اربعة عدول علی امرأة بالزّنا قُبُلاً و ادّعت انّها بکر و شهدت لها اربع نساء عدول بذلک فلا تحدّ بلا خلاف و لا اشکال بل ادّعی علیه الأجماع و یدلّ علیه مضافاً الی ذلک و الی ما ورد فی باب</w:t>
      </w:r>
      <w:r>
        <w:rPr>
          <w:rStyle w:val="FootnoteAnchor"/>
          <w:rtl w:val="true"/>
        </w:rPr>
        <w:footnoteReference w:id="980"/>
      </w:r>
      <w:r>
        <w:rPr>
          <w:rFonts w:ascii="Amiri" w:hAnsi="Amiri" w:eastAsia="Amiri" w:cs="Amiri"/>
          <w:color w:val="111111"/>
          <w:sz w:val="28"/>
          <w:sz w:val="28"/>
          <w:szCs w:val="28"/>
          <w:rtl w:val="true"/>
          <w:lang w:bidi="ar-SA"/>
        </w:rPr>
        <w:t>الشّهادة من قبول شهادة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النّساء فی المنفوس و العذرة روایات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Style w:val="FootnoteAnchor"/>
          <w:rtl w:val="true"/>
        </w:rPr>
        <w:footnoteReference w:id="981"/>
      </w:r>
      <w:r>
        <w:rPr>
          <w:rFonts w:ascii="IRNazanin" w:hAnsi="IRNazanin" w:eastAsia="IRNazanin"/>
          <w:color w:val="111111"/>
          <w:sz w:val="28"/>
          <w:sz w:val="28"/>
          <w:szCs w:val="28"/>
          <w:rtl w:val="true"/>
          <w:lang w:bidi="fa-IR"/>
        </w:rPr>
        <w:t xml:space="preserve">معتبرة السّکونی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اتی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بامرأة بکر زعموا انّها زنت فامر النّساء فنظرن الیها فقلن هی عذراء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ما کنت لا ضرب من علیها خاتم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یجیز شهادة النّساء فی مثل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روایة زراراة</w:t>
      </w:r>
      <w:r>
        <w:rPr>
          <w:rStyle w:val="FootnoteAnchor"/>
          <w:rtl w:val="true"/>
        </w:rPr>
        <w:footnoteReference w:id="982"/>
      </w:r>
      <w:r>
        <w:rPr>
          <w:rFonts w:ascii="IRNazanin" w:hAnsi="IRNazanin" w:eastAsia="IRNazanin"/>
          <w:color w:val="111111"/>
          <w:sz w:val="28"/>
          <w:sz w:val="28"/>
          <w:szCs w:val="28"/>
          <w:rtl w:val="true"/>
          <w:lang w:bidi="fa-IR"/>
        </w:rPr>
        <w:t xml:space="preserve">الصّحیحة علی اسناد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احد 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اربعة شهدوا علی امرأة بالزّنا فقالت انا بکر فنظر الیها النّساء فوجَدنها بکراً، فقال تقبل شهادة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روایة</w:t>
      </w:r>
      <w:r>
        <w:rPr>
          <w:rStyle w:val="FootnoteAnchor"/>
          <w:rtl w:val="true"/>
        </w:rPr>
        <w:footnoteReference w:id="983"/>
      </w:r>
      <w:r>
        <w:rPr>
          <w:rFonts w:ascii="IRNazanin" w:hAnsi="IRNazanin" w:eastAsia="IRNazanin"/>
          <w:color w:val="111111"/>
          <w:sz w:val="28"/>
          <w:sz w:val="28"/>
          <w:szCs w:val="28"/>
          <w:rtl w:val="true"/>
          <w:lang w:bidi="fa-IR"/>
        </w:rPr>
        <w:t xml:space="preserve">العیون باسانید متعدّدة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سُئل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امرأة قیل انّها زنت فذکرت المرأة انّها بکر فاَمَر النّساء ان ینظرن الیها فنظرت الیها فوجَدنها بکراً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ما کنت لأضرب من علیها خاتم من الله و کان یجیز شهادة النساء فی مثل هذا و نحوها ما فی صحیفة</w:t>
      </w:r>
      <w:r>
        <w:rPr>
          <w:rStyle w:val="FootnoteAnchor"/>
          <w:rtl w:val="true"/>
        </w:rPr>
        <w:footnoteReference w:id="984"/>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معتبرة</w:t>
      </w:r>
      <w:r>
        <w:rPr>
          <w:rStyle w:val="FootnoteAnchor"/>
          <w:rtl w:val="true"/>
        </w:rPr>
        <w:footnoteReference w:id="985"/>
      </w:r>
      <w:r>
        <w:rPr>
          <w:rFonts w:ascii="IRNazanin" w:hAnsi="IRNazanin" w:eastAsia="IRNazanin"/>
          <w:color w:val="111111"/>
          <w:sz w:val="28"/>
          <w:sz w:val="28"/>
          <w:szCs w:val="28"/>
          <w:rtl w:val="true"/>
          <w:lang w:bidi="fa-IR"/>
        </w:rPr>
        <w:t xml:space="preserve">اخری للسّکونی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ابی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اتی رجل بامرأة بکر زعم انّها زنت فأمر النّساء فنظرن الیها فقلن هی عذراء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لأضرب من علیها خاتم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یجیز شهادة النّساء فی مثل هذا و یؤیّدها مسندة</w:t>
      </w:r>
      <w:r>
        <w:rPr>
          <w:rStyle w:val="FootnoteAnchor"/>
          <w:rtl w:val="true"/>
        </w:rPr>
        <w:footnoteReference w:id="986"/>
      </w:r>
      <w:r>
        <w:rPr>
          <w:rFonts w:ascii="IRNazanin" w:hAnsi="IRNazanin" w:eastAsia="IRNazanin"/>
          <w:color w:val="111111"/>
          <w:sz w:val="28"/>
          <w:sz w:val="28"/>
          <w:szCs w:val="28"/>
          <w:rtl w:val="true"/>
          <w:lang w:bidi="fa-IR"/>
        </w:rPr>
        <w:t>الجعفریّات عن جعفر بن</w:t>
      </w:r>
      <w:bookmarkStart w:id="333" w:name="pg3023_22653"/>
    </w:p>
    <w:p>
      <w:pPr>
        <w:pStyle w:val="Heading5"/>
        <w:numPr>
          <w:ilvl w:val="4"/>
          <w:numId w:val="1"/>
        </w:numPr>
        <w:rPr/>
      </w:pPr>
      <w:bookmarkStart w:id="334" w:name="__RefHeading___Toc656867_2749589250"/>
      <w:bookmarkStart w:id="335" w:name="_Toc120"/>
      <w:bookmarkEnd w:id="333"/>
      <w:bookmarkEnd w:id="334"/>
      <w:r>
        <w:rPr>
          <w:rtl w:val="true"/>
        </w:rPr>
        <w:t>یثبت لو کانت الشّهادة علی الوطی فی الدّبر</w:t>
      </w:r>
      <w:bookmarkEnd w:id="335"/>
    </w:p>
    <w:p>
      <w:pPr>
        <w:pStyle w:val="BookText"/>
        <w:rPr/>
      </w:pPr>
      <w:r>
        <w:rPr>
          <w:rFonts w:ascii="IRNazanin" w:hAnsi="IRNazanin" w:eastAsia="IRNazanin"/>
          <w:color w:val="111111"/>
          <w:sz w:val="28"/>
          <w:sz w:val="28"/>
          <w:szCs w:val="28"/>
          <w:rtl w:val="true"/>
          <w:lang w:bidi="fa-IR"/>
        </w:rPr>
        <w:t xml:space="preserve">و یثبت لو کانت الشّهادة علی الوطیء فی الدبّر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محمّد عن ابیه  عن جدّه انّ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 بجاریة زعموا انَّها زنت فأَمَرَ النّساء فنطرن الیها، فقلن یا امیر المؤمنین هی بکر،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لأضرب من علیها خاتم الرّحمن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مقتضی کلامهم اعتبار ابرع نسوة فی الشّهادة علی العذرة و ظاهر النّصوص الجمع و اقلّها فی القلّة ثلاثة و لکن الصّیغة صیغة الکثرة  لا اشکال فی الاکتفاء بالأربع، لما تقدّم من الأتّفاق و عدم الخلاف و الظّاهر عدم کفایة الاقلّ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توجیه الأتّفاق بمناسبة قبول الشّهادة لکونهنّ اربعاً حیثُ تعدّ اثنتان مکان رجل واحد فی غیر المقام، و لمّا کان المورد ممّا لا یستطیع الرجّال النّظر الیه لتحقیق العذرة فاکتفی بشهادتهنّ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فی مبانی التّکملة علی اعتبار الأربع بکون الرّوایات ناظرة الی ما هو المتعارف المعهود فی الخارج و هو شهادة الأربع و لا دلیل علی اعتبار الزّائد علیها کما لا دلیل علی اعتبار الأقّل، و فی الشّق الأوّل من الأستدلال خفاء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الحدّ لو شهدوا علی الزّنا فی دبرها بلا اشکال حتّی مع العلم بالبکارة و لکن اطلاق الشّهادة ینصرف الی وطی القُبل و ما عن لک من عدم المنافاة فیه انّه خلاف ظاهر النّصوص</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الظّاهر سقوط الحدّ علی الزّانی بالمشهود علیها الّتی شهدت النّساء ببکارتها للملازمة عرفاً من نفی زناها للزّنا بها و لا ینافی هذا ما تسلّم من امکان تحقق الزّنا منه دونها و بالعکس اذ ذلک فیما اذا لم یکن شکّ فی الأیلاج وفاقاً للقواعد و المهذّب للسّبزواری و عللّه فی الأیضاح و کذلک فی الجواهر تبعاً لکشف اللّثام بالشّبهة کما فی الأخیر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الظاّهر وفاقاً لجماعة منهم الشّیخ فی المبسوط</w:t>
      </w:r>
      <w:r>
        <w:rPr>
          <w:rStyle w:val="FootnoteAnchor"/>
          <w:rtl w:val="true"/>
        </w:rPr>
        <w:footnoteReference w:id="987"/>
      </w:r>
      <w:r>
        <w:rPr>
          <w:rFonts w:ascii="IRNazanin" w:hAnsi="IRNazanin" w:eastAsia="IRNazanin"/>
          <w:color w:val="111111"/>
          <w:sz w:val="28"/>
          <w:sz w:val="28"/>
          <w:szCs w:val="28"/>
          <w:rtl w:val="true"/>
          <w:lang w:bidi="fa-IR"/>
        </w:rPr>
        <w:t>و ابن ادریس فی السّرائر</w:t>
      </w:r>
      <w:r>
        <w:rPr>
          <w:rStyle w:val="FootnoteAnchor"/>
          <w:rtl w:val="true"/>
        </w:rPr>
        <w:footnoteReference w:id="988"/>
      </w:r>
      <w:r>
        <w:rPr>
          <w:rFonts w:ascii="IRNazanin" w:hAnsi="IRNazanin" w:eastAsia="IRNazanin"/>
          <w:color w:val="111111"/>
          <w:sz w:val="28"/>
          <w:sz w:val="28"/>
          <w:szCs w:val="28"/>
          <w:rtl w:val="true"/>
          <w:lang w:bidi="fa-IR"/>
        </w:rPr>
        <w:t xml:space="preserve">و العلاّمة فی القواعد و الفخر فی الأیضاح و محکیّ له و الجامع سقوط حدّ الفریة عن الشهود، و وافقهم السّبزواری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المهذّب الاّ اذا صدقت الفریة علیهم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خالف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شرایع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وحکی عن النّهایة و ابی علیّ و ابن ادریس فی الشّهادات و ان حکی رجوعهما ایضا و یشهد للاوّل عدم تحقّق موضوع القذف حیث انّ الشّهود لم یکونوا اقلّ من اربعة غایة عارضت شهادتهم بالزّنا شهادة النّساء بالبکارة و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امکان صدق کلتا الطّائفتین لرجوع العذرة بعد ازالتها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یحقّق المعارضة فتتساقطان و عبّر بعضهم عنها بالشّبهة و لا یخلو سکوت الأمام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حدّ الشّهود من اشعار او دلالة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ذکرنا یظهر ضعف مشتند المخالف من استلزام تقدیم شهادة النّساء لردّ شهادتهم المستلزم لکذبهم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کضعف احتمال عود البکارة من الموافق لکونه خلاف ظاهر النّصوص، اذ التّعلیل بعدم الضّرب لمن علیها خاتم من الله ینفیه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شهود الزّنا علی المجبوب فی زمان لا یمکن حدوث الجبّ بعده کشهود المقام و کذلک فی رتق المشهود علیها؟ فصّل فی الجواهر تبعاً لکشف اللّثام بین ماذا حصل العلم بالجبّ او الرّتق بالمعاینة او شهادة عدد التّواتر و کان المشهود به الزّنا قبلاً فاختار الحدّ للفریة و بین غیر هذه الصّورة فتوّقف او مال الی العدم للتّعارض بین الشّهادتین</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فلا یحدّ الرجّل و لا المرأة کما انّ الحکم فی الصّورة الأولی و ان کان غیر بعید لکنّه لا یخلو من تأمّل</w:t>
      </w:r>
      <w:r>
        <w:rPr>
          <w:rFonts w:eastAsia="IRNazanin" w:cs="IRNazanin"/>
          <w:color w:val="111111"/>
          <w:sz w:val="28"/>
          <w:szCs w:val="28"/>
          <w:rtl w:val="true"/>
          <w:lang w:bidi="fa-IR"/>
        </w:rPr>
        <w:t>.</w:t>
      </w:r>
      <w:bookmarkStart w:id="336" w:name="pg3023_22655"/>
    </w:p>
    <w:p>
      <w:pPr>
        <w:pStyle w:val="Heading5"/>
        <w:numPr>
          <w:ilvl w:val="4"/>
          <w:numId w:val="1"/>
        </w:numPr>
        <w:rPr/>
      </w:pPr>
      <w:bookmarkStart w:id="337" w:name="__RefHeading___Toc656869_2749589250"/>
      <w:bookmarkStart w:id="338" w:name="_Toc121"/>
      <w:bookmarkEnd w:id="336"/>
      <w:bookmarkEnd w:id="337"/>
      <w:r>
        <w:rPr>
          <w:rtl w:val="true"/>
        </w:rPr>
        <w:t>الثّانیة</w:t>
      </w:r>
      <w:r>
        <w:rPr>
          <w:rtl w:val="true"/>
        </w:rPr>
        <w:t xml:space="preserve">: </w:t>
      </w:r>
      <w:r>
        <w:rPr>
          <w:rtl w:val="true"/>
        </w:rPr>
        <w:t>عدم الشترای بدء الشّهود و الامام لرمی الآخرین</w:t>
      </w:r>
      <w:bookmarkEnd w:id="338"/>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بدء الشّهود فی الزّنا بالبیّنة وبدء الأمام فی الأقرار شرط لجواز رمی الأخرین؟ الحقّ عدم الاشتراط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الشّهادة علی الزّنا مطلقاً بین ما اذا شهدن النّساء ببکارتها فاًسقط الحدّ عن المشهود علیها و ان احتمل کون الوطی فی الدّبر و کذلک عن المشهود علیه استناداً الی الخبرین و الشّبهة و لم یحدّ الشّهود و بین المقام فلم یحدّهم فی ما اذا لم یکن المشهود به الزّنا قُبلاً و قد عرفت الکلام فی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الحق السّید السبزواری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المهذّب علم الحاکم الشّرعیّ بکارة المشهود علیها بالزّنا بالآلات الحدیثة بما اذا ثبت عذرتها بشهادة النّساء، لجواز عمل الحاکم بعلمه، و لا بأس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فی المسئلة السّادسة و السّبعین بعض الکلام فی وجوب بدء الشّهود اذا ثبت الزّنا بالبیّنة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بدء الأمام اذا ثبت باأقرار ولکن الظّاهر عدم کون بدء الشّهود ولا الأمام مطلقاً شرطاً لرمی الأخرین علی مختار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 فی شرایع الاسلام و القواعد و تبعه فی کشف اللّثام و الجواهر عدم اشتراط حضور الشّهود فی اقامة الحدّ بل یشعر عبارة الاخیرین بالأجماع</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اختلف کلام الشّیخ فی الخلاف</w:t>
      </w:r>
      <w:r>
        <w:rPr>
          <w:rStyle w:val="FootnoteAnchor"/>
          <w:rtl w:val="true"/>
        </w:rPr>
        <w:footnoteReference w:id="989"/>
      </w:r>
      <w:r>
        <w:rPr>
          <w:rFonts w:ascii="IRNazanin" w:hAnsi="IRNazanin" w:eastAsia="IRNazanin"/>
          <w:color w:val="111111"/>
          <w:sz w:val="28"/>
          <w:sz w:val="28"/>
          <w:szCs w:val="28"/>
          <w:rtl w:val="true"/>
          <w:lang w:bidi="fa-IR"/>
        </w:rPr>
        <w:t>فاختار فی عنوان المسئلة عدم وجوب الحضور و فی الاستدلال استند الی روایة اصحابنا علی التّفصیل 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تعرّض للقول المشهور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یلزمهم الحضور و یظهر من کلامه فی المسئلة</w:t>
      </w:r>
      <w:r>
        <w:rPr>
          <w:rStyle w:val="FootnoteAnchor"/>
          <w:rtl w:val="true"/>
        </w:rPr>
        <w:footnoteReference w:id="990"/>
      </w:r>
      <w:r>
        <w:rPr>
          <w:rFonts w:ascii="IRNazanin" w:hAnsi="IRNazanin" w:eastAsia="IRNazanin"/>
          <w:color w:val="111111"/>
          <w:sz w:val="28"/>
          <w:sz w:val="28"/>
          <w:szCs w:val="28"/>
          <w:rtl w:val="true"/>
          <w:lang w:bidi="fa-IR"/>
        </w:rPr>
        <w:t xml:space="preserve">التّالیة لها عدم الأشتراط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حضر الأمام و الشّهود موضع الرّجم ثمّ ذکر التّفصیل فی البدء بین الثّبوت بالأقرار فوجب علی الأمام و بین ثبوته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بالبیّنة، فالشّهود ثمّ الأمام ثمّ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991"/>
      </w:r>
      <w:r>
        <w:rPr>
          <w:rFonts w:ascii="IRNazanin" w:hAnsi="IRNazanin" w:eastAsia="IRNazanin"/>
          <w:color w:val="111111"/>
          <w:sz w:val="28"/>
          <w:sz w:val="28"/>
          <w:szCs w:val="28"/>
          <w:rtl w:val="true"/>
          <w:lang w:bidi="fa-IR"/>
        </w:rPr>
        <w:t>و قال ابو حنیفة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الشّافعیّ لا یجب علی واحد منهم البدئة بالرّجم ثمّ استدلّ باجماع الفرقة و اخبارهم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شرایع الاسلام والقواعد بهد ذکر عدم الاشتراط، بل یقام و ان ماتوا او غابوا لافراراً، و فی الخلاف</w:t>
      </w:r>
      <w:r>
        <w:rPr>
          <w:rStyle w:val="FootnoteAnchor"/>
          <w:rtl w:val="true"/>
        </w:rPr>
        <w:footnoteReference w:id="992"/>
      </w:r>
      <w:r>
        <w:rPr>
          <w:rFonts w:ascii="IRNazanin" w:hAnsi="IRNazanin" w:eastAsia="IRNazanin"/>
          <w:color w:val="111111"/>
          <w:sz w:val="28"/>
          <w:sz w:val="28"/>
          <w:szCs w:val="28"/>
          <w:rtl w:val="true"/>
          <w:lang w:bidi="fa-IR"/>
        </w:rPr>
        <w:t>جاز للحاکم ان یحکم بشهادتهم و یقیم الحدّ علی المشهود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الشّافعیّ</w:t>
      </w:r>
      <w:r>
        <w:rPr>
          <w:rStyle w:val="FootnoteAnchor"/>
          <w:rtl w:val="true"/>
        </w:rPr>
        <w:footnoteReference w:id="993"/>
      </w:r>
    </w:p>
    <w:p>
      <w:pPr>
        <w:pStyle w:val="BookText"/>
        <w:rPr/>
      </w:pPr>
      <w:r>
        <w:rPr>
          <w:rFonts w:ascii="IRNazanin" w:hAnsi="IRNazanin" w:eastAsia="IRNazanin"/>
          <w:color w:val="111111"/>
          <w:sz w:val="28"/>
          <w:sz w:val="28"/>
          <w:szCs w:val="28"/>
          <w:rtl w:val="true"/>
          <w:lang w:bidi="fa-IR"/>
        </w:rPr>
        <w:t xml:space="preserve">و قال ابو حنیفة متی غابوا او ماتوا لم یجز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للحاکم ان یحکم بشهادتهم، و استدلّ فی الشّرایع بثبوت السّبب الموجب و فی الجواهر تبعاً لکشف اللّثام بالأصل</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انّ المراد منه اِمّا الأطلاق او الأستصحاب وزاد فی الثّانی عموم النّصوص،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وجب بدئتهم بارّجم اذ لا استلزام بینه و بین الأشتراط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ظنّه الشّیخ فی المبسوط علی ما فی الکشف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دلیل علی وجوب التّأخیر الی حضورهم اذا توقّع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اذ لا نظرة فی الحدود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انّهما قدّس سرّ هما استدلاً علی استثناء صورة الفرار بالشّبهة و بما رواه</w:t>
      </w:r>
      <w:r>
        <w:rPr>
          <w:rStyle w:val="FootnoteAnchor"/>
          <w:rtl w:val="true"/>
        </w:rPr>
        <w:footnoteReference w:id="994"/>
      </w:r>
      <w:r>
        <w:rPr>
          <w:rFonts w:ascii="IRNazanin" w:hAnsi="IRNazanin" w:eastAsia="IRNazanin"/>
          <w:color w:val="111111"/>
          <w:sz w:val="28"/>
          <w:sz w:val="28"/>
          <w:szCs w:val="28"/>
          <w:rtl w:val="true"/>
          <w:lang w:bidi="fa-IR"/>
        </w:rPr>
        <w:t xml:space="preserve">محمّد بن قیس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قال قضی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جاء به رجلان و قالا انّ هذا سرق درعاً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الرّجل یناشده لمّا نظر فی البیّنة و جعل یقول و الله لو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قطع یدَی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بَم؟ قال یخبره ربّه انیّ بریء فیبرئنی ببرائتی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شدته ایّاه دَعا الشّاهدین و قال لهما اتقیّا الله و لا تقطعا ید الرجّل ظلماً و ناشد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لیقطع احدکما یده و یُمسک الآخر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تقدّما الی المصطبة لیقطعا یده ضربا النّاس حتّی اختلطوا فلمّا اختلطوا ارسلا الرجّل فی غمار النّاس و فرّا حتّی اختلطا بالنّاس فجاء الّذی شهدا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یا امیر المؤمنین شهدَ علیّ الرّجلان ظلماً فلمّا ضربا الناس و اختلطوا ارسلانی و فرّا و لو کانا صادقین لما فرّا ولم یرسلانی، 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یدلّنی علی هذین الشّاهدین انکلهما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قریب منها مرسلة الدّعائم</w:t>
      </w:r>
      <w:r>
        <w:rPr>
          <w:rStyle w:val="FootnoteAnchor"/>
          <w:rtl w:val="true"/>
        </w:rPr>
        <w:footnoteReference w:id="9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ذکروه قویّ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فی باب الشهادة توقّف الحکم اذا رجع الشّهدان او احد هما قبله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خلاصة الکلام فی هذه المسئلة و المسئلة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هنا ثلاثة اشیاء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ـ وجوب حضور الشّهود اذا ثبت الزّنا بالبیّنة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وجوب بدئتهم بالرّجم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 ـ اشتراط الرّجم بحضور هم و بدئتهم بحیث لو لم یحضروا او لم یبدئوا</w:t>
      </w:r>
      <w:bookmarkStart w:id="339" w:name="pg3023_22658"/>
    </w:p>
    <w:p>
      <w:pPr>
        <w:pStyle w:val="Heading5"/>
        <w:numPr>
          <w:ilvl w:val="4"/>
          <w:numId w:val="1"/>
        </w:numPr>
        <w:rPr/>
      </w:pPr>
      <w:bookmarkStart w:id="340" w:name="__RefHeading___Toc656871_2749589250"/>
      <w:bookmarkStart w:id="341" w:name="_Toc122"/>
      <w:bookmarkEnd w:id="339"/>
      <w:bookmarkEnd w:id="340"/>
      <w:r>
        <w:rPr>
          <w:rtl w:val="true"/>
        </w:rPr>
        <w:t>الثّالثة</w:t>
      </w:r>
      <w:r>
        <w:rPr>
          <w:rtl w:val="true"/>
        </w:rPr>
        <w:t xml:space="preserve">: </w:t>
      </w:r>
      <w:r>
        <w:rPr>
          <w:rtl w:val="true"/>
        </w:rPr>
        <w:t>قبول شهادة الزّوج اذا کان احد شهود الزّنا</w:t>
      </w:r>
      <w:bookmarkEnd w:id="341"/>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الزّوج احد شهود الزّنا فالظّاهر القبول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یسقط الرّجم، و قد عرفت الکلام فی الاخیر و ان الحقّ عدم الاشتراط و لو علی فرض وجوب الحضور و البدئة، کما تقدّم الکلام فی وجوب البدئة علی الشّهود فی الفرض المزبور فی المسئلة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یدلّ علی وجوب الحضور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یمکن المناقشة فیه بأنّه انّما یدلّ من باب المقدّمیّة عقلاً و هو غیر الوجوب الشّرعیّ مع امکان وجوب البدئة علی تقدیر الحضور لا مطلقا ولعلّة لذا حکی فی الشّرایع العدم عن الشّیخ و ان اختار هو و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سرّهما الوجوب و هو احوط لو لم یکن قویّاً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الزّوج احد شهود الزّنا علی زوجته ففیه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القبول عن الاکثر استناداً الی اطلاق غیر واحد من الأیات المبارکات و الرّوایات الدّالة علی ثبوت الزّنا بشهادة الاربعة الشّاملة للزّوج و الی خصوص مارواه</w:t>
      </w:r>
      <w:r>
        <w:rPr>
          <w:rStyle w:val="FootnoteAnchor"/>
          <w:rtl w:val="true"/>
        </w:rPr>
        <w:footnoteReference w:id="996"/>
      </w:r>
      <w:r>
        <w:rPr>
          <w:rFonts w:ascii="IRNazanin" w:hAnsi="IRNazanin" w:eastAsia="IRNazanin"/>
          <w:color w:val="111111"/>
          <w:sz w:val="28"/>
          <w:sz w:val="28"/>
          <w:szCs w:val="28"/>
          <w:rtl w:val="true"/>
          <w:lang w:bidi="fa-IR"/>
        </w:rPr>
        <w:t xml:space="preserve">ابراهیم ابن نعیم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سالته عن اربعة شهدوا علی امرأة بالزّنا احدهم زوجها؟ قال تجوز شهادتهم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جماعة عدمه و یشهد لم روایة</w:t>
      </w:r>
      <w:r>
        <w:rPr>
          <w:rStyle w:val="FootnoteAnchor"/>
          <w:rtl w:val="true"/>
        </w:rPr>
        <w:footnoteReference w:id="997"/>
      </w:r>
      <w:r>
        <w:rPr>
          <w:rFonts w:ascii="IRNazanin" w:hAnsi="IRNazanin" w:eastAsia="IRNazanin"/>
          <w:color w:val="111111"/>
          <w:sz w:val="28"/>
          <w:sz w:val="28"/>
          <w:szCs w:val="28"/>
          <w:rtl w:val="true"/>
          <w:lang w:bidi="fa-IR"/>
        </w:rPr>
        <w:t xml:space="preserve">زرارة عن احدهما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اربعة شهدوا علی امرأة بالزّنا احدهم زوجها؟ قال یُلاعِن الزّوج و یجلد الآخرون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صحیحة</w:t>
      </w:r>
      <w:r>
        <w:rPr>
          <w:rStyle w:val="FootnoteAnchor"/>
          <w:rtl w:val="true"/>
        </w:rPr>
        <w:footnoteReference w:id="998"/>
      </w:r>
      <w:r>
        <w:rPr>
          <w:rFonts w:ascii="IRNazanin" w:hAnsi="IRNazanin" w:eastAsia="IRNazanin"/>
          <w:color w:val="111111"/>
          <w:sz w:val="28"/>
          <w:sz w:val="28"/>
          <w:szCs w:val="28"/>
          <w:rtl w:val="true"/>
          <w:lang w:bidi="fa-IR"/>
        </w:rPr>
        <w:t xml:space="preserve">مسمع ابی سیّار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اربعة شهدوا علی امرأة بالفجور احدهم زوجها؟ قال یجلدون الثّلاثة و یلاعنها زوجها و یفرّق بینهما و لا تحلّ له ابداً</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الجمع بین الطّائفتین بحمل الثّانیة علی اختلال بعض الشّرایط لا شاهد له کالجمع بین ما اذا سبق الزّوج بالقذف، فلا یعدّ من الاربعة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اذا لم یسبق فیکون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احدهم کما فی القواعد و الأیضاح و نسبه الی ابنی حمزة و ادریس و زاد فی کشف اللّثام الجامع اذ الرّوایتان متعارضتان بحیث انّ حمل الثّانیة علی فرض اختلال الشّرایط خلاف الظّاهر، کما لا مجال لما عن ابن الجنید من التّفصیل بین کون الزّوجة غیر مدخول بها فتصحّ الشّهادة و وجب الحدّ و ان کان قد دخل بها بطلت الشّهادة و کان علیه اللّعان و علی الثّلاثة الشّهود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هو جمع بلا شاهد و نظیره ما اختاره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التّفصیل علی ما فی الجواهر بین ما اذا نفی الزّوج ولدها فیجلد الثّلاثة و لا عنها زوجها و فرّق بینهما و لا تحلّ له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ما اذا لم ینفة فتقبل شهادته معهم و ذلک لما اختاره من عدم تحقّق اللّعان الاّ بنفی الولد اذ هو علی ضعفهه فی نفسه لا ارتباط له بمضمون الرّوایتین و لا اشعار له فی الطّائفة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فی الأیضاح نسب الیه عدم السّماع مطلقا بل یحدّ الثّلاثة و یُلاعنها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اختاره ابو الصّلاح و به قال ابن البّراج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لأنّ زوجها فی حکم الخصم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حینئذ فعلی فرض اعتبار کلّ واحدة من الرّوایتین فی نفسها امّا ان یکون لا حد ایهما مرجّح فیؤخذ بذات المرجّح و الاّ فمقتضی القاعدة هو التّساقط و النّتیجة عدم ثبوت الزّنا علی المرأة فلا تحدّ کما لا یحدّ الشّهود و فی الجواهر عن المسالک ضعف روایة زرارة، و ان اعترف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 عمل بها جماعة لکنّه لم یَرَ انجبار ضعفها بذلک و جعلها مخالفة للعمومات قاصرة لمعارضة الأولی من وجوه</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المبانی تعجّب منهما حیث غفلا عن صحیحة</w:t>
      </w:r>
      <w:r>
        <w:rPr>
          <w:rStyle w:val="FootnoteAnchor"/>
          <w:rtl w:val="true"/>
        </w:rPr>
        <w:footnoteReference w:id="999"/>
      </w:r>
      <w:r>
        <w:rPr>
          <w:rFonts w:ascii="IRNazanin" w:hAnsi="IRNazanin" w:eastAsia="IRNazanin"/>
          <w:color w:val="111111"/>
          <w:sz w:val="28"/>
          <w:sz w:val="28"/>
          <w:szCs w:val="28"/>
          <w:rtl w:val="true"/>
          <w:lang w:bidi="fa-IR"/>
        </w:rPr>
        <w:t>مسمع و تخیّلا انحصار الدّلیل علی قبول شهادة الزّوج بروایة زرارة الضّعیفة و ردّ روایة</w:t>
      </w:r>
      <w:r>
        <w:rPr>
          <w:rStyle w:val="FootnoteAnchor"/>
          <w:rtl w:val="true"/>
        </w:rPr>
        <w:footnoteReference w:id="1000"/>
      </w:r>
      <w:r>
        <w:rPr>
          <w:rFonts w:ascii="IRNazanin" w:hAnsi="IRNazanin" w:eastAsia="IRNazanin"/>
          <w:color w:val="111111"/>
          <w:sz w:val="28"/>
          <w:sz w:val="28"/>
          <w:szCs w:val="28"/>
          <w:rtl w:val="true"/>
          <w:lang w:bidi="fa-IR"/>
        </w:rPr>
        <w:t xml:space="preserve">ابراهیم بن نعیم بوجود عباد بن کثیر فی سندها و لم یرد فیه توثیق و لا مدح و حیث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جبر الضّعف بالاستناد و العمل فاستظهر عدم ثبوت الزّنا بشهادة اربعة احدهم زوجها اعتماداً علی اطلاق الآیة المبارکة فی رمی الزّوج زوجته بالزّنا و انّه لابدّ من ان یأتی بأربعة شهداء علی ما یظهر من الآیة السّابقة، و الاّ فلابدّ من الملاعنة و دلالة صحیحة 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انّ مراده بالآیة ما سنذکرها فی نهایة المسئلة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مسمع</w:t>
      </w:r>
      <w:r>
        <w:rPr>
          <w:rStyle w:val="FootnoteAnchor"/>
          <w:rtl w:val="true"/>
        </w:rPr>
        <w:footnoteReference w:id="1001"/>
      </w:r>
      <w:r>
        <w:rPr>
          <w:rFonts w:ascii="IRNazanin" w:hAnsi="IRNazanin" w:eastAsia="IRNazanin"/>
          <w:color w:val="111111"/>
          <w:sz w:val="28"/>
          <w:sz w:val="28"/>
          <w:szCs w:val="28"/>
          <w:rtl w:val="true"/>
          <w:lang w:bidi="fa-IR"/>
        </w:rPr>
        <w:t xml:space="preserve">الّتی اعتمد علیها صاحب المبانی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لامجال للحکم بصحّتها اذ ذکرها فی الوسائل</w:t>
      </w:r>
      <w:r>
        <w:rPr>
          <w:rStyle w:val="FootnoteAnchor"/>
          <w:rtl w:val="true"/>
        </w:rPr>
        <w:footnoteReference w:id="1002"/>
      </w:r>
      <w:r>
        <w:rPr>
          <w:rFonts w:ascii="IRNazanin" w:hAnsi="IRNazanin" w:eastAsia="IRNazanin"/>
          <w:color w:val="111111"/>
          <w:sz w:val="28"/>
          <w:sz w:val="28"/>
          <w:szCs w:val="28"/>
          <w:rtl w:val="true"/>
          <w:lang w:bidi="fa-IR"/>
        </w:rPr>
        <w:t xml:space="preserve">عن الشّیخ باسناده عن الحسین بن سعید عن ابن محبوب عن ابراهیم بن نعیم عن ابی سیّار مسمع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ثاقة ابراهیم بن نعیم و هو واقع فی سند روایة الأکثر المجیزین لشهادة الزّوج و لم یتوقّف فیها لأجله و لعلّه یراه ابالصّباح الکنانی الثّقة المعروف و ان کان ینافیه عنوان الازدی و انّه روی عنه عباد 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التی هی مستند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الظّاهر انّ الرّاوی عن مسمع ابی سیّار و الواسطة بینه و بین ابن محبوب هو نعیم بن ابراهیم کما فی الفقیه</w:t>
      </w:r>
      <w:r>
        <w:rPr>
          <w:rStyle w:val="FootnoteAnchor"/>
          <w:rtl w:val="true"/>
        </w:rPr>
        <w:footnoteReference w:id="1003"/>
      </w:r>
      <w:r>
        <w:rPr>
          <w:rFonts w:ascii="IRNazanin" w:hAnsi="IRNazanin" w:eastAsia="IRNazanin"/>
          <w:color w:val="111111"/>
          <w:sz w:val="28"/>
          <w:sz w:val="28"/>
          <w:szCs w:val="28"/>
          <w:rtl w:val="true"/>
          <w:lang w:bidi="fa-IR"/>
        </w:rPr>
        <w:t>و الوافی</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تفصیل</w:t>
      </w:r>
      <w:r>
        <w:rPr>
          <w:rStyle w:val="FootnoteAnchor"/>
          <w:rtl w:val="true"/>
        </w:rPr>
        <w:footnoteReference w:id="1005"/>
      </w:r>
      <w:r>
        <w:rPr>
          <w:rFonts w:ascii="IRNazanin" w:hAnsi="IRNazanin" w:eastAsia="IRNazanin"/>
          <w:color w:val="111111"/>
          <w:sz w:val="28"/>
          <w:sz w:val="28"/>
          <w:szCs w:val="28"/>
          <w:rtl w:val="true"/>
          <w:lang w:bidi="fa-IR"/>
        </w:rPr>
        <w:t>طبقات الرّواة الی ما یتعلّق بروایات ابن محبوب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عن نعیم بن ابراهیم الفقیه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  هو نفس هذه الرّوایة و لم یوثّق و لا نقل توثیقاً عن احدٍ من العلماء فی حقّ نعیم بن ابراهیم لا مطلقا و لا الأزدی الّذی رَآه متّحداً مع المطلق</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عنون نعیم بن قابوس و نعطم القابوسیّ و ذکر عدّه من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خاصّة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ثقاته و ممّن روی النصّ من ابی الحسن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ابنه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 الی الرّوایة عن الکلینیّ و انّه رواها الصّدوق بسنده الصّحیح عنه بعنوان نعیم بن قابوس کما انّ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ثّق نعیم القابوسیّ و احتمل ان یکون هو فی سند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لکن الأحتمال لا یکفی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اشار الی حکم الصّدوق بصحّة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صحّحها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اکثرهم عملوا بها و انت تری انّ ذلک لا یُفیدنا شیئاً، فلا موجب للحکم علی الرّوایة بالصّحة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فلا اعتبار لأیّة من الرّوایتین فی حدّ نفسها کی تصل نوبة المعارضة فنبقی و العمومات و الأطلاقات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 اطلاق الآیات المبارکات قبول شهادة الزّوج علی زنا زوجته، قال الله تعالی</w:t>
      </w:r>
      <w:r>
        <w:rPr>
          <w:rStyle w:val="FootnoteAnchor"/>
          <w:rtl w:val="true"/>
        </w:rPr>
        <w:footnoteReference w:id="10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جاءوا علیه باربعة شهداء فاذلم یأتوا باشّهداء فأولئک عندالله هم الکاذبون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تعالی</w:t>
      </w:r>
      <w:r>
        <w:rPr>
          <w:rStyle w:val="FootnoteAnchor"/>
          <w:rtl w:val="true"/>
        </w:rPr>
        <w:footnoteReference w:id="10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اللاّئی یأتین الفاحشة من نسائکم فاستشهدوا علیهنّ اربعة منکم فان شهدوا فأمسکو هنّ فی البیوت حتّی یتوفّیهنّ الموت او یجعل الله لهنّ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فرض صحّة دعوی الأنصراف الی غیر الزّوج فیکفینا اطلاق ماورد فی السّنّة و حینئذ فالحقّ مع الأکثر القابلین لشهادة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صرّح العلاّمة فی القواعد و مرّ علیه فی الأیضاح و کشف اللّثام ساکتین انّ ذلک فیما اذا لم یسبق الزّوج بالقذف و ذکر فی المبانی انّ محلّ الخلاف انّما هو فیما اذا شهد الشّهود الأربعة بالزّنا معاً و کان احدهم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اذا کان المدّعی للزّنا اوّلاً هو الزّوج فالظّاهر انّه لاخلف فی لزوم اتیانه باربعة شهداء کما هو الحال فی قذف غیر زوجته</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 و یدلّ علیه قوله تعالی</w:t>
      </w:r>
      <w:r>
        <w:rPr>
          <w:rStyle w:val="FootnoteAnchor"/>
          <w:rtl w:val="true"/>
        </w:rPr>
        <w:footnoteReference w:id="10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یرمون المحصنات ثمّ لم یأتوا باربعة</w:t>
      </w:r>
      <w:bookmarkStart w:id="342" w:name="pg3023_22662"/>
    </w:p>
    <w:p>
      <w:pPr>
        <w:pStyle w:val="Heading5"/>
        <w:numPr>
          <w:ilvl w:val="4"/>
          <w:numId w:val="1"/>
        </w:numPr>
        <w:rPr/>
      </w:pPr>
      <w:bookmarkStart w:id="343" w:name="__RefHeading___Toc656873_2749589250"/>
      <w:bookmarkStart w:id="344" w:name="_Toc123"/>
      <w:bookmarkEnd w:id="342"/>
      <w:bookmarkEnd w:id="343"/>
      <w:r>
        <w:rPr>
          <w:rtl w:val="true"/>
        </w:rPr>
        <w:t>الرّابعة</w:t>
      </w:r>
      <w:r>
        <w:rPr>
          <w:rtl w:val="true"/>
        </w:rPr>
        <w:t xml:space="preserve">: </w:t>
      </w:r>
      <w:r>
        <w:rPr>
          <w:rtl w:val="true"/>
        </w:rPr>
        <w:t>لو ردّ شهادة بعض الشّهود بأمر ظاهر او کلّهم حدّ الجمیع</w:t>
      </w:r>
      <w:bookmarkEnd w:id="344"/>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ردّ بعض الشّهود او کلّهم حدّ الجمیع ان کان بأمر ظاهر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غیره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یبعد عدم الحدّ علی غیر المردود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شهداء فاجلدوهم ثمانین جلدة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علّله به فی الایضاح من صیرورته مدّعیاً و لانّه قد وجد سبب فسقه و الحدّ علیه فلا یسقط بشهادته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من خفاء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ردّ شهادة الشّهود کلاً او بعضاً فان کان الردّ بأمر ظاهر لا یخفی علی احد کالعمی و الفسق الظاهر حدّ الجمیع کما فی الخلاف</w:t>
      </w:r>
      <w:r>
        <w:rPr>
          <w:rStyle w:val="FootnoteAnchor"/>
          <w:rtl w:val="true"/>
        </w:rPr>
        <w:footnoteReference w:id="1009"/>
      </w:r>
      <w:r>
        <w:rPr>
          <w:rFonts w:ascii="IRNazanin" w:hAnsi="IRNazanin" w:eastAsia="IRNazanin"/>
          <w:color w:val="111111"/>
          <w:sz w:val="28"/>
          <w:sz w:val="28"/>
          <w:szCs w:val="28"/>
          <w:rtl w:val="true"/>
          <w:lang w:bidi="fa-IR"/>
        </w:rPr>
        <w:t>والمبسوط</w:t>
      </w:r>
      <w:r>
        <w:rPr>
          <w:rStyle w:val="FootnoteAnchor"/>
          <w:rtl w:val="true"/>
        </w:rPr>
        <w:footnoteReference w:id="1010"/>
      </w:r>
      <w:r>
        <w:rPr>
          <w:rFonts w:ascii="Amiri" w:hAnsi="Amiri" w:eastAsia="Amiri" w:cs="Amiri"/>
          <w:color w:val="111111"/>
          <w:sz w:val="28"/>
          <w:sz w:val="28"/>
          <w:szCs w:val="28"/>
          <w:rtl w:val="true"/>
          <w:lang w:bidi="ar-SA"/>
        </w:rPr>
        <w:t>و السّرائر</w:t>
      </w:r>
      <w:r>
        <w:rPr>
          <w:rStyle w:val="FootnoteAnchor"/>
          <w:rtl w:val="true"/>
        </w:rPr>
        <w:footnoteReference w:id="1011"/>
      </w:r>
      <w:r>
        <w:rPr>
          <w:rFonts w:ascii="IRNazanin" w:hAnsi="IRNazanin" w:eastAsia="IRNazanin"/>
          <w:color w:val="111111"/>
          <w:sz w:val="28"/>
          <w:sz w:val="28"/>
          <w:szCs w:val="28"/>
          <w:rtl w:val="true"/>
          <w:lang w:bidi="fa-IR"/>
        </w:rPr>
        <w:t>و القواعد و محکیّ الجامع و التّحریر وان ردّت بامر خفّی لا یقف علیه الاّ آحاد الناس فیقام علی المردود الحدّ دون الباقین</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الخلاف اذا شهد الربعة علی رجل بالزّنا فردّت شهادة واحد منهم فان ردّت بامر ظاهر لا یخفی علی احد فانّه یجب علی الأربعة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القاذف و ان رُدّت بامر خفی لا یقف علیه الاّ آحادهم فانّه یقام علی المردود الشّهادة الحدّ و الثّلاثة لا یقام علیهم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الشّافعی ان ردّت شهادته بامر ظاهر فعلی قولین فی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یقام علیهم الحدّ و الثّانی لا یقام علیهم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ردّت شهادته بامر خفیّ فالمردود الشّهادة لا حدّ علیه و هو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الثّلاثة فالمذهب انّه لا حدّ علیهم و من اصحابه من قال علی قولین</w:t>
      </w:r>
      <w:r>
        <w:rPr>
          <w:rFonts w:eastAsia="IRNazanin" w:cs="IRNazanin"/>
          <w:color w:val="111111"/>
          <w:sz w:val="28"/>
          <w:szCs w:val="28"/>
          <w:rtl w:val="true"/>
          <w:lang w:bidi="fa-IR"/>
        </w:rPr>
        <w:t>.</w:t>
      </w:r>
      <w:r>
        <w:rPr>
          <w:rStyle w:val="FootnoteAnchor"/>
          <w:rtl w:val="true"/>
        </w:rPr>
        <w:footnoteReference w:id="1012"/>
      </w:r>
      <w:r>
        <w:rPr>
          <w:rFonts w:ascii="IRNazanin" w:hAnsi="IRNazanin" w:eastAsia="IRNazanin"/>
          <w:color w:val="111111"/>
          <w:sz w:val="28"/>
          <w:sz w:val="28"/>
          <w:szCs w:val="28"/>
          <w:rtl w:val="true"/>
          <w:lang w:bidi="fa-IR"/>
        </w:rPr>
        <w:t>ثمّ اخذ فی الإستدلال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باصل البرائة و عدم الدّلیل علی حدّ هؤلاء و انّهم غیر مفرطین فی اقامة الشّهادة و انّ احداً لا یقف علی بواطن النّاس و اذا کان الرّدّ بأمر ظاهر فالتفریط منهم فلهذا حدّوا و استدلّ بالآیة السابقة</w:t>
      </w:r>
      <w:r>
        <w:rPr>
          <w:rStyle w:val="FootnoteAnchor"/>
          <w:rtl w:val="true"/>
        </w:rPr>
        <w:footnoteReference w:id="101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یرمون المحصنات الی قوله تعالی فاجلدوهم ثمانین جلدة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هذا ما أتی باربعة شهداء لأنّ من کان ظاهره ما یوجب الرّدّ لا یکون شاهداً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المبسوط</w:t>
      </w:r>
      <w:r>
        <w:rPr>
          <w:rStyle w:val="FootnoteAnchor"/>
          <w:rtl w:val="true"/>
        </w:rPr>
        <w:footnoteReference w:id="1014"/>
      </w:r>
      <w:r>
        <w:rPr>
          <w:rFonts w:ascii="IRNazanin" w:hAnsi="IRNazanin" w:eastAsia="IRNazanin"/>
          <w:color w:val="111111"/>
          <w:sz w:val="28"/>
          <w:sz w:val="28"/>
          <w:szCs w:val="28"/>
          <w:rtl w:val="true"/>
          <w:lang w:bidi="fa-IR"/>
        </w:rPr>
        <w:t xml:space="preserve"> جعل  الأقوی عدم الحدّ علی المردود و الثّلاثة الآخرین و استدلّ بما استدلّ به فی الخلاف لنفیه عن الثّلاثة و فی محکیّ المختلف استدلّ علی مختار المبسوط بانّه قد لا یعلم بردّ شهادته فکان کالثّلاثة واجاب بالفرق  بعلمه انّه علی صفة تردّ الشّهادة مع العلم بها بخلاف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یومی الی اختیار ما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 فی الجواهر لثبوت الحدّ فی فرض الرّدّ بامر ظاهر بثبوت قذفهم و انتفاء ما یدرء عنهم حدّه و هو ثبوت المقذوف به مع تفریط العدل منهم لعلمه بحال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w:t>
      </w:r>
      <w:r>
        <w:rPr>
          <w:rStyle w:val="FootnoteAnchor"/>
          <w:rtl w:val="true"/>
        </w:rPr>
        <w:footnoteReference w:id="1015"/>
      </w:r>
      <w:r>
        <w:rPr>
          <w:rFonts w:ascii="IRNazanin" w:hAnsi="IRNazanin" w:eastAsia="IRNazanin"/>
          <w:color w:val="111111"/>
          <w:sz w:val="28"/>
          <w:sz w:val="28"/>
          <w:szCs w:val="28"/>
          <w:rtl w:val="true"/>
          <w:lang w:bidi="fa-IR"/>
        </w:rPr>
        <w:t>القواعد و الأیضاح ثبوت الحدّ علی الشّهود لو کملوا اربعة غیر مرضییّن کالفسّاق و لو کانوا مستورین و لم یثبت عدالتهم و لا فسقهم فلا حدّ علیهم و لا یثبت الزّنا و جعل تفصیل المقام المتقدّم محتملاً و استصّح الأیضاح مانقله من ثبوت الحدّ علی الباقین مطلقاً بردّ شهادة البعض من غیر تفصیل و ربما یظهر من الشّرایع المیل الیه</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الجواهر و التّفریط و عدمه لا مدخلیّة له بعد تناول اطلاق الأدلّة و وافق القواعد فیما لم یثبت عدالتهم و لا فسقهم الی ظهور الحال فامّا ان یحدّهم او المشهود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و استضعف خبر ابی بصیر</w:t>
      </w:r>
      <w:r>
        <w:rPr>
          <w:rStyle w:val="FootnoteAnchor"/>
          <w:rtl w:val="true"/>
        </w:rPr>
        <w:footnoteReference w:id="1016"/>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اربعة شهدوا علی رجل بالزّنا فلم یعدلوا؛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یضربون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مادلّ علی عدم نظرة ساعة فی الحدود کما فی معتبرة السّکونیّ</w:t>
      </w:r>
      <w:r>
        <w:rPr>
          <w:rStyle w:val="FootnoteAnchor"/>
          <w:rtl w:val="true"/>
        </w:rPr>
        <w:footnoteReference w:id="1017"/>
      </w:r>
      <w:r>
        <w:rPr>
          <w:rFonts w:ascii="IRNazanin" w:hAnsi="IRNazanin" w:eastAsia="IRNazanin"/>
          <w:color w:val="111111"/>
          <w:sz w:val="28"/>
          <w:sz w:val="28"/>
          <w:szCs w:val="28"/>
          <w:rtl w:val="true"/>
          <w:lang w:bidi="fa-IR"/>
        </w:rPr>
        <w:t>و امره</w:t>
      </w:r>
      <w:r>
        <w:rPr>
          <w:rStyle w:val="FootnoteAnchor"/>
          <w:rtl w:val="true"/>
        </w:rPr>
        <w:footnoteReference w:id="10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 الثّلاثة و ماورد من قول</w:t>
      </w:r>
      <w:r>
        <w:rPr>
          <w:rStyle w:val="FootnoteAnchor"/>
          <w:rtl w:val="true"/>
        </w:rPr>
        <w:footnoteReference w:id="1019"/>
      </w:r>
      <w:r>
        <w:rPr>
          <w:rFonts w:ascii="IRNazanin" w:hAnsi="IRNazanin" w:eastAsia="IRNazanin"/>
          <w:color w:val="111111"/>
          <w:sz w:val="28"/>
          <w:sz w:val="28"/>
          <w:szCs w:val="28"/>
          <w:rtl w:val="true"/>
          <w:lang w:bidi="fa-IR"/>
        </w:rPr>
        <w:t xml:space="preserve">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صحیحة ابن قیس قال لا اکون اوّل الشّهود الأربعة فی الزّنا اخشی ان ینکل بعضهم فاجلد؛ تحقّق القذف قبل تمام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مجیء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قبول اشّهادة لو لا ذلک ففیما اذا لا تقبل لو لم یکن اولی فلا اقّل من مساواته له بالفحوی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هذا قیاساً ممنوعاً، و علیه فیقرب ماذکروه من التّفصیل بین الرّدّ بامر ظاهر، و الرّدّ بامر خفیّ، و لیس ثبوت حدّ القذف دائراً مدار التفریط، بل لا یبعد مختار الایضاح و دلّ علیه خبر ابی بصیر</w:t>
      </w:r>
      <w:r>
        <w:rPr>
          <w:rStyle w:val="FootnoteAnchor"/>
          <w:rtl w:val="true"/>
        </w:rPr>
        <w:footnoteReference w:id="1020"/>
      </w:r>
      <w:r>
        <w:rPr>
          <w:rFonts w:ascii="IRNazanin" w:hAnsi="IRNazanin" w:eastAsia="IRNazanin"/>
          <w:color w:val="111111"/>
          <w:sz w:val="28"/>
          <w:sz w:val="28"/>
          <w:szCs w:val="28"/>
          <w:rtl w:val="true"/>
          <w:lang w:bidi="fa-IR"/>
        </w:rPr>
        <w:t xml:space="preserve">و ضعفه لو کان فانّما هو بعلّی بن ابی حمزة و قد ذکرنا سابقاً ما یرشد الی قبوله روایته 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لیعلم انّ مدلول الخبر هو تفسیقهم کما یظهر بالتّدبّر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مورد الشکّ یوقف الحکم بحدّ الزّنا علی المشهود علیه او القذف علی الشّهود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فی النّفس ممّا ذکرنا شیء اذ لا وثوق و اطمینان بما حرّرنا فی وجه التّفصیل و الاطلاق و لم یرد الاّ الجلد فیما اذا لم یکمل العدد، نعم یمکن ان یقال بالتّفصیل فیما اذا یعلم بعض الأربعة بظهور فسق من شهد معه عند الحاکم و انّه لا یقبل شهادته فیحدّ و فی غیر هذه الصّورة لا دلیل علی حدّ الشّهود الاّ ان یدّعی</w:t>
      </w:r>
      <w:bookmarkStart w:id="345" w:name="pg3023_22665"/>
    </w:p>
    <w:p>
      <w:pPr>
        <w:pStyle w:val="Heading5"/>
        <w:numPr>
          <w:ilvl w:val="4"/>
          <w:numId w:val="1"/>
        </w:numPr>
        <w:rPr/>
      </w:pPr>
      <w:bookmarkStart w:id="346" w:name="__RefHeading___Toc656875_2749589250"/>
      <w:bookmarkStart w:id="347" w:name="_Toc124"/>
      <w:bookmarkEnd w:id="345"/>
      <w:bookmarkEnd w:id="346"/>
      <w:r>
        <w:rPr>
          <w:rtl w:val="true"/>
        </w:rPr>
        <w:t>الخامسة</w:t>
      </w:r>
      <w:r>
        <w:rPr>
          <w:rtl w:val="true"/>
        </w:rPr>
        <w:t xml:space="preserve">: </w:t>
      </w:r>
      <w:r>
        <w:rPr>
          <w:rtl w:val="true"/>
        </w:rPr>
        <w:t>اذا وجد مع زوجته رجلا یزنی بها مطاوعة</w:t>
      </w:r>
      <w:bookmarkEnd w:id="347"/>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وجد مع زوجته رجلاً یزنی بها مطاوعة، فعن جماعة انّ له قتلهما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ظهور الأیات المشار الیها فی اشتراط عدالة الشّهود فاذا لم یکونوا کلّهم او بعضهم کذلک فی الواقع فمقتضی قوله تعالی ثمّ لم یأتوا</w:t>
      </w:r>
      <w:r>
        <w:rPr>
          <w:rStyle w:val="FootnoteAnchor"/>
          <w:rtl w:val="true"/>
        </w:rPr>
        <w:footnoteReference w:id="1021"/>
      </w:r>
      <w:r>
        <w:rPr>
          <w:rFonts w:ascii="Amiri" w:hAnsi="Amiri" w:eastAsia="Amiri" w:cs="Amiri"/>
          <w:color w:val="111111"/>
          <w:sz w:val="28"/>
          <w:sz w:val="28"/>
          <w:szCs w:val="28"/>
          <w:rtl w:val="true"/>
          <w:lang w:bidi="ar-SA"/>
        </w:rPr>
        <w:t>باربعة شهداء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کذا آیة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جلدهم و هو لا یوافق ما ذکر من التّفصیل بل یوافق مضمون الرّوایة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اشرنا فی باب الشّهادات الی القَود علی من رجع من شهود الرّجم بعده اذا اقرّ بشهادته کذباً والی کونه محکوماً بحکم القتل خطأ و علیه الدّیة لو اعترف باشتباهه و ذکرنا حکم الرّجوع قبل الحکم بمقتضی شهادة الشّهود و بعده قبل اجرائه و بعده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وجد مع زوجته رجلاً یزنی بها و کانت مطاوعة فعن الشّیخ و جماعة انّ له قتلهما و عن بعضهم الأطلاق ای سواء کانا محصنین ام لا کان الزّوجان حرَّین او عَبدین او مختلَفین دَخَل بها ام لا، کان التّزویج بها دائماً او 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ادریس فی السّرائر</w:t>
      </w:r>
      <w:r>
        <w:rPr>
          <w:rStyle w:val="FootnoteAnchor"/>
          <w:rtl w:val="true"/>
        </w:rPr>
        <w:footnoteReference w:id="1022"/>
      </w:r>
      <w:r>
        <w:rPr>
          <w:rFonts w:ascii="IRNazanin" w:hAnsi="IRNazanin" w:eastAsia="IRNazanin"/>
          <w:color w:val="111111"/>
          <w:sz w:val="28"/>
          <w:sz w:val="28"/>
          <w:szCs w:val="28"/>
          <w:rtl w:val="true"/>
          <w:lang w:bidi="fa-IR"/>
        </w:rPr>
        <w:t>اذا وجد الرّجل مع امرأته رجلاً یفجر بها و هما محصنان کان له قتلهما و کذلک اذا وجده مع جاریته او غلامه و قد تعرّضنا لهذه المسئلة و ما یتعلق بها فی شرایط القصاص کما تعرّضنا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للمسئلة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هی انّه اذا افتّض بکراً حرّة باصبعه فی مباحث التّعزیرات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للمسئلة السّابعة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هی اذا تزوّج الأمة علی الحرّة المسلمة او تزوّج الذّمّیّة علی المسلمة فی</w:t>
      </w:r>
      <w:bookmarkStart w:id="348" w:name="pg3023_22666"/>
    </w:p>
    <w:p>
      <w:pPr>
        <w:pStyle w:val="Heading5"/>
        <w:numPr>
          <w:ilvl w:val="4"/>
          <w:numId w:val="1"/>
        </w:numPr>
        <w:rPr/>
      </w:pPr>
      <w:bookmarkStart w:id="349" w:name="__RefHeading___Toc656877_2749589250"/>
      <w:bookmarkStart w:id="350" w:name="_Toc125"/>
      <w:bookmarkEnd w:id="348"/>
      <w:bookmarkEnd w:id="349"/>
      <w:r>
        <w:rPr>
          <w:rtl w:val="true"/>
        </w:rPr>
        <w:t>السّادسة</w:t>
      </w:r>
      <w:r>
        <w:rPr>
          <w:rtl w:val="true"/>
        </w:rPr>
        <w:t xml:space="preserve">: </w:t>
      </w:r>
      <w:r>
        <w:rPr>
          <w:rtl w:val="true"/>
        </w:rPr>
        <w:t>اذا زنی فی مکان شریف او زمان کذلک عوقب زیادة عن الحدّ</w:t>
      </w:r>
      <w:bookmarkEnd w:id="350"/>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زنی فی مکان شریف او زمان کذلک عوقب زیادة عن الحدّ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ما یأتی بعد الکلام فی القیادة و تعرّضنا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للمسئلة الثّامنة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افطار الصّائم من التّعزیرات، و هی ما اذا زنا فی مکان شریف کالحرم او احد المشاهد المعظّمة او المساجد او زمان شریف کشهر رمضان لیلاً او نهاراً او الاعیاد، عوقب زیادة علی الحدّ و علّله فی السّرائر</w:t>
      </w:r>
      <w:r>
        <w:rPr>
          <w:rStyle w:val="FootnoteAnchor"/>
          <w:rtl w:val="true"/>
        </w:rPr>
        <w:footnoteReference w:id="1023"/>
      </w:r>
      <w:r>
        <w:rPr>
          <w:rFonts w:ascii="IRNazanin" w:hAnsi="IRNazanin" w:eastAsia="IRNazanin"/>
          <w:color w:val="111111"/>
          <w:sz w:val="28"/>
          <w:sz w:val="28"/>
          <w:szCs w:val="28"/>
          <w:rtl w:val="true"/>
          <w:lang w:bidi="fa-IR"/>
        </w:rPr>
        <w:t xml:space="preserve">فی نهار شهر رمضان بانتها که لحرمة الشّهر و فی حرم الله و حرم رسوله او احد الأئمة علیهم السّلام لانتها که حرمة حرم الله و اولیائه وقال فی لیالی الجمع او لیلة النّصف من شعبان او لیالی الأعیاد او ایّامها او یوم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رجب او لیلة او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ذی القعدة او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ربیع الأوّل او یوم الغدیر او لیلة او لیلة عاشوراء او یومه او یوم عرفة و غیر ذلک من الأوقات المبارکات فانّه تغلظ علیه العقوبة</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الشّرایع و کشف اللّثام بانتها که الحرمة و الأصل فیه ماورد فی ضرب</w:t>
      </w:r>
      <w:r>
        <w:rPr>
          <w:rStyle w:val="FootnoteAnchor"/>
          <w:rtl w:val="true"/>
        </w:rPr>
        <w:footnoteReference w:id="1024"/>
      </w:r>
      <w:r>
        <w:rPr>
          <w:rFonts w:ascii="IRNazanin" w:hAnsi="IRNazanin" w:eastAsia="IRNazanin"/>
          <w:color w:val="111111"/>
          <w:sz w:val="28"/>
          <w:sz w:val="28"/>
          <w:szCs w:val="28"/>
          <w:rtl w:val="true"/>
          <w:lang w:bidi="fa-IR"/>
        </w:rPr>
        <w:t xml:space="preserve">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النّجاشی الشّاعر عشرین سَوطاً زیادةً علی حدّ الشّرب ثمانین فی غده بعد ما حبسه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ضربتنی ثمانین فی شهر رمضان و یؤیّده ما فی 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10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الرّوایات</w:t>
      </w:r>
      <w:r>
        <w:rPr>
          <w:rStyle w:val="FootnoteAnchor"/>
          <w:rtl w:val="true"/>
        </w:rPr>
        <w:footnoteReference w:id="1026"/>
      </w:r>
      <w:r>
        <w:rPr>
          <w:rFonts w:ascii="IRNazanin" w:hAnsi="IRNazanin" w:eastAsia="IRNazanin"/>
          <w:color w:val="111111"/>
          <w:sz w:val="28"/>
          <w:sz w:val="28"/>
          <w:szCs w:val="28"/>
          <w:rtl w:val="true"/>
          <w:lang w:bidi="fa-IR"/>
        </w:rPr>
        <w:t xml:space="preserve">انّه ضرب رجلاً شرب خمراً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لحقّ شهر رمضان اضافة علی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اخذنا بهذه الرّوایات و قلنا بوجوب ذلک علی الحاکم او جوازه له کما لیس ببعید</w:t>
      </w:r>
      <w:r>
        <w:rPr>
          <w:rFonts w:eastAsia="IRNazanin" w:cs="IRNazanin"/>
          <w:color w:val="111111"/>
          <w:sz w:val="28"/>
          <w:szCs w:val="28"/>
          <w:rtl w:val="true"/>
          <w:lang w:bidi="fa-IR"/>
        </w:rPr>
        <w:t>.</w:t>
      </w:r>
      <w:bookmarkStart w:id="351" w:name="pg3023_22667"/>
    </w:p>
    <w:p>
      <w:pPr>
        <w:pStyle w:val="BookText"/>
        <w:rPr/>
      </w:pPr>
      <w:bookmarkEnd w:id="351"/>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القواعد انّه لو شهد اربعة علی رجل انّه زنی و شهد اربعة آخرون علی الشّهود  انّهم الّذین زنوا بها لم یجب الحدّ علیه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352" w:name="__RefHeading___Toc656879_2749589250"/>
      <w:bookmarkStart w:id="353" w:name="_Toc126"/>
      <w:bookmarkEnd w:id="352"/>
      <w:r>
        <w:rPr>
          <w:rtl w:val="true"/>
        </w:rPr>
        <w:t>لو اقرّ بحدّ و لم یبیّن</w:t>
      </w:r>
      <w:r>
        <w:rPr>
          <w:rtl w:val="true"/>
        </w:rPr>
        <w:t xml:space="preserve">: </w:t>
      </w:r>
      <w:r>
        <w:rPr>
          <w:rtl w:val="true"/>
        </w:rPr>
        <w:t>ضرب حتّی ینهی عن نفسه</w:t>
      </w:r>
      <w:bookmarkEnd w:id="353"/>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اقرّ بحدّ و لم یبیّن، ضرب حتّی ینهی عن نفسه فی المشهور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فیحتمل الأختلاف قلّة و کثرة باختلاف الأزمان و الأمکنة فی الحرمة و الهتک، فلیلة القدر افضل کیومها علی سایر لیالی و ایّام شهر رمضان و عید الأضحی و الفطر افضل و عید الغدیر عندنا معاشر الأمامیّة لعلّه افضل من الکّل، و کذلک عند رأس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و ازید حرمةً و احتراماً من عند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اذا کان المرتکب للزّنا او غیره من المحرّمات جاهلاً بحرمة الزّمان و المکان موضوعاً او حکماً فلا موجب للتّعزیر اللهُمّ الاّ علی تقصیره فی التّعلم لو کان مقصّراً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المسائل الّتی بحثوا عنها فی المقام و هی المسئلة التّاسعة جواز او وجوب اقامة الفقیه الحُدود فی زمان الغیبة، و انّه یقضی بعلمه و الحوالة علی کتاب القضاء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العاشرة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شهد اربعة علی رجل انّه زنی و شهد اربعة اخری علی الشّهود انّهم الّذی زنوا بها لم یجب الحدّ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کشف الّلثام لجرحهم الشّهود علیه وحدّوا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الأولّون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للزّنا و القذف ـ اقول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یفترق عن الشّهادة علی القتل، اذ لو شهد اثنان علی رجلین بالقتل فشهد المشهود علیهما علی الشّاهدین به لم یقبل قولها، و ذکرنا ما یتعلّق بهذه المسئلة فی باب الجنایات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ینبغی ذکر مسئلة فاتنا ذکرها قبل المقام و هی لو اقرّ علی نفسه بحدّ و لم یبیّن فلا یکلّف البیان و ضرب حتّی ینهی عن نفسه بلا خلاف فی الأوّل کما عن الرّیاض، و استشکله فی الجواهر بعد الأستدلال له بالأصل و درء الحدّ باشّبهة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و ما رواه انس بن مالک</w:t>
      </w:r>
      <w:r>
        <w:rPr>
          <w:rStyle w:val="FootnoteAnchor"/>
          <w:rtl w:val="true"/>
        </w:rPr>
        <w:footnoteReference w:id="102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فجائه رجل فقال یا رسول الله انّی اصبت حدّاً فاقمه علیّ و لم یسمّه فحضرت الصّلاة  فصلّی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فقام الیه الرجلّ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انیّ اصبت حدّاً فاقم فیّ حدّ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الیس قد صلّیت معنا؟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فانّ الله قد غفر لک ذنبک، او قال حدّک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1028"/>
      </w:r>
      <w:r>
        <w:rPr>
          <w:rFonts w:ascii="IRNazanin" w:hAnsi="IRNazanin" w:eastAsia="IRNazanin"/>
          <w:color w:val="111111"/>
          <w:sz w:val="28"/>
          <w:sz w:val="28"/>
          <w:szCs w:val="28"/>
          <w:rtl w:val="true"/>
          <w:lang w:bidi="fa-IR"/>
        </w:rPr>
        <w:t>فی مَن اقرّ عنده بالزّنا اربعاً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اقبح بالرّجل منکم ان یأتی بعض هذه الفواحش فیفضح نفسه علی رؤس الملأ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تاب فی بیته، فوالله لتوبته فی ما بینه و بین الله افضل من اقامتی علیه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دلّ علی عدم جواز تعطیل حدّ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الفرض اقراره بحقّ 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ناقش فی ماذکر و جعل ما وقع 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لبیان عدم صدور ما یقتضی ثبوته لا فی ما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یدلّ علی الثّانی صحیحة</w:t>
      </w:r>
      <w:r>
        <w:rPr>
          <w:rStyle w:val="FootnoteAnchor"/>
          <w:rtl w:val="true"/>
        </w:rPr>
        <w:footnoteReference w:id="1029"/>
      </w:r>
      <w:r>
        <w:rPr>
          <w:rFonts w:ascii="IRNazanin" w:hAnsi="IRNazanin" w:eastAsia="IRNazanin"/>
          <w:color w:val="111111"/>
          <w:sz w:val="28"/>
          <w:sz w:val="28"/>
          <w:szCs w:val="28"/>
          <w:rtl w:val="true"/>
          <w:lang w:bidi="fa-IR"/>
        </w:rPr>
        <w:t xml:space="preserve">محمّد بن قیس عن ابی جعفر الباقر عن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اقرّ علی نفسه بحدّ و لم یسمّ ایّ حدّ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ان یجلد حتّی یکون هو الّذی ینهی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رواها الکلینیّ بطریق فیه سهل، و عمل بهذه الرّوایة غیر واحد کما عن الشّیخ و القاضی و المحقّق فی النّکت، بل المشهور و استوجهه فی الجواهر و یؤیّدها مرسلة المقنع</w:t>
      </w:r>
      <w:r>
        <w:rPr>
          <w:rStyle w:val="FootnoteAnchor"/>
          <w:rtl w:val="true"/>
        </w:rPr>
        <w:footnoteReference w:id="1030"/>
      </w:r>
      <w:r>
        <w:rPr>
          <w:rFonts w:ascii="IRNazanin" w:hAnsi="IRNazanin" w:eastAsia="IRNazanin"/>
          <w:color w:val="111111"/>
          <w:sz w:val="28"/>
          <w:sz w:val="28"/>
          <w:szCs w:val="28"/>
          <w:rtl w:val="true"/>
          <w:lang w:bidi="fa-IR"/>
        </w:rPr>
        <w:t xml:space="preserve">قضی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اقرّ علی نفسه بحدّ و لم یُبیّن ایّ حدّ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یجلد حتّی یبلغ ثمانین فجلد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اکملت جلدک مأة ما ابتغیت علیه بیّنة غیر نفسک</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المناقشة فیها بضعف السّند مدفوعة باعتبار احد الطّریقین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صحّته لکون ابن قیس ثقة بل طریق سهل ایضاً لا یخلو عن اعتبار و لذا اشتهر انّ الامر فی سهل،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سهل کالمناقشة فی الدّلالة باجمال الحدّ الأطلاقه علی الرّجم و علی القتل باسّیف و الأحراق بالنار ورمی الجدار و غیرها و الجلد المختلف کمّاً و کیفاً بالنّسبة للجنایات المختلفة و قسم منه لایثبت موجبه الاّ بالأقرار اربعاً و قسم منه بالأقرار مرّتین، فکیف یکتفی ما هو ظاهر الصّحیحة من المرّة الواحدة، فلا یّتم اطلاق القول بجواز بلوغ المأة مع الأقرار دون الأربع و بلوغ الثّمانین بدون الأقرار مرّتین و اشتراط ذلک خروج عن مورد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طرحها فی محکی لک اذ ذلک اجتهاد فی قبال النّص، و فی السّرائر</w:t>
      </w:r>
      <w:r>
        <w:rPr>
          <w:rStyle w:val="FootnoteAnchor"/>
          <w:rtl w:val="true"/>
        </w:rPr>
        <w:footnoteReference w:id="1031"/>
      </w:r>
      <w:r>
        <w:rPr>
          <w:rFonts w:ascii="IRNazanin" w:hAnsi="IRNazanin" w:eastAsia="IRNazanin"/>
          <w:color w:val="111111"/>
          <w:sz w:val="28"/>
          <w:sz w:val="28"/>
          <w:szCs w:val="28"/>
          <w:rtl w:val="true"/>
          <w:lang w:bidi="fa-IR"/>
        </w:rPr>
        <w:t xml:space="preserve">ضرب اعلی الحدود و هی المأة الاّ ان ینهی هو عن نفسه من دونها و بعد تجاوز الحدّ الذی هو الثّمانون، ولم یقبل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قبل بلوغ الّثمانین الذی هو حدّ شارب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القواعد و اللّمعة ضرب حتّی ینهی عن نفسه او یبلغ المأة وزاد الثّانی و هذا انّما یصّح اذا تکرّر الأقرار اربعاً و الاّ یبلغ المأة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علیه فی الکشف فی مانزّل علیه اطلاق خبر ابن قیس و الأصحاب قوله لاثمانین مالم یقرّ مرّتین علی قول غیر ابن ادریس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ناقش فی الرّوضة بعدم تمامیّة فرض فی المسئلة مطلقاً فانّه ان حمل علی ما یشمل التّعزیز لم یتّجه الرّجوع الیه الاّ ان نخصّه بمقدار تعزیر مقدّر، و حینئذ یقبل بامرّة و لا یبلغ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القوّاد الّذی نوقش به تخصیص ابن ادریس اقلّ الحدّ بثمانین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اقرّ مرّتین لم یتجاوز الّثمانین و ان اقرّ اربعاً جاز الوصول الی المأة و امکن القول بالتّجاوز لّما اشار الیه من امکان کون زناه فی مکانٍ شریف او زمان کذلک ثمّ استشکل اخیراً فی اطلاق الحکم و حسَّن عدم بلوغ خمسة و سبعین فی طرف الزّیادة و الأقتصار علی ما یراه الحاکم فی ظرف النّقیصة</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استظهر صاحب الجواهر من النّص و الفتوی خلاف ما ارتضاه صاحب</w:t>
      </w:r>
      <w:bookmarkStart w:id="354" w:name="pg3023_22671"/>
    </w:p>
    <w:p>
      <w:pPr>
        <w:pStyle w:val="Heading2"/>
        <w:numPr>
          <w:ilvl w:val="1"/>
          <w:numId w:val="1"/>
        </w:numPr>
        <w:rPr/>
      </w:pPr>
      <w:bookmarkStart w:id="355" w:name="__RefHeading___Toc656881_2749589250"/>
      <w:bookmarkStart w:id="356" w:name="_Toc127"/>
      <w:bookmarkEnd w:id="354"/>
      <w:bookmarkEnd w:id="355"/>
      <w:r>
        <w:rPr>
          <w:rtl w:val="true"/>
        </w:rPr>
        <w:t>الکلام فی اللّواط</w:t>
      </w:r>
      <w:bookmarkEnd w:id="356"/>
    </w:p>
    <w:p>
      <w:pPr>
        <w:pStyle w:val="Heading3"/>
        <w:numPr>
          <w:ilvl w:val="2"/>
          <w:numId w:val="1"/>
        </w:numPr>
        <w:rPr/>
      </w:pPr>
      <w:bookmarkStart w:id="357" w:name="__RefHeading___Toc656883_2749589250"/>
      <w:bookmarkStart w:id="358" w:name="_Toc128"/>
      <w:bookmarkEnd w:id="357"/>
      <w:r>
        <w:rPr>
          <w:rtl w:val="true"/>
        </w:rPr>
        <w:t>اشارة</w:t>
      </w:r>
      <w:bookmarkEnd w:id="358"/>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اللّواط هو وطیء الذّکران من الآدمیّ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الرّیاض من التّنزیل المشار الیه آنفاً جمعاً بین الأدلّة بعد مناقشته بعدم شاهد له و مستنداً فی ذلک بالفرق بین الأقرار بالزّنا و شرب الخمر مثلاً و بین الاقرار بأنّ علیه حدّاً فیعتبر الاربع فی الاوّل دون الثّانی الذیّ هو بمنزلة الاقرار بالاقرار اربعاً الّذی هو موجب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فلعلّه فی غیر المقام قد اقرّ بالزّنا اربعاً فثبت علیه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ظاهر الخبر المذکور لا یوافق هذا الحمل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فالأحسن امّا الأخذ باطلاقه حَمَلاً له علی ظاهره من الأقرار بالحدّ ای موجبه و تخصیص الأدلّة فی المقام باخبر الصّحیح المعمول به او تنزیله علی الحدّ الّذی یقتضیه الأقرار الواقع کما فی اللّمعة و الکشف مع رعایة شرائطه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الأخذ باطلاق الخبر فی جانب الأقلّ یوجب الأنتهاء عن جلده لو ضرب سیاطاً لم تبلغ العشرة مثلاً فاستکفّ و فی جانب الأکثر لازمه الأستمرار فی الضّرب لو صارت الی مأتین مثلاً فنهی، و الأوّل یقتضی تعمیم الحدّ للتّعزیر وارادته منه، و الثانّی حمل الحدّ علی جنسه الّذی یوافق المتعدّد من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 الأمرین یشکل الألتزام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الکلام فی حدّ اللّواط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وطیء الذّکران من الآدمیّ فی الدبّر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حرام بلا اشکال و لا خلاف ایقاباً او غیره بل فی الجواهر انّ حرمته من ضروریّ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 کونه کذلک اشکال اذ نسب الی الشّافعی او غیره 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ادّعی علی حرمته ضرورة المذهب فهی فی محلّها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تشدید امره فی الرّوایات مضافاً الی الأیات الواردة فی القرآن الکریم فی سور متعدّدة محاجّة لُوط علی نبیّنا و آله و علیه السّلام لقومه و تقبیح عملهم وانذارهم ما فیه تبصرة لمن تبصّر</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عقاب</w:t>
      </w:r>
      <w:r>
        <w:rPr>
          <w:rStyle w:val="FootnoteAnchor"/>
          <w:rtl w:val="true"/>
        </w:rPr>
        <w:footnoteReference w:id="1032"/>
      </w:r>
      <w:r>
        <w:rPr>
          <w:rFonts w:ascii="Amiri" w:hAnsi="Amiri" w:eastAsia="Amiri" w:cs="Amiri"/>
          <w:color w:val="111111"/>
          <w:sz w:val="28"/>
          <w:sz w:val="28"/>
          <w:szCs w:val="28"/>
          <w:rtl w:val="true"/>
          <w:lang w:bidi="ar-SA"/>
        </w:rPr>
        <w:t>الأعمال من نکح امرأةً حراماً فی دُبرها او رجلاً او غلاما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حشره الله یوم القیامة أنتنَ من الجیفة یتأذّی به النّاس حتّی یدخل جهنّم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w:t>
      </w:r>
      <w:r>
        <w:rPr>
          <w:rStyle w:val="FootnoteAnchor"/>
          <w:rtl w:val="true"/>
        </w:rPr>
        <w:footnoteReference w:id="1033"/>
      </w:r>
      <w:r>
        <w:rPr>
          <w:rFonts w:ascii="IRNazanin" w:hAnsi="IRNazanin" w:eastAsia="IRNazanin"/>
          <w:color w:val="111111"/>
          <w:sz w:val="28"/>
          <w:sz w:val="28"/>
          <w:szCs w:val="28"/>
          <w:rtl w:val="true"/>
          <w:lang w:bidi="fa-IR"/>
        </w:rPr>
        <w:t xml:space="preserve">ابوبکر الحضرمیّ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جامع غلاماً جاء یوم القیامة جُنباً لا ینقیه ماء الدّنیا و غضب الله علیه و لعنه و اعدّله جهنّم و سائت مصیرا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انّ الذّکر یرکب الذّکر فیهتَزّ العرش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w:t>
      </w:r>
      <w:r>
        <w:rPr>
          <w:rStyle w:val="FootnoteAnchor"/>
          <w:rtl w:val="true"/>
        </w:rPr>
        <w:footnoteReference w:id="1034"/>
      </w:r>
      <w:r>
        <w:rPr>
          <w:rFonts w:ascii="IRNazanin" w:hAnsi="IRNazanin" w:eastAsia="IRNazanin"/>
          <w:color w:val="111111"/>
          <w:sz w:val="28"/>
          <w:sz w:val="28"/>
          <w:szCs w:val="28"/>
          <w:rtl w:val="true"/>
          <w:lang w:bidi="fa-IR"/>
        </w:rPr>
        <w:t xml:space="preserve">مَرسلة یونس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الدُّبر اعظم من حرمة الفرج وانّ الله اهلک امّة لحرمة الدُّبُر و لم یهلک احداً لحرمة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وورد</w:t>
      </w:r>
      <w:r>
        <w:rPr>
          <w:rStyle w:val="FootnoteAnchor"/>
          <w:rtl w:val="true"/>
        </w:rPr>
        <w:footnoteReference w:id="1035"/>
      </w:r>
      <w:r>
        <w:rPr>
          <w:rFonts w:ascii="IRNazanin" w:hAnsi="IRNazanin" w:eastAsia="IRNazanin"/>
          <w:color w:val="111111"/>
          <w:sz w:val="28"/>
          <w:sz w:val="28"/>
          <w:szCs w:val="28"/>
          <w:rtl w:val="true"/>
          <w:lang w:bidi="fa-IR"/>
        </w:rPr>
        <w:t>عنهم علیهم السّلام لو کان ینبغی لاحد اَن یرجم مرّتین لرجم اللّوطیّ مرّتین</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الحضرمیّ</w:t>
      </w:r>
      <w:r>
        <w:rPr>
          <w:rStyle w:val="FootnoteAnchor"/>
          <w:rtl w:val="true"/>
        </w:rPr>
        <w:footnoteReference w:id="1036"/>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لعلّه من الحدیث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الرّجل لیؤتی فی حقبه فیحبسه الله علی جسر جهنّم حتّی یفرغ الله من حساب الخلائق ثمّ یؤمر به الی جهنّم فیعذّب بطبقاتها طبقة حتّی یرد الی اسفلها و لا یخرج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معتبرة</w:t>
      </w:r>
      <w:r>
        <w:rPr>
          <w:rStyle w:val="FootnoteAnchor"/>
          <w:rtl w:val="true"/>
        </w:rPr>
        <w:footnoteReference w:id="1037"/>
      </w:r>
      <w:r>
        <w:rPr>
          <w:rFonts w:ascii="IRNazanin" w:hAnsi="IRNazanin" w:eastAsia="IRNazanin"/>
          <w:color w:val="111111"/>
          <w:sz w:val="28"/>
          <w:sz w:val="28"/>
          <w:szCs w:val="28"/>
          <w:rtl w:val="true"/>
          <w:lang w:bidi="fa-IR"/>
        </w:rPr>
        <w:t xml:space="preserve">السّکونی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اللّواط مادون الدّبر و الدّبر هو الکفر و قریبُ منها روایة</w:t>
      </w:r>
      <w:r>
        <w:rPr>
          <w:rStyle w:val="FootnoteAnchor"/>
          <w:rtl w:val="true"/>
        </w:rPr>
        <w:footnoteReference w:id="1038"/>
      </w:r>
      <w:r>
        <w:rPr>
          <w:rFonts w:ascii="IRNazanin" w:hAnsi="IRNazanin" w:eastAsia="IRNazanin"/>
          <w:color w:val="111111"/>
          <w:sz w:val="28"/>
          <w:sz w:val="28"/>
          <w:szCs w:val="28"/>
          <w:rtl w:val="true"/>
          <w:lang w:bidi="fa-IR"/>
        </w:rPr>
        <w:t>الجعفریّات وفقه</w:t>
      </w:r>
      <w:r>
        <w:rPr>
          <w:rStyle w:val="FootnoteAnchor"/>
          <w:rtl w:val="true"/>
        </w:rPr>
        <w:footnoteReference w:id="1039"/>
      </w: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روایة حذیفة</w:t>
      </w:r>
      <w:r>
        <w:rPr>
          <w:rStyle w:val="FootnoteAnchor"/>
          <w:rtl w:val="true"/>
        </w:rPr>
        <w:footnoteReference w:id="1040"/>
      </w:r>
      <w:r>
        <w:rPr>
          <w:rFonts w:ascii="IRNazanin" w:hAnsi="IRNazanin" w:eastAsia="IRNazanin"/>
          <w:color w:val="111111"/>
          <w:sz w:val="28"/>
          <w:sz w:val="28"/>
          <w:szCs w:val="28"/>
          <w:rtl w:val="true"/>
          <w:lang w:bidi="fa-IR"/>
        </w:rPr>
        <w:t>بن منصور انّه ما بین الفخذین</w:t>
      </w:r>
      <w:bookmarkStart w:id="359" w:name="pg3023_22674"/>
    </w:p>
    <w:p>
      <w:pPr>
        <w:pStyle w:val="Heading3"/>
        <w:numPr>
          <w:ilvl w:val="2"/>
          <w:numId w:val="1"/>
        </w:numPr>
        <w:rPr/>
      </w:pPr>
      <w:bookmarkStart w:id="360" w:name="__RefHeading___Toc656885_2749589250"/>
      <w:bookmarkStart w:id="361" w:name="_Toc129"/>
      <w:bookmarkEnd w:id="359"/>
      <w:bookmarkEnd w:id="360"/>
      <w:r>
        <w:rPr>
          <w:rtl w:val="true"/>
        </w:rPr>
        <w:t>یثبت بالاقرار اربع مرّات</w:t>
      </w:r>
      <w:bookmarkEnd w:id="361"/>
    </w:p>
    <w:p>
      <w:pPr>
        <w:pStyle w:val="BookText"/>
        <w:rPr/>
      </w:pPr>
      <w:r>
        <w:rPr>
          <w:rFonts w:ascii="IRNazanin" w:hAnsi="IRNazanin" w:eastAsia="IRNazanin"/>
          <w:color w:val="111111"/>
          <w:sz w:val="28"/>
          <w:sz w:val="28"/>
          <w:szCs w:val="28"/>
          <w:rtl w:val="true"/>
          <w:lang w:bidi="fa-IR"/>
        </w:rPr>
        <w:t xml:space="preserve">ویثبت بالاقرار اربع مرّات کما فط الاقرار بالزّنا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و سألته عن الّذی یوقب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ذلک الکفر بما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 الله علی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روایة</w:t>
      </w:r>
      <w:r>
        <w:rPr>
          <w:rStyle w:val="FootnoteAnchor"/>
          <w:rtl w:val="true"/>
        </w:rPr>
        <w:footnoteReference w:id="1041"/>
      </w:r>
      <w:r>
        <w:rPr>
          <w:rFonts w:ascii="IRNazanin" w:hAnsi="IRNazanin" w:eastAsia="IRNazanin"/>
          <w:color w:val="111111"/>
          <w:sz w:val="28"/>
          <w:sz w:val="28"/>
          <w:szCs w:val="28"/>
          <w:rtl w:val="true"/>
          <w:lang w:bidi="fa-IR"/>
        </w:rPr>
        <w:t xml:space="preserve">زید بن علیّ عن آبائه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لابأس به انّه رأی رجلاً به تأنیث فی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اخرج من مسجد رسول الله، یا من لعنه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لعن الله المتشبهّین من الرّجال بالنّساء و المتشبّهات من النّساء بالرّجال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بنفس السند</w:t>
      </w:r>
      <w:r>
        <w:rPr>
          <w:rStyle w:val="FootnoteAnchor"/>
          <w:rtl w:val="true"/>
        </w:rPr>
        <w:footnoteReference w:id="1042"/>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کنت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جالساً فی المسجد حتّی اتاه رجُل به تأنیث فسلّم علیه فردّ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اکبّ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الأرض یسترجع ثمّ قال مثل هؤلاء فی امّتی انّه لا یکون مثل هؤلاء فی امّةٍ الاّ عذّبت قبل السّاعة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ما یثبت به اللّواط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یثبت الاّ بالأقرار اربع مرّات من البالغ العاقل المختار الحرّ، غیر السّاهی و الغافل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باربعة شهود عدول، و لا یقبل فیه شهادة النسّاء منفردة و لا منضمّة مع الرّجال، و یدلّ علی الحکم مضافاً الی عدم الخلاف بل دعوی الأجماع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الواردة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الخاف</w:t>
      </w:r>
      <w:r>
        <w:rPr>
          <w:rStyle w:val="FootnoteAnchor"/>
          <w:rtl w:val="true"/>
        </w:rPr>
        <w:footnoteReference w:id="1043"/>
      </w:r>
      <w:r>
        <w:rPr>
          <w:rFonts w:ascii="IRNazanin" w:hAnsi="IRNazanin" w:eastAsia="IRNazanin"/>
          <w:color w:val="111111"/>
          <w:sz w:val="28"/>
          <w:sz w:val="28"/>
          <w:szCs w:val="28"/>
          <w:rtl w:val="true"/>
          <w:lang w:bidi="fa-IR"/>
        </w:rPr>
        <w:t xml:space="preserve">لا یثبت الشّهادة علی اللّواط الاّ باربعة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بشهادة 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و یثبت اتیان البهیمة بشهادة شاهدین</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الشّافعیّ</w:t>
      </w:r>
      <w:r>
        <w:rPr>
          <w:rStyle w:val="FootnoteAnchor"/>
          <w:rtl w:val="true"/>
        </w:rPr>
        <w:footnoteReference w:id="10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قلنا انّه کالزّنا لم یثبت الاّ بشهادة اربعة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ذکور عدول و کذلک 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اغلظ الی و قال ابن خیران یثبت بشهادة شاهدین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ابو حنیقة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جمیع ذلک بشهادة شاهدین</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 اجماع الفرقة و اخبارهم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Style w:val="FootnoteAnchor"/>
          <w:rtl w:val="true"/>
        </w:rPr>
        <w:footnoteReference w:id="1045"/>
      </w:r>
      <w:r>
        <w:rPr>
          <w:rFonts w:ascii="IRNazanin" w:hAnsi="IRNazanin" w:eastAsia="IRNazanin"/>
          <w:color w:val="111111"/>
          <w:sz w:val="28"/>
          <w:sz w:val="28"/>
          <w:szCs w:val="28"/>
          <w:rtl w:val="true"/>
          <w:lang w:bidi="fa-IR"/>
        </w:rPr>
        <w:t>حقوق الله کلّها لا تثبت بشهادة النّساء الاّ الشّهادة بالزّنا ـ الی ـ و خالف جمیع</w:t>
      </w:r>
      <w:r>
        <w:rPr>
          <w:rStyle w:val="FootnoteAnchor"/>
          <w:rtl w:val="true"/>
        </w:rPr>
        <w:footnoteReference w:id="1046"/>
      </w:r>
      <w:r>
        <w:rPr>
          <w:rFonts w:ascii="IRNazanin" w:hAnsi="IRNazanin" w:eastAsia="IRNazanin"/>
          <w:color w:val="111111"/>
          <w:sz w:val="28"/>
          <w:sz w:val="28"/>
          <w:szCs w:val="28"/>
          <w:rtl w:val="true"/>
          <w:lang w:bidi="fa-IR"/>
        </w:rPr>
        <w:t>الفقهاء فی ذلک وقالوا</w:t>
      </w:r>
      <w:bookmarkStart w:id="362" w:name="pg3023_22678"/>
    </w:p>
    <w:p>
      <w:pPr>
        <w:pStyle w:val="Heading3"/>
        <w:numPr>
          <w:ilvl w:val="2"/>
          <w:numId w:val="1"/>
        </w:numPr>
        <w:rPr/>
      </w:pPr>
      <w:bookmarkStart w:id="363" w:name="__RefHeading___Toc656887_2749589250"/>
      <w:bookmarkStart w:id="364" w:name="_Toc130"/>
      <w:bookmarkEnd w:id="362"/>
      <w:bookmarkEnd w:id="363"/>
      <w:r>
        <w:rPr>
          <w:rtl w:val="true"/>
        </w:rPr>
        <w:t>و بشهادة اربعة شهود عدول</w:t>
      </w:r>
      <w:bookmarkEnd w:id="364"/>
    </w:p>
    <w:p>
      <w:pPr>
        <w:pStyle w:val="BookText"/>
        <w:rPr/>
      </w:pPr>
      <w:r>
        <w:rPr>
          <w:rFonts w:ascii="Amiri" w:hAnsi="Amiri" w:eastAsia="Amiri" w:cs="Amiri"/>
          <w:color w:val="111111"/>
          <w:sz w:val="28"/>
          <w:sz w:val="28"/>
          <w:szCs w:val="28"/>
          <w:rtl w:val="true"/>
          <w:lang w:bidi="ar-SA"/>
        </w:rPr>
        <w:t xml:space="preserve">و بشهادة اربعة شهود عدول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لا تثبت شیء منها بشهادة النّساء لا علی الأنفراد ولا علی الجمع، دلیلنا اجماع الفرقة و اخبارهم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قال فی المبسوط</w:t>
      </w:r>
      <w:r>
        <w:rPr>
          <w:rStyle w:val="FootnoteAnchor"/>
          <w:rtl w:val="true"/>
        </w:rPr>
        <w:footnoteReference w:id="1047"/>
      </w:r>
      <w:r>
        <w:rPr>
          <w:rFonts w:ascii="IRNazanin" w:hAnsi="IRNazanin" w:eastAsia="IRNazanin"/>
          <w:color w:val="111111"/>
          <w:sz w:val="28"/>
          <w:sz w:val="28"/>
          <w:szCs w:val="28"/>
          <w:rtl w:val="true"/>
          <w:lang w:bidi="fa-IR"/>
        </w:rPr>
        <w:t>الزّنا و اللّواط و اتیان البهائم یثبت باقلّ من اربعة شهود ذکور و قد حکینا انّ اصحابنا رووا انّه یثبت بثلاثة رجال و امرأتین و حکی ذلک فی اللّواط و الزّنا عن الصّدوقین و ابن زهرة مصافاً الی السّحق عن الأخیر بل عنه دعوی اجماع الطّائفة علیه و لکن ثبت ضعف هذا القول فی باب الشّهادات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سبق الکلام علی اعتبار البلوغ و العقل و الحرّیّة و الأختیار و عدم السّهو و الغفلة فی باب الأقرار بالزّنا بالنّسبة الی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اعتبار العدد فی مورد البحث مارواه</w:t>
      </w:r>
      <w:r>
        <w:rPr>
          <w:rStyle w:val="FootnoteAnchor"/>
          <w:rtl w:val="true"/>
        </w:rPr>
        <w:footnoteReference w:id="1048"/>
      </w:r>
      <w:r>
        <w:rPr>
          <w:rFonts w:ascii="IRNazanin" w:hAnsi="IRNazanin" w:eastAsia="IRNazanin"/>
          <w:color w:val="111111"/>
          <w:sz w:val="28"/>
          <w:sz w:val="28"/>
          <w:szCs w:val="28"/>
          <w:rtl w:val="true"/>
          <w:lang w:bidi="fa-IR"/>
        </w:rPr>
        <w:t xml:space="preserve">مالک بن عطیّة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ملأ من اصحابه اذ اتاه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انیّ اوقبت علی غلام فطّهرنی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امض الی  منزلک لعلّ مراراً هاج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من غدٍ عاد الیه، فقال له یا امیر المؤمنین انّی اوقبت علی غلام فطّهرنی، فقال له اذهب الی منزلک، لعلّ مراراً هاج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فعل ذلک ثلاث مرّات بعد مرّته الاُولی، فلمّا کان فی الرّابعة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هذا،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فی مثلک ثلاثة احکام، فاختر ایّهنّ شئت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 ما فی فقه</w:t>
      </w:r>
      <w:r>
        <w:rPr>
          <w:rStyle w:val="FootnoteAnchor"/>
          <w:rtl w:val="true"/>
        </w:rPr>
        <w:footnoteReference w:id="1049"/>
      </w: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لایحدّ اللّوطیّ حتّی یقرّ اربع مرّات علی تلک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هناک الفرق بین الحرّیّة و غیرها فی اعتبارها حال الأقرار دون الفعل بخلاف غیرها فیعتبر حال الفعل و الأقرار</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 علی اعتبار الشّهود الأربعة و عدم الأکتفاء بالأقلّ مضافاً الی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ما سبق بما فی صحیحة</w:t>
      </w:r>
      <w:r>
        <w:rPr>
          <w:rStyle w:val="FootnoteAnchor"/>
          <w:rtl w:val="true"/>
        </w:rPr>
        <w:footnoteReference w:id="1050"/>
      </w:r>
      <w:r>
        <w:rPr>
          <w:rFonts w:ascii="IRNazanin" w:hAnsi="IRNazanin" w:eastAsia="IRNazanin"/>
          <w:color w:val="111111"/>
          <w:sz w:val="28"/>
          <w:sz w:val="28"/>
          <w:szCs w:val="28"/>
          <w:rtl w:val="true"/>
          <w:lang w:bidi="fa-IR"/>
        </w:rPr>
        <w:t xml:space="preserve">الأصبغ بن نباتة المتقدّمة فی باب الزّنا و انّه یثبت بالأقرار اربع مرّات من قول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کلّ اقرار من المرأة بانّها شهادة، فاذاً لا یثبت اللّواط باقلّ من اربع اقرارات مع کونه افحش فلا یثبت باقلّ من اربعة 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ان یستدلّ علی ذلک بما دلّ علی توقف الرّجم علی شهادة الأربعة فانّ الرّجم احد عقوبات اللّواط و لو تخییراً فی الایقاب کما سیجیء انشاء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ففی صحیحة</w:t>
      </w:r>
      <w:r>
        <w:rPr>
          <w:rStyle w:val="FootnoteAnchor"/>
          <w:rtl w:val="true"/>
        </w:rPr>
        <w:footnoteReference w:id="1051"/>
      </w:r>
      <w:r>
        <w:rPr>
          <w:rFonts w:ascii="IRNazanin" w:hAnsi="IRNazanin" w:eastAsia="IRNazanin"/>
          <w:color w:val="111111"/>
          <w:sz w:val="28"/>
          <w:sz w:val="28"/>
          <w:szCs w:val="28"/>
          <w:rtl w:val="true"/>
          <w:lang w:bidi="fa-IR"/>
        </w:rPr>
        <w:t xml:space="preserve">الحلبیّ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الرّجم ان یشهد اربع انّهم لو رأوهُ یدخل و یخرج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یکون فی صحیحة</w:t>
      </w:r>
      <w:r>
        <w:rPr>
          <w:rStyle w:val="FootnoteAnchor"/>
          <w:rtl w:val="true"/>
        </w:rPr>
        <w:footnoteReference w:id="1052"/>
      </w:r>
      <w:r>
        <w:rPr>
          <w:rFonts w:ascii="IRNazanin" w:hAnsi="IRNazanin" w:eastAsia="IRNazanin"/>
          <w:color w:val="111111"/>
          <w:sz w:val="28"/>
          <w:sz w:val="28"/>
          <w:szCs w:val="28"/>
          <w:rtl w:val="true"/>
          <w:lang w:bidi="fa-IR"/>
        </w:rPr>
        <w:t xml:space="preserve">ابن قیس عن ابی جعفر عن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علی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یرجم رجل و لا امرأة حتّی یشهد علیه اربعة شهود علی الأیلاج و الأخراج</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ادّعی الظّهور او الأنصراف الی الزّنا او اختصاص ذلک بعد التّسلیم فی خصوص الأیقاب دون غیره و عدم اعتبار عدم القول بالفصل بینه و بین ما اذا یکن هُناک ایقاب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ما تقدّم 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 ما فی روایتی</w:t>
      </w:r>
      <w:r>
        <w:rPr>
          <w:rStyle w:val="FootnoteAnchor"/>
          <w:rtl w:val="true"/>
        </w:rPr>
        <w:footnoteReference w:id="1053"/>
      </w:r>
      <w:r>
        <w:rPr>
          <w:rFonts w:ascii="IRNazanin" w:hAnsi="IRNazanin" w:eastAsia="IRNazanin"/>
          <w:color w:val="111111"/>
          <w:sz w:val="28"/>
          <w:sz w:val="28"/>
          <w:szCs w:val="28"/>
          <w:rtl w:val="true"/>
          <w:lang w:bidi="fa-IR"/>
        </w:rPr>
        <w:t>عبد الرّحمن العرزمیّ و ابی بکر الحضرمیّ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الأولی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بمحضر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للشّهود رأیتموه یدخله کما یدخل المیل فی المکحلة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الثّانیة</w:t>
      </w:r>
      <w:r>
        <w:rPr>
          <w:rStyle w:val="FootnoteAnchor"/>
          <w:rtl w:val="true"/>
        </w:rPr>
        <w:footnoteReference w:id="10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الأمرأة التّی لاط زوجها بابنها و ثقب و شهد علیه بذلک الشّهود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عبّر بالجمع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البیّنة او الشّاهدین</w:t>
      </w:r>
      <w:bookmarkStart w:id="365" w:name="pg3023_22683"/>
    </w:p>
    <w:p>
      <w:pPr>
        <w:pStyle w:val="Heading3"/>
        <w:numPr>
          <w:ilvl w:val="2"/>
          <w:numId w:val="1"/>
        </w:numPr>
        <w:rPr/>
      </w:pPr>
      <w:bookmarkStart w:id="366" w:name="__RefHeading___Toc656889_2749589250"/>
      <w:bookmarkStart w:id="367" w:name="_Toc131"/>
      <w:bookmarkEnd w:id="365"/>
      <w:bookmarkEnd w:id="366"/>
      <w:r>
        <w:rPr>
          <w:rtl w:val="true"/>
        </w:rPr>
        <w:t>لو لاط عاقل بمجنون حدّ العاقل او صغیر بکبیر حدّ الکبیر و ادّب الصغیر</w:t>
      </w:r>
      <w:bookmarkEnd w:id="367"/>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لاط عاقل بمجنون حدّ العاقل، او صغیر بکبیر حدّ الکبیر و ادّب الصّغیر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کی یکتفی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یشهد للمدّعی قول</w:t>
      </w:r>
      <w:r>
        <w:rPr>
          <w:rStyle w:val="FootnoteAnchor"/>
          <w:rtl w:val="true"/>
        </w:rPr>
        <w:footnoteReference w:id="1055"/>
      </w:r>
      <w:r>
        <w:rPr>
          <w:rFonts w:ascii="IRNazanin" w:hAnsi="IRNazanin" w:eastAsia="IRNazanin"/>
          <w:color w:val="111111"/>
          <w:sz w:val="28"/>
          <w:sz w:val="28"/>
          <w:szCs w:val="28"/>
          <w:rtl w:val="true"/>
          <w:lang w:bidi="fa-IR"/>
        </w:rPr>
        <w:t xml:space="preserve">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صحیحة حریز القاذف یجلد ثمانین جلدة و لا تقبل له شهادة ابداً الاّ بعد التّوبة او یکذّب نفسه فأن شهد له ثلاثة و ابی واحد، یجلد الثّلاثة و لا تقبل شهادتهم حتّی یقول اربعة رأینا مثل المیل فی المکحلة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الأستدلال بالکتاب قال الله تعالی</w:t>
      </w:r>
      <w:r>
        <w:rPr>
          <w:rStyle w:val="FootnoteAnchor"/>
          <w:rtl w:val="true"/>
        </w:rPr>
        <w:footnoteReference w:id="10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الّلاتی یأتین الفاحشة من نسائکم فاستشهدوا علیهنّ اربعة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اللّذان یأتیانها منکم فاذوهما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بیّن الحکم، و لم یُعیّن طریق الثّبوت فیفهم احالته فی اعتبار الأبعة علی الفاحشة المذکورة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بناءً علی ارادة اللاّئط و الملوط من قوله تعالی و الّلذان کما هو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بما ذکرنا ثبوت اللّواط باربع اقرارات من الفاعل او المفعول به او شهادة اربعة شهود، و لا دلیل علی کفایة شهادة اقلّ من اربعة رجال و لو قلنا بثبوت الزّنا فة بعض مراتبه بشهادة النّساء منضمّة الی الرّجال کما سبق اذ هناک للدّلیل بخلاف المقام فلا دلیل علیه</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لارَیب فی اعتبار حال کلّ واحد من الفاعل و المفعول فی نفسه کما فی باب الزّنا، فلو لاط عاقل بمجنون حدّ الّلائط دوُن الملوط کالعکس و هکذا بالنّسبة الی سایر الشّرایط، فلو لاط بالغ بصبیّ حدّ البالغ دون الصّبیّ فانّه یؤدّب کالعکس و یرشد الیه مضافاً الی الأطلاقات مارواه</w:t>
      </w:r>
      <w:r>
        <w:rPr>
          <w:rStyle w:val="FootnoteAnchor"/>
          <w:rtl w:val="true"/>
        </w:rPr>
        <w:footnoteReference w:id="1057"/>
      </w:r>
      <w:r>
        <w:rPr>
          <w:rFonts w:ascii="IRNazanin" w:hAnsi="IRNazanin" w:eastAsia="IRNazanin"/>
          <w:color w:val="111111"/>
          <w:sz w:val="28"/>
          <w:sz w:val="28"/>
          <w:szCs w:val="28"/>
          <w:rtl w:val="true"/>
          <w:lang w:bidi="fa-IR"/>
        </w:rPr>
        <w:t xml:space="preserve">ابوبکر الحضرمیّ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بأمرأة وزوجها، قد لاط زوجها بابنها من غیره و ثقبه</w:t>
      </w:r>
      <w:bookmarkStart w:id="368" w:name="pg3023_22685"/>
    </w:p>
    <w:p>
      <w:pPr>
        <w:pStyle w:val="Heading3"/>
        <w:numPr>
          <w:ilvl w:val="2"/>
          <w:numId w:val="1"/>
        </w:numPr>
        <w:rPr/>
      </w:pPr>
      <w:bookmarkStart w:id="369" w:name="__RefHeading___Toc656891_2749589250"/>
      <w:bookmarkStart w:id="370" w:name="_Toc132"/>
      <w:bookmarkEnd w:id="368"/>
      <w:bookmarkEnd w:id="369"/>
      <w:r>
        <w:rPr>
          <w:rtl w:val="true"/>
        </w:rPr>
        <w:t>(</w:t>
      </w:r>
      <w:r>
        <w:rPr>
          <w:rtl w:val="true"/>
        </w:rPr>
        <w:t>فی حدّ اللّواط</w:t>
      </w:r>
      <w:r>
        <w:rPr>
          <w:rtl w:val="true"/>
        </w:rPr>
        <w:t>)</w:t>
      </w:r>
      <w:bookmarkEnd w:id="370"/>
    </w:p>
    <w:p>
      <w:pPr>
        <w:pStyle w:val="Heading4"/>
        <w:numPr>
          <w:ilvl w:val="3"/>
          <w:numId w:val="1"/>
        </w:numPr>
        <w:rPr/>
      </w:pPr>
      <w:bookmarkStart w:id="371" w:name="__RefHeading___Toc656893_2749589250"/>
      <w:bookmarkStart w:id="372" w:name="_Toc133"/>
      <w:bookmarkEnd w:id="371"/>
      <w:r>
        <w:rPr>
          <w:rtl w:val="true"/>
        </w:rPr>
        <w:t>اشارة</w:t>
      </w:r>
      <w:bookmarkEnd w:id="3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الحکام فی الحدّ</w:t>
      </w:r>
      <w:r>
        <w:rPr>
          <w:rFonts w:eastAsia="IRNazanin" w:cs="IRNazanin"/>
          <w:color w:val="111111"/>
          <w:sz w:val="28"/>
          <w:szCs w:val="28"/>
          <w:rtl w:val="true"/>
          <w:lang w:bidi="fa-IR"/>
        </w:rPr>
        <w:t>]</w:t>
      </w:r>
    </w:p>
    <w:p>
      <w:pPr>
        <w:pStyle w:val="Heading4"/>
        <w:numPr>
          <w:ilvl w:val="3"/>
          <w:numId w:val="1"/>
        </w:numPr>
        <w:rPr/>
      </w:pPr>
      <w:bookmarkStart w:id="373" w:name="__RefHeading___Toc656895_2749589250"/>
      <w:bookmarkStart w:id="374" w:name="_Toc134"/>
      <w:bookmarkEnd w:id="373"/>
      <w:r>
        <w:rPr>
          <w:rtl w:val="true"/>
        </w:rPr>
        <w:t>اللّواط بایقاب البالغ العاقل الحرّ المختار حدّه القتل باحد امور خمسة</w:t>
      </w:r>
      <w:bookmarkEnd w:id="374"/>
    </w:p>
    <w:p>
      <w:pPr>
        <w:pStyle w:val="BookText"/>
        <w:rPr/>
      </w:pPr>
      <w:r>
        <w:rPr>
          <w:rFonts w:ascii="Amiri" w:hAnsi="Amiri" w:eastAsia="Amiri" w:cs="Amiri"/>
          <w:color w:val="111111"/>
          <w:sz w:val="28"/>
          <w:sz w:val="28"/>
          <w:szCs w:val="28"/>
          <w:rtl w:val="true"/>
          <w:lang w:bidi="ar-SA"/>
        </w:rPr>
        <w:t xml:space="preserve">مسئلة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اللّواط إن کان بایقاب من الفاعل بالغاً عاقلاً حرّاً مختاراً فحدّه القتل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وشهد علیه بذلک الشّهود، فامر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فضرب السّیف حتّی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ضرب الغلام دون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لو کنت مدرکاً لقتلتک لامکانک ایّاه من نفسک بثقبک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 فی روایة</w:t>
      </w:r>
      <w:r>
        <w:rPr>
          <w:rStyle w:val="FootnoteAnchor"/>
          <w:rtl w:val="true"/>
        </w:rPr>
        <w:footnoteReference w:id="1058"/>
      </w:r>
      <w:r>
        <w:rPr>
          <w:rFonts w:ascii="IRNazanin" w:hAnsi="IRNazanin" w:eastAsia="IRNazanin"/>
          <w:color w:val="111111"/>
          <w:sz w:val="28"/>
          <w:sz w:val="28"/>
          <w:szCs w:val="28"/>
          <w:rtl w:val="true"/>
          <w:lang w:bidi="fa-IR"/>
        </w:rPr>
        <w:t xml:space="preserve">سیف الّتمارّ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برجل معه غلام یأتیه فقامت علیها بذلک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یاقنبر النّطع و السّیف ثمّ اَمَر بالرّجل فوضع علی وجهه و وضع الغلام علی وجهه ثمّ امر بهما فضربهما بالسّیف حتّی قدّهما بالسّیف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مضافاً الی ضعفها فی نفسها انّه یحتمل بلوغ الغلام او المراد به المملوک اذ لا فرق فی حدّ اللّواط بین الحرّ و المملوک و ما تقدّ فی بحث الزّنا من عدم رجم المحصنة التّی زنی بها من لم یبلغ مخصوص بمورده لا مجال له فی 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الکلام فی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فی الفاعل، و فیه بحثان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اللّواط ان کان بایقاب من البالغ العاقل المختار فحدّه القتل حرّاً کان او عبداً مسلماً کان او کافراً بلا خلاف بل ادّعی علیه الأجماع و لا فرق فی ذلک بین المحصن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ذلک بادخال کلّ الذّکر او مقدار الحشفة او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القتل باحد الأمور الخمسة، الضّرب بالسّیف، و الأهداب من جبل مشدود الیدین و الرّجلین، و الأحراق بالنّار، و الرّجم و القاء جدار علیه</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الخلاف</w:t>
      </w:r>
      <w:r>
        <w:rPr>
          <w:rStyle w:val="FootnoteAnchor"/>
          <w:rtl w:val="true"/>
        </w:rPr>
        <w:footnoteReference w:id="10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لاط الرّجل فاوقب وجب علیه القتل، و الأمام مخیّر بین ان یقتله بالسّیف او یرمی علیه حائطاً او یرمی به من موضع عال و ان کان دون الأیقاب فان کان محصناً وجب علیه الرّجم و ان کان بکراً وجب علیه مأة جلدة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الشّافعی</w:t>
      </w:r>
      <w:r>
        <w:rPr>
          <w:rStyle w:val="FootnoteAnchor"/>
          <w:rtl w:val="true"/>
        </w:rPr>
        <w:footnoteReference w:id="10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احد قولیه انّ حکمه الزّانی، یجلد ان کان بکراً و یرجم ان کان ثیّباً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الزّهریّ و الحسن البصریّ و ابو یوسف و محمّد و القول الأخر انّه یُقتل بکلّ حال کما قلناه و به قال مالک و احمد واسحاق، الاً انّهم لم یفصّلو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و قال ابو حنیفة لا یجب به الجلد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یجب به التّعزیز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الشّیخ دلیلنا اجماع الفرقة و اخبارهم وروُی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من عمل عمل قوم لوط فاقتلو الفاعل و المفعول به، وروی ذلک عن ابی بکر و ابن عبّاس و روی مثل ذلک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مخالف لهم فیه و فی المبسوط</w:t>
      </w:r>
      <w:r>
        <w:rPr>
          <w:rStyle w:val="FootnoteAnchor"/>
          <w:rtl w:val="true"/>
        </w:rPr>
        <w:footnoteReference w:id="1061"/>
      </w:r>
      <w:r>
        <w:rPr>
          <w:rFonts w:ascii="IRNazanin" w:hAnsi="IRNazanin" w:eastAsia="IRNazanin"/>
          <w:color w:val="111111"/>
          <w:sz w:val="28"/>
          <w:sz w:val="28"/>
          <w:szCs w:val="28"/>
          <w:rtl w:val="true"/>
          <w:lang w:bidi="fa-IR"/>
        </w:rPr>
        <w:t>عمّ الحکم للموقب بالمرأة الأجنبیّة فقال المتلوّط بالذّکران او بالمرأة الأجنبیّة ان او قبه یجب علیه القتل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خیّر الأمام بین ضرب رقبته او رمیه من حائط عال او ان یرمی علیه القتل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خیّر الأمام بین ضرب رقبته او رمیه من حائط عال او ان یرمی علیه جداراً او یرجمه او یحرقه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و ان کان الفجور بالذّکور و کان دون الأیقاب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 المخالفین متی وطیء فی الدّبر ذکراً او اجنبّیة رجم کان محصناً او بکراً و قال بعضهم هو کالزّنا یرجم ان کان ثیّباً و یجلدان کان بکراً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 لا حدّ علیه لکن یعزّز و یحبس حتّی یتوب،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اختصاص اللّواط بوطی الذّکر دون وطی المرأة فی دُبرها بل ذلک حکمه حکم الزّنا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الانتصار</w:t>
      </w:r>
      <w:r>
        <w:rPr>
          <w:rStyle w:val="FootnoteAnchor"/>
          <w:rtl w:val="true"/>
        </w:rPr>
        <w:footnoteReference w:id="1062"/>
      </w:r>
      <w:r>
        <w:rPr>
          <w:rFonts w:ascii="IRNazanin" w:hAnsi="IRNazanin" w:eastAsia="IRNazanin"/>
          <w:color w:val="111111"/>
          <w:sz w:val="28"/>
          <w:sz w:val="28"/>
          <w:szCs w:val="28"/>
          <w:rtl w:val="true"/>
          <w:lang w:bidi="fa-IR"/>
        </w:rPr>
        <w:t xml:space="preserve">ممّا انفردت به الأمامیّة القول بانّ حدّ الوطی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اللّوطة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وقع الفعل فیما دون الدّبر بین الفخذین مأةجلدة للفاعل و المفعول به، اذا کانا معاً عاقلین بالغین لا یراعی فی جلدهما وجود الأحصان کما روعی فی الزّنا</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فامّا الا یلاج فی الدّبر فیجب فیه القتل من غیر مراعاة ایضاً للأحصان فیه و الأمام مخیّر فی القتل بین السّیف و ضرب عنقه به و بین ان یلقی علیه جداراً یتلف نفسه بالقائه او بان یلقیه من جدار او جبل علی وجه یتلف معه نفسه بالقائه او یرمیه بالأحجار حتّی یموت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و قد انفردت الامامیة انفراداً صحیحاً و لا موافق لها فیها فانّه و ان روی</w:t>
      </w:r>
      <w:r>
        <w:rPr>
          <w:rStyle w:val="FootnoteAnchor"/>
          <w:rtl w:val="true"/>
        </w:rPr>
        <w:footnoteReference w:id="1063"/>
      </w:r>
      <w:r>
        <w:rPr>
          <w:rFonts w:ascii="IRNazanin" w:hAnsi="IRNazanin" w:eastAsia="IRNazanin"/>
          <w:color w:val="111111"/>
          <w:sz w:val="28"/>
          <w:sz w:val="28"/>
          <w:szCs w:val="28"/>
          <w:rtl w:val="true"/>
          <w:lang w:bidi="fa-IR"/>
        </w:rPr>
        <w:t>عن مالک و الّلیث بن سعد فی المتلاوطین انّهما یرجمان احصنا او لم یحصنا، فهذه لعمری موافقة للأمامیّة من بعض الوجوه الی و قال ابو حنیفة فی اللّوطی انّه یعزّر و لا یحدّ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اللّیثی و ابو یوسف و محمّد و ابن حیّ و الشّافعیّ، انّ اللّواط بمنزلة الزّنا و راعوا فیه الأحصان الّذی یراعون فی الزّنا</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اخذ فی الأستدلال واضاف الی الأجماع ظهور مذهب امیر 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القول بقتل اللّوطی و 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یروون عن عکرمة</w:t>
      </w:r>
      <w:r>
        <w:rPr>
          <w:rStyle w:val="FootnoteAnchor"/>
          <w:rtl w:val="true"/>
        </w:rPr>
        <w:footnoteReference w:id="1064"/>
      </w:r>
      <w:r>
        <w:rPr>
          <w:rFonts w:ascii="IRNazanin" w:hAnsi="IRNazanin" w:eastAsia="IRNazanin"/>
          <w:color w:val="111111"/>
          <w:sz w:val="28"/>
          <w:sz w:val="28"/>
          <w:szCs w:val="28"/>
          <w:rtl w:val="true"/>
          <w:lang w:bidi="fa-IR"/>
        </w:rPr>
        <w:t xml:space="preserve">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وجدتموه علی عمل قوم لوط فاقتلو الفاعل و المفعول به، انتهی المراد منه</w:t>
      </w:r>
      <w:r>
        <w:rPr>
          <w:rFonts w:eastAsia="IRNazanin" w:cs="IRNazanin"/>
          <w:color w:val="111111"/>
          <w:sz w:val="28"/>
          <w:szCs w:val="28"/>
          <w:rtl w:val="true"/>
          <w:lang w:bidi="fa-IR"/>
        </w:rPr>
        <w:t>.</w:t>
      </w:r>
      <w:bookmarkStart w:id="375" w:name="pg3023_22692"/>
    </w:p>
    <w:p>
      <w:pPr>
        <w:pStyle w:val="Heading4"/>
        <w:numPr>
          <w:ilvl w:val="3"/>
          <w:numId w:val="1"/>
        </w:numPr>
        <w:rPr/>
      </w:pPr>
      <w:bookmarkStart w:id="376" w:name="__RefHeading___Toc656897_2749589250"/>
      <w:bookmarkStart w:id="377" w:name="_Toc135"/>
      <w:bookmarkEnd w:id="375"/>
      <w:bookmarkEnd w:id="376"/>
      <w:r>
        <w:rPr>
          <w:rtl w:val="true"/>
        </w:rPr>
        <w:t>الضّرب بالسّیف و الاهداب من جبل و الاحراق بالنّار و الرّجم و القاء جدار علیه</w:t>
      </w:r>
      <w:bookmarkEnd w:id="377"/>
    </w:p>
    <w:p>
      <w:pPr>
        <w:pStyle w:val="BookText"/>
        <w:rPr/>
      </w:pPr>
      <w:r>
        <w:rPr>
          <w:rFonts w:ascii="IRNazanin" w:hAnsi="IRNazanin" w:eastAsia="IRNazanin"/>
          <w:color w:val="111111"/>
          <w:sz w:val="28"/>
          <w:sz w:val="28"/>
          <w:szCs w:val="28"/>
          <w:rtl w:val="true"/>
          <w:lang w:bidi="fa-IR"/>
        </w:rPr>
        <w:t>باحد امور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الضّرب بالسّیف و الأهداب من جبل مشدود الیدین و الرجلّین و الأحراق بالنّار و الرّجم والقاء جدار علیه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و فی السّرائر</w:t>
      </w:r>
      <w:r>
        <w:rPr>
          <w:rStyle w:val="FootnoteAnchor"/>
          <w:rtl w:val="true"/>
        </w:rPr>
        <w:footnoteReference w:id="1065"/>
      </w:r>
      <w:r>
        <w:rPr>
          <w:rFonts w:ascii="IRNazanin" w:hAnsi="IRNazanin" w:eastAsia="IRNazanin"/>
          <w:color w:val="111111"/>
          <w:sz w:val="28"/>
          <w:sz w:val="28"/>
          <w:szCs w:val="28"/>
          <w:rtl w:val="true"/>
          <w:lang w:bidi="fa-IR"/>
        </w:rPr>
        <w:t>بعد بیان تخییر الأمام فی قتل الّلائط بالا یقاب بین الوجوه الخمسة و الرّمی به من حائط عال و انّه ان اقم علطه حدّاً بغیر النار کان له احراقه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w:t>
      </w:r>
      <w:r>
        <w:rPr>
          <w:rStyle w:val="FootnoteAnchor"/>
          <w:rtl w:val="true"/>
        </w:rPr>
        <w:footnoteReference w:id="1066"/>
      </w:r>
      <w:r>
        <w:rPr>
          <w:rFonts w:ascii="IRNazanin" w:hAnsi="IRNazanin" w:eastAsia="IRNazanin"/>
          <w:color w:val="111111"/>
          <w:sz w:val="28"/>
          <w:sz w:val="28"/>
          <w:szCs w:val="28"/>
          <w:rtl w:val="true"/>
          <w:lang w:bidi="fa-IR"/>
        </w:rPr>
        <w:t>التلوّط بالایقاب فلا خلاف بطن اصحابنا انّ حدّه ما ذکرناه سواء کان الفاعل و المفعول حرّاً او عبداً مسلماض او کافراً محصناً او غیر محصن و علی کلّ حال بعد ان یکون عاقلاً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الحکم فی ثلاثة من اقسام الحدّ الخمسة، صحیحة</w:t>
      </w:r>
      <w:r>
        <w:rPr>
          <w:rStyle w:val="FootnoteAnchor"/>
          <w:rtl w:val="true"/>
        </w:rPr>
        <w:footnoteReference w:id="1067"/>
      </w:r>
      <w:r>
        <w:rPr>
          <w:rFonts w:ascii="IRNazanin" w:hAnsi="IRNazanin" w:eastAsia="IRNazanin"/>
          <w:color w:val="111111"/>
          <w:sz w:val="28"/>
          <w:sz w:val="28"/>
          <w:szCs w:val="28"/>
          <w:rtl w:val="true"/>
          <w:lang w:bidi="fa-IR"/>
        </w:rPr>
        <w:t xml:space="preserve">مالک بن عطیّة المتقدّم بعضها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فیها، فلمّا کان فی الرّابعة قال له یاهذ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فی مثلک بثلاثة احکام، فاختر ایّهنّ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ماهنّ یا امیر المؤمنین؟ قال ضربة بالسّیف فی عنقک بالغة ما بلغت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اهداب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جبل مشدود الیدین و الرّجلین او احراق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ایّهنّ اشدّ علیّ؟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الاحراق بالنّار، قال فانّی قد اخترتها یا امیر امرمنین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خذ لذلک أهبتک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فصلّی رکعتین، الحدیث</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قریبٌ منها مرسلة</w:t>
      </w:r>
      <w:r>
        <w:rPr>
          <w:rStyle w:val="FootnoteAnchor"/>
          <w:rtl w:val="true"/>
        </w:rPr>
        <w:footnoteReference w:id="1068"/>
      </w:r>
      <w:r>
        <w:rPr>
          <w:rFonts w:ascii="IRNazanin" w:hAnsi="IRNazanin" w:eastAsia="IRNazanin"/>
          <w:color w:val="111111"/>
          <w:sz w:val="28"/>
          <w:sz w:val="28"/>
          <w:szCs w:val="28"/>
          <w:rtl w:val="true"/>
          <w:lang w:bidi="fa-IR"/>
        </w:rPr>
        <w:t xml:space="preserve">ارشاد القلوب لکن بدل الأهداب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هدم جدار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یدلّ علی الرّجم معتبرتا</w:t>
      </w:r>
      <w:r>
        <w:rPr>
          <w:rStyle w:val="FootnoteAnchor"/>
          <w:rtl w:val="true"/>
        </w:rPr>
        <w:footnoteReference w:id="1069"/>
      </w:r>
      <w:r>
        <w:rPr>
          <w:rFonts w:ascii="IRNazanin" w:hAnsi="IRNazanin" w:eastAsia="IRNazanin"/>
          <w:color w:val="111111"/>
          <w:sz w:val="28"/>
          <w:sz w:val="28"/>
          <w:szCs w:val="28"/>
          <w:rtl w:val="true"/>
          <w:lang w:bidi="fa-IR"/>
        </w:rPr>
        <w:t>الحسین بن علوان و یزید</w:t>
      </w:r>
      <w:r>
        <w:rPr>
          <w:rStyle w:val="FootnoteAnchor"/>
          <w:rtl w:val="true"/>
        </w:rPr>
        <w:footnoteReference w:id="1070"/>
      </w:r>
      <w:r>
        <w:rPr>
          <w:rFonts w:ascii="IRNazanin" w:hAnsi="IRNazanin" w:eastAsia="IRNazanin"/>
          <w:color w:val="111111"/>
          <w:sz w:val="28"/>
          <w:sz w:val="28"/>
          <w:szCs w:val="28"/>
          <w:rtl w:val="true"/>
          <w:lang w:bidi="fa-IR"/>
        </w:rPr>
        <w:t>بن عبدالملک و صحیحة</w:t>
      </w:r>
      <w:r>
        <w:rPr>
          <w:rStyle w:val="FootnoteAnchor"/>
          <w:rtl w:val="true"/>
        </w:rPr>
        <w:footnoteReference w:id="1071"/>
      </w:r>
      <w:r>
        <w:rPr>
          <w:rFonts w:ascii="IRNazanin" w:hAnsi="IRNazanin" w:eastAsia="IRNazanin"/>
          <w:color w:val="111111"/>
          <w:sz w:val="28"/>
          <w:sz w:val="28"/>
          <w:szCs w:val="28"/>
          <w:rtl w:val="true"/>
          <w:lang w:bidi="fa-IR"/>
        </w:rPr>
        <w:t>ابن ابی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الأولی عن جعفر بن محمّد عن ابیه عن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یقول فی اللّوطی ان کان محصناً رُجم و ان لم یکن محصناً جلد الحدّ و قریب منها ضعیفة</w:t>
      </w:r>
      <w:r>
        <w:rPr>
          <w:rStyle w:val="FootnoteAnchor"/>
          <w:rtl w:val="true"/>
        </w:rPr>
        <w:footnoteReference w:id="1072"/>
      </w:r>
      <w:r>
        <w:rPr>
          <w:rFonts w:ascii="IRNazanin" w:hAnsi="IRNazanin" w:eastAsia="IRNazanin"/>
          <w:color w:val="111111"/>
          <w:sz w:val="28"/>
          <w:sz w:val="28"/>
          <w:szCs w:val="28"/>
          <w:rtl w:val="true"/>
          <w:lang w:bidi="fa-IR"/>
        </w:rPr>
        <w:t xml:space="preserve">ابی البختری و فی الثّانیة قال سمعت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الرّجم علی النّاکح و المنکوح ذکراً کان او انثی اذا کانا محصنین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الثّالثة</w:t>
      </w:r>
      <w:r>
        <w:rPr>
          <w:rStyle w:val="FootnoteAnchor"/>
          <w:rtl w:val="true"/>
        </w:rPr>
        <w:footnoteReference w:id="1073"/>
      </w:r>
      <w:r>
        <w:rPr>
          <w:rFonts w:ascii="IRNazanin" w:hAnsi="IRNazanin" w:eastAsia="IRNazanin"/>
          <w:color w:val="111111"/>
          <w:sz w:val="28"/>
          <w:sz w:val="28"/>
          <w:szCs w:val="28"/>
          <w:rtl w:val="true"/>
          <w:lang w:bidi="fa-IR"/>
        </w:rPr>
        <w:t xml:space="preserve">عن عدّة من اصحابنا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الذی یوقب انّ علیه الرّجم ان کان محصناً، و علیه الجلد ان لم یکن محصناً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صحیحة</w:t>
      </w:r>
      <w:r>
        <w:rPr>
          <w:rStyle w:val="FootnoteAnchor"/>
          <w:rtl w:val="true"/>
        </w:rPr>
        <w:footnoteReference w:id="1074"/>
      </w:r>
      <w:r>
        <w:rPr>
          <w:rFonts w:ascii="IRNazanin" w:hAnsi="IRNazanin" w:eastAsia="IRNazanin"/>
          <w:color w:val="111111"/>
          <w:sz w:val="28"/>
          <w:sz w:val="28"/>
          <w:szCs w:val="28"/>
          <w:rtl w:val="true"/>
          <w:lang w:bidi="fa-IR"/>
        </w:rPr>
        <w:t xml:space="preserve">العلاء بن الفُضیل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الأصحّ لمحمّد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الّلُوطی مثل حدّ الزّانی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ان کان قد احصن رجم و الاّ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الرّجم معتبرة</w:t>
      </w:r>
      <w:r>
        <w:rPr>
          <w:rStyle w:val="FootnoteAnchor"/>
          <w:rtl w:val="true"/>
        </w:rPr>
        <w:footnoteReference w:id="1075"/>
      </w:r>
      <w:r>
        <w:rPr>
          <w:rFonts w:ascii="IRNazanin" w:hAnsi="IRNazanin" w:eastAsia="IRNazanin"/>
          <w:color w:val="111111"/>
          <w:sz w:val="28"/>
          <w:sz w:val="28"/>
          <w:szCs w:val="28"/>
          <w:rtl w:val="true"/>
          <w:lang w:bidi="fa-IR"/>
        </w:rPr>
        <w:t xml:space="preserve">السّکونی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ینبغی لأحد ان یرجم مرّتین لرجم اللّوطی و نحوها روایة الجعفریّات</w:t>
      </w:r>
      <w:r>
        <w:rPr>
          <w:rStyle w:val="FootnoteAnchor"/>
          <w:rtl w:val="true"/>
        </w:rPr>
        <w:footnoteReference w:id="10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وورد الرّجم مع الاحصان فی الثّقب فی صحیحة</w:t>
      </w:r>
      <w:r>
        <w:rPr>
          <w:rStyle w:val="FootnoteAnchor"/>
          <w:rtl w:val="true"/>
        </w:rPr>
        <w:footnoteReference w:id="1077"/>
      </w:r>
      <w:r>
        <w:rPr>
          <w:rFonts w:ascii="IRNazanin" w:hAnsi="IRNazanin" w:eastAsia="IRNazanin"/>
          <w:color w:val="111111"/>
          <w:sz w:val="28"/>
          <w:sz w:val="28"/>
          <w:szCs w:val="28"/>
          <w:rtl w:val="true"/>
          <w:lang w:bidi="fa-IR"/>
        </w:rPr>
        <w:t xml:space="preserve">ابی بصیر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کتاب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الحدّ الخامس و هو القاء حدار علیه فقد ذکره فی المبسوط</w:t>
      </w:r>
      <w:r>
        <w:rPr>
          <w:rStyle w:val="FootnoteAnchor"/>
          <w:rtl w:val="true"/>
        </w:rPr>
        <w:footnoteReference w:id="1078"/>
      </w:r>
      <w:r>
        <w:rPr>
          <w:rFonts w:ascii="Amiri" w:hAnsi="Amiri" w:eastAsia="Amiri" w:cs="Amiri"/>
          <w:color w:val="111111"/>
          <w:sz w:val="28"/>
          <w:sz w:val="28"/>
          <w:szCs w:val="28"/>
          <w:rtl w:val="true"/>
          <w:lang w:bidi="ar-SA"/>
        </w:rPr>
        <w:t>و السّرائر</w:t>
      </w:r>
      <w:r>
        <w:rPr>
          <w:rStyle w:val="FootnoteAnchor"/>
          <w:rtl w:val="true"/>
        </w:rPr>
        <w:footnoteReference w:id="1079"/>
      </w:r>
      <w:r>
        <w:rPr>
          <w:rFonts w:ascii="IRNazanin" w:hAnsi="IRNazanin" w:eastAsia="IRNazanin"/>
          <w:color w:val="111111"/>
          <w:sz w:val="28"/>
          <w:sz w:val="28"/>
          <w:szCs w:val="28"/>
          <w:rtl w:val="true"/>
          <w:lang w:bidi="fa-IR"/>
        </w:rPr>
        <w:t>و الأنتصار</w:t>
      </w:r>
      <w:r>
        <w:rPr>
          <w:rStyle w:val="FootnoteAnchor"/>
          <w:rtl w:val="true"/>
        </w:rPr>
        <w:footnoteReference w:id="1080"/>
      </w:r>
      <w:r>
        <w:rPr>
          <w:rFonts w:ascii="Amiri" w:hAnsi="Amiri" w:eastAsia="Amiri" w:cs="Amiri"/>
          <w:color w:val="111111"/>
          <w:sz w:val="28"/>
          <w:sz w:val="28"/>
          <w:szCs w:val="28"/>
          <w:rtl w:val="true"/>
          <w:lang w:bidi="ar-SA"/>
        </w:rPr>
        <w:t>و القواعد و الشّرایع و الّلمعتین و مهذّب السّیّد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السّبزواری و فی الجواهر انّه المشهور و فی کشف الّلثام ذکره الشّیخان و الأکثر، و قد سبق عن الأنتصار</w:t>
      </w:r>
      <w:r>
        <w:rPr>
          <w:rStyle w:val="FootnoteAnchor"/>
          <w:rtl w:val="true"/>
        </w:rPr>
        <w:footnoteReference w:id="1081"/>
      </w:r>
      <w:r>
        <w:rPr>
          <w:rFonts w:ascii="IRNazanin" w:hAnsi="IRNazanin" w:eastAsia="IRNazanin"/>
          <w:color w:val="111111"/>
          <w:sz w:val="28"/>
          <w:sz w:val="28"/>
          <w:szCs w:val="28"/>
          <w:rtl w:val="true"/>
          <w:lang w:bidi="fa-IR"/>
        </w:rPr>
        <w:t>دعوی الأجماع علی الأمور الخمسة کالمحکیّ عن الغنیة و عن السّرائر</w:t>
      </w:r>
      <w:r>
        <w:rPr>
          <w:rStyle w:val="FootnoteAnchor"/>
          <w:rtl w:val="true"/>
        </w:rPr>
        <w:footnoteReference w:id="1082"/>
      </w:r>
      <w:r>
        <w:rPr>
          <w:rFonts w:ascii="IRNazanin" w:hAnsi="IRNazanin" w:eastAsia="IRNazanin"/>
          <w:color w:val="111111"/>
          <w:sz w:val="28"/>
          <w:sz w:val="28"/>
          <w:szCs w:val="28"/>
          <w:rtl w:val="true"/>
          <w:lang w:bidi="fa-IR"/>
        </w:rPr>
        <w:t>نفی الخلاف و لم یرد فی الأخبار الاّ فی فقه</w:t>
      </w:r>
      <w:r>
        <w:rPr>
          <w:rStyle w:val="FootnoteAnchor"/>
          <w:rtl w:val="true"/>
        </w:rPr>
        <w:footnoteReference w:id="1083"/>
      </w: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اللّواطة الکبری ضربة بالسّیف او هدمة او طرح الجدار و هی الأیقاب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الصّغری مائة جلدة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انّ اللّواط هو التّفخیذ و انّ علی فاعله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الأیقاب الکفر بالله و لیس العمل علی هذا،  انّما العمل علی الأوّل فی اللّواطة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فیمکن حصول الوثوق بتخییر الأمام بین هذه الأمور الخمسة ممّا ذکر، و ان کان مجال الأشکال فی کلّ واحد ممّا ذکر دلیلاً للخامس واسعاً لعدم حجّیّة شهرة الفتوی و لا ذهاب الاکثر الی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عدم استنتاج رأی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اجماع الأنتصار و لا نفی خلاف السّرائر، فان حصل الأعتماد علی ذلک و الاّ فیمکن الأستناد فی جواز القاء الجدار علیه بحیث یموت به الی مادلّ علی کون حدّه القتل و هذا احد اقسامه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تذییل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فی غیر واحد من هذه الرّوایات من تقیید الرّجم باحصان الفاعل فغیر معمول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المجلسیّ فی المرآة</w:t>
      </w:r>
      <w:r>
        <w:rPr>
          <w:rStyle w:val="FootnoteAnchor"/>
          <w:rtl w:val="true"/>
        </w:rPr>
        <w:footnoteReference w:id="1084"/>
      </w:r>
      <w:r>
        <w:rPr>
          <w:rFonts w:ascii="IRNazanin" w:hAnsi="IRNazanin" w:eastAsia="IRNazanin"/>
          <w:color w:val="111111"/>
          <w:sz w:val="28"/>
          <w:sz w:val="28"/>
          <w:szCs w:val="28"/>
          <w:rtl w:val="true"/>
          <w:lang w:bidi="fa-IR"/>
        </w:rPr>
        <w:t>لم یعمل بها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الجواهر نفی الخلاف فیه بیننا و فی عدم الفرق بین المحصن و غیره بل الأجماع بقسمیه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فیمکن حمله علی التّقیّة</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ما فی المبانی من تقیید اطلاقات قتل اللاّئط بما دلّ علی الفرق بین المحصن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و غیره فیقتل الاوّل او یرجم و یجلد الثّانی و النّتیجة اختاصص الرّجم او القتل لسایر الأمور الأربعة غیر القاء الجدار علیه بالمحصن و غیره یجلد و لا مجال لقتله فهو صحیح علی مبناه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سقوط اعتبار الرّوایة بالاعراض، لکنّه لایتّم علی التّحقیق من ذهاب الوثوق بالتّقیید او بما اشتمل علیه من الرّوایات تکویناً و هو امرٌ وجدانیّ و لا نقول و لا نعمل بالخبر الواحد و ان صحّت اسانیده و بلغ ما بلغ من الأعتبار سنداً اذا خالفه الفقهاء کلّهم کما فی المقام اذ لا منی لغفلتهم عن هذا الجمع الدّلالّی الواضح البیّن بین الأطلاقات و التّقییدات و فیهم فطاحل العلماء و اعاظم الفقهاء و ارکان المذهب و اساطین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الأیقاب فی القواعد بغیبوبة الحشفة و فی الرّوضة و عن الرّیاض انّ ظاهر هم الإتّفاق علی ذلک و ان اکتفوا ببعضها فی تحریم امّه واخته و بنته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خلاف اطلاق النّصوص لأشتمالها علی الأیقاب و الثّقب و النّاکح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اطلاقها بدخول مادون کلّ الحشفة واضح و صاحب الرّوضة ردّ علی القواعد بانّ مطلق الأیقاب لا یدلّ  علی ذلک کما اعترف فی الکشف باطلاق النّصوص و الفتاوی لما دون الحشفة و احتمل الأحتیاط فی کلام القواعد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ماودر فی معتبرة</w:t>
      </w:r>
      <w:r>
        <w:rPr>
          <w:rStyle w:val="FootnoteAnchor"/>
          <w:rtl w:val="true"/>
        </w:rPr>
        <w:footnoteReference w:id="1085"/>
      </w:r>
      <w:r>
        <w:rPr>
          <w:rFonts w:ascii="IRNazanin" w:hAnsi="IRNazanin" w:eastAsia="IRNazanin"/>
          <w:color w:val="111111"/>
          <w:sz w:val="28"/>
          <w:sz w:val="28"/>
          <w:szCs w:val="28"/>
          <w:rtl w:val="true"/>
          <w:lang w:bidi="fa-IR"/>
        </w:rPr>
        <w:t>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اتی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ان کان محصناً القتل و ان لم یکن محصناً فعلیه الجلد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حمل صدرها علی التّفصیل المذکور فی سایر الرّوایات</w:t>
      </w:r>
      <w:bookmarkStart w:id="378" w:name="pg3023_22699"/>
    </w:p>
    <w:p>
      <w:pPr>
        <w:pStyle w:val="Heading4"/>
        <w:numPr>
          <w:ilvl w:val="3"/>
          <w:numId w:val="1"/>
        </w:numPr>
        <w:rPr/>
      </w:pPr>
      <w:bookmarkStart w:id="379" w:name="__RefHeading___Toc656899_2749589250"/>
      <w:bookmarkStart w:id="380" w:name="_Toc136"/>
      <w:bookmarkEnd w:id="378"/>
      <w:bookmarkEnd w:id="379"/>
      <w:r>
        <w:rPr>
          <w:rtl w:val="true"/>
        </w:rPr>
        <w:t>بدون الایقاب فیه جلده مأة</w:t>
      </w:r>
      <w:bookmarkEnd w:id="380"/>
    </w:p>
    <w:p>
      <w:pPr>
        <w:pStyle w:val="BookText"/>
        <w:rPr/>
      </w:pPr>
      <w:r>
        <w:rPr>
          <w:rFonts w:ascii="IRNazanin" w:hAnsi="IRNazanin" w:eastAsia="IRNazanin"/>
          <w:color w:val="111111"/>
          <w:sz w:val="28"/>
          <w:sz w:val="28"/>
          <w:szCs w:val="28"/>
          <w:rtl w:val="true"/>
          <w:lang w:bidi="fa-IR"/>
        </w:rPr>
        <w:t xml:space="preserve">و ان کان بدون الأیقاب ففی الحدّ القوال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 الی المشهور انّه جلد مأة، و قیل باتّفصیل بین المحصن فالرّجم، و غیره فالجلد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بالقتل مطلقاً، و المشهور هو المنصور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فی الأیقاب من انحاء القتل و جواب الذّیل هو الجواب عن غیره من الرّوایات المتقدّمة المفصّلة بین المحصن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التّقیید بصورة الأیقاب لأطلاقه له و غیره فبعید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من البحثین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اللّواط بدون الأیقاب کالتّفخیذ و بین الألیتین ففی الحدّ اقوال فعن جماعة بل نسب الی المشهور انّه مأة جلدة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الشّیخ فی کتابی الأخبار و محکیّ نهایته و فی الخلاف</w:t>
      </w:r>
      <w:r>
        <w:rPr>
          <w:rStyle w:val="FootnoteAnchor"/>
          <w:rtl w:val="true"/>
        </w:rPr>
        <w:footnoteReference w:id="1086"/>
      </w:r>
      <w:r>
        <w:rPr>
          <w:rFonts w:ascii="IRNazanin" w:hAnsi="IRNazanin" w:eastAsia="IRNazanin"/>
          <w:color w:val="111111"/>
          <w:sz w:val="28"/>
          <w:sz w:val="28"/>
          <w:szCs w:val="28"/>
          <w:rtl w:val="true"/>
          <w:lang w:bidi="fa-IR"/>
        </w:rPr>
        <w:t>و المبسوط</w:t>
      </w:r>
      <w:r>
        <w:rPr>
          <w:rStyle w:val="FootnoteAnchor"/>
          <w:rtl w:val="true"/>
        </w:rPr>
        <w:footnoteReference w:id="1087"/>
      </w:r>
      <w:r>
        <w:rPr>
          <w:rFonts w:ascii="IRNazanin" w:hAnsi="IRNazanin" w:eastAsia="IRNazanin"/>
          <w:color w:val="111111"/>
          <w:sz w:val="28"/>
          <w:sz w:val="28"/>
          <w:szCs w:val="28"/>
          <w:rtl w:val="true"/>
          <w:lang w:bidi="fa-IR"/>
        </w:rPr>
        <w:t>و عن القاضی و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المحصن فالرّجم، و غیره فالجلد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بسق عبارة الخلاف و المبسوط ص </w:t>
      </w:r>
      <w:r>
        <w:rPr>
          <w:rFonts w:eastAsia="IRNazanin" w:cs="IRNazanin"/>
          <w:color w:val="111111"/>
          <w:sz w:val="28"/>
          <w:szCs w:val="28"/>
          <w:lang w:bidi="fa-IR"/>
        </w:rPr>
        <w:t>283/285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الصّدوقین و الأسکافی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 مطلقاً</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المشهور هو المنصور، و اختاره فی المبانی و المهذّب، و استدلّ علیه کما فی المبانی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بصحیحة ابی بصیر</w:t>
      </w:r>
      <w:r>
        <w:rPr>
          <w:rStyle w:val="FootnoteAnchor"/>
          <w:rtl w:val="true"/>
        </w:rPr>
        <w:footnoteReference w:id="1088"/>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فی کتاب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اذا اخذ الرّجل مع غلام فی لحاف مجرّدین ضرب الرّجل و ادّب الغلام، و ان کان ثقب و کان محصناً 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بدعوی ظهور الضّرب فی الحدّ، و هو جلد مأة، بقرینة ذکر التّأدیب فی الغلام، و التّفصیل بین الرّجم و 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ظهور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کان ثقب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الشّقّ وقوع شیء لا یبلغ الثّقب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سلّم الأطلاق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فیقیّد بالتّفخیذ بقرینة الرّوایات الواردة فی نو مهما فی لحاف واحد مجرّدین،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و انّه لیس فیه جلد مأة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 الحکم روایة سلیمان بن هلال</w:t>
      </w:r>
      <w:r>
        <w:rPr>
          <w:rStyle w:val="FootnoteAnchor"/>
          <w:rtl w:val="true"/>
        </w:rPr>
        <w:footnoteReference w:id="10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یفعل بالرّجل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دون الثّقب فالجلد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ثقب اقیم قائماً ثمّ ضرب بالسّیف ضربة اخذ السّیف منه ما 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هو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هو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مرفوعة ابی یحیی الواسطی</w:t>
      </w:r>
      <w:r>
        <w:rPr>
          <w:rStyle w:val="FootnoteAnchor"/>
          <w:rtl w:val="true"/>
        </w:rPr>
        <w:footnoteReference w:id="109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رجلین یتفاخذان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هما حدّ الزّانی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ادعم احد هما علی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الدّاعم ضربة بالسّیف اخذت منه ما اخذت و ترکت ما ترکت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بها مقتله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الدّاعم علیه یحرق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الحکم مارواه احمد بن محمّد بن عیسی</w:t>
      </w:r>
      <w:r>
        <w:rPr>
          <w:rStyle w:val="FootnoteAnchor"/>
          <w:rtl w:val="true"/>
        </w:rPr>
        <w:footnoteReference w:id="1091"/>
      </w:r>
      <w:r>
        <w:rPr>
          <w:rFonts w:ascii="IRNazanin" w:hAnsi="IRNazanin" w:eastAsia="IRNazanin"/>
          <w:color w:val="111111"/>
          <w:sz w:val="28"/>
          <w:sz w:val="28"/>
          <w:szCs w:val="28"/>
          <w:rtl w:val="true"/>
          <w:lang w:bidi="fa-IR"/>
        </w:rPr>
        <w:t xml:space="preserve">فی نوادره عن ابی بصیر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الّلوطی،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مأة جلدة، بعد تقییده بالموقب فیبقی غیره و یجلد مأة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فی صریح الجعفریّات فی روایتین</w:t>
      </w:r>
      <w:r>
        <w:rPr>
          <w:rStyle w:val="FootnoteAnchor"/>
          <w:rtl w:val="true"/>
        </w:rPr>
        <w:footnoteReference w:id="1092"/>
      </w:r>
      <w:r>
        <w:rPr>
          <w:rFonts w:ascii="IRNazanin" w:hAnsi="IRNazanin" w:eastAsia="IRNazanin"/>
          <w:color w:val="111111"/>
          <w:sz w:val="28"/>
          <w:sz w:val="28"/>
          <w:szCs w:val="28"/>
          <w:rtl w:val="true"/>
          <w:lang w:bidi="fa-IR"/>
        </w:rPr>
        <w:t>و</w:t>
      </w:r>
      <w:r>
        <w:rPr>
          <w:rStyle w:val="FootnoteAnchor"/>
          <w:rtl w:val="true"/>
        </w:rPr>
        <w:footnoteReference w:id="1093"/>
      </w:r>
      <w:r>
        <w:rPr>
          <w:rFonts w:ascii="IRNazanin" w:hAnsi="IRNazanin" w:eastAsia="IRNazanin"/>
          <w:color w:val="111111"/>
          <w:sz w:val="28"/>
          <w:sz w:val="28"/>
          <w:szCs w:val="28"/>
          <w:rtl w:val="true"/>
          <w:lang w:bidi="fa-IR"/>
        </w:rPr>
        <w:t>اطلاقها فی ثالثة</w:t>
      </w:r>
      <w:r>
        <w:rPr>
          <w:rStyle w:val="FootnoteAnchor"/>
          <w:rtl w:val="true"/>
        </w:rPr>
        <w:footnoteReference w:id="1094"/>
      </w:r>
      <w:r>
        <w:rPr>
          <w:rFonts w:ascii="IRNazanin" w:hAnsi="IRNazanin" w:eastAsia="IRNazanin"/>
          <w:color w:val="111111"/>
          <w:sz w:val="28"/>
          <w:sz w:val="28"/>
          <w:szCs w:val="28"/>
          <w:rtl w:val="true"/>
          <w:lang w:bidi="fa-IR"/>
        </w:rPr>
        <w:t>و اطلاق ما عن الدّعائم</w:t>
      </w:r>
      <w:r>
        <w:rPr>
          <w:rStyle w:val="FootnoteAnchor"/>
          <w:rtl w:val="true"/>
        </w:rPr>
        <w:footnoteReference w:id="1095"/>
      </w:r>
      <w:r>
        <w:rPr>
          <w:rFonts w:ascii="IRNazanin" w:hAnsi="IRNazanin" w:eastAsia="IRNazanin"/>
          <w:color w:val="111111"/>
          <w:sz w:val="28"/>
          <w:sz w:val="28"/>
          <w:szCs w:val="28"/>
          <w:rtl w:val="true"/>
          <w:lang w:bidi="fa-IR"/>
        </w:rPr>
        <w:t>من ثبوت الرّجم او القتل لغیر المحصن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فضعیف الأسناد، لاعبرة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الأستدلال للتّفصیل مضافاً الی ما قیل من انّه طریق الجمع بین مادلّ علی انّ حدّه حدّ الزّانی کمعتبرة زرارة</w:t>
      </w:r>
      <w:r>
        <w:rPr>
          <w:rStyle w:val="FootnoteAnchor"/>
          <w:rtl w:val="true"/>
        </w:rPr>
        <w:footnoteReference w:id="1096"/>
      </w:r>
      <w:r>
        <w:rPr>
          <w:rFonts w:ascii="IRNazanin" w:hAnsi="IRNazanin" w:eastAsia="IRNazanin"/>
          <w:color w:val="111111"/>
          <w:sz w:val="28"/>
          <w:sz w:val="28"/>
          <w:szCs w:val="28"/>
          <w:rtl w:val="true"/>
          <w:lang w:bidi="fa-IR"/>
        </w:rPr>
        <w:t xml:space="preserve">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المتلوّط حدّ حدّ الزّانی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فی الوافی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کشف الّلثام</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 الوسائل و المرأة </w:t>
      </w:r>
      <w:r>
        <w:rPr>
          <w:rFonts w:eastAsia="IRNazanin" w:cs="IRNazanin"/>
          <w:color w:val="111111"/>
          <w:sz w:val="28"/>
          <w:szCs w:val="28"/>
          <w:rtl w:val="true"/>
          <w:lang w:bidi="fa-IR"/>
        </w:rPr>
        <w:t>(</w:t>
      </w:r>
      <w:r>
        <w:rPr>
          <w:rFonts w:eastAsia="IRNazanin" w:cs="IRNazanin"/>
          <w:color w:val="111111"/>
          <w:sz w:val="28"/>
          <w:szCs w:val="28"/>
          <w:lang w:bidi="fa-IR"/>
        </w:rPr>
        <w:t>23/305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الرّوضة </w:t>
      </w:r>
      <w:r>
        <w:rPr>
          <w:rFonts w:eastAsia="IRNazanin" w:cs="IRNazanin"/>
          <w:color w:val="111111"/>
          <w:sz w:val="28"/>
          <w:szCs w:val="28"/>
          <w:rtl w:val="true"/>
          <w:lang w:bidi="fa-IR"/>
        </w:rPr>
        <w:t>(</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الملوط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الأخیر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المتلوط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دلّ علی انّه القتل بحمل الأوّل علی غیر الموقب و الأخیر</w:t>
      </w:r>
      <w:bookmarkStart w:id="381" w:name="pg3023_22703"/>
    </w:p>
    <w:p>
      <w:pPr>
        <w:pStyle w:val="Heading4"/>
        <w:numPr>
          <w:ilvl w:val="3"/>
          <w:numId w:val="1"/>
        </w:numPr>
        <w:rPr/>
      </w:pPr>
      <w:bookmarkStart w:id="382" w:name="__RefHeading___Toc656901_2749589250"/>
      <w:bookmarkStart w:id="383" w:name="_Toc137"/>
      <w:bookmarkEnd w:id="381"/>
      <w:bookmarkEnd w:id="382"/>
      <w:r>
        <w:rPr>
          <w:rtl w:val="true"/>
        </w:rPr>
        <w:t>انتصاف الحدّ فی العبد</w:t>
      </w:r>
      <w:bookmarkEnd w:id="383"/>
    </w:p>
    <w:p>
      <w:pPr>
        <w:pStyle w:val="BookText"/>
        <w:rPr/>
      </w:pPr>
      <w:r>
        <w:rPr>
          <w:rFonts w:ascii="Amiri" w:hAnsi="Amiri" w:eastAsia="Amiri" w:cs="Amiri"/>
          <w:color w:val="111111"/>
          <w:sz w:val="28"/>
          <w:sz w:val="28"/>
          <w:szCs w:val="28"/>
          <w:rtl w:val="true"/>
          <w:lang w:bidi="ar-SA"/>
        </w:rPr>
        <w:t xml:space="preserve">و ینصّف الحدّ فی العبد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سبق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معتبرة علاء بن الفضیل</w:t>
      </w:r>
      <w:r>
        <w:rPr>
          <w:rStyle w:val="FootnoteAnchor"/>
          <w:rtl w:val="true"/>
        </w:rPr>
        <w:footnoteReference w:id="1097"/>
      </w:r>
      <w:r>
        <w:rPr>
          <w:rFonts w:ascii="IRNazanin" w:hAnsi="IRNazanin" w:eastAsia="IRNazanin"/>
          <w:color w:val="111111"/>
          <w:sz w:val="28"/>
          <w:sz w:val="28"/>
          <w:szCs w:val="28"/>
          <w:rtl w:val="true"/>
          <w:lang w:bidi="fa-IR"/>
        </w:rPr>
        <w:t xml:space="preserve">، من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 قد احصن رجم و الاّ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للصّدوقین و الأسکافی معتبرة السّکونیّ</w:t>
      </w:r>
      <w:r>
        <w:rPr>
          <w:rStyle w:val="FootnoteAnchor"/>
          <w:rtl w:val="true"/>
        </w:rPr>
        <w:footnoteReference w:id="1098"/>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الّواط مادون الدّبر، و الدّبر هو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قریب منها روایة حذیفة بن المنصور</w:t>
      </w:r>
      <w:r>
        <w:rPr>
          <w:rStyle w:val="FootnoteAnchor"/>
          <w:rtl w:val="true"/>
        </w:rPr>
        <w:footnoteReference w:id="1099"/>
      </w:r>
      <w:r>
        <w:rPr>
          <w:rFonts w:ascii="IRNazanin" w:hAnsi="IRNazanin" w:eastAsia="IRNazanin"/>
          <w:color w:val="111111"/>
          <w:sz w:val="28"/>
          <w:sz w:val="28"/>
          <w:szCs w:val="28"/>
          <w:rtl w:val="true"/>
          <w:lang w:bidi="fa-IR"/>
        </w:rPr>
        <w:t>و ما فی ذیل صحیحة الحسین بن سعید</w:t>
      </w:r>
      <w:r>
        <w:rPr>
          <w:rStyle w:val="FootnoteAnchor"/>
          <w:rtl w:val="true"/>
        </w:rPr>
        <w:footnoteReference w:id="1100"/>
      </w:r>
      <w:r>
        <w:rPr>
          <w:rFonts w:ascii="IRNazanin" w:hAnsi="IRNazanin" w:eastAsia="IRNazanin"/>
          <w:color w:val="111111"/>
          <w:sz w:val="28"/>
          <w:sz w:val="28"/>
          <w:szCs w:val="28"/>
          <w:rtl w:val="true"/>
          <w:lang w:bidi="fa-IR"/>
        </w:rPr>
        <w:t>و کتب ایضاً هذا الرّجل و لم ار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 رجلین نکح احد هما الآخر طوعاً بین فخذیه ما توبته؟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یضعّف مختار الصّدوقین عدم العمل بما هو ظاهر المعتبرة</w:t>
      </w:r>
      <w:r>
        <w:rPr>
          <w:rStyle w:val="FootnoteAnchor"/>
          <w:rtl w:val="true"/>
        </w:rPr>
        <w:footnoteReference w:id="1101"/>
      </w:r>
      <w:r>
        <w:rPr>
          <w:rFonts w:ascii="IRNazanin" w:hAnsi="IRNazanin" w:eastAsia="IRNazanin"/>
          <w:color w:val="111111"/>
          <w:sz w:val="28"/>
          <w:sz w:val="28"/>
          <w:szCs w:val="28"/>
          <w:rtl w:val="true"/>
          <w:lang w:bidi="fa-IR"/>
        </w:rPr>
        <w:t>من ترتیب آثار الکفر، منها القتل، و لو علی بعض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المبالغی فی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حجّیّة الجواب فی الصّحیحة، لعدم رؤیته، لو سلّم انّ المکتوب الیه هو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عدم اعتبار روایة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یضعّف التّفصیل بین المحصن و غیره؛ بالرّجم و الجلد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کون الجم المذکور جمعاً عرفیّاً، و حمل حدّ الزّانی فی الخبرین علی الجلد مأة، مع انّهما مطلقان یقیّدان بالموقب، مع الأشکال فی معتبرة زرارة، لأحتمال ورودها فی الملوط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 المشهور هو الأوفق و الأنسب بالرّوایات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نکتة</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کلا مهم فی جلد مأة لدون الأیقاب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یشمل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تقدّم فی</w:t>
      </w:r>
      <w:bookmarkStart w:id="384" w:name="pg3023_22705"/>
    </w:p>
    <w:p>
      <w:pPr>
        <w:pStyle w:val="Heading4"/>
        <w:numPr>
          <w:ilvl w:val="3"/>
          <w:numId w:val="1"/>
        </w:numPr>
        <w:rPr/>
      </w:pPr>
      <w:bookmarkStart w:id="385" w:name="__RefHeading___Toc656903_2749589250"/>
      <w:bookmarkStart w:id="386" w:name="_Toc138"/>
      <w:bookmarkEnd w:id="384"/>
      <w:bookmarkEnd w:id="385"/>
      <w:r>
        <w:rPr>
          <w:rtl w:val="true"/>
        </w:rPr>
        <w:t>الملوط یقتل مع الایقاب</w:t>
      </w:r>
      <w:bookmarkEnd w:id="386"/>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الملوط فمع الأیقاب یقتل مطلقاً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باب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مادلّ علی تنصیف حدّ العبد فی حقوق الله، من صحیحتی</w:t>
      </w:r>
      <w:r>
        <w:rPr>
          <w:rStyle w:val="FootnoteAnchor"/>
          <w:rtl w:val="true"/>
        </w:rPr>
        <w:footnoteReference w:id="1102"/>
      </w:r>
      <w:r>
        <w:rPr>
          <w:rFonts w:ascii="IRNazanin" w:hAnsi="IRNazanin" w:eastAsia="IRNazanin"/>
          <w:color w:val="111111"/>
          <w:sz w:val="28"/>
          <w:sz w:val="28"/>
          <w:szCs w:val="28"/>
          <w:rtl w:val="true"/>
          <w:lang w:bidi="fa-IR"/>
        </w:rPr>
        <w:t xml:space="preserve">و </w:t>
      </w:r>
      <w:r>
        <w:rPr>
          <w:rStyle w:val="FootnoteAnchor"/>
          <w:rtl w:val="true"/>
        </w:rPr>
        <w:footnoteReference w:id="1103"/>
      </w:r>
      <w:r>
        <w:rPr>
          <w:rFonts w:ascii="IRNazanin" w:hAnsi="IRNazanin" w:eastAsia="IRNazanin"/>
          <w:color w:val="111111"/>
          <w:sz w:val="28"/>
          <w:sz w:val="28"/>
          <w:szCs w:val="28"/>
          <w:rtl w:val="true"/>
          <w:lang w:bidi="fa-IR"/>
        </w:rPr>
        <w:t>سلیمان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روایتی</w:t>
      </w:r>
      <w:r>
        <w:rPr>
          <w:rStyle w:val="FootnoteAnchor"/>
          <w:rtl w:val="true"/>
        </w:rPr>
        <w:footnoteReference w:id="1104"/>
      </w:r>
      <w:r>
        <w:rPr>
          <w:rFonts w:ascii="IRNazanin" w:hAnsi="IRNazanin" w:eastAsia="IRNazanin"/>
          <w:color w:val="111111"/>
          <w:sz w:val="28"/>
          <w:sz w:val="28"/>
          <w:szCs w:val="28"/>
          <w:rtl w:val="true"/>
          <w:lang w:bidi="fa-IR"/>
        </w:rPr>
        <w:t xml:space="preserve">و </w:t>
      </w:r>
      <w:r>
        <w:rPr>
          <w:rStyle w:val="FootnoteAnchor"/>
          <w:rtl w:val="true"/>
        </w:rPr>
        <w:footnoteReference w:id="1105"/>
      </w:r>
      <w:r>
        <w:rPr>
          <w:rFonts w:ascii="IRNazanin" w:hAnsi="IRNazanin" w:eastAsia="IRNazanin"/>
          <w:color w:val="111111"/>
          <w:sz w:val="28"/>
          <w:sz w:val="28"/>
          <w:szCs w:val="28"/>
          <w:rtl w:val="true"/>
          <w:lang w:bidi="fa-IR"/>
        </w:rPr>
        <w:t xml:space="preserve">عبدالله بن سنان و القاسم بن سلیمان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تفسیر العیّاشی، فی الآیة الکریمة، فأذا احصنّ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لذلک، بلا اختصاص له بذالک الباب، کما یظهر من الأطلاق فی صحیحة العرزمیّ</w:t>
      </w:r>
      <w:r>
        <w:rPr>
          <w:rStyle w:val="FootnoteAnchor"/>
          <w:rtl w:val="true"/>
        </w:rPr>
        <w:footnoteReference w:id="1106"/>
      </w:r>
      <w:r>
        <w:rPr>
          <w:rFonts w:ascii="IRNazanin" w:hAnsi="IRNazanin" w:eastAsia="IRNazanin"/>
          <w:color w:val="111111"/>
          <w:sz w:val="28"/>
          <w:sz w:val="28"/>
          <w:szCs w:val="28"/>
          <w:rtl w:val="true"/>
          <w:lang w:bidi="fa-IR"/>
        </w:rPr>
        <w:t>الآتیة للاّئط و الملوط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الأحراق بعد القتل فلیتنبّه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الثّانی من موارد الحدّ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ایضاً یقع البحث فی 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اذا اوقب به، لا اشکال و لا خلاف فی انّ عقوبة الملوط مع الأیقاب فی البالغ العاقل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القتل بلا فرق بین المحصن و غیره، و المسلم و الکافر، و الحرّ و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یظهر من عبارتی الخلاف  الأنتصار المتقدّمتین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الأجماع علیه، بل و ما تقدّم عن السّرائر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 اطلاق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اقلّ من الحشفة، و قدرها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علی طوائف ثلاث</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مادلّ علی القتل، و و صحیحة حمّاد بن عثمان</w:t>
      </w:r>
      <w:r>
        <w:rPr>
          <w:rStyle w:val="FootnoteAnchor"/>
          <w:rtl w:val="true"/>
        </w:rPr>
        <w:footnoteReference w:id="1107"/>
      </w:r>
      <w:r>
        <w:rPr>
          <w:rFonts w:ascii="IRNazanin" w:hAnsi="IRNazanin" w:eastAsia="IRNazanin"/>
          <w:color w:val="111111"/>
          <w:sz w:val="28"/>
          <w:sz w:val="28"/>
          <w:szCs w:val="28"/>
          <w:rtl w:val="true"/>
          <w:lang w:bidi="fa-IR"/>
        </w:rPr>
        <w:t xml:space="preserve">قال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ما سبق فی صفحة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فما علی المؤتی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القتل علی کلّ حال، محصناً کان او غیر محصن، و صحیحة عبد الرّحمن العرزمّی</w:t>
      </w:r>
      <w:r>
        <w:rPr>
          <w:rStyle w:val="FootnoteAnchor"/>
          <w:rtl w:val="true"/>
        </w:rPr>
        <w:footnoteReference w:id="110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 رجل مع رجل فی إمارة عمر، فهرب احدهما، و اخذ الأخر، فجیء به الی عمر، فقال للنّاس ماترون فی هذا؟ فقال هذا اصنع کذا و قال هذا اصنع کذا،</w:t>
      </w:r>
      <w:bookmarkStart w:id="387" w:name="pg3023_22707"/>
    </w:p>
    <w:p>
      <w:pPr>
        <w:pStyle w:val="Heading4"/>
        <w:numPr>
          <w:ilvl w:val="3"/>
          <w:numId w:val="1"/>
        </w:numPr>
        <w:rPr/>
      </w:pPr>
      <w:bookmarkStart w:id="388" w:name="__RefHeading___Toc656905_2749589250"/>
      <w:bookmarkStart w:id="389" w:name="_Toc139"/>
      <w:bookmarkEnd w:id="387"/>
      <w:bookmarkEnd w:id="388"/>
      <w:r>
        <w:rPr>
          <w:rtl w:val="true"/>
        </w:rPr>
        <w:t>بضرب العنق او الرّجم او الاحراق</w:t>
      </w:r>
      <w:bookmarkEnd w:id="389"/>
    </w:p>
    <w:p>
      <w:pPr>
        <w:pStyle w:val="BookText"/>
        <w:rPr/>
      </w:pPr>
      <w:r>
        <w:rPr>
          <w:rFonts w:ascii="IRNazanin" w:hAnsi="IRNazanin" w:eastAsia="IRNazanin"/>
          <w:color w:val="111111"/>
          <w:sz w:val="28"/>
          <w:sz w:val="28"/>
          <w:szCs w:val="28"/>
          <w:rtl w:val="true"/>
          <w:lang w:bidi="fa-IR"/>
        </w:rPr>
        <w:t xml:space="preserve">بضرب العنق او الرّجم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قال فما تقول یا ابا الحسن؟ قال اضرب عنقه، فضرب عنقه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ظاهره عدم الفرق فیه بین الفاعل و المفعول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مارواه ابوبکر الحضرمیّ</w:t>
      </w:r>
      <w:r>
        <w:rPr>
          <w:rStyle w:val="FootnoteAnchor"/>
          <w:rtl w:val="true"/>
        </w:rPr>
        <w:footnoteReference w:id="1109"/>
      </w:r>
      <w:r>
        <w:rPr>
          <w:rFonts w:ascii="IRNazanin" w:hAnsi="IRNazanin" w:eastAsia="IRNazanin"/>
          <w:color w:val="111111"/>
          <w:sz w:val="28"/>
          <w:sz w:val="28"/>
          <w:szCs w:val="28"/>
          <w:rtl w:val="true"/>
          <w:lang w:bidi="fa-IR"/>
        </w:rPr>
        <w:t xml:space="preserve">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ضفحة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للغلام المفعول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لو کنت مدرکاً لقتلتک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یؤیّده روایة سیف الّتّمار</w:t>
      </w:r>
      <w:r>
        <w:rPr>
          <w:rStyle w:val="FootnoteAnchor"/>
          <w:rtl w:val="true"/>
        </w:rPr>
        <w:footnoteReference w:id="1110"/>
      </w:r>
      <w:r>
        <w:rPr>
          <w:rFonts w:ascii="IRNazanin" w:hAnsi="IRNazanin" w:eastAsia="IRNazanin"/>
          <w:color w:val="111111"/>
          <w:sz w:val="28"/>
          <w:sz w:val="28"/>
          <w:szCs w:val="28"/>
          <w:rtl w:val="true"/>
          <w:lang w:bidi="fa-IR"/>
        </w:rPr>
        <w:t xml:space="preserve">المتقدبمة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روایة عبد الرّحمن العرزمیّ</w:t>
      </w:r>
      <w:r>
        <w:rPr>
          <w:rStyle w:val="FootnoteAnchor"/>
          <w:rtl w:val="true"/>
        </w:rPr>
        <w:footnoteReference w:id="1111"/>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عمر برجل قد نکح فی دبره، فهمّ ان یجلده، فقال للشّهود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رأیتموه یدخله کما یدخل المیل فی المکحلة؟ قالو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تری فی هذا؟ فطلب الفحل الّذی نکح، فلم یجده، 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فیه ان تضرب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فأمر فضربت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خذوه، فقد بقیت له عقوبة اخری، قال و ماهی؟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بطنّ من حطب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بطنّ من حطب فلفّ فیه، ثمّ احرقه بالنّار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ما تقدّم الیه الأشارة من روایة الجعفریّات</w:t>
      </w:r>
      <w:r>
        <w:rPr>
          <w:rStyle w:val="FootnoteAnchor"/>
          <w:rtl w:val="true"/>
        </w:rPr>
        <w:footnoteReference w:id="1112"/>
      </w:r>
      <w:r>
        <w:rPr>
          <w:rFonts w:ascii="IRNazanin" w:hAnsi="IRNazanin" w:eastAsia="IRNazanin"/>
          <w:color w:val="111111"/>
          <w:sz w:val="28"/>
          <w:sz w:val="28"/>
          <w:szCs w:val="28"/>
          <w:rtl w:val="true"/>
          <w:lang w:bidi="fa-IR"/>
        </w:rPr>
        <w:t>مسندة عن عکرمة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وجدتموه یعمل عمل قوم لوط فاقتلو الفاعل و لمفعول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الثّانیة</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دلّت علی الرّجم و هی معتبرة یزید بن عبدالملک</w:t>
      </w:r>
      <w:r>
        <w:rPr>
          <w:rStyle w:val="FootnoteAnchor"/>
          <w:rtl w:val="true"/>
        </w:rPr>
        <w:footnoteReference w:id="1113"/>
      </w:r>
      <w:r>
        <w:rPr>
          <w:rFonts w:ascii="IRNazanin" w:hAnsi="IRNazanin" w:eastAsia="IRNazanin"/>
          <w:color w:val="111111"/>
          <w:sz w:val="28"/>
          <w:sz w:val="28"/>
          <w:szCs w:val="28"/>
          <w:rtl w:val="true"/>
          <w:lang w:bidi="fa-IR"/>
        </w:rPr>
        <w:t xml:space="preserve">قال سمعت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الرّجم علی النّاکح و المنکوح، ذکراً کان او انثی، اذا کانا</w:t>
      </w:r>
    </w:p>
    <w:p>
      <w:pPr>
        <w:pStyle w:val="BookText"/>
        <w:rPr/>
      </w:pPr>
      <w:r>
        <w:rPr>
          <w:rFonts w:ascii="IRNazanin" w:hAnsi="IRNazanin" w:eastAsia="IRNazanin"/>
          <w:color w:val="111111"/>
          <w:sz w:val="28"/>
          <w:sz w:val="28"/>
          <w:szCs w:val="28"/>
          <w:rtl w:val="true"/>
          <w:lang w:bidi="fa-IR"/>
        </w:rPr>
        <w:t xml:space="preserve">او الأحراق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محصنین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علی الذّکر؛ اذا کان منکوحاً، احصن او لم یحصن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معتبرة السّکونیّ</w:t>
      </w:r>
      <w:r>
        <w:rPr>
          <w:rStyle w:val="FootnoteAnchor"/>
          <w:rtl w:val="true"/>
        </w:rPr>
        <w:footnoteReference w:id="1114"/>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کان الرّجل کلامه کلام النّساء و مشیته مشیة النّساء و یمکّن من نفسه، ینکح کما تنکح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فارجموه و لا تستحیوه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و معتبرته الثّانیة</w:t>
      </w:r>
      <w:r>
        <w:rPr>
          <w:rStyle w:val="FootnoteAnchor"/>
          <w:rtl w:val="true"/>
        </w:rPr>
        <w:footnoteReference w:id="1115"/>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کان ینبغی لأحد ان یرجم مرّتین لرجم اللّوطیّ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عموم اللّوطیّ للفاعل و المفعول و فیه تأمّل او منع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یؤیّده ما عن الدّعائم</w:t>
      </w:r>
      <w:r>
        <w:rPr>
          <w:rStyle w:val="FootnoteAnchor"/>
          <w:rtl w:val="true"/>
        </w:rPr>
        <w:footnoteReference w:id="1116"/>
      </w:r>
      <w:r>
        <w:rPr>
          <w:rFonts w:ascii="IRNazanin" w:hAnsi="IRNazanin" w:eastAsia="IRNazanin"/>
          <w:color w:val="111111"/>
          <w:sz w:val="28"/>
          <w:sz w:val="28"/>
          <w:szCs w:val="28"/>
          <w:rtl w:val="true"/>
          <w:lang w:bidi="fa-IR"/>
        </w:rPr>
        <w:t xml:space="preserve">عن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 رجم رجلاً بالکوفة کان یؤتی فی دبره، و ثلاث روایات أخر</w:t>
      </w:r>
      <w:r>
        <w:rPr>
          <w:rStyle w:val="FootnoteAnchor"/>
          <w:rtl w:val="true"/>
        </w:rPr>
        <w:footnoteReference w:id="1117"/>
      </w:r>
      <w:r>
        <w:rPr>
          <w:rFonts w:ascii="IRNazanin" w:hAnsi="IRNazanin" w:eastAsia="IRNazanin"/>
          <w:color w:val="111111"/>
          <w:sz w:val="28"/>
          <w:sz w:val="28"/>
          <w:szCs w:val="28"/>
          <w:rtl w:val="true"/>
          <w:lang w:bidi="fa-IR"/>
        </w:rPr>
        <w:t xml:space="preserve"> و روایتا الجعفریّات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دلّت علی احراقه بالنّار و هی معتبرة عبدالله بن میمون</w:t>
      </w:r>
      <w:r>
        <w:rPr>
          <w:rStyle w:val="FootnoteAnchor"/>
          <w:rtl w:val="true"/>
        </w:rPr>
        <w:footnoteReference w:id="1119"/>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خالد الی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 امّا بعد فأنّی اتیت برجل قامت علیه البیّنة انّه یؤتی فی دبره کما یؤتی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فاستشار فیه ابو بکر، فقالو اقتلوه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فاستشار فیه امیر المؤمنین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احرقه بالنّار، فأن العرب لا تری القتل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اقول ما 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تحرقه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الی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احرقه بالنّار</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 الحکم ذیل مرفوعة ابی یحیی الواسطّی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Style w:val="FootnoteAnchor"/>
          <w:rtl w:val="true"/>
        </w:rPr>
        <w:footnoteReference w:id="1120"/>
      </w:r>
      <w:r>
        <w:rPr>
          <w:rFonts w:ascii="Amiri" w:hAnsi="Amiri" w:eastAsia="Amiri" w:cs="Amiri"/>
          <w:color w:val="111111"/>
          <w:sz w:val="28"/>
          <w:sz w:val="28"/>
          <w:szCs w:val="28"/>
          <w:rtl w:val="true"/>
          <w:lang w:bidi="ar-SA"/>
        </w:rPr>
        <w:t xml:space="preserve">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bookmarkStart w:id="390" w:name="pg3023_22711"/>
    </w:p>
    <w:p>
      <w:pPr>
        <w:pStyle w:val="Heading4"/>
        <w:numPr>
          <w:ilvl w:val="3"/>
          <w:numId w:val="1"/>
        </w:numPr>
        <w:rPr/>
      </w:pPr>
      <w:bookmarkStart w:id="391" w:name="__RefHeading___Toc656907_2749589250"/>
      <w:bookmarkStart w:id="392" w:name="_Toc140"/>
      <w:bookmarkEnd w:id="390"/>
      <w:bookmarkEnd w:id="391"/>
      <w:r>
        <w:rPr>
          <w:rtl w:val="true"/>
        </w:rPr>
        <w:t>بدون الایقاب یجلد مأة</w:t>
      </w:r>
      <w:bookmarkEnd w:id="392"/>
    </w:p>
    <w:p>
      <w:pPr>
        <w:pStyle w:val="BookText"/>
        <w:rPr/>
      </w:pPr>
      <w:r>
        <w:rPr>
          <w:rFonts w:ascii="IRNazanin" w:hAnsi="IRNazanin" w:eastAsia="IRNazanin"/>
          <w:color w:val="111111"/>
          <w:sz w:val="28"/>
          <w:sz w:val="28"/>
          <w:szCs w:val="28"/>
          <w:rtl w:val="true"/>
          <w:lang w:bidi="fa-IR"/>
        </w:rPr>
        <w:t xml:space="preserve">و ان قتل بغیر الأحراق و الرّجم فیحرق بالنّار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الأیقاب فیجلد مأة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الدّاعم علیه یحرق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مسندة الجعفریّات</w:t>
      </w:r>
      <w:r>
        <w:rPr>
          <w:rStyle w:val="FootnoteAnchor"/>
          <w:rtl w:val="true"/>
        </w:rPr>
        <w:footnoteReference w:id="1121"/>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العرب تأنف من المثلة فأحرقه ابوبکر بقول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الظّاهر عدم تنافی بین الطّوائف الثّلاث، فیجمع 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بتخییر الأمام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الأصحاب خیّروا بینها وبین الألقاء من جبل مشدود الیدین و الرّجلین او القاء جدار علیه حتّی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الأستدلال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بأطلاق القتل فی صحیحة حمّاد بن عثمان</w:t>
      </w:r>
      <w:r>
        <w:rPr>
          <w:rStyle w:val="FootnoteAnchor"/>
          <w:rtl w:val="true"/>
        </w:rPr>
        <w:footnoteReference w:id="1122"/>
      </w:r>
      <w:r>
        <w:rPr>
          <w:rFonts w:ascii="Amiri" w:hAnsi="Amiri" w:eastAsia="Amiri" w:cs="Amiri"/>
          <w:color w:val="111111"/>
          <w:sz w:val="28"/>
          <w:sz w:val="28"/>
          <w:szCs w:val="28"/>
          <w:rtl w:val="true"/>
          <w:lang w:bidi="ar-SA"/>
        </w:rPr>
        <w:t>و بما مرّ فی اللاّئط، فأنّه اسوء حالاً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اشرنا الی انّ الأصحاب خیّروا بین امور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الأحراق، و دلّ علیه المعتبرة</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لکن ذیل صحیحة العرزمیّ </w:t>
      </w:r>
      <w:r>
        <w:rPr>
          <w:rStyle w:val="FootnoteAnchor"/>
          <w:rtl w:val="true"/>
        </w:rPr>
        <w:footnoteReference w:id="1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روایته السّابقة</w:t>
      </w:r>
      <w:r>
        <w:rPr>
          <w:rStyle w:val="FootnoteAnchor"/>
          <w:rtl w:val="true"/>
        </w:rPr>
        <w:footnoteReference w:id="1125"/>
      </w:r>
      <w:r>
        <w:rPr>
          <w:rFonts w:ascii="IRNazanin" w:hAnsi="IRNazanin" w:eastAsia="IRNazanin"/>
          <w:color w:val="111111"/>
          <w:sz w:val="28"/>
          <w:sz w:val="28"/>
          <w:szCs w:val="28"/>
          <w:rtl w:val="true"/>
          <w:lang w:bidi="fa-IR"/>
        </w:rPr>
        <w:t>کون الأحراق بعد قتله بضرب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الأولی بعد ما سبق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عنقه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اراد ان یحمله، فقال مه، انّه بقی من حدوده شیء، قال ایّ شیّ بقی؟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بحطب، فدعا عمر بحطب، فأمر به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فأحرق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 و ان خصّت بالمنکوح؛ لکنّ الصّحیحة مطلقة، یشمل النّاکح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معارض لهما، فأن قتل بغیر الأحراق و الرّجم فیحرق بعده بالنّار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اللّواط بدون الأیقاب و الظّاهر انّ حدّه فی الملوط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مأة جلدة کالّلائط</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یشهد له ما سبق فی اللاّئط، و صحیحة زرارة 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w:t>
      </w:r>
      <w:bookmarkStart w:id="393" w:name="pg3023_22713"/>
    </w:p>
    <w:p>
      <w:pPr>
        <w:pStyle w:val="Heading4"/>
        <w:numPr>
          <w:ilvl w:val="3"/>
          <w:numId w:val="1"/>
        </w:numPr>
        <w:rPr/>
      </w:pPr>
      <w:bookmarkStart w:id="394" w:name="__RefHeading___Toc656909_2749589250"/>
      <w:bookmarkStart w:id="395" w:name="_Toc141"/>
      <w:bookmarkEnd w:id="393"/>
      <w:bookmarkEnd w:id="394"/>
      <w:r>
        <w:rPr>
          <w:rtl w:val="true"/>
        </w:rPr>
        <w:t>فی نوم الرّجلین عاریین او رجل و غلام او امرأتین او امرأة و جاریة عاریتین</w:t>
      </w:r>
      <w:bookmarkEnd w:id="395"/>
    </w:p>
    <w:p>
      <w:pPr>
        <w:pStyle w:val="BookText"/>
        <w:rPr/>
      </w:pPr>
      <w:r>
        <w:rPr>
          <w:rFonts w:ascii="IRNazanin" w:hAnsi="IRNazanin" w:eastAsia="IRNazanin"/>
          <w:color w:val="111111"/>
          <w:sz w:val="28"/>
          <w:sz w:val="28"/>
          <w:szCs w:val="28"/>
          <w:rtl w:val="true"/>
          <w:lang w:bidi="fa-IR"/>
        </w:rPr>
        <w:t>فی ثوب او لحاف واحد او رجل و امرأة کذلک</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نوم الرّجلین عاریین فی ثوب او لحاف واحد، او رجل و غلام کذلک و نوم امرأتین، او امرأة و جاریة عاریتین فی ثوب او لحاف احد، و کذلک رجل و امرأة عاریین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فالمشهور التّعزیر من ثلاثین سوطاً الی تسعة و تسعین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عشرة الی تسعة و تسعین سوطاً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بذلک فی خصوص الرّجل والمرأة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الأصحّ کونه تسعة و تسعین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علی ترجیح ما اشتمل علی کلمة الملوط علی ما اشتمل علی المتلوّط، و حینئذ فیقیّد اطلاقه بما اذا اوقب فالقتل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الی اطلاق صدر صحیحة ابی بصیر 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ضرب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اذا کان مفعولاً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استظهرناه؛ من وقوع شیء بینهما با یبلغ اللّواط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خلاف المخالفین للقول المشهور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 فی مانحن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ادلّتهم کأجوبتها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تقدّمت فی ذلک الباب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وجد رجل مع رجل او غلام مجرّدین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طوائف ثلاث من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احدیها دلّت علی الضّرب مأة 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ثانیتها الاّ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الثّالثة ثلاثین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الأوسط هو 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تفصیل الکلام بتقدیم امر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اشکال فی جواز النّوم من رجلین کاسیین بلا حاجز بینهما  فی لحاف او ثوب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بینهما قرابة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لا ینبغی الأشکال فی ذلک؛ اذا کان احدهما غیر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لا اشکال فی جواز نوم امرأتین او امرأة و جاریة، او جاریتین کاسیتین بلا حاجز فی ثوب او لحاف واحد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نوم الرّجل مع المرأة اذا کانت اجنبیّة کاسیاً و کاسیة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اشکال، خصوصاً اذا کانت شابّة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اذا کان الرّجل شیخاً او المرأة شیخة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فالأشکل اخفّ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اذا کانت مع غلام او کان مع جاریة صغیرة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و لا ینبغی الأشکال فی جوازه مع المحارم، للسّیرة الجاریة بلا نکیر بین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النّوم من الرّجلین، او رجل و غلام عاریین فی ثوب او لحاف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الأمر فی نوم امرأتین، او امرأة و جاریة عاریتین، او رجل و امرأة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العقوبة فقد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الرّوایات علی ثالثة اقسام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القسمان الأوّلان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وردا فی الرّجلین و المرأتین، و الرّجل و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اختصّ الثّالث بالمتماثلین دون الرّجل  المرأة، فمن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بیّن الحدّ او مأة 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الحلبیّ</w:t>
      </w:r>
      <w:r>
        <w:rPr>
          <w:rStyle w:val="FootnoteAnchor"/>
          <w:rtl w:val="true"/>
        </w:rPr>
        <w:footnoteReference w:id="1126"/>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 الجلد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یوجدا فی لحاف واحد، و الرّجلان یجلدان اذا وجدا فی لحاف واحد، و المرأتان تجلدان اذا أخذتا فی لحاف واحد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صحیحة عبدالله بن سنان</w:t>
      </w:r>
      <w:r>
        <w:rPr>
          <w:rStyle w:val="FootnoteAnchor"/>
          <w:rtl w:val="true"/>
        </w:rPr>
        <w:footnoteReference w:id="1127"/>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 الجلد فی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یوجدا فی لحاف واحد، و الرّجلان یوجدان فی لحاف واحد، والمرأتان توجدان فی لحاف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حسنة عبدالرّحمن الحذّاء</w:t>
      </w:r>
      <w:r>
        <w:rPr>
          <w:rStyle w:val="FootnoteAnchor"/>
          <w:rtl w:val="true"/>
        </w:rPr>
        <w:footnoteReference w:id="1128"/>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وجد الرّجل و المرأة فی لحاف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جلدا مأة جلدة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انّ المأة لکلّ منهما، لالکلیهما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صحیحة عبدالرّحمن بن الحجّاج</w:t>
      </w:r>
      <w:r>
        <w:rPr>
          <w:rStyle w:val="FootnoteAnchor"/>
          <w:rtl w:val="true"/>
        </w:rPr>
        <w:footnoteReference w:id="1129"/>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وجد الرّجلین فی لحاف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ضربهما الحدّ، فأذا اخذ المرأتین فی لحاف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ضربهما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وروایة ابی بصیر</w:t>
      </w:r>
      <w:r>
        <w:rPr>
          <w:rStyle w:val="FootnoteAnchor"/>
          <w:rtl w:val="true"/>
        </w:rPr>
        <w:footnoteReference w:id="1130"/>
      </w:r>
      <w:r>
        <w:rPr>
          <w:rFonts w:ascii="IRNazanin" w:hAnsi="IRNazanin" w:eastAsia="IRNazanin"/>
          <w:color w:val="111111"/>
          <w:sz w:val="28"/>
          <w:sz w:val="28"/>
          <w:szCs w:val="28"/>
          <w:rtl w:val="true"/>
          <w:lang w:bidi="fa-IR"/>
        </w:rPr>
        <w:t xml:space="preserve">او حسنته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عن امرأة وجدت مع رجل فی ثوب؟ قال یجلدان مأة جلدة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الشّیخ</w:t>
      </w:r>
      <w:r>
        <w:rPr>
          <w:rStyle w:val="FootnoteAnchor"/>
          <w:rtl w:val="true"/>
        </w:rPr>
        <w:footnoteReference w:id="1131"/>
      </w:r>
      <w:r>
        <w:rPr>
          <w:rFonts w:ascii="IRNazanin" w:hAnsi="IRNazanin" w:eastAsia="IRNazanin"/>
          <w:color w:val="111111"/>
          <w:sz w:val="28"/>
          <w:sz w:val="28"/>
          <w:szCs w:val="28"/>
          <w:rtl w:val="true"/>
          <w:lang w:bidi="fa-IR"/>
        </w:rPr>
        <w:t>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یجب الرّجم حتّی یقوم البیّنة الأربعة بأن قد رأی یجامعها</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صحیحة عبدالرّحمن بن ابی عبدالله</w:t>
      </w:r>
      <w:r>
        <w:rPr>
          <w:rStyle w:val="FootnoteAnchor"/>
          <w:rtl w:val="true"/>
        </w:rPr>
        <w:footnoteReference w:id="1132"/>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وجد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الرّجل و المرأة فی لحاف واحد؛ اقمت علیها بذلک البیّنة، و لم یطّلع منهما علی سوی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کلّ واحد منهما مأة جلدة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معتبرة ابی الصّباح الکنانیّ</w:t>
      </w:r>
      <w:r>
        <w:rPr>
          <w:rStyle w:val="FootnoteAnchor"/>
          <w:rtl w:val="true"/>
        </w:rPr>
        <w:footnoteReference w:id="1133"/>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و المرأة یوجدان فی لحاف واحد جلدا مأة مأة</w:t>
      </w:r>
      <w:r>
        <w:rPr>
          <w:rStyle w:val="FootnoteAnchor"/>
          <w:rtl w:val="true"/>
        </w:rPr>
        <w:footnoteReference w:id="1134"/>
      </w:r>
      <w:r>
        <w:rPr>
          <w:rFonts w:ascii="Amiri" w:hAnsi="Amiri" w:eastAsia="Amiri" w:cs="Amiri"/>
          <w:color w:val="111111"/>
          <w:sz w:val="28"/>
          <w:sz w:val="28"/>
          <w:szCs w:val="28"/>
          <w:rtl w:val="true"/>
          <w:lang w:bidi="ar-SA"/>
        </w:rPr>
        <w:t>او اجلدهما مأة جلدة مأة جلدة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روایة الشّیخ</w:t>
      </w:r>
      <w:r>
        <w:rPr>
          <w:rStyle w:val="FootnoteAnchor"/>
          <w:rtl w:val="true"/>
        </w:rPr>
        <w:footnoteReference w:id="1135"/>
      </w:r>
      <w:r>
        <w:rPr>
          <w:rFonts w:ascii="IRNazanin" w:hAnsi="IRNazanin" w:eastAsia="IRNazanin"/>
          <w:color w:val="111111"/>
          <w:sz w:val="28"/>
          <w:sz w:val="28"/>
          <w:szCs w:val="28"/>
          <w:rtl w:val="true"/>
          <w:lang w:bidi="fa-IR"/>
        </w:rPr>
        <w:t xml:space="preserve">زیادة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 الرّجم حتّی یقوم الشّهود الأربعة انّهم رأوه یجامعها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صحیحة ابی عبیدة</w:t>
      </w:r>
      <w:r>
        <w:rPr>
          <w:rStyle w:val="FootnoteAnchor"/>
          <w:rtl w:val="true"/>
        </w:rPr>
        <w:footnoteReference w:id="1136"/>
      </w:r>
      <w:r>
        <w:rPr>
          <w:rFonts w:ascii="IRNazanin" w:hAnsi="IRNazanin" w:eastAsia="IRNazanin"/>
          <w:color w:val="111111"/>
          <w:sz w:val="28"/>
          <w:sz w:val="28"/>
          <w:szCs w:val="28"/>
          <w:rtl w:val="true"/>
          <w:lang w:bidi="fa-IR"/>
        </w:rPr>
        <w:t xml:space="preserve">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وجد رجلین فی لحاف واحد مجرّدین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هما حدّ الزّانی، مأة جلدة کلّ واحد منهما، و کذلک المرأتان اذا وجدتا فی لحاف واحد مجرّدتین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جلدهما، کلّ واحدة منهما مأة جلدة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صحیحة ابن مسکان</w:t>
      </w:r>
      <w:r>
        <w:rPr>
          <w:rStyle w:val="FootnoteAnchor"/>
          <w:rtl w:val="true"/>
        </w:rPr>
        <w:footnoteReference w:id="1137"/>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الجلد فی الزّنا ان یوجدا فی لحاف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روایة سلمة</w:t>
      </w:r>
      <w:r>
        <w:rPr>
          <w:rStyle w:val="FootnoteAnchor"/>
          <w:rtl w:val="true"/>
        </w:rPr>
        <w:footnoteReference w:id="1138"/>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وجد الرّجل مع المرأة فی لحاف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کلّ واحد منهما مأة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نحوها ما ذکر فی 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1139"/>
      </w:r>
      <w:r>
        <w:rPr>
          <w:rFonts w:ascii="IRNazanin" w:hAnsi="IRNazanin" w:eastAsia="IRNazanin"/>
          <w:color w:val="111111"/>
          <w:sz w:val="28"/>
          <w:sz w:val="28"/>
          <w:szCs w:val="28"/>
          <w:rtl w:val="true"/>
          <w:lang w:bidi="fa-IR"/>
        </w:rPr>
        <w:t>و لکن فی رجلین عریانین فی ثوب واحد، و هما متّهمان، و کذلک امرأتان او رجل و امرأة فی ثوب، و یشهد لذلک الحکم روایتان</w:t>
      </w:r>
      <w:r>
        <w:rPr>
          <w:rStyle w:val="FootnoteAnchor"/>
          <w:rtl w:val="true"/>
        </w:rPr>
        <w:footnoteReference w:id="1140"/>
      </w:r>
      <w:r>
        <w:rPr>
          <w:rFonts w:ascii="IRNazanin" w:hAnsi="IRNazanin" w:eastAsia="IRNazanin"/>
          <w:color w:val="111111"/>
          <w:sz w:val="28"/>
          <w:sz w:val="28"/>
          <w:szCs w:val="28"/>
          <w:rtl w:val="true"/>
          <w:lang w:bidi="fa-IR"/>
        </w:rPr>
        <w:t xml:space="preserve">و </w:t>
      </w:r>
      <w:r>
        <w:rPr>
          <w:rStyle w:val="FootnoteAnchor"/>
          <w:rtl w:val="true"/>
        </w:rPr>
        <w:footnoteReference w:id="1141"/>
      </w:r>
      <w:r>
        <w:rPr>
          <w:rFonts w:ascii="IRNazanin" w:hAnsi="IRNazanin" w:eastAsia="IRNazanin"/>
          <w:color w:val="111111"/>
          <w:sz w:val="28"/>
          <w:sz w:val="28"/>
          <w:szCs w:val="28"/>
          <w:rtl w:val="true"/>
          <w:lang w:bidi="fa-IR"/>
        </w:rPr>
        <w:t>عن نوادر احمد بن محمّد بن عیسی و روایتا</w:t>
      </w:r>
      <w:r>
        <w:rPr>
          <w:rStyle w:val="FootnoteAnchor"/>
          <w:rtl w:val="true"/>
        </w:rPr>
        <w:footnoteReference w:id="1142"/>
      </w:r>
      <w:r>
        <w:rPr>
          <w:rFonts w:ascii="IRNazanin" w:hAnsi="IRNazanin" w:eastAsia="IRNazanin"/>
          <w:color w:val="111111"/>
          <w:sz w:val="28"/>
          <w:sz w:val="28"/>
          <w:szCs w:val="28"/>
          <w:rtl w:val="true"/>
          <w:lang w:bidi="fa-IR"/>
        </w:rPr>
        <w:t>ـ</w:t>
      </w:r>
      <w:r>
        <w:rPr>
          <w:rStyle w:val="FootnoteAnchor"/>
          <w:rtl w:val="true"/>
        </w:rPr>
        <w:footnoteReference w:id="1143"/>
      </w:r>
      <w:r>
        <w:rPr>
          <w:rFonts w:ascii="Amiri" w:hAnsi="Amiri" w:eastAsia="Amiri" w:cs="Amiri"/>
          <w:color w:val="111111"/>
          <w:sz w:val="28"/>
          <w:sz w:val="28"/>
          <w:szCs w:val="28"/>
          <w:rtl w:val="true"/>
          <w:lang w:bidi="ar-SA"/>
        </w:rPr>
        <w:t>الجعفریّات</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مارواه معاویة بن عمّار</w:t>
      </w:r>
      <w:r>
        <w:rPr>
          <w:rStyle w:val="FootnoteAnchor"/>
          <w:rtl w:val="true"/>
        </w:rPr>
        <w:footnoteReference w:id="114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المرأتان تنامان فی ثوب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حدّاً؟ قال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الرّجلان ینامان فی ثوب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یضربان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الحدّ؟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وراه عبدالله بن سنان</w:t>
      </w:r>
      <w:r>
        <w:rPr>
          <w:rStyle w:val="FootnoteAnchor"/>
          <w:rtl w:val="true"/>
        </w:rPr>
        <w:footnoteReference w:id="1145"/>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رجلین یوجدان فی لحاف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یجلدان غیر سوط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مارواه ابان بن عثمان</w:t>
      </w:r>
      <w:r>
        <w:rPr>
          <w:rStyle w:val="FootnoteAnchor"/>
          <w:rtl w:val="true"/>
        </w:rPr>
        <w:footnoteReference w:id="114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وجد امرأة مع رجل فی لحاف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فجلد کلّ واحد منهما مأة سوط غیر سوط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صحیحة حریز</w:t>
      </w:r>
      <w:r>
        <w:rPr>
          <w:rStyle w:val="FootnoteAnchor"/>
          <w:rtl w:val="true"/>
        </w:rPr>
        <w:footnoteReference w:id="1147"/>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رجلاً و امرأة فی لحاف واحد، فضرب کلّ واحد منها مأة سوط الاّ سوطاً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صحیحة عبد الرّحمن بن الحجّاج</w:t>
      </w:r>
      <w:r>
        <w:rPr>
          <w:rStyle w:val="FootnoteAnchor"/>
          <w:rtl w:val="true"/>
        </w:rPr>
        <w:footnoteReference w:id="1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کنت عند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علیه عباد البصریّ و معه اناس من اصحابه،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عن الرّجلین اذا اخذا فی لحاف واحد؟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اخذ الرّجلین فی لحاف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ضربهما الحدّ، فقال له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قلت لی غیر 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فأعاد علیه ذکر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اعاد ذلک مراراً،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سوط، فکتب القوم الحضور عند ذلک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مارواه زید الشّحّام</w:t>
      </w:r>
      <w:r>
        <w:rPr>
          <w:rStyle w:val="FootnoteAnchor"/>
          <w:rtl w:val="true"/>
        </w:rPr>
        <w:footnoteReference w:id="1149"/>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و المرأة یوجدان فی اللّحاف، قال یجلدان مأة مأة غیر سوط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موسی البجلیّ</w:t>
      </w:r>
      <w:r>
        <w:rPr>
          <w:rStyle w:val="FootnoteAnchor"/>
          <w:rtl w:val="true"/>
        </w:rPr>
        <w:footnoteReference w:id="1150"/>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ضرب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و المرأة فی بیت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مأة الاّ سوطاً او سوطین</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1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رجلین وجدا فی لحاف واحد،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 المرأتان 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یحدّان حدّاً غیر سوط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یؤیّد الحکم روایة الدّعائم</w:t>
      </w:r>
      <w:r>
        <w:rPr>
          <w:rStyle w:val="FootnoteAnchor"/>
          <w:rtl w:val="true"/>
        </w:rPr>
        <w:footnoteReference w:id="1152"/>
      </w:r>
      <w:r>
        <w:rPr>
          <w:rFonts w:ascii="Amiri" w:hAnsi="Amiri" w:eastAsia="Amiri" w:cs="Amiri"/>
          <w:color w:val="111111"/>
          <w:sz w:val="28"/>
          <w:sz w:val="28"/>
          <w:szCs w:val="28"/>
          <w:rtl w:val="true"/>
          <w:lang w:bidi="ar-SA"/>
        </w:rPr>
        <w:t>و النّوادر</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مارواه سلیمان بن هلال</w:t>
      </w:r>
      <w:r>
        <w:rPr>
          <w:rStyle w:val="FootnoteAnchor"/>
          <w:rtl w:val="true"/>
        </w:rPr>
        <w:footnoteReference w:id="1154"/>
      </w:r>
      <w:r>
        <w:rPr>
          <w:rFonts w:ascii="IRNazanin" w:hAnsi="IRNazanin" w:eastAsia="IRNazanin"/>
          <w:color w:val="111111"/>
          <w:sz w:val="28"/>
          <w:sz w:val="28"/>
          <w:szCs w:val="28"/>
          <w:rtl w:val="true"/>
          <w:lang w:bidi="fa-IR"/>
        </w:rPr>
        <w:t xml:space="preserve">قال سأل بعض اصحابنا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الرّجل ینام مع الرّجل فی لحاف واحد،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 محرم؛ ؟ فقال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ضرورة؟ قال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یضربان ثلاثین سوطاً ثلاثین سوطاً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الی ـ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فامرأة نامت مع امرأة فی لحاف؟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ذواتا محرم؟ قلت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ضرورة؟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تضربان ثلاثین سوطاً ثلاثین سوطاً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القسم الاخیر فروایته ضعیف، لجهالة ابن هلال، فلا مجال للعمل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القسمین الأوّلین، و یمکن الجمع 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بحمل المأة علی التّقیّة، لشهادة صحیحة عبد الرّحمن بن الحجّاج</w:t>
      </w:r>
      <w:r>
        <w:rPr>
          <w:rStyle w:val="FootnoteAnchor"/>
          <w:rtl w:val="true"/>
        </w:rPr>
        <w:footnoteReference w:id="1155"/>
      </w:r>
      <w:r>
        <w:rPr>
          <w:rFonts w:ascii="IRNazanin" w:hAnsi="IRNazanin" w:eastAsia="IRNazanin"/>
          <w:color w:val="111111"/>
          <w:sz w:val="28"/>
          <w:sz w:val="28"/>
          <w:szCs w:val="28"/>
          <w:rtl w:val="true"/>
          <w:lang w:bidi="fa-IR"/>
        </w:rPr>
        <w:t xml:space="preserve">، حیث کرّر عباد علی الأمام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قلت لی غیر سوط، الی 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غیر 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سلّم عدم الحمل علی التّقیّة فالمتعارضان انّما تعارضهما فی سوط، فنأخذ بالمتّفق علیه، من تسعة و تسعین سوطاً، و یستقطان فی مورد المعارضة، و النّتیجة هو قول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فی بعضها من اطلاق النّوم، او 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 علی المقیّدات، من وجدانهما عاریین، او عاریتین، او عاریاً و عاریة، لو فرض عدم ظهور فی المطلقات فی حدّ نفسها فی ذلک</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بما ذکرنا ظهر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کون التّعزیر من عشرة الی تسعة و تسعین سوطاً، و ما عن الأسکافی فی خصوص الرّجل و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اتّضح ضعف ما عن الشّیخ و ابن ادریس و اکثر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نسب الی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التعزیر من ثلاثین الی تسعة و تسعین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للجمع بین خبر ابن هلال و النّصوص المتقدّمة، الدّالّة علی اقلّ من المأة، و ما عن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الجمع فی الرّجل و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بحمل المأة علی البیّنة او الأقرار، و الاّ واحداً علی علم الأمام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و ابی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اختطار المأة فی الرّجلین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 التّعزیر، دون الحدّ فی الرّجل و المرأة؛ فی المضاجعة فی ازار واحد، و المعانقة و التّقبیل، و فی الرّجلین تحت ازار مجرّدین؛ و لارحم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ثلاثین الی تسعة و تسعین مرّتین، و الحدّ فی المرّة الثّالثة، و فی الأجنبیّتین مجرّدتین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التّعزیر قبل الثّاثة، و الحدّ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له فی بعض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حدیث الأربعمائة</w:t>
      </w:r>
      <w:r>
        <w:rPr>
          <w:rStyle w:val="FootnoteAnchor"/>
          <w:rtl w:val="true"/>
        </w:rPr>
        <w:footnoteReference w:id="1156"/>
      </w:r>
      <w:r>
        <w:rPr>
          <w:rFonts w:ascii="IRNazanin" w:hAnsi="IRNazanin" w:eastAsia="IRNazanin"/>
          <w:color w:val="111111"/>
          <w:sz w:val="28"/>
          <w:sz w:val="28"/>
          <w:szCs w:val="28"/>
          <w:rtl w:val="true"/>
          <w:lang w:bidi="fa-IR"/>
        </w:rPr>
        <w:t xml:space="preserve">من قول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ینام الرّجل مع الرّجل فی ثوب واحد، فمن فعل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علیه الأدب و هو التّعزیر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 القتل فی الرّابعة الی الشّیخ فی النّهایة، و ابن البرّاج، و العلاّمة فی المختلف، و ابی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رواه ابو خدیجة</w:t>
      </w:r>
      <w:r>
        <w:rPr>
          <w:rStyle w:val="FootnoteAnchor"/>
          <w:rtl w:val="true"/>
        </w:rPr>
        <w:footnoteReference w:id="1157"/>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لأمرأتین تنامان فی لحاف واحد؛ الاّ و بینهما حاجز، فأن فعلتا نهیتا عن ذلک، فأن وجد هما بعد النّهی فی لحاف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جلدتا کلّ واحدة منهما حدّاً حدّاً، فأن وجدتا فی الثّالثة فی لحاف حدّتا، فأن و جدتا الرّابعة قتلتا</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اورده فی المحاسن</w:t>
      </w:r>
      <w:r>
        <w:rPr>
          <w:rStyle w:val="FootnoteAnchor"/>
          <w:rtl w:val="true"/>
        </w:rPr>
        <w:footnoteReference w:id="1158"/>
      </w:r>
      <w:r>
        <w:rPr>
          <w:rFonts w:ascii="IRNazanin" w:hAnsi="IRNazanin" w:eastAsia="IRNazanin"/>
          <w:color w:val="111111"/>
          <w:sz w:val="28"/>
          <w:sz w:val="28"/>
          <w:szCs w:val="28"/>
          <w:rtl w:val="true"/>
          <w:lang w:bidi="fa-IR"/>
        </w:rPr>
        <w:t>عن بعض 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ذیله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وجدتا</w:t>
      </w:r>
      <w:bookmarkStart w:id="396" w:name="pg3023_22724"/>
    </w:p>
    <w:p>
      <w:pPr>
        <w:pStyle w:val="Heading4"/>
        <w:numPr>
          <w:ilvl w:val="3"/>
          <w:numId w:val="1"/>
        </w:numPr>
        <w:rPr/>
      </w:pPr>
      <w:bookmarkStart w:id="397" w:name="__RefHeading___Toc656911_2749589250"/>
      <w:bookmarkStart w:id="398" w:name="_Toc142"/>
      <w:bookmarkEnd w:id="396"/>
      <w:bookmarkEnd w:id="397"/>
      <w:r>
        <w:rPr>
          <w:rtl w:val="true"/>
        </w:rPr>
        <w:t>(</w:t>
      </w:r>
      <w:r>
        <w:rPr>
          <w:rtl w:val="true"/>
        </w:rPr>
        <w:t>مسائل</w:t>
      </w:r>
      <w:r>
        <w:rPr>
          <w:rtl w:val="true"/>
        </w:rPr>
        <w:t>)</w:t>
      </w:r>
      <w:bookmarkEnd w:id="398"/>
    </w:p>
    <w:p>
      <w:pPr>
        <w:pStyle w:val="Heading5"/>
        <w:numPr>
          <w:ilvl w:val="4"/>
          <w:numId w:val="1"/>
        </w:numPr>
        <w:rPr/>
      </w:pPr>
      <w:bookmarkStart w:id="399" w:name="__RefHeading___Toc656913_2749589250"/>
      <w:bookmarkStart w:id="400" w:name="_Toc143"/>
      <w:bookmarkEnd w:id="399"/>
      <w:r>
        <w:rPr>
          <w:rtl w:val="true"/>
        </w:rPr>
        <w:t>الاولی</w:t>
      </w:r>
      <w:r>
        <w:rPr>
          <w:rtl w:val="true"/>
        </w:rPr>
        <w:t xml:space="preserve">: </w:t>
      </w:r>
      <w:r>
        <w:rPr>
          <w:rtl w:val="true"/>
        </w:rPr>
        <w:t>لا فرق بین المسلم و غیره فی الحدّ</w:t>
      </w:r>
      <w:bookmarkEnd w:id="400"/>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فی الحدّ بین المسلم و غیره مع تحقّق الشّرائط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الرّابعة قتلتا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لکنّ الثّالثة تنطبق علی الرّابعة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اجیب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دلالتها علی عدم الحدّ او التّعزیر فی المرّة الأولی، لجهلهما و فی الثّانیة و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کسایر الفاعلات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تدلّ علی القتل فی الرّابعة الّتی هی فی الحقیقة 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المّرة الثّالثة، فتوافق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الصحیحة الأتیة</w:t>
      </w:r>
      <w:r>
        <w:rPr>
          <w:rStyle w:val="FootnoteAnchor"/>
          <w:rtl w:val="true"/>
        </w:rPr>
        <w:footnoteReference w:id="1159"/>
      </w:r>
      <w:r>
        <w:rPr>
          <w:rFonts w:ascii="IRNazanin" w:hAnsi="IRNazanin" w:eastAsia="IRNazanin"/>
          <w:color w:val="111111"/>
          <w:sz w:val="28"/>
          <w:sz w:val="28"/>
          <w:szCs w:val="28"/>
          <w:rtl w:val="true"/>
          <w:lang w:bidi="fa-IR"/>
        </w:rPr>
        <w:t>الدّالّة علی قتل اصحاب الکبایر فی الثّالثة؛ اذا اقیم علیهم الحدّ مرّتین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فیما ذکر من احکام اللاّئط و الملوط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المسلم و غیره؛ اذا رفعوا الینا، فمع الأیقاب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القتل علی التّفصیل المذکور، فاعلاً و مفعولاً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بدونه الجلد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الأصحاب انّهم صرّحوا بالقتل للاّئط الذّمّیّ بامسلم بدون الأیقاب ایضاً، بلا خلاف فیه بینهم و علّلوه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بهتکه حرمة الأسلام اشدّ من الزّنا بالمسلمة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فیه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الأنتصار</w:t>
      </w:r>
      <w:r>
        <w:rPr>
          <w:rStyle w:val="FootnoteAnchor"/>
          <w:rtl w:val="true"/>
        </w:rPr>
        <w:footnoteReference w:id="1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من منفردات الأمامیّة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بقتل الذّمّیّ اذا زنی بامسلمة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 صحّة قولنا زائداً علی اجماع الطّائفة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الفعل من الذّمّیّ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 للذّمّة و امتهان للأسلام و جرأة علی اهله، و لا خلاف فی انّ من خرق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مباح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علّله السّیّد العلاّمة الخوئیّ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بخروجه عن الذّمّة؛ بارتکاب ذلک، و یعتبر فی الذّمّیّ ان لا یرتکب ما ینا فی حرمة الأسالم</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الخدشة فی ما ذکروه، حیث انّ المبارکة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جعل غایة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المقاتلة الأهل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اعطاء الجزیة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Style w:val="FootnoteAnchor"/>
          <w:rtl w:val="true"/>
        </w:rPr>
        <w:footnoteReference w:id="1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قاتلو الّذین لا یؤمنون بالله و لا بالیومم الأخر و لا یحرّمون ما حرّم الله و رسوله و لایدینون دین الحقّ من الذّین اوتوا الکتاب حتّی یعطوا الجزیة عن ید و هم صاغرون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مارواه حفص بن غیاث</w:t>
      </w:r>
      <w:r>
        <w:rPr>
          <w:rStyle w:val="FootnoteAnchor"/>
          <w:rtl w:val="true"/>
        </w:rPr>
        <w:footnoteReference w:id="1162"/>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اقسام السّیف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السّیف الثّانی علی اهل الذّمّی ـ الی قوله ـ فمن کان منهم فی دار الأسلام فلن یقبل منه الاّ الجزیة او القتل، و ما لهم فیئ، و ذراریهم سبی و اذا قبلوا الجزیة علی انفسهم حرّم علینا سبیهم و حرمت اموالهم، و لم تحلّ لنا مناکحتهم، و لم یقبل الاّ الدّخول فی دار الأسالم او الجزیة او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صحیحة</w:t>
      </w:r>
      <w:r>
        <w:rPr>
          <w:rStyle w:val="FootnoteAnchor"/>
          <w:rtl w:val="true"/>
        </w:rPr>
        <w:footnoteReference w:id="1163"/>
      </w:r>
      <w:r>
        <w:rPr>
          <w:rFonts w:ascii="IRNazanin" w:hAnsi="IRNazanin" w:eastAsia="IRNazanin"/>
          <w:color w:val="111111"/>
          <w:sz w:val="28"/>
          <w:sz w:val="28"/>
          <w:szCs w:val="28"/>
          <w:rtl w:val="true"/>
          <w:lang w:bidi="fa-IR"/>
        </w:rPr>
        <w:t xml:space="preserve">زرارة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اثل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هم قوم فدوا انفسهم من ان یتعبدوا او یقتلوا، فالجزیة تؤخذ منهم ما یطیقون له ان یأخذهم به حتّی یسلموا، فأنّ الله تبارک و تعالی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یعطوا الجزیة عن یدوهم صاغرون، و کیف یکون صاغراً و هو لا یکترث لما یؤخذ منه حتّی یجد ذلاًّ لما اخذ منه، فیألم لذلک و یسلم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w:t>
      </w:r>
      <w:r>
        <w:rPr>
          <w:rStyle w:val="FootnoteAnchor"/>
          <w:rtl w:val="true"/>
        </w:rPr>
        <w:footnoteReference w:id="1164"/>
      </w:r>
      <w:r>
        <w:rPr>
          <w:rFonts w:ascii="IRNazanin" w:hAnsi="IRNazanin" w:eastAsia="IRNazanin"/>
          <w:color w:val="111111"/>
          <w:sz w:val="28"/>
          <w:sz w:val="28"/>
          <w:szCs w:val="28"/>
          <w:rtl w:val="true"/>
          <w:lang w:bidi="fa-IR"/>
        </w:rPr>
        <w:t>بطریقین آخرین</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حریز</w:t>
      </w:r>
      <w:r>
        <w:rPr>
          <w:rStyle w:val="FootnoteAnchor"/>
          <w:rtl w:val="true"/>
        </w:rPr>
        <w:footnoteReference w:id="1165"/>
      </w: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سألة عن اهل الذّمّة ماذا علیهم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ممّا یحقنون به دمائهم و اموالهم؟ قال الخاج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فی معتبرة زرارة</w:t>
      </w:r>
      <w:r>
        <w:rPr>
          <w:rStyle w:val="FootnoteAnchor"/>
          <w:rtl w:val="true"/>
        </w:rPr>
        <w:footnoteReference w:id="1166"/>
      </w:r>
      <w:r>
        <w:rPr>
          <w:rFonts w:ascii="IRNazanin" w:hAnsi="IRNazanin" w:eastAsia="IRNazanin"/>
          <w:color w:val="111111"/>
          <w:sz w:val="28"/>
          <w:sz w:val="28"/>
          <w:szCs w:val="28"/>
          <w:rtl w:val="true"/>
          <w:lang w:bidi="fa-IR"/>
        </w:rPr>
        <w:t>او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قبول الجزیة من اهل الذّمّة ماذکر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کلمات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فاطلاق کلام الشّهیدین فی اللّمعة و الرّوضة موافقتنا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فرق بین المسلم و الکافر وان لم یکن ایقاباً کالتّفخیذ او بین الألیین، فحدّه مأة جلدة، حرّاً او عبداً، مسلماً کان او کافراً، محصناً کان او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الثّانیة بعد قوله مأة جلدة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للفاعل و المفعول مع البلوغ و العقل و الأختیار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المنتهی جعل ما یشترط علی اهل الزّمّة و لا یجوز ترکه امرین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ثبوت الجزیة علیهم،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احکام الأسالم، و انّه لاطجوز الأخلال بهما و لا بأحدهما، فأن اغفال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تنعقد الجزیة و لا نعلم فیه خلافاً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ممّا ینبغی اشتراطه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یجب علیهم الکفّ عنه ترک الزّنا بامسلمة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الثّالث ترک اصباتها باسم نکاح، و کذا لصّبطان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جعلهما مع اربعة اخری بانّه ان شرطت فی عقد الذّمّة انتقض العهد بمخالفة احدها، و الاّ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نعم یحدّ او یعزّر بحساب الجنایة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الشّرایع جعل قبول الجزیة، و الاّ یفعلوا ما ینافی الأمان، مثل العزم علی حرب المسلمین، و ایواء المشرکین ممّا یخرجون عن الذّمّة بمخالفتهما، و جعل الشّرط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یؤذوا المسلمین، کالزّنا بنسائهم و اللّواط بصبیانهم، و السّرقة لدموالهم، و ایواء عین المشرکین و التجسّس 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فعلوا شیئاً و کان ترکه مشترطاً فی الهدنة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نقضاً، و ان لم یکن مشترطاً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علی عهدهم، و فعل بهم ما یقتضیه جنایتهم من حدّ او تعزیر</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لاط المولی بعبده بایقاب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قتلا، ولو ادّعی العبد الأکراه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یقبل اذا</w:t>
      </w:r>
      <w:bookmarkStart w:id="401" w:name="pg3023_22729"/>
    </w:p>
    <w:p>
      <w:pPr>
        <w:pStyle w:val="Heading5"/>
        <w:numPr>
          <w:ilvl w:val="4"/>
          <w:numId w:val="1"/>
        </w:numPr>
        <w:rPr/>
      </w:pPr>
      <w:bookmarkStart w:id="402" w:name="__RefHeading___Toc656915_2749589250"/>
      <w:bookmarkStart w:id="403" w:name="_Toc144"/>
      <w:bookmarkEnd w:id="401"/>
      <w:bookmarkEnd w:id="402"/>
      <w:r>
        <w:rPr>
          <w:rtl w:val="true"/>
        </w:rPr>
        <w:t>الثّانیة</w:t>
      </w:r>
      <w:r>
        <w:rPr>
          <w:rtl w:val="true"/>
        </w:rPr>
        <w:t xml:space="preserve">: </w:t>
      </w:r>
      <w:r>
        <w:rPr>
          <w:rtl w:val="true"/>
        </w:rPr>
        <w:t>اذا تاب الّلائط او الملوط ففی الاقرار للامام العفو</w:t>
      </w:r>
      <w:bookmarkEnd w:id="403"/>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تاب اللّائط او الملوط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الأقرار؛ للأمام العفو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احتمل فی حقّة، کما تقبل هذه ادّعوی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 ملوط او لائط؛ احتمل فی حقّه، امّا للشّبهة و انّه تدرء الحدود بالشّبهات</w:t>
      </w:r>
      <w:r>
        <w:rPr>
          <w:rStyle w:val="FootnoteAnchor"/>
          <w:rtl w:val="true"/>
        </w:rPr>
        <w:footnoteReference w:id="1167"/>
      </w:r>
      <w:r>
        <w:rPr>
          <w:rFonts w:ascii="IRNazanin" w:hAnsi="IRNazanin" w:eastAsia="IRNazanin"/>
          <w:color w:val="111111"/>
          <w:sz w:val="28"/>
          <w:sz w:val="28"/>
          <w:szCs w:val="28"/>
          <w:rtl w:val="true"/>
          <w:lang w:bidi="fa-IR"/>
        </w:rPr>
        <w:t>او لما ذکر فی صحیحة ابی عبیدة</w:t>
      </w:r>
      <w:r>
        <w:rPr>
          <w:rStyle w:val="FootnoteAnchor"/>
          <w:rtl w:val="true"/>
        </w:rPr>
        <w:footnoteReference w:id="1168"/>
      </w:r>
      <w:r>
        <w:rPr>
          <w:rFonts w:ascii="IRNazanin" w:hAnsi="IRNazanin" w:eastAsia="IRNazanin"/>
          <w:color w:val="111111"/>
          <w:sz w:val="28"/>
          <w:sz w:val="28"/>
          <w:szCs w:val="28"/>
          <w:rtl w:val="true"/>
          <w:lang w:bidi="fa-IR"/>
        </w:rPr>
        <w:t xml:space="preserve">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المرأة التّی اُتی بها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رجل فجر بها،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استکرهنی و الله یا امیر المؤمنین، فدرء عنها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قریب منها ما فی صحیحة محمّد ابن مسلم</w:t>
      </w:r>
      <w:r>
        <w:rPr>
          <w:rStyle w:val="FootnoteAnchor"/>
          <w:rtl w:val="true"/>
        </w:rPr>
        <w:footnoteReference w:id="1169"/>
      </w:r>
      <w:r>
        <w:rPr>
          <w:rFonts w:ascii="IRNazanin" w:hAnsi="IRNazanin" w:eastAsia="IRNazanin"/>
          <w:color w:val="111111"/>
          <w:sz w:val="28"/>
          <w:sz w:val="28"/>
          <w:szCs w:val="28"/>
          <w:rtl w:val="true"/>
          <w:lang w:bidi="fa-IR"/>
        </w:rPr>
        <w:t xml:space="preserve">عن احدهما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 فی امرأة اقرّت علی نفسها انّه استکرهها رجل علی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مثل السّائبة، لا تملک نفسها، فلو شاء قتلها، لیس علیها جلد و لا نفی و لا 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مثلها روایة ابی بصیر</w:t>
      </w:r>
      <w:r>
        <w:rPr>
          <w:rStyle w:val="FootnoteAnchor"/>
          <w:rtl w:val="true"/>
        </w:rPr>
        <w:footnoteReference w:id="1170"/>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ابی ابراهیم او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المتضمّنة نقل قضاء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روایة النوّادر لأحمد بن محمّد بن عیسی عن ابی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نحوها غیرها</w:t>
      </w:r>
      <w:r>
        <w:rPr>
          <w:rStyle w:val="FootnoteAnchor"/>
          <w:rtl w:val="true"/>
        </w:rPr>
        <w:footnoteReference w:id="1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انفهام الخصوصیّة للزّانیة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 ذلک روایة المناقب</w:t>
      </w:r>
      <w:r>
        <w:rPr>
          <w:rStyle w:val="FootnoteAnchor"/>
          <w:rtl w:val="true"/>
        </w:rPr>
        <w:footnoteReference w:id="1172"/>
      </w:r>
      <w:r>
        <w:rPr>
          <w:rFonts w:ascii="IRNazanin" w:hAnsi="IRNazanin" w:eastAsia="IRNazanin"/>
          <w:color w:val="111111"/>
          <w:sz w:val="28"/>
          <w:sz w:val="28"/>
          <w:szCs w:val="28"/>
          <w:rtl w:val="true"/>
          <w:lang w:bidi="fa-IR"/>
        </w:rPr>
        <w:t>و یشهد له روایة الجعفریّات</w:t>
      </w:r>
      <w:r>
        <w:rPr>
          <w:rStyle w:val="FootnoteAnchor"/>
          <w:rtl w:val="true"/>
        </w:rPr>
        <w:footnoteReference w:id="1173"/>
      </w:r>
      <w:r>
        <w:rPr>
          <w:rFonts w:ascii="IRNazanin" w:hAnsi="IRNazanin" w:eastAsia="IRNazanin"/>
          <w:color w:val="111111"/>
          <w:sz w:val="28"/>
          <w:sz w:val="28"/>
          <w:szCs w:val="28"/>
          <w:rtl w:val="true"/>
          <w:lang w:bidi="fa-IR"/>
        </w:rPr>
        <w:t xml:space="preserve">مسندة عن جعفر بن محمّد عن ابیه عن جدّه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المستکره حدّ، و لا علی مستکرهة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الأخری</w:t>
      </w:r>
      <w:r>
        <w:rPr>
          <w:rStyle w:val="FootnoteAnchor"/>
          <w:rtl w:val="true"/>
        </w:rPr>
        <w:footnoteReference w:id="1174"/>
      </w:r>
      <w:r>
        <w:rPr>
          <w:rFonts w:ascii="IRNazanin" w:hAnsi="IRNazanin" w:eastAsia="IRNazanin"/>
          <w:color w:val="111111"/>
          <w:sz w:val="28"/>
          <w:sz w:val="28"/>
          <w:szCs w:val="28"/>
          <w:rtl w:val="true"/>
          <w:lang w:bidi="fa-IR"/>
        </w:rPr>
        <w:t>بهذا الأسناد فی المستکرهة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روایة الدّعائم</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تاب اللاّئط او الملوط فأن ثبت بالأقرار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فللأمام العفو عنه،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فی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فی خصوص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مالک بن عطیّة</w:t>
      </w:r>
      <w:r>
        <w:rPr>
          <w:rStyle w:val="FootnoteAnchor"/>
          <w:rtl w:val="true"/>
        </w:rPr>
        <w:footnoteReference w:id="1176"/>
      </w:r>
      <w:r>
        <w:rPr>
          <w:rFonts w:ascii="IRNazanin" w:hAnsi="IRNazanin" w:eastAsia="IRNazanin"/>
          <w:color w:val="111111"/>
          <w:sz w:val="28"/>
          <w:sz w:val="28"/>
          <w:szCs w:val="28"/>
          <w:rtl w:val="true"/>
          <w:lang w:bidi="fa-IR"/>
        </w:rPr>
        <w:t xml:space="preserve">، المتقدّم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ذیلها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 و هو باکٍ حتّی دخل الحفیرة، الّتی حفرها له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یری النّار تتأجّج حوله،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فبکی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بکی اصحابه جمیعاً، فقال له امیر 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یاهذا فقد ابکیت ملائکة السّماء و ملائکة الأرض، فأنّ الله قد تاب علیک، فقم و لا تعاودنّ شیئاً ممّا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قریب منها مرسلة ارشاد القلوب</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ان ثبت اللّواط بالبیّنة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کانت توبته قبل قیامها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فالمشهور سقوط الحدّ، کما فی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کانت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استناداً الی مرسلة جمیل بن درّاج</w:t>
      </w:r>
      <w:r>
        <w:rPr>
          <w:rStyle w:val="FootnoteAnchor"/>
          <w:rtl w:val="true"/>
        </w:rPr>
        <w:footnoteReference w:id="1178"/>
      </w:r>
      <w:r>
        <w:rPr>
          <w:rFonts w:ascii="Amiri" w:hAnsi="Amiri" w:eastAsia="Amiri" w:cs="Amiri"/>
          <w:color w:val="111111"/>
          <w:sz w:val="28"/>
          <w:sz w:val="28"/>
          <w:szCs w:val="28"/>
          <w:rtl w:val="true"/>
          <w:lang w:bidi="ar-SA"/>
        </w:rPr>
        <w:t xml:space="preserve">عن 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مرسلة صفوان</w:t>
      </w:r>
      <w:r>
        <w:rPr>
          <w:rStyle w:val="FootnoteAnchor"/>
          <w:rtl w:val="true"/>
        </w:rPr>
        <w:footnoteReference w:id="1179"/>
      </w:r>
      <w:r>
        <w:rPr>
          <w:rFonts w:ascii="IRNazanin" w:hAnsi="IRNazanin" w:eastAsia="IRNazanin"/>
          <w:color w:val="111111"/>
          <w:sz w:val="28"/>
          <w:sz w:val="28"/>
          <w:szCs w:val="28"/>
          <w:rtl w:val="true"/>
          <w:lang w:bidi="fa-IR"/>
        </w:rPr>
        <w:t xml:space="preserve">عن بعض اصحابنا عن ابی بصیر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الأولی</w:t>
      </w:r>
      <w:r>
        <w:rPr>
          <w:rStyle w:val="FootnoteAnchor"/>
          <w:rtl w:val="true"/>
        </w:rPr>
        <w:footnoteReference w:id="1180"/>
      </w:r>
      <w:r>
        <w:rPr>
          <w:rFonts w:ascii="IRNazanin" w:hAnsi="IRNazanin" w:eastAsia="IRNazanin"/>
          <w:color w:val="111111"/>
          <w:sz w:val="28"/>
          <w:sz w:val="28"/>
          <w:szCs w:val="28"/>
          <w:rtl w:val="true"/>
          <w:lang w:bidi="fa-IR"/>
        </w:rPr>
        <w:t>؛ فی رجل سرق او شرب الخمر او زنی، فلم یعلم ذلک منه و لم یؤخذ حتّط تاب و اصلح،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صلح و عرف منه امر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یقم علیه الحدّ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الثّانیة</w:t>
      </w:r>
      <w:r>
        <w:rPr>
          <w:rStyle w:val="FootnoteAnchor"/>
          <w:rtl w:val="true"/>
        </w:rPr>
        <w:footnoteReference w:id="1181"/>
      </w:r>
      <w:r>
        <w:rPr>
          <w:rFonts w:ascii="IRNazanin" w:hAnsi="IRNazanin" w:eastAsia="IRNazanin"/>
          <w:color w:val="111111"/>
          <w:sz w:val="28"/>
          <w:sz w:val="28"/>
          <w:szCs w:val="28"/>
          <w:rtl w:val="true"/>
          <w:lang w:bidi="fa-IR"/>
        </w:rPr>
        <w:t>فی رجل اقیمت علیه البیّنة بأنّه زنی؛ ثمّ هرب قبل ان یضرب؟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تاب فما علیه شیء، و ان وقع فی ید الأمام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 علیه الحدّ، و ان علم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هما و ان کان هو الزّنا، او غیر اللّواط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یفهم منهما العموم و عدم الخصوصیّة</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یقال بظهور قوله، فی الثّانیة</w:t>
      </w:r>
      <w:r>
        <w:rPr>
          <w:rStyle w:val="FootnoteAnchor"/>
          <w:rtl w:val="true"/>
        </w:rPr>
        <w:footnoteReference w:id="118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تاب فما علیه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التّوبة توجب سقوط الحدّ؛ حتّی بعد قیام البیّنة، لکنّه مشکل، و قد تقدّم البحث فی</w:t>
      </w:r>
      <w:bookmarkStart w:id="404" w:name="pg3023_22733"/>
    </w:p>
    <w:p>
      <w:pPr>
        <w:pStyle w:val="Heading5"/>
        <w:numPr>
          <w:ilvl w:val="4"/>
          <w:numId w:val="1"/>
        </w:numPr>
        <w:rPr/>
      </w:pPr>
      <w:bookmarkStart w:id="405" w:name="__RefHeading___Toc656917_2749589250"/>
      <w:bookmarkStart w:id="406" w:name="_Toc145"/>
      <w:bookmarkEnd w:id="404"/>
      <w:bookmarkEnd w:id="405"/>
      <w:r>
        <w:rPr>
          <w:rtl w:val="true"/>
        </w:rPr>
        <w:t>الثّالثة</w:t>
      </w:r>
      <w:r>
        <w:rPr>
          <w:rtl w:val="true"/>
        </w:rPr>
        <w:t xml:space="preserve">: </w:t>
      </w:r>
      <w:r>
        <w:rPr>
          <w:rtl w:val="true"/>
        </w:rPr>
        <w:t>اذا حدّ مرّتین فی اللّواط بدون الایقاب قتل فی الثّالثة</w:t>
      </w:r>
      <w:bookmarkEnd w:id="406"/>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تکرّر اللّواط بدون الأیقاب و حدّ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فی الثّالثة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407" w:name="__RefHeading___Toc656919_2749589250"/>
      <w:bookmarkStart w:id="408" w:name="_Toc146"/>
      <w:bookmarkEnd w:id="407"/>
      <w:r>
        <w:rPr>
          <w:rtl w:val="true"/>
        </w:rPr>
        <w:t>الرّابعة</w:t>
      </w:r>
      <w:r>
        <w:rPr>
          <w:rtl w:val="true"/>
        </w:rPr>
        <w:t xml:space="preserve">: </w:t>
      </w:r>
      <w:r>
        <w:rPr>
          <w:rtl w:val="true"/>
        </w:rPr>
        <w:t>اذا جحد بعد الاقرار بموجب الرّجم لا یرجم</w:t>
      </w:r>
      <w:bookmarkEnd w:id="408"/>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حجد بعد الأقرار فأن کان اقراره بموجب 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یرجم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باب الزنا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تکرّر منه اللّواط بدون الأیقاب و حدّ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فی الثّالثة، بخلاف باب الزّنا، فأنّه یقتل فی الرّابعة، لما ورد هناک من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دلیل علی تخصیص قول ابی الحسن الماضی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صحیحة یونس</w:t>
      </w:r>
      <w:r>
        <w:rPr>
          <w:rStyle w:val="FootnoteAnchor"/>
          <w:rtl w:val="true"/>
        </w:rPr>
        <w:footnoteReference w:id="1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الکبائر کلّها اذا اقیم علیهم الحدّ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قتلوا فی الثّالثة، فیؤخذبه، و اذا حدّ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فی المرّة الثّالثة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الرّبعة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جحد بعد الأقرار اربعاً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کان اقراره بموجب الرّجم فلا یرجم، بل یجلد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بما لا یوجب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اثر لجحوده، بل یضرب جلداً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انّ الرّجم لیس حدّاً تعییناً، و انّما هو احد افراد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ینزل عن القتل فیه مطلقاً، رجماً او غیره؟ او سقوط الرّجم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اذا وجب تعییناً؟ و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یبعد الأوّل، بل ربّما یظهر من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صحیحة الحلبیّ</w:t>
      </w:r>
      <w:r>
        <w:rPr>
          <w:rStyle w:val="FootnoteAnchor"/>
          <w:rtl w:val="true"/>
        </w:rPr>
        <w:footnoteReference w:id="1184"/>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ارأیت ان اقرّ علی نفسه بحدّ یبلغ فیه الرّجم أکنت ترجمه؟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کنت ضاربه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صحیحته الثّانیة</w:t>
      </w:r>
      <w:r>
        <w:rPr>
          <w:rStyle w:val="FootnoteAnchor"/>
          <w:rtl w:val="true"/>
        </w:rPr>
        <w:footnoteReference w:id="1185"/>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اقرّ علی نفسه بحدّ یجب فیه الرّجم أکنت راجمه؟ فقال لا، ولکن کنت ضاربه الحدّ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الی صراحة مرسلة جمیل</w:t>
      </w:r>
      <w:r>
        <w:rPr>
          <w:rStyle w:val="FootnoteAnchor"/>
          <w:rtl w:val="true"/>
        </w:rPr>
        <w:footnoteReference w:id="1186"/>
      </w:r>
      <w:r>
        <w:rPr>
          <w:rFonts w:ascii="IRNazanin" w:hAnsi="IRNazanin" w:eastAsia="IRNazanin"/>
          <w:color w:val="111111"/>
          <w:sz w:val="28"/>
          <w:sz w:val="28"/>
          <w:szCs w:val="28"/>
          <w:rtl w:val="true"/>
          <w:lang w:bidi="fa-IR"/>
        </w:rPr>
        <w:t xml:space="preserve">عن احدهما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w:t>
      </w:r>
      <w:bookmarkStart w:id="409" w:name="pg3023_22735"/>
    </w:p>
    <w:p>
      <w:pPr>
        <w:pStyle w:val="Heading5"/>
        <w:numPr>
          <w:ilvl w:val="4"/>
          <w:numId w:val="1"/>
        </w:numPr>
        <w:rPr/>
      </w:pPr>
      <w:bookmarkStart w:id="410" w:name="__RefHeading___Toc656921_2749589250"/>
      <w:bookmarkStart w:id="411" w:name="_Toc147"/>
      <w:bookmarkEnd w:id="409"/>
      <w:bookmarkEnd w:id="410"/>
      <w:r>
        <w:rPr>
          <w:rtl w:val="true"/>
        </w:rPr>
        <w:t>الخامسة</w:t>
      </w:r>
      <w:r>
        <w:rPr>
          <w:rtl w:val="true"/>
        </w:rPr>
        <w:t xml:space="preserve">: </w:t>
      </w:r>
      <w:r>
        <w:rPr>
          <w:rtl w:val="true"/>
        </w:rPr>
        <w:t>اذا کان احدهما اوکلاهما من اهل الذّمة فللحاکم الخیار</w:t>
      </w:r>
      <w:bookmarkEnd w:id="411"/>
    </w:p>
    <w:p>
      <w:pPr>
        <w:pStyle w:val="BookText"/>
        <w:rPr/>
      </w:pPr>
      <w:r>
        <w:rPr>
          <w:rFonts w:ascii="IRNazanin" w:hAnsi="IRNazanin" w:eastAsia="IRNazanin"/>
          <w:color w:val="111111"/>
          <w:sz w:val="28"/>
          <w:sz w:val="28"/>
          <w:szCs w:val="28"/>
          <w:rtl w:val="true"/>
          <w:lang w:bidi="fa-IR"/>
        </w:rPr>
        <w:t>فی ردّهم الی ملّتهم و فی الزامهم بحکم الاسلام</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احد هما او کلا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الذّمّة؛ و رفعوا الینا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فللحاکم الخیار فی ردّهم الی ملّتهم، و فی الزامهم بأحکام الأسلام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اقرّ الرّجل علی نفسه بالقتل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اذا لم یکن علیه شهود، فأن رجع و قال لم 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ولم 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یشهد لعدم الرّجم و ثبوت الحدّ روایة الدّعائم</w:t>
      </w:r>
      <w:r>
        <w:rPr>
          <w:rStyle w:val="FootnoteAnchor"/>
          <w:rtl w:val="true"/>
        </w:rPr>
        <w:footnoteReference w:id="1187"/>
      </w:r>
      <w:r>
        <w:rPr>
          <w:rFonts w:ascii="IRNazanin" w:hAnsi="IRNazanin" w:eastAsia="IRNazanin"/>
          <w:color w:val="111111"/>
          <w:sz w:val="28"/>
          <w:sz w:val="28"/>
          <w:szCs w:val="28"/>
          <w:rtl w:val="true"/>
          <w:lang w:bidi="fa-IR"/>
        </w:rPr>
        <w:t>و ان وردت فی الزّنا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الفاعل و المفعول او احدهما من اثل الذّمّة، و رفعوا الینا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فللحاکم الخیار فی ردّهم الی ملّتهم، یحکمون فیهما ماشائوا، و فی الزامهم بأحکام الأسلام من الحدّ، رجماً او قتلاً بأنحائه، او جلداً کما فی باب الزّنا، و اشرنا الی دلیله ذاک 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اشکال فی انّه اذا جهل حرمة اللّواط، فاعلاً او مفعولاً و ارتکبه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حدّ علیه، مسلماً کان او غیر مسلم، کما فی بابا الزّنا و السّرقة و امثالهما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ذکرنا ما یدلّ علیه فی باب الزّنا، و ان لم یرد نصّ فی المقام بخصوصه، لکنّه یستفاد من الرّوایات، لعدم انفهام الخصوصیّة</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صحیحة الحلبّی</w:t>
      </w:r>
      <w:r>
        <w:rPr>
          <w:rStyle w:val="FootnoteAnchor"/>
          <w:rtl w:val="true"/>
        </w:rPr>
        <w:footnoteReference w:id="1188"/>
      </w:r>
      <w:r>
        <w:rPr>
          <w:rFonts w:ascii="IRNazanin" w:hAnsi="IRNazanin" w:eastAsia="IRNazanin"/>
          <w:color w:val="111111"/>
          <w:sz w:val="28"/>
          <w:sz w:val="28"/>
          <w:szCs w:val="28"/>
          <w:rtl w:val="true"/>
          <w:lang w:bidi="fa-IR"/>
        </w:rPr>
        <w:t>لو انّ رجلاً دخل فی الأسلام و اقرّ به، ثمّ شرب الخمر وزنی و اکل الرّبا و لم یتبینّ له شیء من 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اقم علیه الحدّ؛ اذا کان جاهلاً؛ الاّ ان تقوم البیّنة انّه قرء السّرة الّتی فیها الزّنا و الخمر و اکل الرّبا ـ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نحوها صحیحة محمّد بن مسلم</w:t>
      </w:r>
      <w:r>
        <w:rPr>
          <w:rStyle w:val="FootnoteAnchor"/>
          <w:rtl w:val="true"/>
        </w:rPr>
        <w:footnoteReference w:id="1189"/>
      </w:r>
      <w:r>
        <w:rPr>
          <w:rFonts w:ascii="IRNazanin" w:hAnsi="IRNazanin" w:eastAsia="IRNazanin"/>
          <w:color w:val="111111"/>
          <w:sz w:val="28"/>
          <w:sz w:val="28"/>
          <w:szCs w:val="28"/>
          <w:rtl w:val="true"/>
          <w:lang w:bidi="fa-IR"/>
        </w:rPr>
        <w:t>، و فی صحیحة ابی عبیدة الحذّاء</w:t>
      </w:r>
      <w:r>
        <w:rPr>
          <w:rStyle w:val="FootnoteAnchor"/>
          <w:rtl w:val="true"/>
        </w:rPr>
        <w:footnoteReference w:id="1190"/>
      </w:r>
      <w:r>
        <w:rPr>
          <w:rFonts w:ascii="IRNazanin" w:hAnsi="IRNazanin" w:eastAsia="IRNazanin"/>
          <w:color w:val="111111"/>
          <w:sz w:val="28"/>
          <w:sz w:val="28"/>
          <w:szCs w:val="28"/>
          <w:rtl w:val="true"/>
          <w:lang w:bidi="fa-IR"/>
        </w:rPr>
        <w:t xml:space="preserve">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وجدت رجلاً من العجم اقرّ بجملة الأسالم؛ لم یأته شیء من التّفسیر؛ زنی او سرق او شرب خمراً؛ لم اقم علیه الحدّ اذا جهله؛ الاّ ان تقوم علیه بیّنة، انّه قد اقرّ بذلک و عرفه</w:t>
      </w:r>
      <w:r>
        <w:rPr>
          <w:rFonts w:eastAsia="IRNazanin" w:cs="IRNazanin"/>
          <w:color w:val="111111"/>
          <w:sz w:val="28"/>
          <w:szCs w:val="28"/>
          <w:rtl w:val="true"/>
          <w:lang w:bidi="fa-IR"/>
        </w:rPr>
        <w:t>.</w:t>
      </w:r>
      <w:bookmarkStart w:id="412" w:name="pg3023_22737"/>
    </w:p>
    <w:p>
      <w:pPr>
        <w:pStyle w:val="Heading5"/>
        <w:numPr>
          <w:ilvl w:val="4"/>
          <w:numId w:val="1"/>
        </w:numPr>
        <w:rPr/>
      </w:pPr>
      <w:bookmarkStart w:id="413" w:name="__RefHeading___Toc656923_2749589250"/>
      <w:bookmarkStart w:id="414" w:name="_Toc148"/>
      <w:bookmarkEnd w:id="412"/>
      <w:bookmarkEnd w:id="413"/>
      <w:r>
        <w:rPr>
          <w:rtl w:val="true"/>
        </w:rPr>
        <w:t>اللّواط بالمیّت کالحیّ</w:t>
      </w:r>
      <w:bookmarkEnd w:id="414"/>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لاط بمیّت کان کمن لاط باحیّ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415" w:name="__RefHeading___Toc656925_2749589250"/>
      <w:bookmarkStart w:id="416" w:name="_Toc149"/>
      <w:bookmarkEnd w:id="415"/>
      <w:r>
        <w:rPr>
          <w:rtl w:val="true"/>
        </w:rPr>
        <w:t>(</w:t>
      </w:r>
      <w:r>
        <w:rPr>
          <w:rtl w:val="true"/>
        </w:rPr>
        <w:t>فی حدّ المساحقة</w:t>
      </w:r>
      <w:r>
        <w:rPr>
          <w:rtl w:val="true"/>
        </w:rPr>
        <w:t>)</w:t>
      </w:r>
      <w:bookmarkEnd w:id="416"/>
    </w:p>
    <w:p>
      <w:pPr>
        <w:pStyle w:val="Heading4"/>
        <w:numPr>
          <w:ilvl w:val="3"/>
          <w:numId w:val="1"/>
        </w:numPr>
        <w:rPr/>
      </w:pPr>
      <w:bookmarkStart w:id="417" w:name="__RefHeading___Toc656927_2749589250"/>
      <w:bookmarkStart w:id="418" w:name="_Toc150"/>
      <w:bookmarkEnd w:id="417"/>
      <w:r>
        <w:rPr>
          <w:rtl w:val="true"/>
        </w:rPr>
        <w:t>اشارة</w:t>
      </w:r>
      <w:bookmarkEnd w:id="418"/>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دلک انثی فرجها بفرج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کالزّنا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و یؤیّد الحکم مرفوعة الخصائص</w:t>
      </w:r>
      <w:r>
        <w:rPr>
          <w:rStyle w:val="FootnoteAnchor"/>
          <w:rtl w:val="true"/>
        </w:rPr>
        <w:footnoteReference w:id="1191"/>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المتضمّنة لقضاء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اروده الرّاوندی</w:t>
      </w:r>
      <w:r>
        <w:rPr>
          <w:rStyle w:val="FootnoteAnchor"/>
          <w:rtl w:val="true"/>
        </w:rPr>
        <w:footnoteReference w:id="1192"/>
      </w:r>
      <w:r>
        <w:rPr>
          <w:rFonts w:ascii="IRNazanin" w:hAnsi="IRNazanin" w:eastAsia="IRNazanin"/>
          <w:color w:val="111111"/>
          <w:sz w:val="28"/>
          <w:sz w:val="28"/>
          <w:szCs w:val="28"/>
          <w:rtl w:val="true"/>
          <w:lang w:bidi="fa-IR"/>
        </w:rPr>
        <w:t xml:space="preserve">فی لبّ اللّباب من قضیّة بول اعرابیّ فی مسجد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نهیه صلوات الله علیه و آله عن ضربه، لأنّه لا یعلم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لاط بمیّت کان کمن لاط باحیّ فی الحدّ قتلاً مع الأیقاب و جلداً بدونه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للاطلاق و صدق اللّواط، و ربّما زید علی الحدّ تعزیراً بما یراه الحاکم، لکون الفعل افحش، و الجنایة اغلظ ممّا اذا فعل بالحیّ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فرض الزّیادة تقدّم علی القتل فی الأیقاب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الحکم کذلک اذا لیط بمیّت؟ بأن ادخل الحیّ ذکر المیّت فی دبره؟ فیه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انصراف الدّلیل فی هذه الصّورة الی لواط الحیّ، و من الأطلاق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یأتی فی ادخال المرأة ذکر الرّجل المیّت فی فرجها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یغسّل المیّت لو کا بعد اغساله الثّلاثة للمیّت؟ فیه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عدم الدّلیل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 المساحقة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السّحق بالفتح مصدر سحقه کمنعه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سهکه او دقّه او دون الدّقّ، کما 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معناه، سحقه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دقّه اشدّ 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المجمع و 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دلک فرج امرأة بفرج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للمناسبة اصطلح الفقهاء علی وطی امرأة لمثلها، و عبّروا عنه بالسّحق و المساحقة</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اشکال و لا خلاف فی حرمته علی البالغة العاقلة، فاعلة کانت</w:t>
      </w:r>
      <w:bookmarkStart w:id="419" w:name="pg3023_22739"/>
    </w:p>
    <w:p>
      <w:pPr>
        <w:pStyle w:val="Heading4"/>
        <w:numPr>
          <w:ilvl w:val="3"/>
          <w:numId w:val="1"/>
        </w:numPr>
        <w:rPr/>
      </w:pPr>
      <w:bookmarkStart w:id="420" w:name="__RefHeading___Toc656929_2749589250"/>
      <w:bookmarkStart w:id="421" w:name="_Toc151"/>
      <w:bookmarkEnd w:id="419"/>
      <w:bookmarkEnd w:id="420"/>
      <w:r>
        <w:rPr>
          <w:rtl w:val="true"/>
        </w:rPr>
        <w:t>حدّ السّحق مأة جلدة فاعلة و مفعولة</w:t>
      </w:r>
      <w:bookmarkEnd w:id="421"/>
    </w:p>
    <w:p>
      <w:pPr>
        <w:pStyle w:val="BookText"/>
        <w:rPr/>
      </w:pPr>
      <w:r>
        <w:rPr>
          <w:rFonts w:ascii="IRNazanin" w:hAnsi="IRNazanin" w:eastAsia="IRNazanin"/>
          <w:color w:val="111111"/>
          <w:sz w:val="28"/>
          <w:sz w:val="28"/>
          <w:szCs w:val="28"/>
          <w:rtl w:val="true"/>
          <w:lang w:bidi="fa-IR"/>
        </w:rPr>
        <w:t xml:space="preserve">و حدّه مأة جلدة، فاعلة و مفعولة، محصنة او غیرها فی المشهور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او مفعولة، بل حرمته اجماعیّة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 اللّواتی باللوّاتی</w:t>
      </w:r>
      <w:r>
        <w:rPr>
          <w:rStyle w:val="FootnoteAnchor"/>
          <w:rtl w:val="true"/>
        </w:rPr>
        <w:footnoteReference w:id="1193"/>
      </w:r>
      <w:r>
        <w:rPr>
          <w:rFonts w:ascii="IRNazanin" w:hAnsi="IRNazanin" w:eastAsia="IRNazanin"/>
          <w:color w:val="111111"/>
          <w:sz w:val="28"/>
          <w:sz w:val="28"/>
          <w:szCs w:val="28"/>
          <w:rtl w:val="true"/>
          <w:lang w:bidi="fa-IR"/>
        </w:rPr>
        <w:t>، او مع اللّواتی</w:t>
      </w:r>
      <w:r>
        <w:rPr>
          <w:rStyle w:val="FootnoteAnchor"/>
          <w:rtl w:val="true"/>
        </w:rPr>
        <w:footnoteReference w:id="1194"/>
      </w:r>
      <w:r>
        <w:rPr>
          <w:rFonts w:ascii="Amiri" w:hAnsi="Amiri" w:eastAsia="Amiri" w:cs="Amiri"/>
          <w:color w:val="111111"/>
          <w:sz w:val="28"/>
          <w:sz w:val="28"/>
          <w:szCs w:val="28"/>
          <w:rtl w:val="true"/>
          <w:lang w:bidi="ar-SA"/>
        </w:rPr>
        <w:t>و انّه یؤتی</w:t>
      </w:r>
      <w:r>
        <w:rPr>
          <w:rStyle w:val="FootnoteAnchor"/>
          <w:rtl w:val="true"/>
        </w:rPr>
        <w:footnoteReference w:id="1195"/>
      </w:r>
      <w:r>
        <w:rPr>
          <w:rFonts w:ascii="IRNazanin" w:hAnsi="IRNazanin" w:eastAsia="IRNazanin"/>
          <w:color w:val="111111"/>
          <w:sz w:val="28"/>
          <w:sz w:val="28"/>
          <w:szCs w:val="28"/>
          <w:rtl w:val="true"/>
          <w:lang w:bidi="fa-IR"/>
        </w:rPr>
        <w:t>بهنّ یوم القیامة قد البسن مقطّعات من نار و قنّعن بمقانع من نار و سرولن من نار، و ادخل فی اجوا فهنّ الی رؤسهنّ اعمدة من نار، و قذف بهنّ فی النّار، و انّ اوّل من عمل هذا العمل قوم لوط، فاستغنی الرّجال بالرّجال، فبقی النّساء بغیر رجال، ففعلن کما فعل رجالهنّ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خبر آخر</w:t>
      </w:r>
      <w:r>
        <w:rPr>
          <w:rStyle w:val="FootnoteAnchor"/>
          <w:rtl w:val="true"/>
        </w:rPr>
        <w:footnoteReference w:id="1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فی النّار علیهما سبعون حلّة من نار فوق تلک الحلل جلد جافّ غلیظ من نار، علیهما نطاقان من نار، و تاجان من نار، فوق تلک الحلل، و خفّان من نار و هما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مارواه یعقوب بن جعفر</w:t>
      </w:r>
      <w:r>
        <w:rPr>
          <w:rStyle w:val="FootnoteAnchor"/>
          <w:rtl w:val="true"/>
        </w:rPr>
        <w:footnoteReference w:id="1197"/>
      </w:r>
      <w:r>
        <w:rPr>
          <w:rFonts w:ascii="IRNazanin" w:hAnsi="IRNazanin" w:eastAsia="IRNazanin"/>
          <w:color w:val="111111"/>
          <w:sz w:val="28"/>
          <w:sz w:val="28"/>
          <w:szCs w:val="28"/>
          <w:rtl w:val="true"/>
          <w:lang w:bidi="fa-IR"/>
        </w:rPr>
        <w:t xml:space="preserve">عن ابی عبدالله او ابی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سئله رجل عن المرأة تساحق المرأة و کان متّکئاً فجلس؟ و قال ملعونة ملعونة الرّاکبة و المرکوبة، و ملعونة حتّی تخرج من اثوابها، فأنّ الله و ملائکته و اولیائه یلعنونها، و انا و من بقی فی اصلاب الرّجال و ارحام النّساء، فهو و الله الزّنا الأکبر و لا و الله مما لهنّ توبة، قاتل الله لا قیس بنت ابلیس ماذا جائت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عبد الرّحمن بن محمّد</w:t>
      </w:r>
      <w:r>
        <w:rPr>
          <w:rStyle w:val="FootnoteAnchor"/>
          <w:rtl w:val="true"/>
        </w:rPr>
        <w:footnoteReference w:id="1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اهلک الله 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عمل النّساء مثل ما عمل الرّجال، یأتی بعضهم بعضاً</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الشهور فی حدّ المساحقة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مأة، بلا فرق بین المحصنة و غیرها، حرّة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ام امة، مسلمة او کافرة، فاعلة او مفعولة، بل فی الأنتصار</w:t>
      </w:r>
      <w:r>
        <w:rPr>
          <w:rStyle w:val="FootnoteAnchor"/>
          <w:rtl w:val="true"/>
        </w:rPr>
        <w:footnoteReference w:id="1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اجماع الطّائفة علیه فی المحصنة و غیرها،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قامت البیّنة علیهما بتکرّر هذا الفعل منهما، و اصرارهما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للأمام قتلهما، کما یفعل بالّوطیّ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خالف باقی الفقهاء فی ذلک، و لم یوجبوا شیئاً مّما او جبناه</w:t>
      </w:r>
      <w:r>
        <w:rPr>
          <w:rStyle w:val="FootnoteAnchor"/>
          <w:rtl w:val="true"/>
        </w:rPr>
        <w:footnoteReference w:id="1200"/>
      </w:r>
      <w:r>
        <w:rPr>
          <w:rFonts w:ascii="IRNazanin" w:hAnsi="IRNazanin" w:eastAsia="IRNazanin"/>
          <w:color w:val="111111"/>
          <w:sz w:val="28"/>
          <w:sz w:val="28"/>
          <w:szCs w:val="28"/>
          <w:rtl w:val="true"/>
          <w:lang w:bidi="fa-IR"/>
        </w:rPr>
        <w:t>و یدلّ علی الحکم موثّقة زرارة</w:t>
      </w:r>
      <w:r>
        <w:rPr>
          <w:rStyle w:val="FootnoteAnchor"/>
          <w:rtl w:val="true"/>
        </w:rPr>
        <w:footnoteReference w:id="1201"/>
      </w:r>
      <w:r>
        <w:rPr>
          <w:rFonts w:ascii="IRNazanin" w:hAnsi="IRNazanin" w:eastAsia="IRNazanin"/>
          <w:color w:val="111111"/>
          <w:sz w:val="28"/>
          <w:sz w:val="28"/>
          <w:szCs w:val="28"/>
          <w:rtl w:val="true"/>
          <w:lang w:bidi="fa-IR"/>
        </w:rPr>
        <w:t xml:space="preserve">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السّحّاقة تجلد، لظهورها فی جلد مأة قبال الرّجم فی الزّنا و اللّواط</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یؤیّده المرسل</w:t>
      </w:r>
      <w:r>
        <w:rPr>
          <w:rStyle w:val="FootnoteAnchor"/>
          <w:rtl w:val="true"/>
        </w:rPr>
        <w:footnoteReference w:id="1202"/>
      </w:r>
      <w:r>
        <w:rPr>
          <w:rFonts w:ascii="IRNazanin" w:hAnsi="IRNazanin" w:eastAsia="IRNazanin"/>
          <w:color w:val="111111"/>
          <w:sz w:val="28"/>
          <w:sz w:val="28"/>
          <w:szCs w:val="28"/>
          <w:rtl w:val="true"/>
          <w:lang w:bidi="fa-IR"/>
        </w:rPr>
        <w:t xml:space="preserve">عن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السّحق فی النّساء کاللّواط فی الرّجال و لکن فیه جلد مأة، لأنّه لیس فیه ایلاج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اورد صدره فی مکارم الاخلاق</w:t>
      </w:r>
      <w:r>
        <w:rPr>
          <w:rStyle w:val="FootnoteAnchor"/>
          <w:rtl w:val="true"/>
        </w:rPr>
        <w:footnoteReference w:id="1203"/>
      </w:r>
      <w:r>
        <w:rPr>
          <w:rFonts w:ascii="IRNazanin" w:hAnsi="IRNazanin" w:eastAsia="IRNazanin"/>
          <w:color w:val="111111"/>
          <w:sz w:val="28"/>
          <w:sz w:val="28"/>
          <w:szCs w:val="28"/>
          <w:rtl w:val="true"/>
          <w:lang w:bidi="fa-IR"/>
        </w:rPr>
        <w:t>والجعفریّات</w:t>
      </w:r>
      <w:r>
        <w:rPr>
          <w:rStyle w:val="FootnoteAnchor"/>
          <w:rtl w:val="true"/>
        </w:rPr>
        <w:footnoteReference w:id="1204"/>
      </w:r>
      <w:r>
        <w:rPr>
          <w:rFonts w:ascii="IRNazanin" w:hAnsi="IRNazanin" w:eastAsia="IRNazanin"/>
          <w:color w:val="111111"/>
          <w:sz w:val="28"/>
          <w:sz w:val="28"/>
          <w:szCs w:val="28"/>
          <w:rtl w:val="true"/>
          <w:lang w:bidi="fa-IR"/>
        </w:rPr>
        <w:t xml:space="preserve">مسنداً عن جعفر بن محمّد عن ابیه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یؤیّده روایة الجعفریّات</w:t>
      </w:r>
      <w:r>
        <w:rPr>
          <w:rStyle w:val="FootnoteAnchor"/>
          <w:rtl w:val="true"/>
        </w:rPr>
        <w:footnoteReference w:id="1205"/>
      </w:r>
      <w:r>
        <w:rPr>
          <w:rFonts w:ascii="IRNazanin" w:hAnsi="IRNazanin" w:eastAsia="IRNazanin"/>
          <w:color w:val="111111"/>
          <w:sz w:val="28"/>
          <w:sz w:val="28"/>
          <w:szCs w:val="28"/>
          <w:rtl w:val="true"/>
          <w:lang w:bidi="fa-IR"/>
        </w:rPr>
        <w:t>الأخری بأسناده عن مکحول عن و اثلة بن الأسقع عن</w:t>
      </w:r>
      <w:bookmarkStart w:id="422" w:name="pg3023_22742"/>
    </w:p>
    <w:p>
      <w:pPr>
        <w:pStyle w:val="Heading4"/>
        <w:numPr>
          <w:ilvl w:val="3"/>
          <w:numId w:val="1"/>
        </w:numPr>
        <w:rPr/>
      </w:pPr>
      <w:bookmarkStart w:id="423" w:name="__RefHeading___Toc656931_2749589250"/>
      <w:bookmarkStart w:id="424" w:name="_Toc152"/>
      <w:bookmarkEnd w:id="422"/>
      <w:bookmarkEnd w:id="423"/>
      <w:r>
        <w:rPr>
          <w:rtl w:val="true"/>
        </w:rPr>
        <w:t>ترجم المحصنة و تجلد غیرها</w:t>
      </w:r>
      <w:bookmarkEnd w:id="424"/>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 المحصنة و تجلد غیرها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سحاق النّساء بینهنّ زنا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الشّیخ فی النّهایة و القاضی و ابن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ترجم مع الأحصان، و تحدّ بالجلد مع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 الی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المیل الیه، و اختاره السّیّد العلاّمة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استناداً الی صحیحة ابن ابی عمیر</w:t>
      </w:r>
      <w:r>
        <w:rPr>
          <w:rStyle w:val="FootnoteAnchor"/>
          <w:rtl w:val="true"/>
        </w:rPr>
        <w:footnoteReference w:id="1206"/>
      </w:r>
      <w:r>
        <w:rPr>
          <w:rFonts w:ascii="IRNazanin" w:hAnsi="IRNazanin" w:eastAsia="IRNazanin"/>
          <w:color w:val="111111"/>
          <w:sz w:val="28"/>
          <w:sz w:val="28"/>
          <w:szCs w:val="28"/>
          <w:rtl w:val="true"/>
          <w:lang w:bidi="fa-IR"/>
        </w:rPr>
        <w:t xml:space="preserve">عن محمّد بن ابی حمزة و حفص کلّهم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 دخل علیه نسوة، فسألته امرأة منهنّ عن السّحق،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هما حدّ الزّانی، فقالت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الله ذلک فی القرآن، فقال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 اصحاب الرّسّ</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استدلّ السّیّد الخوئی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بروایات اخر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صحیحة محمّد بن مسلم</w:t>
      </w:r>
      <w:r>
        <w:rPr>
          <w:rStyle w:val="FootnoteAnchor"/>
          <w:rtl w:val="true"/>
        </w:rPr>
        <w:footnoteReference w:id="120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جعفر و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مجلس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 اقبل قوم،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محمّد اردنا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حاجتکم؟ قالو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ارنا ان نسئله عن مسئلة،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هی؟ تخبرونا بها،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امرأی جامعها زوجها، فلمّا قام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قامت بحموتها فوقعت علی جاریة بکر، فساحقتها، فوقعت النّطفة فیها، فحملت فما تقول فی هذا؟ فقال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معضلة و ابو الحسن لها، و اقول فأن اصبت فمن الله و من امیر المؤمنین، و ان أخطأت فمن نفسی، وارجو ان لا اخطی انشاء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یعمد الی المرأة فیؤخذ منها مهر الجاریة البکر فی اولّ وهلة، لأنّ الولد لا یخرج منها حتّی تشقّ، فتذهب عذرتها، ثمّ ترجم المرأة لأنّها محصنة، و تنتظر بالجاریة حتّی تضع ما فی بطنها، و یردّ الولد الی ابیه صاحب النّطفة، ثمّ تجلد الجاریة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 القوم من عند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فلقوا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قلتم لأبی محمّد و ما قال لکم؟ فأخبروه،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انّنی المسئول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عندی اکثر ممّا قال ابنی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قریب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مارواه عمرو بن عثمان</w:t>
      </w:r>
      <w:r>
        <w:rPr>
          <w:rStyle w:val="FootnoteAnchor"/>
          <w:rtl w:val="true"/>
        </w:rPr>
        <w:footnoteReference w:id="1208"/>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معتبرة اسحاق بن عمّار</w:t>
      </w:r>
      <w:r>
        <w:rPr>
          <w:rStyle w:val="FootnoteAnchor"/>
          <w:rtl w:val="true"/>
        </w:rPr>
        <w:footnoteReference w:id="1209"/>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دعانی زیاد،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الدّوانیقی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ان اسألک هذه المسئلة، فقلت و 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اتی امرأته فاحتملت مائه فساحقت به جاریة فحملت،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عنها اهل المدینة، فالقی الّی کتاباً فاذا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عنها جعفر بن محمّد، فأن اجابک الاّ فاحمله 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 المرأة، و تجلد الجاریة، و یلحق الولد بأبیه،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اعلمه الاّ قال و هو ابتلی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مارواه المعلی بن خنیس</w:t>
      </w:r>
      <w:r>
        <w:rPr>
          <w:rStyle w:val="FootnoteAnchor"/>
          <w:rtl w:val="true"/>
        </w:rPr>
        <w:footnoteReference w:id="1210"/>
      </w:r>
      <w:r>
        <w:rPr>
          <w:rFonts w:ascii="IRNazanin" w:hAnsi="IRNazanin" w:eastAsia="IRNazanin"/>
          <w:color w:val="111111"/>
          <w:sz w:val="28"/>
          <w:sz w:val="28"/>
          <w:szCs w:val="28"/>
          <w:rtl w:val="true"/>
          <w:lang w:bidi="fa-IR"/>
        </w:rPr>
        <w:t xml:space="preserve">قال سأبت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و طأ امرأته فنقلت مائه الی جاریة بکر، فحبلت؟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للرّجل و علی المرأة الرّجم و علی الجاریة الحدّ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سحاق بن عمّار</w:t>
      </w:r>
      <w:r>
        <w:rPr>
          <w:rStyle w:val="FootnoteAnchor"/>
          <w:rtl w:val="true"/>
        </w:rPr>
        <w:footnoteReference w:id="1211"/>
      </w:r>
      <w:r>
        <w:rPr>
          <w:rFonts w:ascii="IRNazanin" w:hAnsi="IRNazanin" w:eastAsia="IRNazanin"/>
          <w:color w:val="111111"/>
          <w:sz w:val="28"/>
          <w:sz w:val="28"/>
          <w:szCs w:val="28"/>
          <w:rtl w:val="true"/>
          <w:lang w:bidi="fa-IR"/>
        </w:rPr>
        <w:t xml:space="preserve">روایة أخری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أتی رجل امردة فاحتملت مائه فساحقت به جاریة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رجمت المرأة و جلدت الجاریة، و الحقّ الولد بأبیه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و ممّأ ورد فی هذه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احمد بن محمّد عیسی فی نوادره</w:t>
      </w:r>
      <w:r>
        <w:rPr>
          <w:rStyle w:val="FootnoteAnchor"/>
          <w:rtl w:val="true"/>
        </w:rPr>
        <w:footnoteReference w:id="1212"/>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جامع امرأته، فنقلت مائه الی جاریة بکر، فحملت الجاریة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للفحل، و علی المرأة الرّجم، و علی الجاریة الحدّ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فی اطلاقه اشکال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غیر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و ما فی المقنع</w:t>
      </w:r>
      <w:r>
        <w:rPr>
          <w:rStyle w:val="FootnoteAnchor"/>
          <w:rtl w:val="true"/>
        </w:rPr>
        <w:footnoteReference w:id="1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أتی رجل امرأة فاحتملت مائه، فساحقت به امرأة، فحملت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المرأة ترجم، و تجلد الجاریة الحدّ و یلحق الولد بأبیه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تقریب الأستدلال بالرّوایة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ظهورها فی کون حدّ المساحقة المحصنة، فاعلة او مفعولة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الزّانیة المحصنة کظهور ها فی جلد غیرها مأة جلدة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یقرب ظهور کون حدّها حدّ الزّانی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مجرّد الجلد، 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فرق بطن المحصنة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یقوّی هه الدّعوی اطلاق موثّقة زرارة</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الرّوایات التّی استند الیها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فنلتزم بمفادها فی موردها، و فاقاً للشّیخ فی محکّی نهایته و لمن تبعه، و لما یظهر من صاحب الجواهر و المحقّق و العلاّمة فی القواعد و الفخر فی شرحه بالنّسبة الی غیر رجم المرأة التّی جامعها زوجها، و وافقهم السّیّد السبزواری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المهذّب</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استشکل علیه ابن ادریس</w:t>
      </w:r>
      <w:r>
        <w:rPr>
          <w:rStyle w:val="FootnoteAnchor"/>
          <w:rtl w:val="true"/>
        </w:rPr>
        <w:footnoteReference w:id="1215"/>
      </w:r>
      <w:r>
        <w:rPr>
          <w:rFonts w:ascii="IRNazanin" w:hAnsi="IRNazanin" w:eastAsia="IRNazanin"/>
          <w:color w:val="111111"/>
          <w:sz w:val="28"/>
          <w:sz w:val="28"/>
          <w:szCs w:val="28"/>
          <w:rtl w:val="true"/>
          <w:lang w:bidi="fa-IR"/>
        </w:rPr>
        <w:t xml:space="preserve">من عدم رجم جلّ الأصحاب المساحقة سواء کانت محصنة او غیر محصنة، و تنظّر فی الحاق الولد بالرّجل لعدم و لادته علی فراشه، و الجاریة لیست بفراش له، و کذا فی الزام المرأة المهر، لأنّها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مختارة غیر مکرهة بل مطاوعة، قد اوجبنا علیها الحدّ لأنّها بغیّ، و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عن مهر البغیّ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فمردود، مضافاً الی انّه اجتهاد فی مقابل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عدم عمل الأصحاب بالرّجم فی مطلق المساحقة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ینافی العمل بالرّوایات فی خصوص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یتمّ علی اصله من عدم العمل بأخبار الأحاد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لحوق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فی الشّرایع و القواعد و الأیضاح، من انّه ماء غیر زان، انخلق منه الولد فیلحق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المهر فلأنّها سبب فی اذهاب العذرة و دیتها مهر نسائها، و لیست کالزّانیة فی سقوط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الدّیة، الأذن الزّانیة فی الأفتضاض، بخلافها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ناقض فی الجواهر مع قطع النّظر عن النّصّ؛ بأنّ ذلک لا یکفی فی لحوق الولد شرعاً، اذ الثّابت من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الوطی الصّحیح و لو شبهة، و لیس مطلق التّولّد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موجباً للنّسب شرعاً، لعدم کون العنوان الخلق من مائه، و لذا یظهر الأشکال فی لحوق ولد المکرهة بها، اذ لم یثبت کون ذلک من الشّبهة شرعاً، و بأنّها بعد الأذن بوضع النّطفة فیها مع فرض علمها بوطی الزّوج، او احتمالها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تستحقّ المهر، ضرورة کونها اقوی منها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استشکل اخیراً فی تعجیل مهر الصّبیّة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غرامة؛ قبل تحقّق السّبب المحتمل للعدم، بالموت او التّزویج و نحوه، ثمّ احتمل ارادة بیان اصل الأستحقاق مع فرض التّحقّق، لا تعجیب الأداء</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ما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کون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الأنخلاق من مائه، و عدم کفایة الصّدق اللّغویّ، للفرق بین الأنسان و الحیوان بمشروعیّة النّکاح فیه،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یرد علیه انّه لیس و لد زنا قطعاً، و لم یثبت ردع الشّارع حتّی فی ولد الزّنا عن بعض احکام النّسب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لازجوز تزویج بنته من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لم یرتّب بعض احکام الوطی الصّحیح، کالأرث، و ربما یقال فی النّفقة ایضاً علی ولد الزّنا و اللّحوق فی ولد المرکهة و عدمه بالنّسبة الی الاحکام الشّرعیّة تابع لأدلّتها، فیمکن تمامیّة الدّلیل فی باب النّسب و الأرث و النّفقة و التّزویج وغیرها او بعضها، فلا یجوز تزویج ولد المکرهة بها، کما قلنا فی ولد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اطلاق ادلّة الأرث یشمل ولد المکرهة کما یشملها، فیثبت التّوراث بینهما و بین اقربائهما من الجانبین، دون اب الولد الزّانی لأمّة و اقربائهما من الطّرفین، بل امر لحوق الولد ثابت حتّی فی مثل انزال الماء علی رأس الفرج بدون الوطی، لکن لاحراماً، کما یشهد له مارواه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1216"/>
      </w:r>
      <w:r>
        <w:rPr>
          <w:rFonts w:ascii="IRNazanin" w:hAnsi="IRNazanin" w:eastAsia="IRNazanin"/>
          <w:color w:val="111111"/>
          <w:sz w:val="28"/>
          <w:sz w:val="28"/>
          <w:szCs w:val="28"/>
          <w:rtl w:val="true"/>
          <w:lang w:bidi="fa-IR"/>
        </w:rPr>
        <w:t>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روی نقلة الآثار من العامّة و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امرأة نکحها شیخ کبیر فحملت، فزعم الشّیخ انّه لم یصل الیها، و انکر حملها فالتبس الأمر علی عثمان، و سأل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افتضّک الشّیخ و کانت بکراً؟ فقالت لا،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اقیموا الحدّ علیها، فقال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للمرأة سمّین؛ سمّ البول و سمّ الحیض، فلعلّ الشّیخ کان ینال منها، فسال مائه فی سمّ المحیض فحملت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فسئلو الرّجل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کنت انزل الماء فی قبلها؛ من غیر وصول الیها بالأفتضاض، فقال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الحمل له و الولد ولده، واری عقوبته علی الانکار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 عثمان الی قضائه و تعجّب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عبدالله بن جعفر</w:t>
      </w:r>
      <w:r>
        <w:rPr>
          <w:rStyle w:val="FootnoteAnchor"/>
          <w:rtl w:val="true"/>
        </w:rPr>
        <w:footnoteReference w:id="1217"/>
      </w:r>
      <w:r>
        <w:rPr>
          <w:rFonts w:ascii="IRNazanin" w:hAnsi="IRNazanin" w:eastAsia="IRNazanin"/>
          <w:color w:val="111111"/>
          <w:sz w:val="28"/>
          <w:sz w:val="28"/>
          <w:szCs w:val="28"/>
          <w:rtl w:val="true"/>
          <w:lang w:bidi="fa-IR"/>
        </w:rPr>
        <w:t xml:space="preserve">فی قرب الأسناد عن سندی بن محمّد عن ابی البختری عن جعفر بن محمّد عن 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رجلاً أتی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امرأتی هذه حامل و هی جاریة حدثة، و هی عذراء و هی حامل فی تسعة اشهر، و لا اعلم الاّ خیراً و انا شیخ کبیر، ما افتر عتها و انّها لعلی 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نشدتک الله هل کنت تهریق علی فرجها؟ قال نعم</w:t>
      </w:r>
      <w:r>
        <w:rPr>
          <w:rStyle w:val="FootnoteAnchor"/>
          <w:rtl w:val="true"/>
        </w:rPr>
        <w:footnoteReference w:id="1218"/>
      </w:r>
      <w:r>
        <w:rPr>
          <w:rFonts w:ascii="IRNazanin" w:hAnsi="IRNazanin" w:eastAsia="IRNazanin"/>
          <w:color w:val="111111"/>
          <w:sz w:val="28"/>
          <w:sz w:val="28"/>
          <w:szCs w:val="28"/>
          <w:rtl w:val="true"/>
          <w:lang w:bidi="fa-IR"/>
        </w:rPr>
        <w:t xml:space="preserve">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لکلّ فرج ثقبین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ثقب یدخل فیه ماء الرّجل، و ثقب یخرج منه البول، و انّ افواه الرّحم تحت الثّقب الّذی یدخل فیه ماء ارّجل، فأذا دخل الماء فی فم واحد من افواه 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حملت المرأة بولد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دخل من اثنین حملت بأثنین، و اذا دخل من ثلاثة حملت بثلاثة، و اذا دخل من أربعة حملت بأربعة، و لیس هناک غیر ذلک، و قد الحقت بک و لدها، فشقّ عنها القوابل فجائت بغلام فعاش</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الرّوایتین ضعیفتا الأسناد، الاّ انّهما مؤیّدتان للمدّعی و لو باجلمة</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و امّا اذن الجاریة بالمساحقة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یستلزم اذنها بوضع النّطفة و حملها حتّی مع الأحتمال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فرض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فاللاّزم التّفصیل بینها و بین غیرها ممّن لم تأذن و لم 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الأشکال الّذی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نلتزم به، و لعلّ امره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بأخذ الصّداق عاجلاً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للعلم العادّی بالبقاء و عدم التّزویج، و یمکن الألتزام به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الدّلیل اخصّ من مدّعی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لرّوایات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اشتملت علی مساحقة الموطوئة من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للجاریة البکر، و رتّبت علیهما الأحکام، و لم یرد روایة فی مطلق مساحقة المرأة المحصنة؛ موطوئة کانت ام لا بل الموطوئة المساحقة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یحصل الفصل بین زمان وطیها و مساحقتها بمقدار ما ینصّب ماء الرّجل منها و یخرج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فاللاّزم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الأقتصار فی حکم الرّجم علی خصوصها و لا مجال للتّعدی الی مطلق المحصنة، بل حتّی مطلق الموطوئة؛ و لو لم تنقل الماء الی الجاریة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الظاّهر عموم الحکم لکلّ محصنة لتعلیل الرّجم فی الصّحیحة</w:t>
      </w:r>
      <w:r>
        <w:rPr>
          <w:rStyle w:val="FootnoteAnchor"/>
          <w:rtl w:val="true"/>
        </w:rPr>
        <w:footnoteReference w:id="1219"/>
      </w:r>
      <w:r>
        <w:rPr>
          <w:rFonts w:ascii="Amiri" w:hAnsi="Amiri" w:eastAsia="Amiri" w:cs="Amiri"/>
          <w:color w:val="111111"/>
          <w:sz w:val="28"/>
          <w:sz w:val="28"/>
          <w:szCs w:val="28"/>
          <w:rtl w:val="true"/>
          <w:lang w:bidi="ar-SA"/>
        </w:rPr>
        <w:t>بانّها محصنة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القول بکون حدّ السّحق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اللّواط فی الضّرب بالسّیف او دهدهة او طرح جدار، کما فی 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عرفت مکرّراً من ضعف روایات الکتاب</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کما لا مجال لما  فی الجعفریّات</w:t>
      </w:r>
      <w:r>
        <w:rPr>
          <w:rStyle w:val="FootnoteAnchor"/>
          <w:rtl w:val="true"/>
        </w:rPr>
        <w:footnoteReference w:id="1221"/>
      </w:r>
      <w:r>
        <w:rPr>
          <w:rFonts w:ascii="IRNazanin" w:hAnsi="IRNazanin" w:eastAsia="IRNazanin"/>
          <w:color w:val="111111"/>
          <w:sz w:val="28"/>
          <w:sz w:val="28"/>
          <w:szCs w:val="28"/>
          <w:rtl w:val="true"/>
          <w:lang w:bidi="fa-IR"/>
        </w:rPr>
        <w:t xml:space="preserve">باسناده عن جعفر بن محمّد عن 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بمساحقتین، فجلدهما مأة الاّ اثنین، و لم یبلغ بهما الحدّ، و ذلک مضافاً الی ضعف السّند و عدم القائل به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قضیّة فی 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فرض صحّة الأسناد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بما فعل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اشرنا الی انّ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یفرّقوا فی حدّ السّحق بین الحرّة و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تمّ ظهور التّشبیه فی صحیحة ابن ابی عمیر</w:t>
      </w:r>
      <w:r>
        <w:rPr>
          <w:rStyle w:val="FootnoteAnchor"/>
          <w:rtl w:val="true"/>
        </w:rPr>
        <w:footnoteReference w:id="1222"/>
      </w:r>
      <w:r>
        <w:rPr>
          <w:rFonts w:ascii="IRNazanin" w:hAnsi="IRNazanin" w:eastAsia="IRNazanin"/>
          <w:color w:val="111111"/>
          <w:sz w:val="28"/>
          <w:sz w:val="28"/>
          <w:szCs w:val="28"/>
          <w:rtl w:val="true"/>
          <w:lang w:bidi="fa-IR"/>
        </w:rPr>
        <w:t xml:space="preserve">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اختلاف حدّ المحصنة و غیرها بالرّجم فی الأولی دون غیرها، فیشمل الأمة کالحرّة، و لکن کما خرجنا فی باب الزّنا من مطلقات الرّجم بالرّوایات المخصّصة و الأیة المبارکة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احصنّ فإن أتین بفاحشة فعلیهنّ نصف ما علی المحصنات من العذاب</w:t>
      </w:r>
      <w:r>
        <w:rPr>
          <w:rFonts w:eastAsia="IRNazanin" w:cs="IRNazanin"/>
          <w:color w:val="111111"/>
          <w:sz w:val="28"/>
          <w:szCs w:val="28"/>
          <w:rtl w:val="true"/>
          <w:lang w:bidi="fa-IR"/>
        </w:rPr>
        <w:t>)</w:t>
      </w:r>
      <w:r>
        <w:rPr>
          <w:rStyle w:val="FootnoteAnchor"/>
          <w:rtl w:val="true"/>
        </w:rPr>
        <w:footnoteReference w:id="1223"/>
      </w:r>
      <w:r>
        <w:rPr>
          <w:rFonts w:ascii="IRNazanin" w:hAnsi="IRNazanin" w:eastAsia="IRNazanin"/>
          <w:color w:val="111111"/>
          <w:sz w:val="28"/>
          <w:sz w:val="28"/>
          <w:szCs w:val="28"/>
          <w:rtl w:val="true"/>
          <w:lang w:bidi="fa-IR"/>
        </w:rPr>
        <w:t>فی الأمة، کذلک نخرج عنها بها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یختصّ الرّجم؛ لو قلنا به مطلقاً، او فی خصوص مورد روایات مساحقة الموطوئة من زوجها النّاقلة لمائه الی الجاریة البکر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بالحرّة، حتّی لو کانت الجاریة بمعنی لمملوکة؛ لاغیر المتزوّجة الحرّة</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لم یتّم التّشبیه، و لم یظهر من غیر الجلد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یبعد التّنصیف فی الأمة، للآیة و الرّوایات المشار الیها فی باب الزّنا، فلا تزید الأمة حتیّ لو کانت هی الموطوئة المساحقة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خمسین سوطاً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مجال لترجیح الطلاق الجلد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مادلّ علی التّنصیف، لو فاق الأکثر بل المشهور، بل بما یشعر باأجماع، و بالطلاق 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السّحق فی النّساء بالّلواط فی الرّجال فی المرسل</w:t>
      </w:r>
      <w:r>
        <w:rPr>
          <w:rStyle w:val="FootnoteAnchor"/>
          <w:rtl w:val="true"/>
        </w:rPr>
        <w:footnoteReference w:id="1224"/>
      </w:r>
      <w:r>
        <w:rPr>
          <w:rFonts w:ascii="Amiri" w:hAnsi="Amiri" w:eastAsia="Amiri" w:cs="Amiri"/>
          <w:color w:val="111111"/>
          <w:sz w:val="28"/>
          <w:sz w:val="28"/>
          <w:szCs w:val="28"/>
          <w:rtl w:val="true"/>
          <w:lang w:bidi="ar-SA"/>
        </w:rPr>
        <w:t xml:space="preserve">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bookmarkStart w:id="425" w:name="pg3023_22756"/>
    </w:p>
    <w:p>
      <w:pPr>
        <w:pStyle w:val="Heading4"/>
        <w:numPr>
          <w:ilvl w:val="3"/>
          <w:numId w:val="1"/>
        </w:numPr>
        <w:rPr/>
      </w:pPr>
      <w:bookmarkStart w:id="426" w:name="__RefHeading___Toc656933_2749589250"/>
      <w:bookmarkStart w:id="427" w:name="_Toc153"/>
      <w:bookmarkEnd w:id="425"/>
      <w:bookmarkEnd w:id="426"/>
      <w:r>
        <w:rPr>
          <w:rtl w:val="true"/>
        </w:rPr>
        <w:t>لحوق الولد بالجاریة المفعول بها</w:t>
      </w:r>
      <w:bookmarkEnd w:id="427"/>
    </w:p>
    <w:p>
      <w:pPr>
        <w:pStyle w:val="BookText"/>
        <w:rPr/>
      </w:pPr>
      <w:r>
        <w:rPr>
          <w:rFonts w:ascii="IRNazanin" w:hAnsi="IRNazanin" w:eastAsia="IRNazanin"/>
          <w:color w:val="111111"/>
          <w:sz w:val="28"/>
          <w:sz w:val="28"/>
          <w:szCs w:val="28"/>
          <w:rtl w:val="true"/>
          <w:lang w:bidi="fa-IR"/>
        </w:rPr>
        <w:t xml:space="preserve">و هل یلحق الولد بالجاریة المفعول بها؛ فیه وجهان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فی مورد الأجتماع، لکون التّعارض بینهما من وجه، و ذلک لقوّة ظهور دلیل التّنصیف، و عدم اختصاصه بالزّنا، و لا حجّیّة للمرسل، و لو سلّم فیخصّص بدلیل التّنصیف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یلحق الولد بالجاریة بعد عدم الأشکال فی عدم لحوقه بالمرأة المساحقة؟ فیه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کونها امّه عرفاً و حقیقة، و لم یتحقّق زنا الرّجل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سکوت الرّوایات المتقدّمة؛ مع تنصیص بعضها علی ردّ الولد الی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دعوی ظهوره فی نفی امومة الجاریة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فروع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النّفقة علی الصّبیّة مدّة الحمل علی زوج المساحقة؛ بناء الألحاق؛ و علی انّ النّفقة للحمل اذا بانت من زوجها، و الاّ فلا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یخلو من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علیها الأعتداد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الجاریة الحامل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بالوضع ان تزوّجت بغیر زوج الکبیرة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کالوطی باشّبهی الّذی فیه الأعتداد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المنشأ للحاق الولد بالأب مع قطع النّظر عن النبصّ، و جعل النّفقة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ساحقت جاریة لها و ادّعت الجاریة الأکراه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حدّت السّیّدة دونها</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المثال بجاریتها لقرب الأکراه بانّسبة الی جاریة غیرها، و الاّ فلا فرق فی سماع الدّعوی بینها و بین غیرها فی المقام و غیره کباب الزّنا کما تقدّم</w:t>
      </w:r>
      <w:r>
        <w:rPr>
          <w:rFonts w:eastAsia="IRNazanin" w:cs="IRNazanin"/>
          <w:color w:val="111111"/>
          <w:sz w:val="28"/>
          <w:szCs w:val="28"/>
          <w:rtl w:val="true"/>
          <w:lang w:bidi="fa-IR"/>
        </w:rPr>
        <w:t>.</w:t>
      </w:r>
      <w:bookmarkStart w:id="428" w:name="pg3023_22758"/>
    </w:p>
    <w:p>
      <w:pPr>
        <w:pStyle w:val="Heading4"/>
        <w:numPr>
          <w:ilvl w:val="3"/>
          <w:numId w:val="1"/>
        </w:numPr>
        <w:rPr/>
      </w:pPr>
      <w:bookmarkStart w:id="429" w:name="__RefHeading___Toc656935_2749589250"/>
      <w:bookmarkStart w:id="430" w:name="_Toc154"/>
      <w:bookmarkEnd w:id="428"/>
      <w:bookmarkEnd w:id="429"/>
      <w:r>
        <w:rPr>
          <w:rtl w:val="true"/>
        </w:rPr>
        <w:t>اذا نکررّت و حدّت مرّتین فتقتل فی الثّالثة</w:t>
      </w:r>
      <w:bookmarkEnd w:id="430"/>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تکرّرت المساحقة و حدّت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فتقتل فی المرّة الثّالثة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یمکن تأیید القول بالرّجم فی المساحقة المحصنة بما ورد فی الأحتجاج</w:t>
      </w:r>
      <w:r>
        <w:rPr>
          <w:rStyle w:val="FootnoteAnchor"/>
          <w:rtl w:val="true"/>
        </w:rPr>
        <w:footnoteReference w:id="1225"/>
      </w:r>
      <w:r>
        <w:rPr>
          <w:rFonts w:ascii="IRNazanin" w:hAnsi="IRNazanin" w:eastAsia="IRNazanin"/>
          <w:color w:val="111111"/>
          <w:sz w:val="28"/>
          <w:sz w:val="28"/>
          <w:szCs w:val="28"/>
          <w:rtl w:val="true"/>
          <w:lang w:bidi="fa-IR"/>
        </w:rPr>
        <w:t>و اکمال الدّین عن القائم عجّل الله تعالی فرجه، قال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اخبرنی عن الفاحشة المبیّنة التّی اذا أتت المرأة بها فی ایّام عدّتها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للزّوج ان یخرجها من بیته؟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الفاحشة المبیّنة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السّحق دون الزّنا، فأنّ المرأة اذا زنت و اقیم علیها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لمن ارادها ان یمتنع بعد ذلک من التّزویج بها لأجل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سحقت وجب علیها الرّجم و الرّجم خزی، و من قد امر الله عزّوجلّ برجمه فقد اخزاه الله و من اخزاه فقد ابعده، و من ابعده فلیس لأحد ان یقربه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بالمرسل فی مکارم الأخلاق</w:t>
      </w:r>
      <w:r>
        <w:rPr>
          <w:rStyle w:val="FootnoteAnchor"/>
          <w:rtl w:val="true"/>
        </w:rPr>
        <w:footnoteReference w:id="1226"/>
      </w: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السّحق فی النّساء بمنزلة اللّواط فی الرّجال، فمن فعل شیئاً من ذلک فاقتلو هما ثمّ اقتلوهما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رواه سیف الّتّمار</w:t>
      </w:r>
      <w:r>
        <w:rPr>
          <w:rStyle w:val="FootnoteAnchor"/>
          <w:rtl w:val="true"/>
        </w:rPr>
        <w:footnoteReference w:id="1227"/>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بامرأتین وجدتا فی لحاف واحد، و قامت علیهما البّینة انّهما کانتا تتسا حقان، فدعا بالنّطع، ثمّ أمر بهما فأحرقتا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الرّوایات مع عدم العمل بها ضعاف کلّها لا تکون دلیلاً و لا شاهداً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اعتبار الأولی، و حینئذ فهی شاذّة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اشکال فی قتل المساحقة اذا تکرّر علیها الحدّ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المرّة الثاّلثة، فاعلة و مفعولة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روایة</w:t>
      </w:r>
      <w:r>
        <w:rPr>
          <w:rStyle w:val="FootnoteAnchor"/>
          <w:rtl w:val="true"/>
        </w:rPr>
        <w:footnoteReference w:id="1228"/>
      </w:r>
      <w:r>
        <w:rPr>
          <w:rFonts w:ascii="Amiri" w:hAnsi="Amiri" w:eastAsia="Amiri" w:cs="Amiri"/>
          <w:color w:val="111111"/>
          <w:sz w:val="28"/>
          <w:sz w:val="28"/>
          <w:szCs w:val="28"/>
          <w:rtl w:val="true"/>
          <w:lang w:bidi="ar-SA"/>
        </w:rPr>
        <w:t>القتل فی الرّابعة تختصّ بالزّنا، فلا مخصّص للصّحیحة</w:t>
      </w:r>
      <w:r>
        <w:rPr>
          <w:rStyle w:val="FootnoteAnchor"/>
          <w:rtl w:val="true"/>
        </w:rPr>
        <w:footnoteReference w:id="1229"/>
      </w:r>
      <w:r>
        <w:rPr>
          <w:rFonts w:ascii="Amiri" w:hAnsi="Amiri" w:eastAsia="Amiri" w:cs="Amiri"/>
          <w:color w:val="111111"/>
          <w:sz w:val="28"/>
          <w:sz w:val="28"/>
          <w:szCs w:val="28"/>
          <w:rtl w:val="true"/>
          <w:lang w:bidi="ar-SA"/>
        </w:rPr>
        <w:t>الدّالّة </w:t>
      </w:r>
      <w:bookmarkStart w:id="431" w:name="pg3023_22760"/>
    </w:p>
    <w:p>
      <w:pPr>
        <w:pStyle w:val="Heading4"/>
        <w:numPr>
          <w:ilvl w:val="3"/>
          <w:numId w:val="1"/>
        </w:numPr>
        <w:rPr/>
      </w:pPr>
      <w:bookmarkStart w:id="432" w:name="__RefHeading___Toc656937_2749589250"/>
      <w:bookmarkStart w:id="433" w:name="_Toc155"/>
      <w:bookmarkEnd w:id="431"/>
      <w:bookmarkEnd w:id="432"/>
      <w:r>
        <w:rPr>
          <w:rtl w:val="true"/>
        </w:rPr>
        <w:t>یثبت السّحق بالاقرار اربع مرّات و بشهادة اربعة رجال عدول و احتمال قبول شهادة النساء</w:t>
      </w:r>
      <w:bookmarkEnd w:id="433"/>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یثبت السّحق بالأقرار و بالشّهادة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فالأقرار اربع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الشّهود اربعة رجال 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قبول شهادة النّساء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434" w:name="__RefHeading___Toc656939_2749589250"/>
      <w:bookmarkStart w:id="435" w:name="_Toc156"/>
      <w:bookmarkEnd w:id="434"/>
      <w:r>
        <w:rPr>
          <w:rtl w:val="true"/>
        </w:rPr>
        <w:t>الکلام فی حدّ القیادة</w:t>
      </w:r>
      <w:bookmarkEnd w:id="435"/>
    </w:p>
    <w:p>
      <w:pPr>
        <w:pStyle w:val="Heading4"/>
        <w:numPr>
          <w:ilvl w:val="3"/>
          <w:numId w:val="1"/>
        </w:numPr>
        <w:rPr/>
      </w:pPr>
      <w:bookmarkStart w:id="436" w:name="__RefHeading___Toc656941_2749589250"/>
      <w:bookmarkStart w:id="437" w:name="_Toc157"/>
      <w:bookmarkEnd w:id="436"/>
      <w:r>
        <w:rPr>
          <w:rtl w:val="true"/>
        </w:rPr>
        <w:t>اشارة</w:t>
      </w:r>
      <w:bookmarkEnd w:id="437"/>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القیادة هی الجمع بین فاعلی الزّنا او اللّواط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الحدّ ثلاثة ارباع حدّ الزّانی، خمسة و سبعون سوطاً علی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یحلق رأس الرّجل و یشهّر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علی انّ اصحاب الکبائر اذا اقیم علیهم الحدّ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قتلو فی الثّالثة؛ بالنّسبة الی المساحقة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الکلام فی التوّبة فی مورد الأقرار، او الثّبوت بالبیّنة، و انّها تسقط الحدّ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نظائره، من کون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الحدّ بها؛ قبل قیام البیّنة، لا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الأقرار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یتخّیر الأمام بین العفو و اقامة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تکمیل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یثبت السّحق فی کلّ منهما لاأقرار الربع مرّات، من الکاملة بالبلوغ و العقل و الحرّیّة مختارة، و یشترط فی ثبوت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الأوّلان و الأخیر مطلقا، و الحرّیّة فی خصوص الأقرار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یثبت بشهادة اربعة رجال، لا شهادة النّساء منضمّات الی الرّجال و لا منفردات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القبول منضمّات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یختصّ بباب الزّنا علی التّفصیل المتقدّم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دعوی دخول النّساء منفرادت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المستثنی فی الأخبار الواردة من عدم قبول شهادتهنّ، حیث اخرج ما لا یستطیع الرّجال النظر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المساحقة منه 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فی القیادة</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الجمع بین فاعلی الزّنا او اللّواط بالأتّفاق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الحاق الجمع بین المساحقتین بهما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فألحقه بهما غیر واحد، لکنّ الخبر الآتی یختصّ بالجمع</w:t>
      </w:r>
      <w:bookmarkStart w:id="438" w:name="pg3023_22762"/>
    </w:p>
    <w:p>
      <w:pPr>
        <w:pStyle w:val="Heading4"/>
        <w:numPr>
          <w:ilvl w:val="3"/>
          <w:numId w:val="1"/>
        </w:numPr>
        <w:rPr/>
      </w:pPr>
      <w:bookmarkStart w:id="439" w:name="__RefHeading___Toc656943_2749589250"/>
      <w:bookmarkStart w:id="440" w:name="_Toc158"/>
      <w:bookmarkEnd w:id="438"/>
      <w:bookmarkEnd w:id="439"/>
      <w:r>
        <w:rPr>
          <w:rtl w:val="true"/>
        </w:rPr>
        <w:t xml:space="preserve">حدّها </w:t>
      </w:r>
      <w:r>
        <w:rPr/>
        <w:t>75</w:t>
      </w:r>
      <w:r>
        <w:rPr>
          <w:rtl w:val="true"/>
        </w:rPr>
        <w:t xml:space="preserve"> </w:t>
      </w:r>
      <w:r>
        <w:rPr>
          <w:rtl w:val="true"/>
        </w:rPr>
        <w:t>سوطاً و یحلق رأس الرّجل و یشهّر و ینفی دون المرأة</w:t>
      </w:r>
      <w:bookmarkEnd w:id="440"/>
    </w:p>
    <w:p>
      <w:pPr>
        <w:pStyle w:val="BookText"/>
        <w:rPr/>
      </w:pPr>
      <w:r>
        <w:rPr>
          <w:rFonts w:ascii="IRNazanin" w:hAnsi="IRNazanin" w:eastAsia="IRNazanin"/>
          <w:color w:val="111111"/>
          <w:sz w:val="28"/>
          <w:sz w:val="28"/>
          <w:szCs w:val="28"/>
          <w:rtl w:val="true"/>
          <w:lang w:bidi="fa-IR"/>
        </w:rPr>
        <w:t xml:space="preserve">و ینفی الرّجل دون المرأة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للزّنا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فلا اشکال فی حرمتها، بل عدّها بعضهم من الضروریّات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عقوبتها علی البالغ العاقل المختار رجلاً کان او امرأة، حرّأً او حرّة ام مملوکاً او 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ثلاثة ارباع حدّ الزّانی خمساً و سبعون سوطاً فی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یزاد فی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حقل رأسه و تشهیره، بل ادّعی علیه الأجماع فی الأنتصار</w:t>
      </w:r>
      <w:r>
        <w:rPr>
          <w:rStyle w:val="FootnoteAnchor"/>
          <w:rtl w:val="true"/>
        </w:rPr>
        <w:footnoteReference w:id="1230"/>
      </w:r>
      <w:r>
        <w:rPr>
          <w:rFonts w:ascii="IRNazanin" w:hAnsi="IRNazanin" w:eastAsia="IRNazanin"/>
          <w:color w:val="111111"/>
          <w:sz w:val="28"/>
          <w:sz w:val="28"/>
          <w:szCs w:val="28"/>
          <w:rtl w:val="true"/>
          <w:lang w:bidi="fa-IR"/>
        </w:rPr>
        <w:t>و محلیّ الغنیة، وزاد جماعة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یستدلّ علیه بما رواه الکلینیّ</w:t>
      </w:r>
      <w:r>
        <w:rPr>
          <w:rStyle w:val="FootnoteAnchor"/>
          <w:rtl w:val="true"/>
        </w:rPr>
        <w:footnoteReference w:id="1231"/>
      </w:r>
      <w:r>
        <w:rPr>
          <w:rFonts w:ascii="IRNazanin" w:hAnsi="IRNazanin" w:eastAsia="IRNazanin"/>
          <w:color w:val="111111"/>
          <w:sz w:val="28"/>
          <w:sz w:val="28"/>
          <w:szCs w:val="28"/>
          <w:rtl w:val="true"/>
          <w:lang w:bidi="fa-IR"/>
        </w:rPr>
        <w:t>عن علیّ بن ابراهیم عن ابیه عن محمّد بن سلیمان عن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اخبرنی عن القوّاد ما حدّه؟ قال لا حدّ علی القوّاد، الیس انّا یعطی الأجر علی ان یقود؟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انّما یجمع بین الذّکر و الأنثی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المؤلّف بین الذکر و الأنثی حراماً؟ فقلت هو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ثلاثة ارباع حدّ الزّانی خمسة و سبعین سوطاً و ینفی عن المصر الّذی هو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1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قامت البیّنة علی قوّاد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خمسة و سبعین و نفی عن المصر الّذی هو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النّفی هو الحبس سنة او یتوب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لکنّها لم تتعرّض للحلق و التّشهیر و لم یوجبهما فی الشّرایع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الاقتصار علی مضمون الخبر و فی الجواهر، بل مال الیه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فأن کان المدرک للحکم 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فیقتصر علی الجلد و النّفی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هو الأجماع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فیزاد الحلق و التّشهیر</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حیث انّه لا اعتماد علی الأجماع مع ما سمعت، و دلیل النّفی مختصّ بالرّوایة المذکورة، و هی ضعیفة السّند، کما استضعفها السّیّد الخویّ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لضعف محمّد بن سلیمان البصری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بتضعیف النّجاشیّ،  مستظهراً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الرّاوی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المذکور فی السّند هو لا محمّد بن سلیمان الثّقة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سلیمان مشترک بین جماعة، بعضهم ثقة و لهم القاب یعرفون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لتصریح الشّیخ الصّدوق بذلک فی طریقه لهذه الرّوایة، و الیه اشار الأردبیلیّ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فیشکل الحکم بالنّفی مضافاً الی عدم ذکره فی کلام صاحب الأنتصار من منفردات الأمامیّة، مع تعرّضه للحلق و التّشهیر، و علی هذا فان اعتمدنا علی فتوی الأصحاب طبقاً لهذه الرّوایة؛ و ثبت اعتمادهم و استنادهم الیها؛ و انّه یوجب انجبار ضعف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فتتّم دلیلاً علی المشهور بالنّسبة للجلد و النّفی، و یبقی الحلق و التّشهیر بلا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یثبت بعض ما ذکر فضلاً عن شیء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فالحکم بالجلد اتّفاقیّ دون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 اعتمد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الجلد ایضاً علی الأجماع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فلا اشارة فی الخبر المزبور الی المرأة، و لکن لو اعتمدنا علی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استفادة حکم المرأة منه، بدعوی عدم انفهام الخصوصیّة، کسایر موارد الأشتراک فی الحکم بین الرّجل و المرأة مع ورود الحکم فی احدهما</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یمکن الأعتماد علی دعوی اجماع السّیّد فی الأنتصار</w:t>
      </w:r>
      <w:r>
        <w:rPr>
          <w:rStyle w:val="FootnoteAnchor"/>
          <w:rtl w:val="true"/>
        </w:rPr>
        <w:footnoteReference w:id="123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انفردت به الأمامیة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بأنّ من قامت علیه البیّنة بالجمع بین النّساء و الرّجال، او الرّجال و الغلمان للفجور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ان یجلد خمساً و سبعین جلدة و یحلق رأسه و یشهّر فی البلد الّذی یفعل ذلک فیه، و تجلد المردة اذا جمعت بین الفاجرین؛ لکنّها لا یحلق رأسها ولا تشهّر، و لم یعرف باقی الفقهاء ذلک و لا سمعناه عنهم و لا منهم، و الحجّة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اجماع الطّائفة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علی ما یظهر من ابن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وجود اخبار فی الباب، قال</w:t>
      </w:r>
      <w:r>
        <w:rPr>
          <w:rFonts w:eastAsia="IRNazanin" w:cs="IRNazanin"/>
          <w:color w:val="111111"/>
          <w:sz w:val="28"/>
          <w:szCs w:val="28"/>
          <w:rtl w:val="true"/>
          <w:lang w:bidi="fa-IR"/>
        </w:rPr>
        <w:t>:</w:t>
      </w:r>
      <w:r>
        <w:rPr>
          <w:rStyle w:val="FootnoteAnchor"/>
          <w:rtl w:val="true"/>
        </w:rPr>
        <w:footnoteReference w:id="1234"/>
      </w:r>
      <w:r>
        <w:rPr>
          <w:rFonts w:ascii="IRNazanin" w:hAnsi="IRNazanin" w:eastAsia="IRNazanin"/>
          <w:color w:val="111111"/>
          <w:sz w:val="28"/>
          <w:sz w:val="28"/>
          <w:szCs w:val="28"/>
          <w:rtl w:val="true"/>
          <w:lang w:bidi="fa-IR"/>
        </w:rPr>
        <w:t xml:space="preserve">فأنّه یجب علیه ثلاثة ارباع حدّ الزّانی الحرّ و هو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جلدة و یحلق رأسه و یشهرّ فی البلد و ینفی عنه الی غیره من الأمصار، من غیر تحدید لمدّة نفیه، سواء</w:t>
      </w:r>
      <w:bookmarkStart w:id="441" w:name="pg3023_22766"/>
    </w:p>
    <w:p>
      <w:pPr>
        <w:pStyle w:val="Heading4"/>
        <w:numPr>
          <w:ilvl w:val="3"/>
          <w:numId w:val="1"/>
        </w:numPr>
        <w:rPr/>
      </w:pPr>
      <w:bookmarkStart w:id="442" w:name="__RefHeading___Toc656945_2749589250"/>
      <w:bookmarkStart w:id="443" w:name="_Toc159"/>
      <w:bookmarkEnd w:id="441"/>
      <w:bookmarkEnd w:id="442"/>
      <w:r>
        <w:rPr>
          <w:rtl w:val="true"/>
        </w:rPr>
        <w:t>فی مدّة النّفی</w:t>
      </w:r>
      <w:bookmarkEnd w:id="443"/>
    </w:p>
    <w:p>
      <w:pPr>
        <w:pStyle w:val="BookText"/>
        <w:rPr/>
      </w:pPr>
      <w:r>
        <w:rPr>
          <w:rFonts w:ascii="Amiri" w:hAnsi="Amiri" w:eastAsia="Amiri" w:cs="Amiri"/>
          <w:color w:val="111111"/>
          <w:sz w:val="28"/>
          <w:sz w:val="28"/>
          <w:szCs w:val="28"/>
          <w:rtl w:val="true"/>
          <w:lang w:bidi="ar-SA"/>
        </w:rPr>
        <w:t xml:space="preserve">و فی مدّة النّفی 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کان حرّاً او عبداً، لأنّ الأخبار عامّة مطلقة خالیة من تخصیص، فهی عامّة فی هذا الحکم، و یجب العمل بالعموم حتّی یقوم دلیل علی الخصوص ـ الی قوله ـ و المرأة اذا فعلت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بها ما یفعل بالرّجل من الجلد، فحسب، و لا تحلق و لا تشهّر و لا تنفی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استندنا الی الرّوایة فی حکم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فاللاّزم اضافة النّفی الی الجلد؛ الاّ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عمل الأصحاب بالنّفی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یوهن الألتزام به، لما تقدّم فی زنا المملکة من انّه لا نفی علیها و لا 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فیشکل فی من یجمع بین النّساء للسّحق، لعدم ذکره فی کلام الأنتصار و ابن ادریس و القواعد و الأیضاح و الشّرایع و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 الجواهر بعد اسناد زیادته فی مصادیق القیادة؛ الی محکیّ الغنیة و الجامع و الأصباح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اتحققّه لغة، بل و لا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عممّها، و کذلک فی اللّمعة و الرّضة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واقتصر السّیّد السّبزواری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مهذّبه علی الأوِلین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القائلون بوجوب النّفی فی 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مرّة، کما عن الشّیخ فی النّهایة، و ابن سعید فی الجامع، و ظاهر کلام السّرائر المتقدّم، او فی الثّانیة، کما عن المفید و ابنی زهرة و حمزة و سلاّر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حدّد بعضهم کصاحب الجوار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النفی بالتّوبة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بدونها یصدق علیه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الرّضویّ المتقدّم صفحة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روی انّ المراد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الحبس سنة او یتوب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الأخبر هو الحبس سنة و اسند الی ابن زهرة روایة انّه ان عاد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و رابعة عرضت علیه التّوبة، فأن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توبته وجلد، فان عاد خامسة بعد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من غیر أن یستتاب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افتی به الحلبیّ</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 ما ذیّله به فی الجواهر، بعد نقل توقّف صاحب المختلف، قلت بل ینبغی العمل بما دلّ علی قتل اصحاب الکبائر فی الثّالثة او الرّابعة؛ بعد تخلّل الحدّ</w:t>
      </w:r>
      <w:r>
        <w:rPr>
          <w:rFonts w:eastAsia="IRNazanin" w:cs="IRNazanin"/>
          <w:color w:val="111111"/>
          <w:sz w:val="28"/>
          <w:szCs w:val="28"/>
          <w:rtl w:val="true"/>
          <w:lang w:bidi="fa-IR"/>
        </w:rPr>
        <w:t>.</w:t>
      </w:r>
      <w:bookmarkStart w:id="444" w:name="pg3023_22768"/>
    </w:p>
    <w:p>
      <w:pPr>
        <w:pStyle w:val="Heading4"/>
        <w:numPr>
          <w:ilvl w:val="3"/>
          <w:numId w:val="1"/>
        </w:numPr>
        <w:rPr/>
      </w:pPr>
      <w:bookmarkStart w:id="445" w:name="__RefHeading___Toc656947_2749589250"/>
      <w:bookmarkStart w:id="446" w:name="_Toc160"/>
      <w:bookmarkEnd w:id="444"/>
      <w:bookmarkEnd w:id="445"/>
      <w:r>
        <w:rPr>
          <w:rtl w:val="true"/>
        </w:rPr>
        <w:t>تثبت بالاقرار و البیّنة</w:t>
      </w:r>
      <w:bookmarkEnd w:id="446"/>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تثبت القیادة بالأقرار کالبیّنة، و فی کمّیّة الأقرار و الشّهود وجوه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یمکن اتّفصیل لو استندنا الی الرّوایة المتقدّمة فی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اذا أطلق علیه القوّاد، بناء علی ظهوره فی الحرفة و حینئذ فلا یصدق بالمرّة و المرّتین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لم یطلق، بأن کان مرّة فینفی فی الاوّل دون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الأستناد الی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الیس انّما یعطی الأجر علی ان یقود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ذاک لامؤلّف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فاظّاهر قوّة ما اختاره فی النّهایة و ابنا ادریس و سعید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الکلاف فی مقام الأثبات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اشکال و لا کلام فی ثبوت القیادة بالأقرار و البیّنة، لکن هل تکون کباب الزّنا و اللّواط بالنّسبة للأمرین؟ او یعتبر الأقرا مرّتین، و تکفی البیّنة و هی عدلان؟ او یکفی الأقرار مرّة واحدة؟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الجواهر بعد قول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ثبوتها بالأقرار مرّتین مع بلوغ آخر و کماله و حرّیّة و اختیاره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اجده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کأنّه لفحوی اعتبار الأربع فی ما تثبته شهادة الأربع، ولذا قال فی محکیّ المراسم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یثبته شاهدان من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فالأقرار فیه مرّتان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عن المختلف، لکنّ التّعلیل کلأستشهاد علیل، و کذلک مارکن الیه؛ من کون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ثبوته؛ الاّ بالمتیقّن الّذی هو الأقرار مرّتین، بعد الأتّفاق علیه، و بناء الحدود علی التّخفیف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ذکر عن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اعرف المستند فی اعتبار المرّتین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حینئذ فیقوی کفایة المرّة، کما اختاره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مبانی التّکملة، و لا دلیل علی کونها کالزّنا و اللّواط فی ما یثبتان به</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سواء قلنا باعتبار المرّتین، او اکتفینا بالمرّة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فالّلازم فی الأقرا البلوغ و العقل و الحرّة و الأختیار، کما مرّ الدّلیل علی ذلک فی باب الزّنا وغیره، فلا</w:t>
      </w:r>
      <w:bookmarkStart w:id="447" w:name="pg3023_22769"/>
    </w:p>
    <w:p>
      <w:pPr>
        <w:pStyle w:val="Heading4"/>
        <w:numPr>
          <w:ilvl w:val="3"/>
          <w:numId w:val="1"/>
        </w:numPr>
        <w:rPr/>
      </w:pPr>
      <w:bookmarkStart w:id="448" w:name="__RefHeading___Toc656949_2749589250"/>
      <w:bookmarkStart w:id="449" w:name="_Toc161"/>
      <w:bookmarkEnd w:id="447"/>
      <w:bookmarkEnd w:id="448"/>
      <w:r>
        <w:rPr>
          <w:rtl w:val="true"/>
        </w:rPr>
        <w:t>(</w:t>
      </w:r>
      <w:r>
        <w:rPr>
          <w:rtl w:val="true"/>
        </w:rPr>
        <w:t>مسائل</w:t>
      </w:r>
      <w:r>
        <w:rPr>
          <w:rtl w:val="true"/>
        </w:rPr>
        <w:t>)</w:t>
      </w:r>
      <w:bookmarkEnd w:id="449"/>
    </w:p>
    <w:p>
      <w:pPr>
        <w:pStyle w:val="Heading5"/>
        <w:numPr>
          <w:ilvl w:val="4"/>
          <w:numId w:val="1"/>
        </w:numPr>
        <w:rPr/>
      </w:pPr>
      <w:bookmarkStart w:id="450" w:name="__RefHeading___Toc656951_2749589250"/>
      <w:bookmarkStart w:id="451" w:name="_Toc162"/>
      <w:bookmarkEnd w:id="450"/>
      <w:r>
        <w:rPr>
          <w:rtl w:val="true"/>
        </w:rPr>
        <w:t>الاولی</w:t>
      </w:r>
      <w:r>
        <w:rPr>
          <w:rtl w:val="true"/>
        </w:rPr>
        <w:t xml:space="preserve">: </w:t>
      </w:r>
      <w:r>
        <w:rPr>
          <w:rtl w:val="true"/>
        </w:rPr>
        <w:t>اذا تزوّج امة علی حرّة مسلمة بدون اذنها و وطئها عالماً فعلیه الحدّ</w:t>
      </w:r>
      <w:bookmarkEnd w:id="451"/>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تزوّج امة علی حرّة مسلمة بدون اذنها ووطئها عالماً بالتّحریم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فعلیه الحدّ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عبرة بأقرار الصّبیّ کفعله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القیادة بل یعزّر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المجنون، و کذا المکره اقراراً و فعلاً، امّا البیّنة فلا دلیل علی اعتبار ازید من شاهدین عدلین، لعموم دلیلها، و عدم التّخصیص بالنّسبة للمقام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عبرة بشهادة النّساء لا منفردات و لا منضماّت الی الرّجال، لعدم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یحتمل القبول منفردات فی المساحقة، لما سبق من کونها ممّا لا یستطیع للرّجال النّظر الیه، او لعدم اطّلاع غیرهنّ علیها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یستثنوا المملوک و المملوکة فی جلد خمسة و سبعین سوطاً، مع جریان ماذکرنا فی المسحقی و غیرها من الأبواب السّابقة من التّنصیف، و الأجماع و الرّوایة مطلقان، یمکن تخصیصهما بدلیل التّنصیف بالنّسبة الیهما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تزوّج امة علی حرّة مسلمة بدون اذنها سابقاً او لاحقاً، و وطئها عالماً باتّحریم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التّزویج لها علی الحرّة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باطلة، کما عن جماعة، و یدلّ علیه صحیحة الحلبی</w:t>
      </w:r>
      <w:r>
        <w:rPr>
          <w:rStyle w:val="FootnoteAnchor"/>
          <w:rtl w:val="true"/>
        </w:rPr>
        <w:footnoteReference w:id="1235"/>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تزوّج الحرّة علی الامة و لا تزوّج الامة علی الحرّة و من تزوّج امة علی حرّة فنکاحه باطل و صحیحة</w:t>
      </w:r>
      <w:r>
        <w:rPr>
          <w:rStyle w:val="FootnoteAnchor"/>
          <w:rtl w:val="true"/>
        </w:rPr>
        <w:footnoteReference w:id="1236"/>
      </w:r>
      <w:r>
        <w:rPr>
          <w:rFonts w:ascii="IRNazanin" w:hAnsi="IRNazanin" w:eastAsia="IRNazanin"/>
          <w:color w:val="111111"/>
          <w:sz w:val="28"/>
          <w:sz w:val="28"/>
          <w:szCs w:val="28"/>
          <w:rtl w:val="true"/>
          <w:lang w:bidi="fa-IR"/>
        </w:rPr>
        <w:t xml:space="preserve">ابی بصیر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للمسلم ان یتزوّج الامة علی الحرّة و لا بأس ان یتزوّج الحرّة علی الامة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ظهور لا ینبغی فی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صحیحة عبدالله بن سنان</w:t>
      </w:r>
      <w:r>
        <w:rPr>
          <w:rStyle w:val="FootnoteAnchor"/>
          <w:rtl w:val="true"/>
        </w:rPr>
        <w:footnoteReference w:id="1237"/>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صحیحة محمّد</w:t>
      </w:r>
    </w:p>
    <w:p>
      <w:pPr>
        <w:pStyle w:val="BookText"/>
        <w:rPr/>
      </w:pPr>
      <w:r>
        <w:rPr>
          <w:rFonts w:ascii="IRNazanin" w:hAnsi="IRNazanin" w:eastAsia="IRNazanin"/>
          <w:color w:val="111111"/>
          <w:sz w:val="28"/>
          <w:sz w:val="28"/>
          <w:szCs w:val="28"/>
          <w:rtl w:val="true"/>
          <w:lang w:bidi="fa-IR"/>
        </w:rPr>
        <w:t xml:space="preserve">و قیل یضرب اثنا عشر سوطاً و نصفاً و هو ضعیف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ابن مسلم</w:t>
      </w:r>
      <w:r>
        <w:rPr>
          <w:rStyle w:val="FootnoteAnchor"/>
          <w:rtl w:val="true"/>
        </w:rPr>
        <w:footnoteReference w:id="1238"/>
      </w:r>
      <w:r>
        <w:rPr>
          <w:rFonts w:ascii="IRNazanin" w:hAnsi="IRNazanin" w:eastAsia="IRNazanin"/>
          <w:color w:val="111111"/>
          <w:sz w:val="28"/>
          <w:sz w:val="28"/>
          <w:szCs w:val="28"/>
          <w:rtl w:val="true"/>
          <w:lang w:bidi="fa-IR"/>
        </w:rPr>
        <w:t xml:space="preserve">عن احدهما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صحیحة محمّد بن قیس</w:t>
      </w:r>
      <w:r>
        <w:rPr>
          <w:rStyle w:val="FootnoteAnchor"/>
          <w:rtl w:val="true"/>
        </w:rPr>
        <w:footnoteReference w:id="1239"/>
      </w:r>
      <w:r>
        <w:rPr>
          <w:rFonts w:ascii="IRNazanin" w:hAnsi="IRNazanin" w:eastAsia="IRNazanin"/>
          <w:color w:val="111111"/>
          <w:sz w:val="28"/>
          <w:sz w:val="28"/>
          <w:szCs w:val="28"/>
          <w:rtl w:val="true"/>
          <w:lang w:bidi="fa-IR"/>
        </w:rPr>
        <w:t xml:space="preserve">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لیس له ان ینکح الأمة علی الحرّة اذا کانت الحرّة اولیهما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له روایة القاسم</w:t>
      </w:r>
      <w:r>
        <w:rPr>
          <w:rStyle w:val="FootnoteAnchor"/>
          <w:rtl w:val="true"/>
        </w:rPr>
        <w:footnoteReference w:id="1240"/>
      </w:r>
      <w:r>
        <w:rPr>
          <w:rFonts w:ascii="IRNazanin" w:hAnsi="IRNazanin" w:eastAsia="IRNazanin"/>
          <w:color w:val="111111"/>
          <w:sz w:val="28"/>
          <w:sz w:val="28"/>
          <w:szCs w:val="28"/>
          <w:rtl w:val="true"/>
          <w:lang w:bidi="fa-IR"/>
        </w:rPr>
        <w:t xml:space="preserve">عن ابان عن عبد الرّحمن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هل للرّجل ان یتزوّج النّصرانیّة علی المسلمة و الأمة علی الحرّة؟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یتزوّج واحدة منهما علی المسلمة، و یتزوّج المسلمة علی الأمة و النّصرانیّة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یأتی فی المسئلة الآتیة من روایة الحسن بن زیاد</w:t>
      </w:r>
      <w:r>
        <w:rPr>
          <w:rStyle w:val="FootnoteAnchor"/>
          <w:rtl w:val="true"/>
        </w:rPr>
        <w:footnoteReference w:id="1241"/>
      </w:r>
      <w:r>
        <w:rPr>
          <w:rFonts w:ascii="IRNazanin" w:hAnsi="IRNazanin" w:eastAsia="IRNazanin"/>
          <w:color w:val="111111"/>
          <w:sz w:val="28"/>
          <w:sz w:val="28"/>
          <w:szCs w:val="28"/>
          <w:rtl w:val="true"/>
          <w:lang w:bidi="fa-IR"/>
        </w:rPr>
        <w:t xml:space="preserve">و روایات ابی بصیر و محمّد ابن الفضیل و ما رواه الصّدوق عن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 ذلک مسند الجعفریّات</w:t>
      </w:r>
      <w:r>
        <w:rPr>
          <w:rStyle w:val="FootnoteAnchor"/>
          <w:rtl w:val="true"/>
        </w:rPr>
        <w:footnoteReference w:id="1242"/>
      </w:r>
      <w:r>
        <w:rPr>
          <w:rFonts w:ascii="IRNazanin" w:hAnsi="IRNazanin" w:eastAsia="IRNazanin"/>
          <w:color w:val="111111"/>
          <w:sz w:val="28"/>
          <w:sz w:val="28"/>
          <w:szCs w:val="28"/>
          <w:rtl w:val="true"/>
          <w:lang w:bidi="fa-IR"/>
        </w:rPr>
        <w:t>و مرسلا الدّعائم</w:t>
      </w:r>
      <w:r>
        <w:rPr>
          <w:rStyle w:val="FootnoteAnchor"/>
          <w:rtl w:val="true"/>
        </w:rPr>
        <w:footnoteReference w:id="1243"/>
      </w:r>
      <w:r>
        <w:rPr>
          <w:rFonts w:ascii="IRNazanin" w:hAnsi="IRNazanin" w:eastAsia="IRNazanin"/>
          <w:color w:val="111111"/>
          <w:sz w:val="28"/>
          <w:sz w:val="28"/>
          <w:szCs w:val="28"/>
          <w:rtl w:val="true"/>
          <w:lang w:bidi="fa-IR"/>
        </w:rPr>
        <w:t xml:space="preserve">ـ </w:t>
      </w:r>
      <w:r>
        <w:rPr>
          <w:rStyle w:val="FootnoteAnchor"/>
          <w:rtl w:val="true"/>
        </w:rPr>
        <w:footnoteReference w:id="1244"/>
      </w:r>
      <w:r>
        <w:rPr>
          <w:rFonts w:ascii="IRNazanin" w:hAnsi="IRNazanin" w:eastAsia="IRNazanin"/>
          <w:color w:val="111111"/>
          <w:sz w:val="28"/>
          <w:sz w:val="28"/>
          <w:szCs w:val="28"/>
          <w:rtl w:val="true"/>
          <w:lang w:bidi="fa-IR"/>
        </w:rPr>
        <w:t>و ما فی المقنع</w:t>
      </w:r>
      <w:r>
        <w:rPr>
          <w:rStyle w:val="FootnoteAnchor"/>
          <w:rtl w:val="true"/>
        </w:rPr>
        <w:footnoteReference w:id="1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متوقّف علی الأذن، فوطئها بدون ذلک زنا</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غیر واحد انّه یضرب اثنا عشر سوطاً و نصفاً، استناداً الی روایة حذیفة بن المنصور</w:t>
      </w:r>
      <w:r>
        <w:rPr>
          <w:rStyle w:val="FootnoteAnchor"/>
          <w:rtl w:val="true"/>
        </w:rPr>
        <w:footnoteReference w:id="1246"/>
      </w:r>
      <w:r>
        <w:rPr>
          <w:rFonts w:ascii="IRNazanin" w:hAnsi="IRNazanin" w:eastAsia="IRNazanin"/>
          <w:color w:val="111111"/>
          <w:sz w:val="28"/>
          <w:sz w:val="28"/>
          <w:szCs w:val="28"/>
          <w:rtl w:val="true"/>
          <w:lang w:bidi="fa-IR"/>
        </w:rPr>
        <w:t xml:space="preserve">قال الدّعائم مسئلت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تزوّج امة علی حرة لم ییستأذنها،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ادب؟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اثنا عشر سوطاً و نصف ثمن حدّ الزّانی و هو صاغر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الرّوایة ضعیفة، کما اشار الیه سیّدنا العلاّمة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رواها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الی البزوفری الشّیخ الثّقة الجلیل عن احمد بن</w:t>
      </w:r>
      <w:bookmarkStart w:id="452" w:name="pg3023_22774"/>
    </w:p>
    <w:p>
      <w:pPr>
        <w:pStyle w:val="Heading5"/>
        <w:numPr>
          <w:ilvl w:val="4"/>
          <w:numId w:val="1"/>
        </w:numPr>
        <w:rPr/>
      </w:pPr>
      <w:bookmarkStart w:id="453" w:name="__RefHeading___Toc656953_2749589250"/>
      <w:bookmarkStart w:id="454" w:name="_Toc163"/>
      <w:bookmarkEnd w:id="452"/>
      <w:bookmarkEnd w:id="453"/>
      <w:r>
        <w:rPr>
          <w:rtl w:val="true"/>
        </w:rPr>
        <w:t>الثّانیة</w:t>
      </w:r>
      <w:r>
        <w:rPr>
          <w:rtl w:val="true"/>
        </w:rPr>
        <w:t xml:space="preserve">: </w:t>
      </w:r>
      <w:r>
        <w:rPr>
          <w:rtl w:val="true"/>
        </w:rPr>
        <w:t xml:space="preserve">من تزوّج ذمّیّة علی المسلمة بدون اذنها یفرّق بینهما و یضرب </w:t>
      </w:r>
      <w:r>
        <w:rPr/>
        <w:t>12/5</w:t>
      </w:r>
      <w:r>
        <w:rPr>
          <w:rtl w:val="true"/>
        </w:rPr>
        <w:t xml:space="preserve"> </w:t>
      </w:r>
      <w:r>
        <w:rPr>
          <w:rtl w:val="true"/>
        </w:rPr>
        <w:t>سوطاً</w:t>
      </w:r>
      <w:bookmarkEnd w:id="454"/>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تزوّج ذمّیّة علی مسلمة بدون اذنها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یفرّق بینهما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یضرب اثنا عشر سوطاً و نصفاً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هوذة عن ابراهیم بن اسحاق النّهاوندیّ عن عبدالله بن حمّاد عن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یوثّق احمد بن هوذة و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الأستناد لیس بحدّ یوجب جبر ضعف الّند؛ بحیث یشمله ادلّة حجّیّة الخبر الواحد، لعدم سکون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احمد بن هوذة و ان کان یمکن حسن حاله، کلونه شیخ اجازة، سمع منه التّلعکبریّ، کما فی رجال الشّیخ، لکن النّهاوندیّ ضعیف فی حدیثه، متّهم فی دینه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تزوّج ذمّیّة علی مسلمة بدون اذنها سابقاً و لا حقاً؛ بناءً علی جواز تزویجها، امّا مطلقا دائماً و متعةً، او خصوص المتعة، کما هو الأشهر، و وطئها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یفرّق بینهما، و یضرب اثنا عشر سوطاً و نصفاً</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علیه صحیحة هشام بن سالم</w:t>
      </w:r>
      <w:r>
        <w:rPr>
          <w:rStyle w:val="FootnoteAnchor"/>
          <w:rtl w:val="true"/>
        </w:rPr>
        <w:footnoteReference w:id="1247"/>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تزوّج ذمّیّة علی مسلمة؟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یفرّق بینهما و یضرب ثمن حدّ الزّانی، اثنا عشر سوطاً و نصفاً، فأن رضیت المسلمة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ثمن الحدّ و لم یفرّق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کیف یضرب النّصف؟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یؤخذ السّوط بالنّصف فیضرب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البطلان ما رواه احمد بن محمّد بن عیسی</w:t>
      </w:r>
      <w:r>
        <w:rPr>
          <w:rStyle w:val="FootnoteAnchor"/>
          <w:rtl w:val="true"/>
        </w:rPr>
        <w:footnoteReference w:id="1248"/>
      </w:r>
      <w:r>
        <w:rPr>
          <w:rFonts w:ascii="IRNazanin" w:hAnsi="IRNazanin" w:eastAsia="IRNazanin"/>
          <w:color w:val="111111"/>
          <w:sz w:val="28"/>
          <w:sz w:val="28"/>
          <w:szCs w:val="28"/>
          <w:rtl w:val="true"/>
          <w:lang w:bidi="fa-IR"/>
        </w:rPr>
        <w:t>فی نوادره عن صفوان ابن یحیی عن عبدالله بن مسکان عن الحسن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یتزوّج الحرّة علی الأمة و لا یتزوّج الأمة علی الحرّة، و لا النّصرانیّة و لا الیهودیّة علی المسلمة، فمن فعل ذلک فنکاحه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عثمان بن عیسی</w:t>
      </w:r>
      <w:r>
        <w:rPr>
          <w:rStyle w:val="FootnoteAnchor"/>
          <w:rtl w:val="true"/>
        </w:rPr>
        <w:footnoteReference w:id="1249"/>
      </w:r>
      <w:r>
        <w:rPr>
          <w:rFonts w:ascii="IRNazanin" w:hAnsi="IRNazanin" w:eastAsia="IRNazanin"/>
          <w:color w:val="111111"/>
          <w:sz w:val="28"/>
          <w:sz w:val="28"/>
          <w:szCs w:val="28"/>
          <w:rtl w:val="true"/>
          <w:lang w:bidi="fa-IR"/>
        </w:rPr>
        <w:t>عن سماعة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 الیهودیّة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و النّصرانیّة أیتزوّجها علی المسلمة؟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یتزوّج المسلمة علی الیهودیّة و النّصرانیّة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المنع فی روایة عبد الرّحمن</w:t>
      </w:r>
      <w:r>
        <w:rPr>
          <w:rStyle w:val="FootnoteAnchor"/>
          <w:rtl w:val="true"/>
        </w:rPr>
        <w:footnoteReference w:id="1250"/>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مرسل الدّعائم</w:t>
      </w:r>
      <w:r>
        <w:rPr>
          <w:rStyle w:val="FootnoteAnchor"/>
          <w:rtl w:val="true"/>
        </w:rPr>
        <w:footnoteReference w:id="1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النّهی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مرسلة منصور بن حازم</w:t>
      </w:r>
      <w:r>
        <w:rPr>
          <w:rStyle w:val="FootnoteAnchor"/>
          <w:rtl w:val="true"/>
        </w:rPr>
        <w:footnoteReference w:id="1252"/>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تزوّج ذمّیّة علی مسلمة ولم یستأمرها،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فعلیه ادب؟ قال نعم، اثنا عشر سوطاً و نصف، ثمن حدّ الزّانی و هو صاغر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رضیت المرأة الحرّة المسلمة بفعله بعد ما کان 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یضرب، و لا یفرّق بینهما، یبقیان علی النّکاح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یقرب التّفصیل بین الدّائم فلا یجوز الاّ باذنها و المنقطع فمکروه جمعاً بین ما تقدّم و بین روایات دالّة علی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الأدب فی هذه الرّوایة و قبلها و فی المسئلة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مشروط بالوطی، لکن قیّدوه به فی الموضعین لا خلاف بینهم، بل فی الجواهر عن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الأجماع علیه، و ان تأمّل فی الحکم صاحب الرّیاض، و احتمل کون 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للتّزویج، الّذی ادّعی الأتّفاق علی حرمته، فتویً و روایةً،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تنافی الصّحّة، و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بالوطی الحدّ کاملاً</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الجواهر ناقشه فی دعواه الحرمة، و استوضح حمل النّهی علی معاملته معاملة النّکاح غیر المتوقفّ علی الأذن؛ لا مجرّد ایقاع العقد و ان تعقّبه الأستیمار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کان، فلا یفید ما ذکره فی الجواهر لدفع اشکال الرّیاض علی کشف اللّثام، فی بنائه علی صحّة التّزویج و اباحته و التوقّف علی الأذن ابتداء او استدامة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احتمله فی الجواهر و کذل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انسباق الوطی، و جزم به فی مبانی التّکملة، لمناسبة الحکم و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لا فرق فی التّزویج بین الدّائم و المتعة، و ان کان یمکن دعوی انصرافه الی الأوّل، اذ هو الّذی یمکن ان یستظهر فیه عدم رضا المسلمة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خلاف الأطلاق، و لا مانع من جعل الشّارع لها الحقّ فی عدم موافقتها لتزویجها متعة، و لو لم تخف اعتیاده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الرّوایة احد الأدلّة علی تزویج الذّمّیة مطلقاً، فی قبال المانعین مطلقاً، او المفصّلین بین الدّوام و المتعة، او بینها و بین ملک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الحاق المجوسیّة فی جواز التّزویج لمن یجوّز تزویج الذّمّیّة کلام، فمنعه بعضهم، و اجازه آخرون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اشکال فی عدم الضّرب؛ لو لم یعلم بالحرمة، کما فی اصل الزّنا، و قد تقدّم الدّلیل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لو زوّج امته من غیره و لو عبده، ثمّ وطئها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لزوم الحدّ علیه رجماً او جلداً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بالتّحریم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علم یحدّ بلا خلاف، کما فی الجواهر، لأطلاق الأدلّة، و خصوص صحیحة الحلبیّ</w:t>
      </w:r>
      <w:r>
        <w:rPr>
          <w:rStyle w:val="FootnoteAnchor"/>
          <w:rtl w:val="true"/>
        </w:rPr>
        <w:footnoteReference w:id="1253"/>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رجل زوّج امته رجلاً ثمّ وقع علیها؟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الحدّ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نظیرها موقوفة ابن ابی عمیر</w:t>
      </w:r>
      <w:r>
        <w:rPr>
          <w:rStyle w:val="FootnoteAnchor"/>
          <w:rtl w:val="true"/>
        </w:rPr>
        <w:footnoteReference w:id="1254"/>
      </w:r>
      <w:r>
        <w:rPr>
          <w:rFonts w:ascii="IRNazanin" w:hAnsi="IRNazanin" w:eastAsia="IRNazanin"/>
          <w:color w:val="111111"/>
          <w:sz w:val="28"/>
          <w:sz w:val="28"/>
          <w:szCs w:val="28"/>
          <w:rtl w:val="true"/>
          <w:lang w:bidi="fa-IR"/>
        </w:rPr>
        <w:t xml:space="preserve">الّتی رواها الشّیخ مسندة عنه عن حمّاد عن الحلبیّ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455" w:name="pg3023_22780"/>
    </w:p>
    <w:p>
      <w:pPr>
        <w:pStyle w:val="Heading5"/>
        <w:numPr>
          <w:ilvl w:val="4"/>
          <w:numId w:val="1"/>
        </w:numPr>
        <w:rPr/>
      </w:pPr>
      <w:bookmarkStart w:id="456" w:name="__RefHeading___Toc656955_2749589250"/>
      <w:bookmarkStart w:id="457" w:name="_Toc164"/>
      <w:bookmarkEnd w:id="455"/>
      <w:bookmarkEnd w:id="456"/>
      <w:r>
        <w:rPr>
          <w:rtl w:val="true"/>
        </w:rPr>
        <w:t>الثّالثة</w:t>
      </w:r>
      <w:r>
        <w:rPr>
          <w:rtl w:val="true"/>
        </w:rPr>
        <w:t xml:space="preserve">: </w:t>
      </w:r>
      <w:r>
        <w:rPr>
          <w:rtl w:val="true"/>
        </w:rPr>
        <w:t>اذا افتضّ جاریة بیده</w:t>
      </w:r>
      <w:bookmarkEnd w:id="457"/>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افتضّ جاریة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لزمه مهر نسائها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یضرب ثمانین علی الأقرب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و یؤید ذلک ما فی المقنع</w:t>
      </w:r>
      <w:r>
        <w:rPr>
          <w:rStyle w:val="FootnoteAnchor"/>
          <w:rtl w:val="true"/>
        </w:rPr>
        <w:footnoteReference w:id="1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زوّج الرّجل امته رجلاً ثمّ وقع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فعلیه الحدّ</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افتضّ جاریة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لزمه مهر نسائها، بلا خلاف، رجلاً کان او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علیه صحیحة عبدالله بن سنان</w:t>
      </w:r>
      <w:r>
        <w:rPr>
          <w:rStyle w:val="FootnoteAnchor"/>
          <w:rtl w:val="true"/>
        </w:rPr>
        <w:footnoteReference w:id="1256"/>
      </w:r>
      <w:r>
        <w:rPr>
          <w:rFonts w:ascii="IRNazanin" w:hAnsi="IRNazanin" w:eastAsia="IRNazanin"/>
          <w:color w:val="111111"/>
          <w:sz w:val="28"/>
          <w:sz w:val="28"/>
          <w:szCs w:val="28"/>
          <w:rtl w:val="true"/>
          <w:lang w:bidi="fa-IR"/>
        </w:rPr>
        <w:t xml:space="preserve">و غیره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امرأة اقتضّت جاریة بیدها؟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المهر و تضرب الحدّ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الصّدوق</w:t>
      </w:r>
      <w:r>
        <w:rPr>
          <w:rStyle w:val="FootnoteAnchor"/>
          <w:rtl w:val="true"/>
        </w:rPr>
        <w:footnoteReference w:id="12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تضرب ثمانین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صحیحة الثّانیة</w:t>
      </w:r>
      <w:r>
        <w:rPr>
          <w:rStyle w:val="FootnoteAnchor"/>
          <w:rtl w:val="true"/>
        </w:rPr>
        <w:footnoteReference w:id="1258"/>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بذلک،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تجلد ثمانین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صحیحته</w:t>
      </w:r>
      <w:r>
        <w:rPr>
          <w:rStyle w:val="FootnoteAnchor"/>
          <w:rtl w:val="true"/>
        </w:rPr>
        <w:footnoteReference w:id="1259"/>
      </w:r>
      <w:r>
        <w:rPr>
          <w:rFonts w:ascii="IRNazanin" w:hAnsi="IRNazanin" w:eastAsia="IRNazanin"/>
          <w:color w:val="111111"/>
          <w:sz w:val="28"/>
          <w:sz w:val="28"/>
          <w:szCs w:val="28"/>
          <w:rtl w:val="true"/>
          <w:lang w:bidi="fa-IR"/>
        </w:rPr>
        <w:t xml:space="preserve">الثّالثة ایضاً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امرأة اقتضّت جاریة بیدها،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مهرها و تجلد ثمانین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موثّقة طلحة بن زید</w:t>
      </w:r>
      <w:r>
        <w:rPr>
          <w:rStyle w:val="FootnoteAnchor"/>
          <w:rtl w:val="true"/>
        </w:rPr>
        <w:footnoteReference w:id="1260"/>
      </w:r>
      <w:r>
        <w:rPr>
          <w:rFonts w:ascii="IRNazanin" w:hAnsi="IRNazanin" w:eastAsia="IRNazanin"/>
          <w:color w:val="111111"/>
          <w:sz w:val="28"/>
          <w:sz w:val="28"/>
          <w:szCs w:val="28"/>
          <w:rtl w:val="true"/>
          <w:lang w:bidi="fa-IR"/>
        </w:rPr>
        <w:t xml:space="preserve">عن جعفر عن ابیه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اغتصب امة فاقتضّها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عشر قیمتها، و ان کانت 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الصّداق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مسندة الجعفریّات</w:t>
      </w:r>
      <w:r>
        <w:rPr>
          <w:rStyle w:val="FootnoteAnchor"/>
          <w:rtl w:val="true"/>
        </w:rPr>
        <w:footnoteReference w:id="1261"/>
      </w:r>
      <w:r>
        <w:rPr>
          <w:rFonts w:ascii="IRNazanin" w:hAnsi="IRNazanin" w:eastAsia="IRNazanin"/>
          <w:color w:val="111111"/>
          <w:sz w:val="28"/>
          <w:sz w:val="28"/>
          <w:szCs w:val="28"/>
          <w:rtl w:val="true"/>
          <w:lang w:bidi="fa-IR"/>
        </w:rPr>
        <w:t>و ما یأتی عن الدّعائم</w:t>
      </w:r>
      <w:r>
        <w:rPr>
          <w:rStyle w:val="FootnoteAnchor"/>
          <w:rtl w:val="true"/>
        </w:rPr>
        <w:footnoteReference w:id="1262"/>
      </w:r>
      <w:r>
        <w:rPr>
          <w:rFonts w:ascii="IRNazanin" w:hAnsi="IRNazanin" w:eastAsia="IRNazanin"/>
          <w:color w:val="111111"/>
          <w:sz w:val="28"/>
          <w:sz w:val="28"/>
          <w:szCs w:val="28"/>
          <w:rtl w:val="true"/>
          <w:lang w:bidi="fa-IR"/>
        </w:rPr>
        <w:t>و ما فی المقنع</w:t>
      </w:r>
      <w:r>
        <w:rPr>
          <w:rStyle w:val="FootnoteAnchor"/>
          <w:rtl w:val="true"/>
        </w:rPr>
        <w:footnoteReference w:id="1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اقتضّت جاریة جاریة بیدها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فعلیها المهر و تضرب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یحمل العقر فی روایة الجعفرّیات</w:t>
      </w:r>
      <w:r>
        <w:rPr>
          <w:rStyle w:val="FootnoteAnchor"/>
          <w:rtl w:val="true"/>
        </w:rPr>
        <w:footnoteReference w:id="1264"/>
      </w:r>
      <w:r>
        <w:rPr>
          <w:rFonts w:ascii="IRNazanin" w:hAnsi="IRNazanin" w:eastAsia="IRNazanin"/>
          <w:color w:val="111111"/>
          <w:sz w:val="28"/>
          <w:sz w:val="28"/>
          <w:szCs w:val="28"/>
          <w:rtl w:val="true"/>
          <w:lang w:bidi="fa-IR"/>
        </w:rPr>
        <w:t>المسندة الأتیة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الموثّقة، قال فی الأولی</w:t>
      </w:r>
      <w:r>
        <w:rPr>
          <w:rStyle w:val="FootnoteAnchor"/>
          <w:rtl w:val="true"/>
        </w:rPr>
        <w:footnoteReference w:id="1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یغتصب البکر فیقتضّها و هی 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الحدّ و یغرم العقر، فأن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فلها مهر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تدلّ الموثّقة علی حکم الأمة، کما عن الأکثر، خلافاً لما عن المختلف، تبعاً للحلّیّ فی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علیه الأرش، و لما عن المسالک من میله الی اکثر الأمرین، و الرّوایات خلافهما، و عن المفید والصّدوق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المهر؛ لو لم یردا الحرّة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اختلف کلامهم فی ماهو العقوبة</w:t>
      </w:r>
      <w:r>
        <w:rPr>
          <w:rFonts w:eastAsia="IRNazanin" w:cs="IRNazanin"/>
          <w:color w:val="111111"/>
          <w:sz w:val="28"/>
          <w:szCs w:val="28"/>
          <w:rtl w:val="true"/>
          <w:lang w:bidi="fa-IR"/>
        </w:rPr>
        <w:t>.  </w:t>
      </w:r>
      <w:bookmarkStart w:id="458" w:name="pg3023_22782"/>
    </w:p>
    <w:p>
      <w:pPr>
        <w:pStyle w:val="Heading5"/>
        <w:numPr>
          <w:ilvl w:val="4"/>
          <w:numId w:val="1"/>
        </w:numPr>
        <w:rPr/>
      </w:pPr>
      <w:bookmarkStart w:id="459" w:name="__RefHeading___Toc656957_2749589250"/>
      <w:bookmarkStart w:id="460" w:name="_Toc165"/>
      <w:bookmarkEnd w:id="458"/>
      <w:bookmarkEnd w:id="459"/>
      <w:r>
        <w:rPr>
          <w:rtl w:val="true"/>
        </w:rPr>
        <w:t>الرّابعة</w:t>
      </w:r>
      <w:r>
        <w:rPr>
          <w:rtl w:val="true"/>
        </w:rPr>
        <w:t xml:space="preserve">: </w:t>
      </w:r>
      <w:r>
        <w:rPr>
          <w:rtl w:val="true"/>
        </w:rPr>
        <w:t>من قبّل غلاماً بشهوة یعزّر و لو کان محرماً فیضرب مأة سوط</w:t>
      </w:r>
      <w:bookmarkEnd w:id="460"/>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غلاماً بشهوة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محرماً فیضرب مأة سوط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فعن المفید و الدّیلمیّ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یجلد من ثلاثین الی ثمانین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الشّیخ و ابن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سبعة او تسعة و تسعین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تضرب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الأکثر کما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تقدیر فیه اصلاً، فیفوّض الی رأی الحاکم، و قوّاه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حصر معارضه فی خبر الّثمانین الظّاهر فی تعیّنه،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قائل به اصلاً، فیطرح، او یکون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احد افراده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یشهد له ما عن الدّعائم</w:t>
      </w:r>
      <w:r>
        <w:rPr>
          <w:rStyle w:val="FootnoteAnchor"/>
          <w:rtl w:val="true"/>
        </w:rPr>
        <w:footnoteReference w:id="1266"/>
      </w:r>
      <w:r>
        <w:rPr>
          <w:rFonts w:ascii="IRNazanin" w:hAnsi="IRNazanin" w:eastAsia="IRNazanin"/>
          <w:color w:val="111111"/>
          <w:sz w:val="28"/>
          <w:sz w:val="28"/>
          <w:szCs w:val="28"/>
          <w:rtl w:val="true"/>
          <w:lang w:bidi="fa-IR"/>
        </w:rPr>
        <w:t xml:space="preserve">عن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قضی فی امرأة اقتضّت جاریة بیدها؟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مهرها، و توجع عقوبة، و الجعفریّات</w:t>
      </w:r>
      <w:r>
        <w:rPr>
          <w:rStyle w:val="FootnoteAnchor"/>
          <w:rtl w:val="true"/>
        </w:rPr>
        <w:footnoteReference w:id="1267"/>
      </w:r>
      <w:r>
        <w:rPr>
          <w:rFonts w:ascii="IRNazanin" w:hAnsi="IRNazanin" w:eastAsia="IRNazanin"/>
          <w:color w:val="111111"/>
          <w:sz w:val="28"/>
          <w:sz w:val="28"/>
          <w:szCs w:val="28"/>
          <w:rtl w:val="true"/>
          <w:lang w:bidi="fa-IR"/>
        </w:rPr>
        <w:t xml:space="preserve">مسنداً عن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رفع الیه جاریتان دخلتا الحمّام، فاقتضّت احدیهما صاحبتها الأخری بأصبعها، فقضی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الّذی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عقرها، و نالها بشیء من الضّرب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الأنصاف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ان کان هناک اعراض عن الأخبار المتقدّمة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فظاهرها تعیّن الّثمانین، و لا موجب لطرحها، او حملها علی بیان احد مصادیق التّعزیر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استقربه العلاّمة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تعیّن الحدّ بالّثمانین، و ما دلّ علی الحدّ علی فرض اعتباره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 علی الّثمانین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 المفتضّ بالأصبع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عزّر،و استقرّ 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لا یخلو من بحث، و لعلّة لذلک امر بالتّأمّل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استثنی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المملوکة ایضاً</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علاماً بشهوة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یعزّر، کان محرماً له، او لم یکن کأمثاله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من المحرّمات الّتی لم یرد فیها حدّ 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الشّرایع تقییده بغیر المحرم، ولکن لاوجه له، بل تشتدّ الحرمة فی المحارم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یشهد للحکم موثّقة طلحة بن زید</w:t>
      </w:r>
      <w:r>
        <w:rPr>
          <w:rStyle w:val="FootnoteAnchor"/>
          <w:rtl w:val="true"/>
        </w:rPr>
        <w:footnoteReference w:id="1268"/>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قبّل غلاماً من 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الجمه الله یوم القیامة بلجام من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یؤیدها مرسلة مکارم الأخلاق</w:t>
      </w:r>
      <w:r>
        <w:rPr>
          <w:rStyle w:val="FootnoteAnchor"/>
          <w:rtl w:val="true"/>
        </w:rPr>
        <w:footnoteReference w:id="1269"/>
      </w:r>
      <w:r>
        <w:rPr>
          <w:rFonts w:ascii="IRNazanin" w:hAnsi="IRNazanin" w:eastAsia="IRNazanin"/>
          <w:color w:val="111111"/>
          <w:sz w:val="28"/>
          <w:sz w:val="28"/>
          <w:szCs w:val="28"/>
          <w:rtl w:val="true"/>
          <w:lang w:bidi="fa-IR"/>
        </w:rPr>
        <w:t>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خبر عبدالله بن الفضل</w:t>
      </w:r>
      <w:r>
        <w:rPr>
          <w:rStyle w:val="FootnoteAnchor"/>
          <w:rtl w:val="true"/>
        </w:rPr>
        <w:footnoteReference w:id="1270"/>
      </w:r>
      <w:r>
        <w:rPr>
          <w:rFonts w:ascii="IRNazanin" w:hAnsi="IRNazanin" w:eastAsia="IRNazanin"/>
          <w:color w:val="111111"/>
          <w:sz w:val="28"/>
          <w:sz w:val="28"/>
          <w:szCs w:val="28"/>
          <w:rtl w:val="true"/>
          <w:lang w:bidi="fa-IR"/>
        </w:rPr>
        <w:t xml:space="preserve">عن ابیه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المکاعمة و المکامعة، فالمکاعمة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یلثم الرّجل الرّجل، و المکامعة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یضاجعه و لایکون بینهما ثوب من غیر 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واورده فی البحار</w:t>
      </w:r>
      <w:r>
        <w:rPr>
          <w:rStyle w:val="FootnoteAnchor"/>
          <w:rtl w:val="true"/>
        </w:rPr>
        <w:footnoteReference w:id="1271"/>
      </w:r>
      <w:r>
        <w:rPr>
          <w:rFonts w:ascii="IRNazanin" w:hAnsi="IRNazanin" w:eastAsia="IRNazanin"/>
          <w:color w:val="111111"/>
          <w:sz w:val="28"/>
          <w:sz w:val="28"/>
          <w:szCs w:val="28"/>
          <w:rtl w:val="true"/>
          <w:lang w:bidi="fa-IR"/>
        </w:rPr>
        <w:t xml:space="preserve">کالوسائل عن ابی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عبدالله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القطب الرّواندیّ</w:t>
      </w:r>
      <w:r>
        <w:rPr>
          <w:rStyle w:val="FootnoteAnchor"/>
          <w:rtl w:val="true"/>
        </w:rPr>
        <w:footnoteReference w:id="1272"/>
      </w:r>
      <w:r>
        <w:rPr>
          <w:rFonts w:ascii="IRNazanin" w:hAnsi="IRNazanin" w:eastAsia="IRNazanin"/>
          <w:color w:val="111111"/>
          <w:sz w:val="28"/>
          <w:sz w:val="28"/>
          <w:szCs w:val="28"/>
          <w:rtl w:val="true"/>
          <w:lang w:bidi="fa-IR"/>
        </w:rPr>
        <w:t xml:space="preserve">فی لبّ اللّباب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قبّل غلاماً بشهوة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فکأنّما ناکح امّه سبعین مرّة، و من ناکح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فکأنّما اقتضّ عذراء بغیر مهر، و من اقتضّ عذراء بغیر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فکأنّما ناکح امّه سبعین مرّة، و من ناکح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فکأنّما اقتضّ عذراء بغیر مهر، و من اقتضّ عذراء بغیر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فکأنّما قتل سبعین 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1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قبّل الرّجل غلاماً بشهوة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لعنته ملائکة السّماء و ملائکة الأرض و ملائکة الرّحمة و ملائکة الغضب، و اعدّله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و سائت مصیراً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عوالی اللّثالی</w:t>
      </w:r>
      <w:r>
        <w:rPr>
          <w:rStyle w:val="FootnoteAnchor"/>
          <w:rtl w:val="true"/>
        </w:rPr>
        <w:footnoteReference w:id="1274"/>
      </w:r>
      <w:r>
        <w:rPr>
          <w:rFonts w:ascii="Amiri" w:hAnsi="Amiri" w:eastAsia="Amiri" w:cs="Amiri"/>
          <w:color w:val="111111"/>
          <w:sz w:val="28"/>
          <w:sz w:val="28"/>
          <w:szCs w:val="28"/>
          <w:rtl w:val="true"/>
          <w:lang w:bidi="ar-SA"/>
        </w:rPr>
        <w:t xml:space="preserve">عن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غلاماً بشهوة عذّبه الله الف عام فی النّار</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اذا کان المقبّل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معتبرة اسحاق بن عمّار</w:t>
      </w:r>
      <w:r>
        <w:rPr>
          <w:rStyle w:val="FootnoteAnchor"/>
          <w:rtl w:val="true"/>
        </w:rPr>
        <w:footnoteReference w:id="127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محرم قبّل غلاماً بشهوة؟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مأة 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مانع من لعمل بها</w:t>
      </w:r>
      <w:r>
        <w:rPr>
          <w:rFonts w:eastAsia="IRNazanin" w:cs="IRNazanin"/>
          <w:color w:val="111111"/>
          <w:sz w:val="28"/>
          <w:szCs w:val="28"/>
          <w:rtl w:val="true"/>
          <w:lang w:bidi="fa-IR"/>
        </w:rPr>
        <w:t>.</w:t>
      </w:r>
      <w:bookmarkStart w:id="461" w:name="pg3023_22786"/>
    </w:p>
    <w:p>
      <w:pPr>
        <w:pStyle w:val="Heading5"/>
        <w:numPr>
          <w:ilvl w:val="4"/>
          <w:numId w:val="1"/>
        </w:numPr>
        <w:rPr/>
      </w:pPr>
      <w:bookmarkStart w:id="462" w:name="__RefHeading___Toc656959_2749589250"/>
      <w:bookmarkStart w:id="463" w:name="_Toc166"/>
      <w:bookmarkEnd w:id="461"/>
      <w:bookmarkEnd w:id="462"/>
      <w:r>
        <w:rPr>
          <w:rtl w:val="true"/>
        </w:rPr>
        <w:t>الخامسة</w:t>
      </w:r>
      <w:r>
        <w:rPr>
          <w:rtl w:val="true"/>
        </w:rPr>
        <w:t xml:space="preserve">: </w:t>
      </w:r>
      <w:r>
        <w:rPr>
          <w:rtl w:val="true"/>
        </w:rPr>
        <w:t>تعزیر فاعل المحرّمات الّتی لها تعلّق بالزّنا و اللّواط و السّحق و القیادة</w:t>
      </w:r>
      <w:bookmarkEnd w:id="463"/>
    </w:p>
    <w:p>
      <w:pPr>
        <w:pStyle w:val="Heading2"/>
        <w:numPr>
          <w:ilvl w:val="1"/>
          <w:numId w:val="1"/>
        </w:numPr>
        <w:rPr/>
      </w:pPr>
      <w:bookmarkStart w:id="464" w:name="__RefHeading___Toc656961_2749589250"/>
      <w:bookmarkStart w:id="465" w:name="_Toc167"/>
      <w:bookmarkEnd w:id="464"/>
      <w:r>
        <w:rPr>
          <w:rtl w:val="true"/>
        </w:rPr>
        <w:t>الکلام فی القذف</w:t>
      </w:r>
      <w:bookmarkEnd w:id="465"/>
    </w:p>
    <w:p>
      <w:pPr>
        <w:pStyle w:val="Heading3"/>
        <w:numPr>
          <w:ilvl w:val="2"/>
          <w:numId w:val="1"/>
        </w:numPr>
        <w:rPr/>
      </w:pPr>
      <w:bookmarkStart w:id="466" w:name="__RefHeading___Toc656963_2749589250"/>
      <w:bookmarkStart w:id="467" w:name="_Toc168"/>
      <w:bookmarkEnd w:id="466"/>
      <w:r>
        <w:rPr>
          <w:rtl w:val="true"/>
        </w:rPr>
        <w:t>اشارة</w:t>
      </w:r>
      <w:bookmarkEnd w:id="467"/>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القذف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رمی انسان انساناً آخر بالزّنا او اللّواط و هو من اعظم المحرّمات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انّه لا اشکال فی تعزیر فاعل المحرّمات الّتی لها تعلّق بأحد الأمور المذکورة من الزّنا و اللّواط و السّحق و القیادة، ایّ تعلّق کان، الاّ انّه قد ورد تعزیرات فی موارد تقدّم بعض منها فی الأبحاث السّابقة، منها النّوم، او مطلق الأجتماع تحت لحاف، او ازار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التّقبیل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ما فی معتبرة حفص بن البختری</w:t>
      </w:r>
      <w:r>
        <w:rPr>
          <w:rStyle w:val="FootnoteAnchor"/>
          <w:rtl w:val="true"/>
        </w:rPr>
        <w:footnoteReference w:id="1276"/>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برجل وجد تحت فراش رجل، فأمر به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فلوّث فی مخروّة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الشّیخ بأسناده عن محمّد بن احمد بن یحیی عن طلحة بن زید</w:t>
      </w:r>
      <w:r>
        <w:rPr>
          <w:rStyle w:val="FootnoteAnchor"/>
          <w:rtl w:val="true"/>
        </w:rPr>
        <w:footnoteReference w:id="1277"/>
      </w:r>
      <w:r>
        <w:rPr>
          <w:rFonts w:ascii="IRNazanin" w:hAnsi="IRNazanin" w:eastAsia="IRNazanin"/>
          <w:color w:val="111111"/>
          <w:sz w:val="28"/>
          <w:sz w:val="28"/>
          <w:szCs w:val="28"/>
          <w:rtl w:val="true"/>
          <w:lang w:bidi="fa-IR"/>
        </w:rPr>
        <w:t xml:space="preserve">عن جعفر عن 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رفع الی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وجد تحت فراش امرأة فی بیتها،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رأیتم غیر ذلک؟ قالو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فانطلقوا به الی مخروّة فمرّغوه علیها ظهرا لبطن، ثمّ خلّوا 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بأس بالعمل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کتبنا رسالة مستقلّة فی التّعزیرات الواردة فی الشّرع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فی القذف</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القذف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انسان انساناً آخر بالزّنا او اللّواط، فاعلاً او مفعولا، رجلاً او امرأة بلا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تحققّه برمیه بالسّحق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ابن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الحدّ، و استشکل فیه العلاّمة فی العلاّمة 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عللّه فی الأیضاح و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بکونه کالزّنا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الأخیر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لذا کان فیه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اعتبرت شهادة الأربع و الأقرار کذلک فتعمّه آیة الرّمی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الأصل و حصر الفریة فی ثلاث فی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الأتی، و هو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قوّاه هو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اعظم المحرّمات، قال الله تعالی</w:t>
      </w:r>
      <w:r>
        <w:rPr>
          <w:rStyle w:val="FootnoteAnchor"/>
          <w:rtl w:val="true"/>
        </w:rPr>
        <w:footnoteReference w:id="1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w:t>
      </w:r>
      <w:bookmarkStart w:id="468" w:name="pg3023_22789"/>
    </w:p>
    <w:p>
      <w:pPr>
        <w:pStyle w:val="Heading3"/>
        <w:numPr>
          <w:ilvl w:val="2"/>
          <w:numId w:val="1"/>
        </w:numPr>
        <w:rPr/>
      </w:pPr>
      <w:bookmarkStart w:id="469" w:name="__RefHeading___Toc656965_2749589250"/>
      <w:bookmarkStart w:id="470" w:name="_Toc169"/>
      <w:bookmarkEnd w:id="468"/>
      <w:bookmarkEnd w:id="469"/>
      <w:r>
        <w:rPr>
          <w:rtl w:val="true"/>
        </w:rPr>
        <w:t>اذا قال لانسانٍ زنیت او لطت او لامرأة انت زانیة او لرجل انت لائط او ملوط یثبت الحدّ</w:t>
      </w:r>
      <w:bookmarkEnd w:id="470"/>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قال 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زنیت او لطت او انت زان، او لأمرأة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زانیة او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لائط او ملوط او منکوح فی دبرک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یثبت الحدّ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یرمون المحصنات الغافلات المؤمنات لعنوا فی الدّنیا و الأخرة و لهم عذاب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w:t>
      </w:r>
      <w:r>
        <w:rPr>
          <w:rStyle w:val="FootnoteAnchor"/>
          <w:rtl w:val="true"/>
        </w:rPr>
        <w:footnoteReference w:id="1279"/>
      </w:r>
      <w:r>
        <w:rPr>
          <w:rFonts w:ascii="IRNazanin" w:hAnsi="IRNazanin" w:eastAsia="IRNazanin"/>
          <w:color w:val="111111"/>
          <w:sz w:val="28"/>
          <w:sz w:val="28"/>
          <w:szCs w:val="28"/>
          <w:rtl w:val="true"/>
          <w:lang w:bidi="fa-IR"/>
        </w:rPr>
        <w:t>یرمون المحصنات ثمّ لم یأتوا بأربعة شهداء فاجلدوهم ثمانین جلدة و لا تقبلو لهم شهادة ابداً و اولئک هم الفاسقون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الّذین تبوا من بعد ذلک واصلحوا فأنّ الله غفور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الخبر</w:t>
      </w:r>
      <w:r>
        <w:rPr>
          <w:rStyle w:val="FootnoteAnchor"/>
          <w:rtl w:val="true"/>
        </w:rPr>
        <w:footnoteReference w:id="1280"/>
      </w: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قذف محصنة یحبط عبادة مأة سنة، 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1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رمی محصناً او محصنة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احبط لله عمله و جلده یوم القیامة سبعون الف ملک من بین یدیه و من خلفه، ثمّ یؤمر به الی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جهات 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الفاظه، و القاذف، و المقذوف، و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الجهة الأولی فی الفاظه</w:t>
      </w:r>
      <w:r>
        <w:rPr>
          <w:rFonts w:eastAsia="IRNazanin" w:cs="IRNazanin"/>
          <w:color w:val="111111"/>
          <w:sz w:val="28"/>
          <w:szCs w:val="28"/>
          <w:rtl w:val="true"/>
          <w:lang w:bidi="fa-IR"/>
        </w:rPr>
        <w:t>: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اشکال و لا خلاف فی عدم العبرة فی باب القذف بالکنایات و التّعریض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 ذلک ما فی قرب الأسناد</w:t>
      </w:r>
      <w:r>
        <w:rPr>
          <w:rStyle w:val="FootnoteAnchor"/>
          <w:rtl w:val="true"/>
        </w:rPr>
        <w:footnoteReference w:id="1282"/>
      </w:r>
      <w:r>
        <w:rPr>
          <w:rFonts w:ascii="IRNazanin" w:hAnsi="IRNazanin" w:eastAsia="IRNazanin"/>
          <w:color w:val="111111"/>
          <w:sz w:val="28"/>
          <w:sz w:val="28"/>
          <w:szCs w:val="28"/>
          <w:rtl w:val="true"/>
          <w:lang w:bidi="fa-IR"/>
        </w:rPr>
        <w:t xml:space="preserve">بسند ضعیف عن جعفر عن 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یحدّ بالتّعریض، حتّی یأتی بالفریة المصرّحة، یازان، او یا ابن الزّانیة، او لست لأبیک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عن مالک</w:t>
      </w:r>
      <w:r>
        <w:rPr>
          <w:rStyle w:val="FootnoteAnchor"/>
          <w:rtl w:val="true"/>
        </w:rPr>
        <w:footnoteReference w:id="1283"/>
      </w:r>
      <w:r>
        <w:rPr>
          <w:rFonts w:ascii="IRNazanin" w:hAnsi="IRNazanin" w:eastAsia="IRNazanin"/>
          <w:color w:val="111111"/>
          <w:sz w:val="28"/>
          <w:sz w:val="28"/>
          <w:szCs w:val="28"/>
          <w:rtl w:val="true"/>
          <w:lang w:bidi="fa-IR"/>
        </w:rPr>
        <w:t>هو قذف حال الغضب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الخلاف</w:t>
      </w:r>
      <w:r>
        <w:rPr>
          <w:rStyle w:val="FootnoteAnchor"/>
          <w:rtl w:val="true"/>
        </w:rPr>
        <w:footnoteReference w:id="1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التّعریض بالقذف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بقذف، سواء کان حال الرّضا او حال الغضب، و به قال ابو حنیفة و الشّافعیّ</w:t>
      </w:r>
      <w:r>
        <w:rPr>
          <w:rStyle w:val="FootnoteAnchor"/>
          <w:rtl w:val="true"/>
        </w:rPr>
        <w:footnoteReference w:id="1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قذف حال الغضب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ولیس بقذف حال ارّضا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اجاع الفرقة، و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برائة الذّمّة للقاذف، فمن شغلها فعلیه الدّلالة</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یترتّب حدّ القذف الاّ علی ما کان صریحاً من الفاظه او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فأذا نسبه الی الزّنا او اللّواط باحد هذین النّحوین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الحکم، کقوله مخاطباً 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زنیت او لطت او انت زان او لائط او ملوک او منکوح فی دبرک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یترتّب علی ما اذا لم یواجه المنسوب ایضاً، کأن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 الزّانی او الزّانیة، او یابن الزّانی او الزّانیة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یثبت الحدّ لمن نسب الیه الزّنا او اللّواط، کالأبن او الأبنة او الأب و الأمّ فی الأمثلة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فی ذلک بین اللّغات المختلفة؛ بعد معرفة القاذف؛ و قصده المعنی فلا یشترط کونه بلغة خاصّة، حتّی اذا خاطبه بالقذف بلغة لا یعرفها الامقذوف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 مرسل الدّعائم</w:t>
      </w:r>
      <w:r>
        <w:rPr>
          <w:rStyle w:val="FootnoteAnchor"/>
          <w:rtl w:val="true"/>
        </w:rPr>
        <w:footnoteReference w:id="1286"/>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یحدّ القاذف اذا قذف بأیّ لسان قذف به، من عربیّ او اعجمیّ</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ما ذکرنا صحیحة عبدالله بن سنان</w:t>
      </w:r>
      <w:r>
        <w:rPr>
          <w:rStyle w:val="FootnoteAnchor"/>
          <w:rtl w:val="true"/>
        </w:rPr>
        <w:footnoteReference w:id="128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الفریة ثلاث، یعنی ثلاث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رمی الرّجل الرّجل بالزّنا، و ذا قال انّ امّه زانیة، و اذا دعی لغیر ابیه فذلک فیه حدّ، 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ابن محبوب</w:t>
      </w:r>
      <w:r>
        <w:rPr>
          <w:rStyle w:val="FootnoteAnchor"/>
          <w:rtl w:val="true"/>
        </w:rPr>
        <w:footnoteReference w:id="1288"/>
      </w:r>
      <w:r>
        <w:rPr>
          <w:rFonts w:ascii="IRNazanin" w:hAnsi="IRNazanin" w:eastAsia="IRNazanin"/>
          <w:color w:val="111111"/>
          <w:sz w:val="28"/>
          <w:sz w:val="28"/>
          <w:szCs w:val="28"/>
          <w:rtl w:val="true"/>
          <w:lang w:bidi="fa-IR"/>
        </w:rPr>
        <w:t xml:space="preserve"> فی الصّحیح عن نعیم بن ابراهیم بن عباد البصریّ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اسناد الشّیخ</w:t>
      </w:r>
      <w:r>
        <w:rPr>
          <w:rStyle w:val="FootnoteAnchor"/>
          <w:rtl w:val="true"/>
        </w:rPr>
        <w:footnoteReference w:id="1289"/>
      </w:r>
      <w:r>
        <w:rPr>
          <w:rFonts w:ascii="IRNazanin" w:hAnsi="IRNazanin" w:eastAsia="IRNazanin"/>
          <w:color w:val="111111"/>
          <w:sz w:val="28"/>
          <w:sz w:val="28"/>
          <w:szCs w:val="28"/>
          <w:rtl w:val="true"/>
          <w:lang w:bidi="fa-IR"/>
        </w:rPr>
        <w:t xml:space="preserve">عن غیاث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قذف الرّجل الرّجل، فقال انّک تعمل عمل قوم لوط، تنکح الرّجال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قذف ارّجل الرّجل، فقال انّک تعمل عمل قوم لوط، تنکح الرّجال قال یجلد حدّ القاذف، ثمانین جلدة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صحیحة عباد بن صهیب</w:t>
      </w:r>
      <w:r>
        <w:rPr>
          <w:rStyle w:val="FootnoteAnchor"/>
          <w:rtl w:val="true"/>
        </w:rPr>
        <w:footnoteReference w:id="1290"/>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اذا قال الرّجل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معفوج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منکوح فی دبره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علیه حدّ القاذف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صحیحة محمّد بن قیس</w:t>
      </w:r>
      <w:r>
        <w:rPr>
          <w:rStyle w:val="FootnoteAnchor"/>
          <w:rtl w:val="true"/>
        </w:rPr>
        <w:footnoteReference w:id="1291"/>
      </w:r>
      <w:r>
        <w:rPr>
          <w:rFonts w:ascii="IRNazanin" w:hAnsi="IRNazanin" w:eastAsia="IRNazanin"/>
          <w:color w:val="111111"/>
          <w:sz w:val="28"/>
          <w:sz w:val="28"/>
          <w:szCs w:val="28"/>
          <w:rtl w:val="true"/>
          <w:lang w:bidi="fa-IR"/>
        </w:rPr>
        <w:t xml:space="preserve">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المملوک یدعوا الرّجل لغیر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ان یعری جلده،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Style w:val="FootnoteAnchor"/>
          <w:rtl w:val="true"/>
        </w:rPr>
        <w:footnoteReference w:id="1292"/>
      </w:r>
      <w:r>
        <w:rPr>
          <w:rFonts w:ascii="IRNazanin" w:hAnsi="IRNazanin" w:eastAsia="IRNazanin"/>
          <w:color w:val="111111"/>
          <w:sz w:val="28"/>
          <w:sz w:val="28"/>
          <w:szCs w:val="28"/>
          <w:rtl w:val="true"/>
          <w:lang w:bidi="fa-IR"/>
        </w:rPr>
        <w:t>فی رجل دعی لغیر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اقم بیّنتک امکنک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و قریب من صدرها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النّوادر</w:t>
      </w:r>
      <w:r>
        <w:rPr>
          <w:rStyle w:val="FootnoteAnchor"/>
          <w:rtl w:val="true"/>
        </w:rPr>
        <w:footnoteReference w:id="1293"/>
      </w:r>
      <w:r>
        <w:rPr>
          <w:rFonts w:ascii="IRNazanin" w:hAnsi="IRNazanin" w:eastAsia="IRNazanin"/>
          <w:color w:val="111111"/>
          <w:sz w:val="28"/>
          <w:sz w:val="28"/>
          <w:szCs w:val="28"/>
          <w:rtl w:val="true"/>
          <w:lang w:bidi="fa-IR"/>
        </w:rPr>
        <w:t xml:space="preserve">و ذیل ما فی 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1294"/>
      </w:r>
      <w:r>
        <w:rPr>
          <w:rFonts w:ascii="IRNazanin" w:hAnsi="IRNazanin" w:eastAsia="IRNazanin"/>
          <w:color w:val="111111"/>
          <w:sz w:val="28"/>
          <w:sz w:val="28"/>
          <w:szCs w:val="28"/>
          <w:rtl w:val="true"/>
          <w:lang w:bidi="fa-IR"/>
        </w:rPr>
        <w:t>و روایة الدّعائم</w:t>
      </w:r>
      <w:r>
        <w:rPr>
          <w:rStyle w:val="FootnoteAnchor"/>
          <w:rtl w:val="true"/>
        </w:rPr>
        <w:footnoteReference w:id="1295"/>
      </w:r>
      <w:r>
        <w:rPr>
          <w:rFonts w:ascii="IRNazanin" w:hAnsi="IRNazanin" w:eastAsia="IRNazanin"/>
          <w:color w:val="111111"/>
          <w:sz w:val="28"/>
          <w:sz w:val="28"/>
          <w:szCs w:val="28"/>
          <w:rtl w:val="true"/>
          <w:lang w:bidi="fa-IR"/>
        </w:rPr>
        <w:t>و المقنع</w:t>
      </w:r>
      <w:r>
        <w:rPr>
          <w:rStyle w:val="FootnoteAnchor"/>
          <w:rtl w:val="true"/>
        </w:rPr>
        <w:footnoteReference w:id="1296"/>
      </w:r>
      <w:r>
        <w:rPr>
          <w:rFonts w:ascii="IRNazanin" w:hAnsi="IRNazanin" w:eastAsia="IRNazanin"/>
          <w:color w:val="111111"/>
          <w:sz w:val="28"/>
          <w:sz w:val="28"/>
          <w:szCs w:val="28"/>
          <w:rtl w:val="true"/>
          <w:lang w:bidi="fa-IR"/>
        </w:rPr>
        <w:t>و ما فی المحاسن</w:t>
      </w:r>
      <w:r>
        <w:rPr>
          <w:rStyle w:val="FootnoteAnchor"/>
          <w:rtl w:val="true"/>
        </w:rPr>
        <w:footnoteReference w:id="1297"/>
      </w:r>
      <w:r>
        <w:rPr>
          <w:rFonts w:ascii="IRNazanin" w:hAnsi="IRNazanin" w:eastAsia="IRNazanin"/>
          <w:color w:val="111111"/>
          <w:sz w:val="28"/>
          <w:sz w:val="28"/>
          <w:szCs w:val="28"/>
          <w:rtl w:val="true"/>
          <w:lang w:bidi="fa-IR"/>
        </w:rPr>
        <w:t>و فی معتبرة اسحاق بن عمّار</w:t>
      </w:r>
      <w:r>
        <w:rPr>
          <w:rStyle w:val="FootnoteAnchor"/>
          <w:rtl w:val="true"/>
        </w:rPr>
        <w:footnoteReference w:id="1298"/>
      </w:r>
      <w:r>
        <w:rPr>
          <w:rFonts w:ascii="IRNazanin" w:hAnsi="IRNazanin" w:eastAsia="IRNazanin"/>
          <w:color w:val="111111"/>
          <w:sz w:val="28"/>
          <w:sz w:val="28"/>
          <w:szCs w:val="28"/>
          <w:rtl w:val="true"/>
          <w:lang w:bidi="fa-IR"/>
        </w:rPr>
        <w:t xml:space="preserve">عن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یعزّر فی الهجاء و لا یجلد الحدّ الاّ فی الفریة المصرّحة،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یازان او یا ابن الزّانیة او لست لأبیک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نحوه فی روایة و هب بن وهب</w:t>
      </w:r>
      <w:r>
        <w:rPr>
          <w:rStyle w:val="FootnoteAnchor"/>
          <w:rtl w:val="true"/>
        </w:rPr>
        <w:footnoteReference w:id="1299"/>
      </w:r>
      <w:r>
        <w:rPr>
          <w:rFonts w:ascii="IRNazanin" w:hAnsi="IRNazanin" w:eastAsia="IRNazanin"/>
          <w:color w:val="111111"/>
          <w:sz w:val="28"/>
          <w:sz w:val="28"/>
          <w:szCs w:val="28"/>
          <w:rtl w:val="true"/>
          <w:lang w:bidi="fa-IR"/>
        </w:rPr>
        <w:t xml:space="preserve">بطریقین عن جعفر بن محمّد عن ابیه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ما رواه الصّدوق</w:t>
      </w:r>
      <w:r>
        <w:rPr>
          <w:rStyle w:val="FootnoteAnchor"/>
          <w:rtl w:val="true"/>
        </w:rPr>
        <w:footnoteReference w:id="1300"/>
      </w:r>
      <w:r>
        <w:rPr>
          <w:rFonts w:ascii="IRNazanin" w:hAnsi="IRNazanin" w:eastAsia="IRNazanin"/>
          <w:color w:val="111111"/>
          <w:sz w:val="28"/>
          <w:sz w:val="28"/>
          <w:szCs w:val="28"/>
          <w:rtl w:val="true"/>
          <w:lang w:bidi="fa-IR"/>
        </w:rPr>
        <w:t xml:space="preserve">باسناده عن حمّاد بن عمرو و انس بن محمّد عن ابیه عن جعفر بن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وصیّة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یا علیّ لیس علی زان عقر، و لا حدّ فی التّعریض، و لا شفاعة فی حدّ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 الحکم روایات الجعفریّات و الدّعائم، فروی فی الأولی</w:t>
      </w:r>
      <w:r>
        <w:rPr>
          <w:rStyle w:val="FootnoteAnchor"/>
          <w:rtl w:val="true"/>
        </w:rPr>
        <w:footnoteReference w:id="1301"/>
      </w:r>
      <w:r>
        <w:rPr>
          <w:rFonts w:ascii="IRNazanin" w:hAnsi="IRNazanin" w:eastAsia="IRNazanin"/>
          <w:color w:val="111111"/>
          <w:sz w:val="28"/>
          <w:sz w:val="28"/>
          <w:szCs w:val="28"/>
          <w:rtl w:val="true"/>
          <w:lang w:bidi="fa-IR"/>
        </w:rPr>
        <w:t xml:space="preserve">مسنداً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قال لأخیه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لوطیّ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حدّ علیه، لأنّه انّما نسبه الی رجل صالح، الی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عمل عمل 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الحدّ، و فی الثّانیة</w:t>
      </w:r>
      <w:r>
        <w:rPr>
          <w:rStyle w:val="FootnoteAnchor"/>
          <w:rtl w:val="true"/>
        </w:rPr>
        <w:footnoteReference w:id="1302"/>
      </w:r>
      <w:r>
        <w:rPr>
          <w:rFonts w:ascii="IRNazanin" w:hAnsi="IRNazanin" w:eastAsia="IRNazanin"/>
          <w:color w:val="111111"/>
          <w:sz w:val="28"/>
          <w:sz w:val="28"/>
          <w:szCs w:val="28"/>
          <w:rtl w:val="true"/>
          <w:lang w:bidi="fa-IR"/>
        </w:rPr>
        <w:t>قریباً منه، و فیها مرسلة</w:t>
      </w:r>
      <w:r>
        <w:rPr>
          <w:rStyle w:val="FootnoteAnchor"/>
          <w:rtl w:val="true"/>
        </w:rPr>
        <w:footnoteReference w:id="1303"/>
      </w:r>
      <w:r>
        <w:rPr>
          <w:rFonts w:ascii="IRNazanin" w:hAnsi="IRNazanin" w:eastAsia="IRNazanin"/>
          <w:color w:val="111111"/>
          <w:sz w:val="28"/>
          <w:sz w:val="28"/>
          <w:szCs w:val="28"/>
          <w:rtl w:val="true"/>
          <w:lang w:bidi="fa-IR"/>
        </w:rPr>
        <w:t xml:space="preserve">ایضاً عن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فی الرّجل یقذف الرّجل بالأُبنه، او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منکوح یا معفوج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الحدّ، و فی الأولی مسنداً</w:t>
      </w:r>
      <w:r>
        <w:rPr>
          <w:rStyle w:val="FootnoteAnchor"/>
          <w:rtl w:val="true"/>
        </w:rPr>
        <w:footnoteReference w:id="1304"/>
      </w:r>
      <w:r>
        <w:rPr>
          <w:rFonts w:ascii="Amiri" w:hAnsi="Amiri" w:eastAsia="Amiri" w:cs="Amiri"/>
          <w:color w:val="111111"/>
          <w:sz w:val="28"/>
          <w:sz w:val="28"/>
          <w:szCs w:val="28"/>
          <w:rtl w:val="true"/>
          <w:lang w:bidi="ar-SA"/>
        </w:rPr>
        <w:t xml:space="preserve">ایضاً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یقول للرّجل یا معفوج، قال علیه الحدّ</w:t>
      </w:r>
      <w:r>
        <w:rPr>
          <w:rFonts w:eastAsia="Amiri" w:cs="Amiri" w:ascii="Amiri" w:hAnsi="Amiri"/>
          <w:color w:val="111111"/>
          <w:sz w:val="28"/>
          <w:szCs w:val="28"/>
          <w:rtl w:val="true"/>
          <w:lang w:bidi="ar-SA"/>
        </w:rPr>
        <w:t>.</w:t>
      </w:r>
      <w:bookmarkStart w:id="471" w:name="pg3023_22796"/>
    </w:p>
    <w:p>
      <w:pPr>
        <w:pStyle w:val="Heading3"/>
        <w:numPr>
          <w:ilvl w:val="2"/>
          <w:numId w:val="1"/>
        </w:numPr>
        <w:rPr/>
      </w:pPr>
      <w:bookmarkStart w:id="472" w:name="__RefHeading___Toc656967_2749589250"/>
      <w:bookmarkStart w:id="473" w:name="_Toc170"/>
      <w:bookmarkEnd w:id="471"/>
      <w:bookmarkEnd w:id="472"/>
      <w:r>
        <w:rPr>
          <w:rtl w:val="true"/>
        </w:rPr>
        <w:t>(</w:t>
      </w:r>
      <w:r>
        <w:rPr>
          <w:rtl w:val="true"/>
        </w:rPr>
        <w:t>مسائل</w:t>
      </w:r>
      <w:r>
        <w:rPr>
          <w:rtl w:val="true"/>
        </w:rPr>
        <w:t>)</w:t>
      </w:r>
      <w:bookmarkEnd w:id="473"/>
    </w:p>
    <w:p>
      <w:pPr>
        <w:pStyle w:val="Heading4"/>
        <w:numPr>
          <w:ilvl w:val="3"/>
          <w:numId w:val="1"/>
        </w:numPr>
        <w:rPr/>
      </w:pPr>
      <w:bookmarkStart w:id="474" w:name="__RefHeading___Toc656969_2749589250"/>
      <w:bookmarkStart w:id="475" w:name="_Toc171"/>
      <w:bookmarkEnd w:id="474"/>
      <w:r>
        <w:rPr>
          <w:rtl w:val="true"/>
        </w:rPr>
        <w:t>الاولی</w:t>
      </w:r>
      <w:r>
        <w:rPr>
          <w:rtl w:val="true"/>
        </w:rPr>
        <w:t xml:space="preserve">: </w:t>
      </w:r>
      <w:r>
        <w:rPr>
          <w:rtl w:val="true"/>
        </w:rPr>
        <w:t>لو نسب الزّنا الی حد ابویه فالحدّ لهما و لو نسب الی غیره من اقاربه</w:t>
      </w:r>
      <w:bookmarkEnd w:id="475"/>
    </w:p>
    <w:p>
      <w:pPr>
        <w:pStyle w:val="BookText"/>
        <w:rPr/>
      </w:pPr>
      <w:r>
        <w:rPr>
          <w:rFonts w:ascii="IRNazanin" w:hAnsi="IRNazanin" w:eastAsia="IRNazanin"/>
          <w:color w:val="111111"/>
          <w:sz w:val="28"/>
          <w:sz w:val="28"/>
          <w:szCs w:val="28"/>
          <w:rtl w:val="true"/>
          <w:lang w:bidi="fa-IR"/>
        </w:rPr>
        <w:t>او زوجها او زوجته فالحدّ للمنسوب الیه</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نسب الزّنا الی احد 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فالحدّ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نسبه الی غیره من الأقارب او زوجها او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فالحدّ للمنسوب الیه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ینسب الزّنا الی المخاطب بل الی احد 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فالحدّ لهما بلا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معتبرة عمّار السّاباطیّ</w:t>
      </w:r>
      <w:r>
        <w:rPr>
          <w:rStyle w:val="FootnoteAnchor"/>
          <w:rtl w:val="true"/>
        </w:rPr>
        <w:footnoteReference w:id="1305"/>
      </w:r>
      <w:r>
        <w:rPr>
          <w:rFonts w:ascii="IRNazanin" w:hAnsi="IRNazanin" w:eastAsia="IRNazanin"/>
          <w:color w:val="111111"/>
          <w:sz w:val="28"/>
          <w:sz w:val="28"/>
          <w:szCs w:val="28"/>
          <w:rtl w:val="true"/>
          <w:lang w:bidi="fa-IR"/>
        </w:rPr>
        <w:t>فی رجل قال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الفاعلة یعنی الزّنا،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کانت امّة حیّة شاهدة ثمّ جائت تطلب 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ثمانین جلدة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یؤیّده مرسلة الدّعائم</w:t>
      </w:r>
      <w:r>
        <w:rPr>
          <w:rStyle w:val="FootnoteAnchor"/>
          <w:rtl w:val="true"/>
        </w:rPr>
        <w:footnoteReference w:id="1306"/>
      </w:r>
      <w:r>
        <w:rPr>
          <w:rFonts w:ascii="IRNazanin" w:hAnsi="IRNazanin" w:eastAsia="IRNazanin"/>
          <w:color w:val="111111"/>
          <w:sz w:val="28"/>
          <w:sz w:val="28"/>
          <w:szCs w:val="28"/>
          <w:rtl w:val="true"/>
          <w:lang w:bidi="fa-IR"/>
        </w:rPr>
        <w:t xml:space="preserve">و صدر ما فی 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هنا یظهر انّه لو نسب الزّنا الی غیر ابویه من اقاربه او زوجها او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الحدّ لهم، 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زوج الزّانیة او یا زوجة الزّانی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فاحدّ للزّوجة فی الدوّل و للزّوج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خال الزّانی او الزّانیة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فالحدّ لأبن اخته فی الاوّل و لبنتها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اخ الزّانی او یابن 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فالحدّ للخال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اخ الزّانی او الزّانیة او یا 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فاحدّ لمن نسب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اخ الزّانی او یابن اخ الزّانی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فاحدّ للعمّ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بدّل الزّانی فی الموضعین بالزّانیة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فالحدّ للخالة و للعمّة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 یا صهر الزّانی او یا امّ مرأة الزّانی او یا ربیب الزّانی او ربیبته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فالحدّ لمن نسب الیه</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قال یا استاد الزّانی او معلّمه او تلمیذه او یا جاره او یا صدیقه و امثال ذلک؛ و کان منحصراً فی واحد ظاهراً فی واحد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کانوا متعددّین او کانت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فسیجییء البحث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لحق المخاطب عار بقذف غیره او سبّ المخاطب بما لا یبلغ القذف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 حقّ التّعزیر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مورد یکون الحدّ لغیر المخاطب؛ فلو لحقه 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حقّ التّعزیر، کما اذا عیّره او سبّه بما لا یبلغ القذف، و سنبحث عنه فی آخر المقصد انشاء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زنت بک 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فالحدّ لأمّه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بک ابوک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فاحدّ لأبیه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الزّانیین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فالحدّ لأبیه و 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الخلاف</w:t>
      </w:r>
      <w:r>
        <w:rPr>
          <w:rStyle w:val="FootnoteAnchor"/>
          <w:rtl w:val="true"/>
        </w:rPr>
        <w:footnoteReference w:id="1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قال الرّجل یا بن الزّانیین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علیه حدّان لأبویه، فأن کانا حییّن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استوفیا، و ان کانا میّتین استوفاه ورثتهما</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ابو حنیفة</w:t>
      </w:r>
      <w:r>
        <w:rPr>
          <w:rStyle w:val="FootnoteAnchor"/>
          <w:rtl w:val="true"/>
        </w:rPr>
        <w:footnoteReference w:id="1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حدّ واحد، و للشّافعیّ فیه قولان، احدهما مثل ما قلناه، و هو قوله فی 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الثّانی حدّ واحد قاله فی القدیم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 انه نسب کلّ</w:t>
      </w:r>
      <w:bookmarkStart w:id="476" w:name="pg3023_22801"/>
    </w:p>
    <w:p>
      <w:pPr>
        <w:pStyle w:val="Heading4"/>
        <w:numPr>
          <w:ilvl w:val="3"/>
          <w:numId w:val="1"/>
        </w:numPr>
        <w:rPr/>
      </w:pPr>
      <w:bookmarkStart w:id="477" w:name="__RefHeading___Toc656971_2749589250"/>
      <w:bookmarkStart w:id="478" w:name="_Toc172"/>
      <w:bookmarkEnd w:id="476"/>
      <w:bookmarkEnd w:id="477"/>
      <w:r>
        <w:rPr>
          <w:rtl w:val="true"/>
        </w:rPr>
        <w:t>لو قال زنیت بفلانة او لطت بفلان</w:t>
      </w:r>
      <w:bookmarkEnd w:id="478"/>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زنیت بفلانة او لطت بفلان، فهل یثبت حقّ الحدّ لفلانة او فلان؟ فیه خلاف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واحد من الا بوین الی الزّنا فوجب لکل واحد 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 کاملاً، کما لو افرد کلّ 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اجماع الفرقة و اخبارهم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ارادة غیر امّه و ابیه من جدّه وجدّته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الظّاهر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یشترط فی المخاطب ما یشترط فی المقذوف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یثبت الحدّ لأمّه او ابیه؛ و لو کان هو کافراً، لا حرمة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ولدتک امّک من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قذف للأمّ، بخلاف مالو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من الزّنا، فیحتملها کما یحتمل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الأشکال فی کلتا العبارتین، لعدم الظّهور لأیّ منهما فی نسبة الزّنا الی الأب او الأمّ، لتطرّق احتمال الأکراه او الأشتباه، خصوصاً لو عمّمنا مفهوم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اذا تحقّق الفعل بالأکراه او الأشتباه للفاعل او الفاعلة، و لذلک توقّف فی الشّرایع، و قوّاه فی الجواهر، لعدم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للکلام، بحیث ینتفی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استظهرنا من احدی العبارتین او من کلتیهما القذف؛ و لم یعلم ایّهما المقذوف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فسنبحث عنه انشاء الله</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 زنیت بفلانة او لطت بفلان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اشکال فی ثبوت القذف بالزّنا فی الأوّل و باللّواط فی الثّانی للمخاطب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یثبت لفلانة او لفلان؟ فیه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الشّیخ فی النّهایة و المبسوط و المفید و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حدّان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الخلاف و الغنیة الأجماع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الخلاف</w:t>
      </w:r>
      <w:r>
        <w:rPr>
          <w:rStyle w:val="FootnoteAnchor"/>
          <w:rtl w:val="true"/>
        </w:rPr>
        <w:footnoteReference w:id="1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قال زنیت بفلانة او قال زنی بک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علیه حدّان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حدّ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الشّافعی</w:t>
      </w:r>
      <w:r>
        <w:rPr>
          <w:rStyle w:val="FootnoteAnchor"/>
          <w:rtl w:val="true"/>
        </w:rPr>
        <w:footnoteReference w:id="1311"/>
      </w:r>
      <w:r>
        <w:rPr>
          <w:rFonts w:ascii="IRNazanin" w:hAnsi="IRNazanin" w:eastAsia="IRNazanin"/>
          <w:color w:val="111111"/>
          <w:sz w:val="28"/>
          <w:sz w:val="28"/>
          <w:szCs w:val="28"/>
          <w:rtl w:val="true"/>
          <w:lang w:bidi="fa-IR"/>
        </w:rPr>
        <w:t>فی القدیم، و قال فی الجدید فیها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حدّان کما قلناه، کما لو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قال زنیتما، و الأخر حدّ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 لهذا القول بأنّ الزّنا فعل واحد، متی کذب فی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فی الأخر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واوضحه صاحب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واقع بین اثنین، نسبة احدهما الیه بالفاعلیّة کنسبة الأخر الیه بالمفعولیّة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ادریس و العلاّمة فی 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العدم، و قوّاه فی الجواهر، و تردّد فی الشّرایع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استند لهذا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بتعدّد الفعل و لو حماً، لأنّ موج الحدّ فی الفاعل غیر الموجب فی المفعول، اذ یمکن کون احدهما، مختاراً فی فعله دون الأخر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بقول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1312"/>
      </w:r>
      <w:r>
        <w:rPr>
          <w:rFonts w:ascii="IRNazanin" w:hAnsi="IRNazanin" w:eastAsia="IRNazanin"/>
          <w:color w:val="111111"/>
          <w:sz w:val="28"/>
          <w:sz w:val="28"/>
          <w:szCs w:val="28"/>
          <w:rtl w:val="true"/>
          <w:lang w:bidi="fa-IR"/>
        </w:rPr>
        <w:t>فی صحیحة محمّد بن مسلم، فی رجل قال لأمرأته یازانیة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زنیت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حدّ واحد، لقذفه ایّاها، و امّا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زنیت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حدّ فیه؛ الاّ ان یشهد علی نفسه اربع شهادات بالزّنا عند الأمام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قوله انا زنیت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بیان نسبته اوّلاً الیها الزّنا، فلیس نسبة ثانیة، و نفی احدّ بقوله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یراد به نفی حدّ الزّنا، لا القذف، اذ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ابرع مرّات فی احدّ فی مورد الأقرار بالزّنا، و لا یکتفی بمرّة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یرد علی اصحاب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التزامهم بثبوت الحدّ فی ما 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منکوح فی دبره، لصراحته فی القذف، دونالمقام، اذ لیس له ذلک الظّهور</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بما ذکرنا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خاطب زوجته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زنیت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یحدّ اللزّنا، لعدم ثبوت الحدّ بالأقرار مرّة</w:t>
      </w:r>
      <w:r>
        <w:rPr>
          <w:rFonts w:eastAsia="IRNazanin" w:cs="IRNazanin"/>
          <w:color w:val="111111"/>
          <w:sz w:val="28"/>
          <w:szCs w:val="28"/>
          <w:rtl w:val="true"/>
          <w:lang w:bidi="fa-IR"/>
        </w:rPr>
        <w:t>.</w:t>
      </w:r>
      <w:bookmarkStart w:id="479" w:name="pg3023_22805"/>
    </w:p>
    <w:p>
      <w:pPr>
        <w:pStyle w:val="BookText"/>
        <w:rPr/>
      </w:pPr>
      <w:bookmarkEnd w:id="479"/>
      <w:r>
        <w:rPr>
          <w:rFonts w:ascii="IRNazanin" w:hAnsi="IRNazanin" w:eastAsia="IRNazanin"/>
          <w:color w:val="111111"/>
          <w:sz w:val="28"/>
          <w:sz w:val="28"/>
          <w:szCs w:val="28"/>
          <w:rtl w:val="true"/>
          <w:lang w:bidi="fa-IR"/>
        </w:rPr>
        <w:t>و علی الأوّل لو طالبا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القاذف حدّان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480" w:name="__RefHeading___Toc656973_2749589250"/>
      <w:bookmarkStart w:id="481" w:name="_Toc173"/>
      <w:bookmarkEnd w:id="480"/>
      <w:r>
        <w:rPr>
          <w:rtl w:val="true"/>
        </w:rPr>
        <w:t>الثّانیة</w:t>
      </w:r>
      <w:r>
        <w:rPr>
          <w:rtl w:val="true"/>
        </w:rPr>
        <w:t xml:space="preserve">: </w:t>
      </w:r>
      <w:r>
        <w:rPr>
          <w:rtl w:val="true"/>
        </w:rPr>
        <w:t>لو قال لولده الّذی اقرّ به لست ولدی</w:t>
      </w:r>
      <w:bookmarkEnd w:id="481"/>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 لولده الّذین اقرّ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قذف لأمّه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اخترنا 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حدّان؛ لو طالبا، لکون الکلام ینحلّ الی کلامین، و لذلک لو اقتصر 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القذف، فقذف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لضمیمة قوله بفلان او بفلانة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فیه اشکال، لقوّة عدّه کلاماً واحداً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المسئلة 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 لولده الّذی اقرّ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قذف للأمّ، کما اذا قال لغیر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لأبیک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قذف لأمّه بلا خلاف و 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علیه معتبرة السّکونّی</w:t>
      </w:r>
      <w:r>
        <w:rPr>
          <w:rStyle w:val="FootnoteAnchor"/>
          <w:rtl w:val="true"/>
        </w:rPr>
        <w:footnoteReference w:id="1313"/>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اقرّ بولد، ثمّ نفاه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الحدّ و ألزم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الجعفریّات</w:t>
      </w:r>
      <w:r>
        <w:rPr>
          <w:rStyle w:val="FootnoteAnchor"/>
          <w:rtl w:val="true"/>
        </w:rPr>
        <w:footnoteReference w:id="1314"/>
      </w:r>
      <w:r>
        <w:rPr>
          <w:rFonts w:ascii="IRNazanin" w:hAnsi="IRNazanin" w:eastAsia="IRNazanin"/>
          <w:color w:val="111111"/>
          <w:sz w:val="28"/>
          <w:sz w:val="28"/>
          <w:szCs w:val="28"/>
          <w:rtl w:val="true"/>
          <w:lang w:bidi="fa-IR"/>
        </w:rPr>
        <w:t xml:space="preserve">مسنداً عن جعفر بن محمّد عن ابیه عن حدّه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اقرّ بولده ثمّ 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الحدّ و الزم الولد، و فی نقل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ألزم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صحیحة ابن سنان</w:t>
      </w:r>
      <w:r>
        <w:rPr>
          <w:rStyle w:val="FootnoteAnchor"/>
          <w:rtl w:val="true"/>
        </w:rPr>
        <w:footnoteReference w:id="1315"/>
      </w:r>
      <w:r>
        <w:rPr>
          <w:rFonts w:ascii="IRNazanin" w:hAnsi="IRNazanin" w:eastAsia="IRNazanin"/>
          <w:color w:val="111111"/>
          <w:sz w:val="28"/>
          <w:sz w:val="28"/>
          <w:szCs w:val="28"/>
          <w:rtl w:val="true"/>
          <w:lang w:bidi="fa-IR"/>
        </w:rPr>
        <w:t>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دعا لغیر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فیه حدّ 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اذا اراد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ظاهر اللّفظ، و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اراد التّأدیب، و انّه معناً لیس ولده؛ لعدم تأدّبه بأدابه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فیه حدّ، لعدم کونه قذفاً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المتفاهم العرفیّ</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مارواه العلاء بن الفضیل</w:t>
      </w:r>
      <w:r>
        <w:rPr>
          <w:rStyle w:val="FootnoteAnchor"/>
          <w:rtl w:val="true"/>
        </w:rPr>
        <w:footnoteReference w:id="1316"/>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ینتفی من ولده و قد اقرّ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الولد من 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الحدّ خمسین سوطاً، حدّ المملوک، و ان کان من 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فمعارض للرّوایات الکثیرة الواردة فی انّ حدّ القذف ثمانون، متروک لذلک</w:t>
      </w:r>
      <w:r>
        <w:rPr>
          <w:rFonts w:eastAsia="IRNazanin" w:cs="IRNazanin"/>
          <w:color w:val="111111"/>
          <w:sz w:val="28"/>
          <w:szCs w:val="28"/>
          <w:rtl w:val="true"/>
          <w:lang w:bidi="fa-IR"/>
        </w:rPr>
        <w:t>.</w:t>
      </w:r>
      <w:bookmarkStart w:id="482" w:name="pg3023_22807"/>
    </w:p>
    <w:p>
      <w:pPr>
        <w:pStyle w:val="Heading4"/>
        <w:numPr>
          <w:ilvl w:val="3"/>
          <w:numId w:val="1"/>
        </w:numPr>
        <w:rPr/>
      </w:pPr>
      <w:bookmarkStart w:id="483" w:name="__RefHeading___Toc656975_2749589250"/>
      <w:bookmarkStart w:id="484" w:name="_Toc174"/>
      <w:bookmarkEnd w:id="482"/>
      <w:bookmarkEnd w:id="483"/>
      <w:r>
        <w:rPr>
          <w:rtl w:val="true"/>
        </w:rPr>
        <w:t>الثّالثة</w:t>
      </w:r>
      <w:r>
        <w:rPr>
          <w:rtl w:val="true"/>
        </w:rPr>
        <w:t xml:space="preserve">: </w:t>
      </w:r>
      <w:r>
        <w:rPr>
          <w:rtl w:val="true"/>
        </w:rPr>
        <w:t>لو عن امرأته و افترقا ثم قذفها یحدّ</w:t>
      </w:r>
      <w:bookmarkEnd w:id="484"/>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لاعن امرأته و افترقا؛ ثمّ قذفها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بقی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 فی الجواهر بالولد الّذی اقرّ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حکم له به شرعاً، کمن ولد علی فراشه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کلام، اذ فی الأوّل لا موضوع للّعان، لأعترافه به اوّلاً، و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یمکنه ردّ الحدّ باللّعان، او بأقامة الشّهود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المسئلة الثّالثة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عن امرأته و افترقا ثمّ قذفها، کما اذا لأبنها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الزّانیة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خلاف و لا اشکال فی الحدّ لتحقّق القذف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علیه بعد الأطلاق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صحیحة سلیمان بن خالد</w:t>
      </w:r>
      <w:r>
        <w:rPr>
          <w:rStyle w:val="FootnoteAnchor"/>
          <w:rtl w:val="true"/>
        </w:rPr>
        <w:footnoteReference w:id="1317"/>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یجلد قاذف الملاعنة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مرسلة ابن محبوب</w:t>
      </w:r>
      <w:r>
        <w:rPr>
          <w:rStyle w:val="FootnoteAnchor"/>
          <w:rtl w:val="true"/>
        </w:rPr>
        <w:footnoteReference w:id="1318"/>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یحدّ قاذف اللّقیط، و یحدّ قاذف الملاعنة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صحیحة الحلبیّ</w:t>
      </w:r>
      <w:r>
        <w:rPr>
          <w:rStyle w:val="FootnoteAnchor"/>
          <w:rtl w:val="true"/>
        </w:rPr>
        <w:footnoteReference w:id="1319"/>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قذف ملاعنة؟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معتبرة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w:t>
      </w:r>
      <w:r>
        <w:rPr>
          <w:rStyle w:val="FootnoteAnchor"/>
          <w:rtl w:val="true"/>
        </w:rPr>
        <w:footnoteReference w:id="1320"/>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قذف امرأته، فتلاعنا، ثمّ قذفها بعد ما تفرّقا ایضاً بالزّنا أعلیه حدّ؟ قال نعم علیه حدّ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مسند الجعفریّات</w:t>
      </w:r>
      <w:r>
        <w:rPr>
          <w:rStyle w:val="FootnoteAnchor"/>
          <w:rtl w:val="true"/>
        </w:rPr>
        <w:footnoteReference w:id="1321"/>
      </w:r>
      <w:r>
        <w:rPr>
          <w:rFonts w:ascii="IRNazanin" w:hAnsi="IRNazanin" w:eastAsia="IRNazanin"/>
          <w:color w:val="111111"/>
          <w:sz w:val="28"/>
          <w:sz w:val="28"/>
          <w:szCs w:val="28"/>
          <w:rtl w:val="true"/>
          <w:lang w:bidi="fa-IR"/>
        </w:rPr>
        <w:t xml:space="preserve">عن جعفر بن محمّد عن ابیه عن جده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ولد الملاعنة؛ اذا 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قاذفه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امقنع</w:t>
      </w:r>
      <w:r>
        <w:rPr>
          <w:rStyle w:val="FootnoteAnchor"/>
          <w:rtl w:val="true"/>
        </w:rPr>
        <w:footnoteReference w:id="1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قذف الرّجل ابن الملاعنة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الحدّ، ثمانین</w:t>
      </w:r>
      <w:r>
        <w:rPr>
          <w:rFonts w:eastAsia="IRNazanin" w:cs="IRNazanin"/>
          <w:color w:val="111111"/>
          <w:sz w:val="28"/>
          <w:szCs w:val="28"/>
          <w:rtl w:val="true"/>
          <w:lang w:bidi="fa-IR"/>
        </w:rPr>
        <w:t>.</w:t>
      </w:r>
      <w:bookmarkStart w:id="485" w:name="pg3023_22809"/>
    </w:p>
    <w:p>
      <w:pPr>
        <w:pStyle w:val="Heading4"/>
        <w:numPr>
          <w:ilvl w:val="3"/>
          <w:numId w:val="1"/>
        </w:numPr>
        <w:rPr/>
      </w:pPr>
      <w:bookmarkStart w:id="486" w:name="__RefHeading___Toc656977_2749589250"/>
      <w:bookmarkStart w:id="487" w:name="_Toc175"/>
      <w:bookmarkEnd w:id="485"/>
      <w:bookmarkEnd w:id="486"/>
      <w:r>
        <w:rPr>
          <w:rtl w:val="true"/>
        </w:rPr>
        <w:t>الرّابعة</w:t>
      </w:r>
      <w:r>
        <w:rPr>
          <w:rtl w:val="true"/>
        </w:rPr>
        <w:t xml:space="preserve">: </w:t>
      </w:r>
      <w:r>
        <w:rPr>
          <w:rtl w:val="true"/>
        </w:rPr>
        <w:t>لو قذف الزّانیة المحدودة قبل توبتها فلا یحدّ</w:t>
      </w:r>
      <w:bookmarkEnd w:id="487"/>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قذف الزّانیة المحدودة؛ قبل توبتها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یحدّ، و بعدها؛ فیه اشکال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المسئلة الرّابعة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قذف الزّانیة المحدودة، کأن لأبنها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الزّانیة، او خاطبها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یزانیة؛ فأمّا ان یکون بعد توبتها، و امّا قبل ماتتوب، ففی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حدّ لها، لعدم موجب له، لعدم الفریة، امّا الأقرارها، او لثبوت الزّنا بالبیّنة؛ و فی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یحدّ، کما فی الشّرایع و لاقواعد، و وافقهما فی کشف اللّثام والجواهر، استناداً الی مارواه الفضل بن اسماعیل</w:t>
      </w:r>
      <w:r>
        <w:rPr>
          <w:rStyle w:val="FootnoteAnchor"/>
          <w:rtl w:val="true"/>
        </w:rPr>
        <w:footnoteReference w:id="1323"/>
      </w:r>
      <w:r>
        <w:rPr>
          <w:rFonts w:ascii="IRNazanin" w:hAnsi="IRNazanin" w:eastAsia="IRNazanin"/>
          <w:color w:val="111111"/>
          <w:sz w:val="28"/>
          <w:sz w:val="28"/>
          <w:szCs w:val="28"/>
          <w:rtl w:val="true"/>
          <w:lang w:bidi="fa-IR"/>
        </w:rPr>
        <w:t>الهاشمیّ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ابا عبدالله و ابا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امرأة زنت، فأتت بولد، و اقرّت عند امام المسلمین بأنّها زنت، و أنّ ولدها ذلک من الزّنا، فأقیم علیها الحدّ، و أنّ ذلک الولد نشأ حتّی صار رجلاً، فافتری علیه رجل، هل یجلد من افتری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یجلد و و لا یجلد،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یجلد و لا یجلد؟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ولد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یجلد یعزّر، و هو دون الحدّ، و من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الزّانیة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الحدّ کاملاً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له و کیف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هکذا؟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اذا قال له؛ یا ولد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صدق فیه و عزّر علی تعییره امّه ثانیة؛ و قد اقیم علیها الحدّ، فأن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الزّانیة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الحدّ تامّاً، لفریته علیها بعد اظهار التّوبة، و اقامة الأمام علیها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 الرّوایة ضعیفة بفضل بن اسماعیل، فأنّه لم یذکر بتوثیق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الأشکال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استند القاذف الی زناها سابقاً و لیس یکذب حتّی یحدّ، لثبوت زناها</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مانع من التّعزیر، لتعییرها او ابنها، و ان کان قذفها؛ لا بلحاظ 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الحدّ بلا اشکال</w:t>
      </w:r>
      <w:r>
        <w:rPr>
          <w:rFonts w:eastAsia="IRNazanin" w:cs="IRNazanin"/>
          <w:color w:val="111111"/>
          <w:sz w:val="28"/>
          <w:szCs w:val="28"/>
          <w:rtl w:val="true"/>
          <w:lang w:bidi="fa-IR"/>
        </w:rPr>
        <w:t>.</w:t>
      </w:r>
      <w:bookmarkStart w:id="488" w:name="pg3023_22811"/>
    </w:p>
    <w:p>
      <w:pPr>
        <w:pStyle w:val="Heading4"/>
        <w:numPr>
          <w:ilvl w:val="3"/>
          <w:numId w:val="1"/>
        </w:numPr>
        <w:rPr/>
      </w:pPr>
      <w:bookmarkStart w:id="489" w:name="__RefHeading___Toc656979_2749589250"/>
      <w:bookmarkStart w:id="490" w:name="_Toc176"/>
      <w:bookmarkEnd w:id="488"/>
      <w:bookmarkEnd w:id="489"/>
      <w:r>
        <w:rPr>
          <w:rtl w:val="true"/>
        </w:rPr>
        <w:t>الخامسة</w:t>
      </w:r>
      <w:r>
        <w:rPr>
          <w:rtl w:val="true"/>
        </w:rPr>
        <w:t xml:space="preserve">: </w:t>
      </w:r>
      <w:r>
        <w:rPr>
          <w:rtl w:val="true"/>
        </w:rPr>
        <w:t>لو قال له یا کشخان او یاقرنان او یا دیّوث یجدّ لو افاد القذف</w:t>
      </w:r>
      <w:bookmarkEnd w:id="490"/>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کشخان، او یاقرنان، او یادیّوث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یحدّ؛ لو افاد القذف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491" w:name="__RefHeading___Toc656981_2749589250"/>
      <w:bookmarkStart w:id="492" w:name="_Toc177"/>
      <w:bookmarkEnd w:id="491"/>
      <w:r>
        <w:rPr>
          <w:rtl w:val="true"/>
        </w:rPr>
        <w:t>فی شرایط القاذف</w:t>
      </w:r>
      <w:bookmarkEnd w:id="492"/>
    </w:p>
    <w:p>
      <w:pPr>
        <w:pStyle w:val="Heading4"/>
        <w:numPr>
          <w:ilvl w:val="3"/>
          <w:numId w:val="1"/>
        </w:numPr>
        <w:rPr/>
      </w:pPr>
      <w:bookmarkStart w:id="493" w:name="__RefHeading___Toc656983_2749589250"/>
      <w:bookmarkStart w:id="494" w:name="_Toc178"/>
      <w:bookmarkEnd w:id="493"/>
      <w:r>
        <w:rPr>
          <w:rtl w:val="true"/>
        </w:rPr>
        <w:t>یشترط فیه العقل و البلوغ و القصد و الاختیار</w:t>
      </w:r>
      <w:bookmarkEnd w:id="494"/>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القاذف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البلوغ و العقل و القصد و الأختطار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یحدّ الصّبیّ اذا قذف و کذلک المجنون و الهازل و السّاهی و المکره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المسئلة الخامسة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کشخان او یا قرنان او یا دیّوث؛ فأن افاد القذف بالأمّ، کما عن اهل اللّغة فی الأوّل، او بالأخت، کما فی الثّانی، او بالزّوجة، کما فی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الأوّلان لم یوجدا فی کلام العرب، و عند العامّة هما مثل الثّالث او قریبان منه، کما عن تغلب، او الدّیّوث هو الّذی یدخل الرّجال علی امرأته، و القرنان علی بناته، و الکشخان علی اخواته، کما قیل عن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فأن افاد ایّ من هذه الألفاظ نسبة الزّنا الی احد محارمه فی عرف المخاطب، او المتکلّم مع تحقّق القصد الی المعنی  المتفاهم فی الموردین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فیترتّب علیه احکام القذف بانّسبة الی من نسب الیه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لم یفد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حدّ للقذف، و انّما فیه التّعزیر، کما هو الحال اذا افاد معنی القیادة للمخاطب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الرّمی بوطی البهائم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حدّ للقذف فیه، خلافاً لما عن ابن الجنید، فأوجب علیه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فیه التّعزیر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شرایط القاذف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حدّ القذف کون القاذف بالغاً عاقلاً، رجلاً او امرأة او خنثی، قاصداً ختاراً بلا خلاف و لا اشکال</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اعتبار البلوغ و العقل؛ مضافاً الی اطلاق رفع القلم عن الصبیّ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و المجنون، و الأجماع المدّعی فی کشف اللّثام و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مارواه ابو مریم الأنصاریّ</w:t>
      </w:r>
      <w:r>
        <w:rPr>
          <w:rStyle w:val="FootnoteAnchor"/>
          <w:rtl w:val="true"/>
        </w:rPr>
        <w:footnoteReference w:id="1324"/>
      </w:r>
      <w:r>
        <w:rPr>
          <w:rFonts w:ascii="IRNazanin" w:hAnsi="IRNazanin" w:eastAsia="IRNazanin"/>
          <w:color w:val="111111"/>
          <w:sz w:val="28"/>
          <w:sz w:val="28"/>
          <w:szCs w:val="28"/>
          <w:rtl w:val="true"/>
          <w:lang w:bidi="fa-IR"/>
        </w:rPr>
        <w:t xml:space="preserve">قال سألت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الغلام لم یحتلم، یقذف الرّجل هل یجلد؟ قال لا، و ذلک لو أنّ رجلاً قذف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صحیحة فضیل بن یسار</w:t>
      </w:r>
      <w:r>
        <w:rPr>
          <w:rStyle w:val="FootnoteAnchor"/>
          <w:rtl w:val="true"/>
        </w:rPr>
        <w:footnoteReference w:id="1325"/>
      </w:r>
      <w:r>
        <w:rPr>
          <w:rFonts w:ascii="IRNazanin" w:hAnsi="IRNazanin" w:eastAsia="IRNazanin"/>
          <w:color w:val="111111"/>
          <w:sz w:val="28"/>
          <w:sz w:val="28"/>
          <w:szCs w:val="28"/>
          <w:rtl w:val="true"/>
          <w:lang w:bidi="fa-IR"/>
        </w:rPr>
        <w:t xml:space="preserve">قال سمعت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حدّ لمن لا حدّله، یعنی لو أنّ رجلاً مجنوناً قذف رجلاً لم أرعلیه شیئاً، و لو قذفه رجل فقال یازان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علیه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معتبرة اسحق بن عمّار</w:t>
      </w:r>
      <w:r>
        <w:rPr>
          <w:rStyle w:val="FootnoteAnchor"/>
          <w:rtl w:val="true"/>
        </w:rPr>
        <w:footnoteReference w:id="1326"/>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یؤیّده مرسل الدّعائم</w:t>
      </w:r>
      <w:r>
        <w:rPr>
          <w:rStyle w:val="FootnoteAnchor"/>
          <w:rtl w:val="true"/>
        </w:rPr>
        <w:footnoteReference w:id="1327"/>
      </w:r>
      <w:r>
        <w:rPr>
          <w:rFonts w:ascii="IRNazanin" w:hAnsi="IRNazanin" w:eastAsia="IRNazanin"/>
          <w:color w:val="111111"/>
          <w:sz w:val="28"/>
          <w:sz w:val="28"/>
          <w:szCs w:val="28"/>
          <w:rtl w:val="true"/>
          <w:lang w:bidi="fa-IR"/>
        </w:rPr>
        <w:t xml:space="preserve">عن امیر المؤمنین و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سئلا عن الرّجل یقذف الطّفل و الطّفلة او المجنون؟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حدّ لمن لا حدّ علیه، و لکنّ القاذف أثم، و اقلّ ما فی ذلک ان یکون قد 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اعتبار الثّالث، مضافاً الی اجماع کشف اللّثام فیه و فی الرّبع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بدون القصد لا یتحقّق القذف، بل یکون غالطاً او ساهیاً او هازلاً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اعتبار الأختیار مضافاً الی الأجماع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رفع ما استکرهوا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اختلفا فی بلوغ القاذف و عدمه؛ و لا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فالقول قول منکره، کما لو اختلفا فی وقوع القذف حال البلوغ او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لاعبرة بأصالة تأخّر القذف عن البلوغ، او تأخّر البلوغ عن القذف، حتّی اذا کان البلوغ معلوم التّاریخ، اذ استصحاب عدم القذف الی حال البلوغ یا یثبت القذف حاله</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له حال جنون و عقل فادّعی المقذوف وقوع القذف حال</w:t>
      </w:r>
      <w:bookmarkStart w:id="495" w:name="pg3023_22815"/>
    </w:p>
    <w:p>
      <w:pPr>
        <w:pStyle w:val="Heading4"/>
        <w:numPr>
          <w:ilvl w:val="3"/>
          <w:numId w:val="1"/>
        </w:numPr>
        <w:rPr/>
      </w:pPr>
      <w:bookmarkStart w:id="496" w:name="__RefHeading___Toc656985_2749589250"/>
      <w:bookmarkStart w:id="497" w:name="_Toc179"/>
      <w:bookmarkEnd w:id="495"/>
      <w:bookmarkEnd w:id="496"/>
      <w:r>
        <w:rPr>
          <w:rtl w:val="true"/>
        </w:rPr>
        <w:t>ثبوت الحدّ لو قذف السّکران اذا شرب باختیاره</w:t>
      </w:r>
      <w:bookmarkEnd w:id="497"/>
    </w:p>
    <w:p>
      <w:pPr>
        <w:pStyle w:val="BookText"/>
        <w:rPr/>
      </w:pPr>
      <w:r>
        <w:rPr>
          <w:rFonts w:ascii="IRNazanin" w:hAnsi="IRNazanin" w:eastAsia="IRNazanin"/>
          <w:color w:val="111111"/>
          <w:sz w:val="28"/>
          <w:sz w:val="28"/>
          <w:szCs w:val="28"/>
          <w:rtl w:val="true"/>
          <w:lang w:bidi="fa-IR"/>
        </w:rPr>
        <w:t xml:space="preserve">و فی السّکران اشکال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الأقوی ثبوت الحدّ اذا شرب و سکر باختیاره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الأفاقة و انکر القاذف و لا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فالقول قولل القاذف، و لا یفید استصحاب العقل؛ اذا کان القذف معلوم التّاریخ مع احتماله، اذ یمکن دعوی کفایة العقل فی الحدّ؛ و ان لم یحرز صدور القذف عن العاقل، بل یکفی اقتران الفعل مع العقل، و لیس کالبلوغ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قذف حال الأفاقة ثمّ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اشکال فی ثبوت الحدّ علیه، و یحتمل تأخّره الی حال الأفاقة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اذا لم یکن به جنون و تجدّد بعد القذف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اختلفا فی کونه غالطاً او ساهیاً او نائماً او مغمی علیه، فأن کان هناک ظاهر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عوّل علیه، و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فیشکل ترتّب الحدّ، لعدم احراز الموضوع، و هکذا فی الأکراه، و مجرّد دعوای الأکراه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یفید؛ اذا درأنا الحدود بالشّبهات، اذ انّص لقبول الدّعوی مخصوص بباب الزّنا، و قالوا بمثله فی اللّواط والسّحق، و لا یبعد ترتّب الحکم؛ الاّ اذا أقام مدّعی الأکراه البیّنة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قذف حال السّکر هل یحدّ او لا؟ فیه اشکال، لعدم تحقّق قصد القذف وارادة المعنی حال السّکر، و من ذلک لا یمضی معاملاته و ایقاعاته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 الأقوی کونه کالصّاحی اذا سکر بشرب المسکر قصداً و اختیاراً، وفاقاً لفخر المحقّقین فی الأیضاح و کاشف اللّثام و صاحب الجواهر، و أن اطلقا، استناداً الی قول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1328"/>
      </w:r>
      <w:r>
        <w:rPr>
          <w:rFonts w:ascii="IRNazanin" w:hAnsi="IRNazanin" w:eastAsia="IRNazanin"/>
          <w:color w:val="111111"/>
          <w:sz w:val="28"/>
          <w:sz w:val="28"/>
          <w:szCs w:val="28"/>
          <w:rtl w:val="true"/>
          <w:lang w:bidi="fa-IR"/>
        </w:rPr>
        <w:t xml:space="preserve">فی معتبرة زرارة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الرّجل اذا شرب الخمر سکر، و اذا سکر هذی، و اذا هذی افتری، فاجلدوه حدّ المفتری</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اختار الأکثر کما فی الجواهر، بل ربما نسب الی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القود علی السّکران الأثم فی سکره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الأستدلال له بمعتبرة السّکونیّ</w:t>
      </w:r>
      <w:r>
        <w:rPr>
          <w:rStyle w:val="FootnoteAnchor"/>
          <w:rtl w:val="true"/>
        </w:rPr>
        <w:footnoteReference w:id="1329"/>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قوم یشربون فیسکرون فتباعجوا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فیتباعجون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بسکاکین کانت معهم، فرفعوا الی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فسجنهم فمات منهم رجلان و بقی رجلان، فقال اهل المقتولین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اهل المقتولین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المؤمنین أقدنا بصاحبینا، فقال للقوم ماترون؟ فقالو نری ان تقید هما، 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 ذینک الّذین ماتا قتل کلّ واحد منهما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ماندری، 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اجعل دیة المقتولین علی قبائل الأربعة و آخذ دیة جراحة الباقین من دیة المقتولین،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فلعلّ ذینک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وجود المقتضة للقود؛ لو فرض استناد القتل الی الباقین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قریب منها مسندة الجعفریّات</w:t>
      </w:r>
      <w:r>
        <w:rPr>
          <w:rStyle w:val="FootnoteAnchor"/>
          <w:rtl w:val="true"/>
        </w:rPr>
        <w:footnoteReference w:id="1330"/>
      </w:r>
      <w:r>
        <w:rPr>
          <w:rFonts w:ascii="Amiri" w:hAnsi="Amiri" w:eastAsia="Amiri" w:cs="Amiri"/>
          <w:color w:val="111111"/>
          <w:sz w:val="28"/>
          <w:sz w:val="28"/>
          <w:szCs w:val="28"/>
          <w:rtl w:val="true"/>
          <w:lang w:bidi="ar-SA"/>
        </w:rPr>
        <w:t>و مرسلة الدّعائم</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التّوقّف فی الحکم؛ لأجل سلب القصد، و لذا لا یصحّ عقد له و لا ایقاع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خلاف صحیحة ابن بزیع</w:t>
      </w:r>
      <w:r>
        <w:rPr>
          <w:rStyle w:val="FootnoteAnchor"/>
          <w:rtl w:val="true"/>
        </w:rPr>
        <w:footnoteReference w:id="1332"/>
      </w:r>
      <w:r>
        <w:rPr>
          <w:rFonts w:ascii="IRNazanin" w:hAnsi="IRNazanin" w:eastAsia="IRNazanin"/>
          <w:color w:val="111111"/>
          <w:sz w:val="28"/>
          <w:sz w:val="28"/>
          <w:szCs w:val="28"/>
          <w:rtl w:val="true"/>
          <w:lang w:bidi="fa-IR"/>
        </w:rPr>
        <w:t xml:space="preserve"> الواردة فی تزویج السّکری، و قد عمل بها جماعة، و حملها غیرهم علی محامل مخالفة للظّاهر، و یؤیّدها ما فی المقنع</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تکلّم بالقذف فی حال الغضب؛ فأ لم یکن غضبه بحیث یثلب منه القصد  الأختیار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اشکال فی الحدّ، و اذا صار بحیث یسلب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یترتّب علیه اثر، و هذا مضافاً الی انّه مقتضی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علیه معتبرة علیّ بن عطیّة</w:t>
      </w:r>
      <w:r>
        <w:rPr>
          <w:rStyle w:val="FootnoteAnchor"/>
          <w:rtl w:val="true"/>
        </w:rPr>
        <w:footnoteReference w:id="13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الأصمّ الحنّاط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عنده و سأله رجل؛ عن رجل یجییء منه الشّیء علی جهة غضب، یؤاخذه الله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من ان یستغلق 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یستقلق عبده خ ل</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یؤیّده بعض التّأیید ما رواه عقبة بن خالد</w:t>
      </w:r>
      <w:r>
        <w:rPr>
          <w:rStyle w:val="FootnoteAnchor"/>
          <w:rtl w:val="true"/>
        </w:rPr>
        <w:footnoteReference w:id="1335"/>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bookmarkStart w:id="498" w:name="pg3023_22819"/>
    </w:p>
    <w:p>
      <w:pPr>
        <w:pStyle w:val="Heading4"/>
        <w:numPr>
          <w:ilvl w:val="3"/>
          <w:numId w:val="1"/>
        </w:numPr>
        <w:rPr/>
      </w:pPr>
      <w:bookmarkStart w:id="499" w:name="__RefHeading___Toc656987_2749589250"/>
      <w:bookmarkStart w:id="500" w:name="_Toc180"/>
      <w:bookmarkEnd w:id="498"/>
      <w:bookmarkEnd w:id="499"/>
      <w:r>
        <w:rPr>
          <w:rtl w:val="true"/>
        </w:rPr>
        <w:t>المشهور فی حدّ المملوک و المملوکة جلد ثمانین</w:t>
      </w:r>
      <w:bookmarkEnd w:id="500"/>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انّ المملوک و المملوکة اذا قذفا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یجلدان ثمانین، کالحرّ و الحرّة، و هو الحقّ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سألته عن رجل قال لأمرأته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یازانیة،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یجلد حدّاً و یفرّق بینهما بعد ما یجلد، و لایکون امرأته،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قال کلاماً افلت منه من غیر ان یعلم شیئاً؛ اراد ان یغیظها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یفرّق بینهما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فی القاذف الحرّیة علی المشهور شهرة عظیمة، فلو قذف العبد او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کلّ منهما الحدّ الکامل، 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ذلک، مضافاً الی اطلاق الأیة المبارکة</w:t>
      </w:r>
      <w:r>
        <w:rPr>
          <w:rStyle w:val="FootnoteAnchor"/>
          <w:rtl w:val="true"/>
        </w:rPr>
        <w:footnoteReference w:id="13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یرمون المحصنات ثمّ لم یأتوا بأربعة شهداء فاجلدوهم ثمانین جلدة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کثیرة، ففی معتبرة سماعة</w:t>
      </w:r>
      <w:r>
        <w:rPr>
          <w:rStyle w:val="FootnoteAnchor"/>
          <w:rtl w:val="true"/>
        </w:rPr>
        <w:footnoteReference w:id="1337"/>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فی الرّجل اذا قذف المحصنة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یجلد ثمانین، حرّاً کان او مملوکاً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صحیحة الحلبّی</w:t>
      </w:r>
      <w:r>
        <w:rPr>
          <w:rStyle w:val="FootnoteAnchor"/>
          <w:rtl w:val="true"/>
        </w:rPr>
        <w:footnoteReference w:id="1338"/>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قذف العبد الحرّ جلد ثمانین،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حقوق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کصدرها مارواه زرارة</w:t>
      </w:r>
      <w:r>
        <w:rPr>
          <w:rStyle w:val="FootnoteAnchor"/>
          <w:rtl w:val="true"/>
        </w:rPr>
        <w:footnoteReference w:id="1339"/>
      </w:r>
      <w:r>
        <w:rPr>
          <w:rFonts w:ascii="IRNazanin" w:hAnsi="IRNazanin" w:eastAsia="IRNazanin"/>
          <w:color w:val="111111"/>
          <w:sz w:val="28"/>
          <w:sz w:val="28"/>
          <w:szCs w:val="28"/>
          <w:rtl w:val="true"/>
          <w:lang w:bidi="fa-IR"/>
        </w:rPr>
        <w:t xml:space="preserve">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روایة البحار</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معتبرة سماعة</w:t>
      </w:r>
      <w:r>
        <w:rPr>
          <w:rStyle w:val="FootnoteAnchor"/>
          <w:rtl w:val="true"/>
        </w:rPr>
        <w:footnoteReference w:id="1341"/>
      </w:r>
      <w:r>
        <w:rPr>
          <w:rFonts w:ascii="IRNazanin" w:hAnsi="IRNazanin" w:eastAsia="IRNazanin"/>
          <w:color w:val="111111"/>
          <w:sz w:val="28"/>
          <w:sz w:val="28"/>
          <w:szCs w:val="28"/>
          <w:rtl w:val="true"/>
          <w:lang w:bidi="fa-IR"/>
        </w:rPr>
        <w:t>الأخری مضمرة،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سألة عن المملوک یفتری علی الحرّ،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یجلد ثمانین،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فأنّه زنی،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یجلد 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مرسلة الدّعائم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1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قذف المملوک 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الحدّ کاملاً، انّما هو حدّ الحرّ یؤخذ من ظهره و فی نوادر احمد بن محمّد عیسی</w:t>
      </w:r>
      <w:r>
        <w:rPr>
          <w:rStyle w:val="FootnoteAnchor"/>
          <w:rtl w:val="true"/>
        </w:rPr>
        <w:footnoteReference w:id="1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المملوک اذا قذف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ثمانین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عبدالرّحمن</w:t>
      </w:r>
      <w:r>
        <w:rPr>
          <w:rStyle w:val="FootnoteAnchor"/>
          <w:rtl w:val="true"/>
        </w:rPr>
        <w:footnoteReference w:id="1344"/>
      </w:r>
      <w:r>
        <w:rPr>
          <w:rFonts w:ascii="IRNazanin" w:hAnsi="IRNazanin" w:eastAsia="IRNazanin"/>
          <w:color w:val="111111"/>
          <w:sz w:val="28"/>
          <w:sz w:val="28"/>
          <w:szCs w:val="28"/>
          <w:rtl w:val="true"/>
          <w:lang w:bidi="fa-IR"/>
        </w:rPr>
        <w:t xml:space="preserve">عنه یعنی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الرّجل اذا قذف المحصنة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ثمانین، حرّاً کان او مملوکاً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المقنع</w:t>
      </w:r>
      <w:r>
        <w:rPr>
          <w:rStyle w:val="FootnoteAnchor"/>
          <w:rtl w:val="true"/>
        </w:rPr>
        <w:footnoteReference w:id="1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قذف عبد 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ثمانین جلدة، و نحوه ذیل 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معتبرات اخری رواها سماعة</w:t>
      </w:r>
      <w:r>
        <w:rPr>
          <w:rStyle w:val="FootnoteAnchor"/>
          <w:rtl w:val="true"/>
        </w:rPr>
        <w:footnoteReference w:id="1347"/>
      </w:r>
      <w:r>
        <w:rPr>
          <w:rFonts w:ascii="IRNazanin" w:hAnsi="IRNazanin" w:eastAsia="IRNazanin"/>
          <w:color w:val="111111"/>
          <w:sz w:val="28"/>
          <w:sz w:val="28"/>
          <w:szCs w:val="28"/>
          <w:rtl w:val="true"/>
          <w:lang w:bidi="fa-IR"/>
        </w:rPr>
        <w:t>و ابو الصّباح</w:t>
      </w:r>
      <w:r>
        <w:rPr>
          <w:rStyle w:val="FootnoteAnchor"/>
          <w:rtl w:val="true"/>
        </w:rPr>
        <w:footnoteReference w:id="1348"/>
      </w:r>
      <w:r>
        <w:rPr>
          <w:rFonts w:ascii="IRNazanin" w:hAnsi="IRNazanin" w:eastAsia="IRNazanin"/>
          <w:color w:val="111111"/>
          <w:sz w:val="28"/>
          <w:sz w:val="28"/>
          <w:szCs w:val="28"/>
          <w:rtl w:val="true"/>
          <w:lang w:bidi="fa-IR"/>
        </w:rPr>
        <w:t>الکنانیّ وزرارة</w:t>
      </w:r>
      <w:r>
        <w:rPr>
          <w:rStyle w:val="FootnoteAnchor"/>
          <w:rtl w:val="true"/>
        </w:rPr>
        <w:footnoteReference w:id="1349"/>
      </w:r>
      <w:r>
        <w:rPr>
          <w:rFonts w:ascii="IRNazanin" w:hAnsi="IRNazanin" w:eastAsia="IRNazanin"/>
          <w:color w:val="111111"/>
          <w:sz w:val="28"/>
          <w:sz w:val="28"/>
          <w:szCs w:val="28"/>
          <w:rtl w:val="true"/>
          <w:lang w:bidi="fa-IR"/>
        </w:rPr>
        <w:t>و سلیمان</w:t>
      </w:r>
      <w:r>
        <w:rPr>
          <w:rStyle w:val="FootnoteAnchor"/>
          <w:rtl w:val="true"/>
        </w:rPr>
        <w:footnoteReference w:id="1350"/>
      </w:r>
      <w:r>
        <w:rPr>
          <w:rFonts w:ascii="IRNazanin" w:hAnsi="IRNazanin" w:eastAsia="IRNazanin"/>
          <w:color w:val="111111"/>
          <w:sz w:val="28"/>
          <w:sz w:val="28"/>
          <w:szCs w:val="28"/>
          <w:rtl w:val="true"/>
          <w:lang w:bidi="fa-IR"/>
        </w:rPr>
        <w:t>بن خالد و ابوبکر الحضرمیّ</w:t>
      </w:r>
      <w:r>
        <w:rPr>
          <w:rStyle w:val="FootnoteAnchor"/>
          <w:rtl w:val="true"/>
        </w:rPr>
        <w:footnoteReference w:id="1351"/>
      </w:r>
      <w:r>
        <w:rPr>
          <w:rFonts w:ascii="IRNazanin" w:hAnsi="IRNazanin" w:eastAsia="IRNazanin"/>
          <w:color w:val="111111"/>
          <w:sz w:val="28"/>
          <w:sz w:val="28"/>
          <w:szCs w:val="28"/>
          <w:rtl w:val="true"/>
          <w:lang w:bidi="fa-IR"/>
        </w:rPr>
        <w:t>و بکیر و ابن بکیر</w:t>
      </w:r>
      <w:r>
        <w:rPr>
          <w:rStyle w:val="FootnoteAnchor"/>
          <w:rtl w:val="true"/>
        </w:rPr>
        <w:footnoteReference w:id="13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بکر الحضرمّی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 ثمانون و فی بعضها التّعلیل بأنّه من حقوق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الّثمانین هو المراد فی روایة العلاء</w:t>
      </w:r>
      <w:r>
        <w:rPr>
          <w:rStyle w:val="FootnoteAnchor"/>
          <w:rtl w:val="true"/>
        </w:rPr>
        <w:footnoteReference w:id="1353"/>
      </w:r>
      <w:r>
        <w:rPr>
          <w:rFonts w:ascii="IRNazanin" w:hAnsi="IRNazanin" w:eastAsia="IRNazanin"/>
          <w:color w:val="111111"/>
          <w:sz w:val="28"/>
          <w:sz w:val="28"/>
          <w:szCs w:val="28"/>
          <w:rtl w:val="true"/>
          <w:lang w:bidi="fa-IR"/>
        </w:rPr>
        <w:t xml:space="preserve">عن محمّد عن احدهما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العبد یفتری علی الحرّ،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یجلد حدّاً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خالف الشّیخ فی المحکّی عن هدایته و المبسوط</w:t>
      </w:r>
      <w:r>
        <w:rPr>
          <w:rStyle w:val="FootnoteAnchor"/>
          <w:rtl w:val="true"/>
        </w:rPr>
        <w:footnoteReference w:id="1354"/>
      </w:r>
      <w:r>
        <w:rPr>
          <w:rFonts w:ascii="IRNazanin" w:hAnsi="IRNazanin" w:eastAsia="IRNazanin"/>
          <w:color w:val="111111"/>
          <w:sz w:val="28"/>
          <w:sz w:val="28"/>
          <w:szCs w:val="28"/>
          <w:rtl w:val="true"/>
          <w:lang w:bidi="fa-IR"/>
        </w:rPr>
        <w:t xml:space="preserve"> الصّدوق فاشترطا فی کمال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الحرّیة، و استدلّ لهم بقوله تعالی</w:t>
      </w:r>
      <w:r>
        <w:rPr>
          <w:rStyle w:val="FootnoteAnchor"/>
          <w:rtl w:val="true"/>
        </w:rPr>
        <w:footnoteReference w:id="13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فأذا احصنّ فأن اتین بفاحشة فعلیهنّ نصف ما علی المحصنات من العذاب</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معتبرة القاسم بن سلیمان</w:t>
      </w:r>
      <w:r>
        <w:rPr>
          <w:rStyle w:val="FootnoteAnchor"/>
          <w:rtl w:val="true"/>
        </w:rPr>
        <w:footnoteReference w:id="13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قویّته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العبد اذا افتری علی الحرّ کم یجلد؟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أتی بفاحشة فعلیه نصف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هناک روایتان معتبرتان، احدیهما صحیحة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محمّد</w:t>
      </w:r>
      <w:r>
        <w:rPr>
          <w:rStyle w:val="FootnoteAnchor"/>
          <w:rtl w:val="true"/>
        </w:rPr>
        <w:footnoteReference w:id="1357"/>
      </w:r>
      <w:r>
        <w:rPr>
          <w:rFonts w:ascii="IRNazanin" w:hAnsi="IRNazanin" w:eastAsia="IRNazanin"/>
          <w:color w:val="111111"/>
          <w:sz w:val="28"/>
          <w:sz w:val="28"/>
          <w:szCs w:val="28"/>
          <w:rtl w:val="true"/>
          <w:lang w:bidi="fa-IR"/>
        </w:rPr>
        <w:t xml:space="preserve">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العبد یفتری علی الحرّ،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یجلد حدّاً الاّ سوطاً او سوطین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الأخری مضمرة سماعة</w:t>
      </w:r>
      <w:r>
        <w:rPr>
          <w:rStyle w:val="FootnoteAnchor"/>
          <w:rtl w:val="true"/>
        </w:rPr>
        <w:footnoteReference w:id="135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المملوک یفتری علی الحرّ،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خمسون جلدة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الحقّ ما ذهب الیه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یمکن ان یکون مستنداً للمخالف، فالأیة ظاهرة فی الزّنا او الأعمّ منه و من المساحقة، و لو سلّم؛ فتقیّد بالآیة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الرّوایات و روایة القاسم، فلا یؤخذ بها قبال تلک الرّوایات المعمول بها بین الأصحاب، اذ هی مخالفة للکتاب، موافقة للعامّة، و الأخریان شاذّتان مطروحتان، لم یعمل بهما احد، مضافاً الی مخالفتهما للکتاب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هما فی الهجر ما فی نوادر احمد بن محمّد بن عیسی</w:t>
      </w:r>
      <w:r>
        <w:rPr>
          <w:rStyle w:val="FootnoteAnchor"/>
          <w:rtl w:val="true"/>
        </w:rPr>
        <w:footnoteReference w:id="1359"/>
      </w:r>
      <w:r>
        <w:rPr>
          <w:rFonts w:ascii="IRNazanin" w:hAnsi="IRNazanin" w:eastAsia="IRNazanin"/>
          <w:color w:val="111111"/>
          <w:sz w:val="28"/>
          <w:sz w:val="28"/>
          <w:szCs w:val="28"/>
          <w:rtl w:val="true"/>
          <w:lang w:bidi="fa-IR"/>
        </w:rPr>
        <w:t xml:space="preserve">عن احمد بن محمّد عن ابن سنان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المکاتب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یجلد بقدر ما ادّی من مکاتبته حدّ الحرّ، و ما بقی حدّ المملوک، هذا و لیس له ظهور فی وروده لباب القذف، و یقرب من باب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الخلاف</w:t>
      </w:r>
      <w:r>
        <w:rPr>
          <w:rStyle w:val="FootnoteAnchor"/>
          <w:rtl w:val="true"/>
        </w:rPr>
        <w:footnoteReference w:id="1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قذف العبد محصناً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علیه الحدّ، ثمانون جلدة مثل حدّ الحرّ سواء و به قال عمر بن عبد العزیز و الزّهریّ</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جمیع الفقهاء</w:t>
      </w:r>
      <w:r>
        <w:rPr>
          <w:rStyle w:val="FootnoteAnchor"/>
          <w:rtl w:val="true"/>
        </w:rPr>
        <w:footnoteReference w:id="1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حدّه اربعون جلدة، و ورووا ذلک عن ابی بکر و عمر،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ثمّ استدلّ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لآیة المبارکة و اجماع الفرقة و اخبارهم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القاذف بین کونه مسلماً او غیر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علیه مضافاً الی اطلاقات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مارواه بکیر</w:t>
      </w:r>
      <w:r>
        <w:rPr>
          <w:rStyle w:val="FootnoteAnchor"/>
          <w:rtl w:val="true"/>
        </w:rPr>
        <w:footnoteReference w:id="1362"/>
      </w:r>
      <w:r>
        <w:rPr>
          <w:rFonts w:ascii="IRNazanin" w:hAnsi="IRNazanin" w:eastAsia="IRNazanin"/>
          <w:color w:val="111111"/>
          <w:sz w:val="28"/>
          <w:sz w:val="28"/>
          <w:szCs w:val="28"/>
          <w:rtl w:val="true"/>
          <w:lang w:bidi="fa-IR"/>
        </w:rPr>
        <w:t xml:space="preserve">فی روایته المعتبرة عن احدهما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افتری علی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ثمانین، یهدیاًّ او نصرانیّاً او عبداً</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مارواه احمد بن محمّد بن عیسی</w:t>
      </w:r>
      <w:r>
        <w:rPr>
          <w:rStyle w:val="FootnoteAnchor"/>
          <w:rtl w:val="true"/>
        </w:rPr>
        <w:footnoteReference w:id="1363"/>
      </w:r>
      <w:r>
        <w:rPr>
          <w:rFonts w:ascii="IRNazanin" w:hAnsi="IRNazanin" w:eastAsia="IRNazanin"/>
          <w:color w:val="111111"/>
          <w:sz w:val="28"/>
          <w:sz w:val="28"/>
          <w:szCs w:val="28"/>
          <w:rtl w:val="true"/>
          <w:lang w:bidi="fa-IR"/>
        </w:rPr>
        <w:t xml:space="preserve">فی نوادره عن الرّضا عن 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الیهودیّ و النّصرانیّ و المجوسیّ متی قذفوا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علیهم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و فی مرسلة الدّعائم</w:t>
      </w:r>
      <w:r>
        <w:rPr>
          <w:rStyle w:val="FootnoteAnchor"/>
          <w:rtl w:val="true"/>
        </w:rPr>
        <w:footnoteReference w:id="1364"/>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قذف المشرک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الحدّ و حلق رأسه و لحیته، و طیف به علی اهل ملّته و نکل، لیکون عظة لغطره من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1365"/>
      </w:r>
      <w:r>
        <w:rPr>
          <w:rFonts w:ascii="Amiri" w:hAnsi="Amiri" w:eastAsia="Amiri" w:cs="Amiri"/>
          <w:color w:val="111111"/>
          <w:sz w:val="28"/>
          <w:sz w:val="28"/>
          <w:szCs w:val="28"/>
          <w:rtl w:val="true"/>
          <w:lang w:bidi="ar-SA"/>
        </w:rPr>
        <w:t>فأذا قذف ذمّیّ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حدّین، حدّاً للقذف، والحدّ الأخر لحرمة الأسلام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اختلافا، فادّعی المقذوف کون القاذف حرّاً، و ادّعی هو رقیّة نفسه فعلی المشهور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اثر للنّزاع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بناءً علی القول الأخر؛ اذا لم یکن بیّنة لمدّعی الحرّیّة، فهل یقتصر علی اربعین لأصالة البرائة، او اخذاً بأقراره؟ او یضرب الحدّ کاملاً للحرّیّة؟ و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الأرجح قول القاذف، و فاقاً للشّرایع  الأیضاح، و اسنده الی المختلف، و اختاره فی کشف اللّثام والجواهر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الکلام فی ما سیأتی فی شرایط المقذوف، من اعتبار کونه حرّاً فادّعی القاذف انّه رقّ و ادّعی المقذوف الحرّیّة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یقوی ترجیح قول المقذوف هناک، لأصالة الحرّیّة، خلافاً للشّیخ فی کتابیه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الخلاف</w:t>
      </w:r>
      <w:r>
        <w:rPr>
          <w:rStyle w:val="FootnoteAnchor"/>
          <w:rtl w:val="true"/>
        </w:rPr>
        <w:footnoteReference w:id="1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قذف رجلاً ثمّ اختلافا، فقال المقذوف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حرّ فعلیک الحدّ، و قال القاذف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عبد فعلّی التّعزیر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القول قول القاذف</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الشّافعیّ</w:t>
      </w:r>
      <w:r>
        <w:rPr>
          <w:rStyle w:val="FootnoteAnchor"/>
          <w:rtl w:val="true"/>
        </w:rPr>
        <w:footnoteReference w:id="1367"/>
      </w:r>
      <w:r>
        <w:rPr>
          <w:rFonts w:ascii="IRNazanin" w:hAnsi="IRNazanin" w:eastAsia="IRNazanin"/>
          <w:color w:val="111111"/>
          <w:sz w:val="28"/>
          <w:sz w:val="28"/>
          <w:szCs w:val="28"/>
          <w:rtl w:val="true"/>
          <w:lang w:bidi="fa-IR"/>
        </w:rPr>
        <w:t>فی کتبه مثل ما قلناه فی القاذف، و قال فی الجنایات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w:t>
      </w:r>
      <w:bookmarkStart w:id="501" w:name="pg3023_22830"/>
    </w:p>
    <w:p>
      <w:pPr>
        <w:pStyle w:val="Heading3"/>
        <w:numPr>
          <w:ilvl w:val="2"/>
          <w:numId w:val="1"/>
        </w:numPr>
        <w:rPr/>
      </w:pPr>
      <w:bookmarkStart w:id="502" w:name="__RefHeading___Toc656989_2749589250"/>
      <w:bookmarkStart w:id="503" w:name="_Toc181"/>
      <w:bookmarkEnd w:id="501"/>
      <w:bookmarkEnd w:id="502"/>
      <w:r>
        <w:rPr>
          <w:rtl w:val="true"/>
        </w:rPr>
        <w:t>فی شرایط المقذوف</w:t>
      </w:r>
      <w:bookmarkEnd w:id="503"/>
    </w:p>
    <w:p>
      <w:pPr>
        <w:pStyle w:val="Heading4"/>
        <w:numPr>
          <w:ilvl w:val="3"/>
          <w:numId w:val="1"/>
        </w:numPr>
        <w:rPr/>
      </w:pPr>
      <w:bookmarkStart w:id="504" w:name="__RefHeading___Toc656991_2749589250"/>
      <w:bookmarkStart w:id="505" w:name="_Toc182"/>
      <w:bookmarkEnd w:id="504"/>
      <w:r>
        <w:rPr>
          <w:rtl w:val="true"/>
        </w:rPr>
        <w:t>اشارة</w:t>
      </w:r>
      <w:bookmarkEnd w:id="505"/>
    </w:p>
    <w:p>
      <w:pPr>
        <w:pStyle w:val="BookText"/>
        <w:rPr/>
      </w:pPr>
      <w:r>
        <w:rPr>
          <w:rFonts w:ascii="IRNazanin" w:hAnsi="IRNazanin" w:eastAsia="IRNazanin"/>
          <w:color w:val="111111"/>
          <w:sz w:val="28"/>
          <w:sz w:val="28"/>
          <w:szCs w:val="28"/>
          <w:rtl w:val="true"/>
          <w:lang w:bidi="fa-IR"/>
        </w:rPr>
        <w:t>یشترط فیه امور خمسة</w:t>
      </w:r>
      <w:r>
        <w:rPr>
          <w:rFonts w:eastAsia="IRNazanin" w:cs="IRNazanin"/>
          <w:color w:val="111111"/>
          <w:sz w:val="28"/>
          <w:szCs w:val="28"/>
          <w:rtl w:val="true"/>
          <w:lang w:bidi="fa-IR"/>
        </w:rPr>
        <w:t>:</w:t>
      </w:r>
    </w:p>
    <w:p>
      <w:pPr>
        <w:pStyle w:val="Heading4"/>
        <w:numPr>
          <w:ilvl w:val="3"/>
          <w:numId w:val="1"/>
        </w:numPr>
        <w:rPr/>
      </w:pPr>
      <w:bookmarkStart w:id="506" w:name="__RefHeading___Toc656993_2749589250"/>
      <w:bookmarkStart w:id="507" w:name="_Toc183"/>
      <w:bookmarkEnd w:id="506"/>
      <w:r>
        <w:rPr>
          <w:rtl w:val="true"/>
        </w:rPr>
        <w:t>البلوغ و العقل</w:t>
      </w:r>
      <w:bookmarkEnd w:id="507"/>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فی المقذوف البلوغ و العقل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قول المجنیّ علیه، و اختلف اصاحبه علی طریقین، مهم من قال المسئلتان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المسئلتین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قول القاذف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المجنیّ علیه وهو المقذوف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قول القاذف فی القذف، و القول قول المجنیّ علیه فی الجنایة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استدلّ بأنّ الأصل برائة الذّمة للقاذف، و لا تشغل و لا یوجب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الاّ بدلیل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المبسوط</w:t>
      </w:r>
      <w:r>
        <w:rPr>
          <w:rStyle w:val="FootnoteAnchor"/>
          <w:rtl w:val="true"/>
        </w:rPr>
        <w:footnoteReference w:id="1368"/>
      </w:r>
      <w:r>
        <w:rPr>
          <w:rFonts w:ascii="IRNazanin" w:hAnsi="IRNazanin" w:eastAsia="IRNazanin"/>
          <w:color w:val="111111"/>
          <w:sz w:val="28"/>
          <w:sz w:val="28"/>
          <w:szCs w:val="28"/>
          <w:rtl w:val="true"/>
          <w:lang w:bidi="fa-IR"/>
        </w:rPr>
        <w:t>بعد نقل القولین بتقدیم قول القاذف و الجانی من قوم، و تقدیم قول المقذوف و المجنّی علیه من آخرین و قوّاهما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للقول بالتّفصیل، بتقدیم قول القاذف فی القذف و قول المجنیّ علیه فی الجنایة، واورد استدلالهم، و لم یتعرّض له بقبول و لا 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فی شرایط المقذوف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یشترط فی المقذوف امور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و العقل، والحرّیّة، و الأسلام و الأحصان، و عبّر عنه بعضهم بالعفّة</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الأوّل و الثّانی؛ مضافاً الی الأجماع المدّعی فی الکشف و الجواهر علی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ابی مریم الأنصاریّ</w:t>
      </w:r>
      <w:r>
        <w:rPr>
          <w:rStyle w:val="FootnoteAnchor"/>
          <w:rtl w:val="true"/>
        </w:rPr>
        <w:footnoteReference w:id="1369"/>
      </w:r>
      <w:r>
        <w:rPr>
          <w:rFonts w:ascii="IRNazanin" w:hAnsi="IRNazanin" w:eastAsia="IRNazanin"/>
          <w:color w:val="111111"/>
          <w:sz w:val="28"/>
          <w:sz w:val="28"/>
          <w:szCs w:val="28"/>
          <w:rtl w:val="true"/>
          <w:lang w:bidi="fa-IR"/>
        </w:rPr>
        <w:t>، و فی ذیلها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لو انّ رجلاً قذف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و صحیحة فضیل بن یسار</w:t>
      </w:r>
      <w:r>
        <w:rPr>
          <w:rStyle w:val="FootnoteAnchor"/>
          <w:rtl w:val="true"/>
        </w:rPr>
        <w:footnoteReference w:id="1370"/>
      </w:r>
      <w:r>
        <w:rPr>
          <w:rFonts w:ascii="Amiri" w:hAnsi="Amiri" w:eastAsia="Amiri" w:cs="Amiri"/>
          <w:color w:val="111111"/>
          <w:sz w:val="28"/>
          <w:sz w:val="28"/>
          <w:szCs w:val="28"/>
          <w:rtl w:val="true"/>
          <w:lang w:bidi="ar-SA"/>
        </w:rPr>
        <w:t>و معتبرة اسحاق بن عمّار</w:t>
      </w:r>
      <w:r>
        <w:rPr>
          <w:rStyle w:val="FootnoteAnchor"/>
          <w:rtl w:val="true"/>
        </w:rPr>
        <w:footnoteReference w:id="1371"/>
      </w:r>
      <w:r>
        <w:rPr>
          <w:rFonts w:ascii="IRNazanin" w:hAnsi="IRNazanin" w:eastAsia="IRNazanin"/>
          <w:color w:val="111111"/>
          <w:sz w:val="28"/>
          <w:sz w:val="28"/>
          <w:szCs w:val="28"/>
          <w:rtl w:val="true"/>
          <w:lang w:bidi="fa-IR"/>
        </w:rPr>
        <w:t>المتقدّمات فی شرائط القاذف، کما یدلّ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صحیحتا ابی</w:t>
      </w:r>
      <w:r>
        <w:rPr>
          <w:rStyle w:val="FootnoteAnchor"/>
          <w:rtl w:val="true"/>
        </w:rPr>
        <w:footnoteReference w:id="1372"/>
      </w:r>
      <w:r>
        <w:rPr>
          <w:rStyle w:val="FootnoteAnchor"/>
          <w:rtl w:val="true"/>
        </w:rPr>
        <w:footnoteReference w:id="1373"/>
      </w:r>
      <w:r>
        <w:rPr>
          <w:rFonts w:ascii="IRNazanin" w:hAnsi="IRNazanin" w:eastAsia="IRNazanin"/>
          <w:color w:val="111111"/>
          <w:sz w:val="28"/>
          <w:sz w:val="28"/>
          <w:szCs w:val="28"/>
          <w:rtl w:val="true"/>
          <w:lang w:bidi="fa-IR"/>
        </w:rPr>
        <w:t>بصیر المرویّ احدیهما مرسلة ایضاً و بسند آخر فیه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الأولی</w:t>
      </w:r>
      <w:r>
        <w:rPr>
          <w:rStyle w:val="FootnoteAnchor"/>
          <w:rtl w:val="true"/>
        </w:rPr>
        <w:footnoteReference w:id="1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یقذف الجاریة الصّغیرة،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یجلد الاّ ان تکون ادرکت او قاربت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الثّانیة</w:t>
      </w:r>
      <w:r>
        <w:rPr>
          <w:rStyle w:val="FootnoteAnchor"/>
          <w:rtl w:val="true"/>
        </w:rPr>
        <w:footnoteReference w:id="1375"/>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یقذف الصّبیّة یجلد؟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تبلغ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ذیل روایة ابن یسار</w:t>
      </w:r>
      <w:r>
        <w:rPr>
          <w:rStyle w:val="FootnoteAnchor"/>
          <w:rtl w:val="true"/>
        </w:rPr>
        <w:footnoteReference w:id="1376"/>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قذف جاریة صغیرة لم یجلد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الأستدلال بالأولی مبنیّ علی ما استظهره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ارادة الأکمال تسع سنین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قاربت و أنّ الأدراک رؤیة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فلو ارید بقوله قاربت غیر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فمتروک بالنّسبة الی هذه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 مرسلة الدّعائم</w:t>
      </w:r>
      <w:r>
        <w:rPr>
          <w:rStyle w:val="FootnoteAnchor"/>
          <w:rtl w:val="true"/>
        </w:rPr>
        <w:footnoteReference w:id="1377"/>
      </w:r>
      <w:r>
        <w:rPr>
          <w:rFonts w:ascii="IRNazanin" w:hAnsi="IRNazanin" w:eastAsia="IRNazanin"/>
          <w:color w:val="111111"/>
          <w:sz w:val="28"/>
          <w:sz w:val="28"/>
          <w:szCs w:val="28"/>
          <w:rtl w:val="true"/>
          <w:lang w:bidi="fa-IR"/>
        </w:rPr>
        <w:t>المتقدّمة فی شرائط القاذف</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مرسلة یونس</w:t>
      </w:r>
      <w:r>
        <w:rPr>
          <w:rStyle w:val="FootnoteAnchor"/>
          <w:rtl w:val="true"/>
        </w:rPr>
        <w:footnoteReference w:id="1378"/>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بالغ من ذکر او أنثی افتری علی صغیر او کبیر او ذکر او أنثی او مسلم او کافر او حرّ او 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حدّ</w:t>
      </w:r>
      <w:bookmarkStart w:id="508" w:name="pg3023_22833"/>
    </w:p>
    <w:p>
      <w:pPr>
        <w:pStyle w:val="Heading4"/>
        <w:numPr>
          <w:ilvl w:val="3"/>
          <w:numId w:val="1"/>
        </w:numPr>
        <w:rPr/>
      </w:pPr>
      <w:bookmarkStart w:id="509" w:name="__RefHeading___Toc656995_2749589250"/>
      <w:bookmarkStart w:id="510" w:name="_Toc184"/>
      <w:bookmarkEnd w:id="508"/>
      <w:bookmarkEnd w:id="509"/>
      <w:r>
        <w:rPr>
          <w:rtl w:val="true"/>
        </w:rPr>
        <w:t>و الحرّیة</w:t>
      </w:r>
      <w:bookmarkEnd w:id="510"/>
    </w:p>
    <w:p>
      <w:pPr>
        <w:pStyle w:val="BookText"/>
        <w:rPr/>
      </w:pPr>
      <w:r>
        <w:rPr>
          <w:rFonts w:ascii="Amiri" w:hAnsi="Amiri" w:eastAsia="Amiri" w:cs="Amiri"/>
          <w:color w:val="111111"/>
          <w:sz w:val="28"/>
          <w:sz w:val="28"/>
          <w:szCs w:val="28"/>
          <w:rtl w:val="true"/>
          <w:lang w:bidi="ar-SA"/>
        </w:rPr>
        <w:t xml:space="preserve">و الحرّیة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القریة و علی غیر البالغ حدّ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عدم جمعه شرائط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حملها علی ما اذا قذف احد ابوی الصّغیر، او من بقذفه یجب الحدّ، کمن ینتسب الیه الکافر او المملوک، و لا مجال لما احتمله فی الجواهر من ارادة التّعزیر من الحدّ، او فی الکشف من امکان تعمیمه له، کلونه خلاف ظاهر المرسلة لو لم یکن صریحها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الثّالث مضافاً الی ما سبق من الأجماع المنقول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منصور بن حازم</w:t>
      </w:r>
      <w:r>
        <w:rPr>
          <w:rStyle w:val="FootnoteAnchor"/>
          <w:rtl w:val="true"/>
        </w:rPr>
        <w:footnoteReference w:id="1379"/>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الحرّ یفتری علی المملوک،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 فأن کانت امّة 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الحدّ، و نحوها ما فی 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138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فأذا قذف حرّ عبداً و کانت امّه مسلمة فی دار الهجرة و طالبت بحقّها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و ان لم تطالب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شیئ علیه، و صحیحة او معتبرة ابی بصیر</w:t>
      </w:r>
      <w:r>
        <w:rPr>
          <w:rStyle w:val="FootnoteAnchor"/>
          <w:rtl w:val="true"/>
        </w:rPr>
        <w:footnoteReference w:id="1381"/>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افتری علی 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 لحرمة الأسلام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مارواه حمزة بن حمران</w:t>
      </w:r>
      <w:r>
        <w:rPr>
          <w:rStyle w:val="FootnoteAnchor"/>
          <w:rtl w:val="true"/>
        </w:rPr>
        <w:footnoteReference w:id="1382"/>
      </w:r>
      <w:r>
        <w:rPr>
          <w:rFonts w:ascii="IRNazanin" w:hAnsi="IRNazanin" w:eastAsia="IRNazanin"/>
          <w:color w:val="111111"/>
          <w:sz w:val="28"/>
          <w:sz w:val="28"/>
          <w:szCs w:val="28"/>
          <w:rtl w:val="true"/>
          <w:lang w:bidi="fa-IR"/>
        </w:rPr>
        <w:t xml:space="preserve">فی معتربة علی الأصحّ عن احد 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اعتق نصف جاریته، ثمّ قذفها بالزّنا،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علیه خمسین جلدة، و یستغفرالله عزّوجلّ،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ارأیت إن جعلته فی حلّ و عفت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لاضرب علیه؛ اذا عفت عنه من قبل ان ترفعه، و مارواه عبید بن زرارة</w:t>
      </w:r>
      <w:r>
        <w:rPr>
          <w:rStyle w:val="FootnoteAnchor"/>
          <w:rtl w:val="true"/>
        </w:rPr>
        <w:footnoteReference w:id="138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أتیت برجل قذف عبداً مسلماً بالزّنا؛ لا نعلم منه الاّ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لضربته حدّ الحرّ الاّ سوطاً</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معتبرة غیاث بن ابراهیم</w:t>
      </w:r>
      <w:r>
        <w:rPr>
          <w:rStyle w:val="FootnoteAnchor"/>
          <w:rtl w:val="true"/>
        </w:rPr>
        <w:footnoteReference w:id="1384"/>
      </w:r>
      <w:r>
        <w:rPr>
          <w:rFonts w:ascii="IRNazanin" w:hAnsi="IRNazanin" w:eastAsia="IRNazanin"/>
          <w:color w:val="111111"/>
          <w:sz w:val="28"/>
          <w:sz w:val="28"/>
          <w:szCs w:val="28"/>
          <w:rtl w:val="true"/>
          <w:lang w:bidi="fa-IR"/>
        </w:rPr>
        <w:t>عن جعفر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جائت امرأة الی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لله انّی قلت لأمتی یازانیة،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رأیت علیها زناً؟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انّها ستقاد منک یوم القیامة، فرجعت الی امتها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فأعطتها سوطاً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اجلدینی، فأبت الأمة، فأعتقتها، ثمّ أتت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فأخبرته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 أن یکون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یجعل هذا الخبر دلیلاً علی اشتراط الأسلام، بناءً علی کون الأماء فی الأکثر من غیر المسلمین، ولکن ذیله، و طلب الجلد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ینافیه، مع انّ فی الأکثریّة و الأعتماد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 الحکم مرسلتا الدّعائم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ففی الأولی</w:t>
      </w:r>
      <w:r>
        <w:rPr>
          <w:rStyle w:val="FootnoteAnchor"/>
          <w:rtl w:val="true"/>
        </w:rPr>
        <w:footnoteReference w:id="1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قذف المملوک و قد جاء فیه تغلیظ و تشدید، سئل رجل من الأنصار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امرأة قذفت مملوکة لها،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فلتنصبنّ لها نفسها، و الاّ اقیدت منها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قریب منها صدر روایة ابن یسار</w:t>
      </w:r>
      <w:r>
        <w:rPr>
          <w:rStyle w:val="FootnoteAnchor"/>
          <w:rtl w:val="true"/>
        </w:rPr>
        <w:footnoteReference w:id="1386"/>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ذیلها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 الرّجل امرأته بقول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فأعطت خادمها السّوط و جلست لها، فعفت عنها الولیدة، فأعتقها، و أتی الرّجل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فخبّره،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یکفّر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اخری</w:t>
      </w:r>
      <w:r>
        <w:rPr>
          <w:rStyle w:val="FootnoteAnchor"/>
          <w:rtl w:val="true"/>
        </w:rPr>
        <w:footnoteReference w:id="1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ابی رجل قذف عبده او امته قید منه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 الحکم فی الأمة مسندة الجعفریّات</w:t>
      </w:r>
      <w:r>
        <w:rPr>
          <w:rStyle w:val="FootnoteAnchor"/>
          <w:rtl w:val="true"/>
        </w:rPr>
        <w:footnoteReference w:id="1388"/>
      </w:r>
      <w:r>
        <w:rPr>
          <w:rFonts w:ascii="IRNazanin" w:hAnsi="IRNazanin" w:eastAsia="IRNazanin"/>
          <w:color w:val="111111"/>
          <w:sz w:val="28"/>
          <w:sz w:val="28"/>
          <w:szCs w:val="28"/>
          <w:rtl w:val="true"/>
          <w:lang w:bidi="fa-IR"/>
        </w:rPr>
        <w:t xml:space="preserve">عن جعفر بن محمّد عن 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قال الرّجل لأمرأته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 تزنین و انت مشرکة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حدّ علیه، و اذا قال لأمّ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تزنین و انت امة فلا حدّ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الثّانیة</w:t>
      </w:r>
      <w:r>
        <w:rPr>
          <w:rStyle w:val="FootnoteAnchor"/>
          <w:rtl w:val="true"/>
        </w:rPr>
        <w:footnoteReference w:id="1389"/>
      </w:r>
      <w:r>
        <w:rPr>
          <w:rFonts w:ascii="IRNazanin" w:hAnsi="IRNazanin" w:eastAsia="IRNazanin"/>
          <w:color w:val="111111"/>
          <w:sz w:val="28"/>
          <w:sz w:val="28"/>
          <w:szCs w:val="28"/>
          <w:rtl w:val="true"/>
          <w:lang w:bidi="fa-IR"/>
        </w:rPr>
        <w:t xml:space="preserve">قال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قذف مملوکاً یعنی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نکل به فأن کانت امّ المملوک 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الحدّ، یعنی اذا قذفه بها، و من قذف عبده فقد أثم و ینبغی له أن یسئله بأن یحلّله و یعفو عنه</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ما فی ذیل صحیحة ابن قیس</w:t>
      </w:r>
      <w:r>
        <w:rPr>
          <w:rStyle w:val="FootnoteAnchor"/>
          <w:rtl w:val="true"/>
        </w:rPr>
        <w:footnoteReference w:id="1390"/>
      </w:r>
      <w:r>
        <w:rPr>
          <w:rFonts w:ascii="IRNazanin" w:hAnsi="IRNazanin" w:eastAsia="IRNazanin"/>
          <w:color w:val="111111"/>
          <w:sz w:val="28"/>
          <w:sz w:val="28"/>
          <w:szCs w:val="28"/>
          <w:rtl w:val="true"/>
          <w:lang w:bidi="fa-IR"/>
        </w:rPr>
        <w:t xml:space="preserve">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bookmarkStart w:id="511" w:name="pg3023_22838"/>
    </w:p>
    <w:p>
      <w:pPr>
        <w:pStyle w:val="Heading4"/>
        <w:numPr>
          <w:ilvl w:val="3"/>
          <w:numId w:val="1"/>
        </w:numPr>
        <w:rPr/>
      </w:pPr>
      <w:bookmarkStart w:id="512" w:name="__RefHeading___Toc656997_2749589250"/>
      <w:bookmarkStart w:id="513" w:name="_Toc185"/>
      <w:bookmarkEnd w:id="511"/>
      <w:bookmarkEnd w:id="512"/>
      <w:r>
        <w:rPr>
          <w:rtl w:val="true"/>
        </w:rPr>
        <w:t>و الاسلام</w:t>
      </w:r>
      <w:bookmarkEnd w:id="513"/>
    </w:p>
    <w:p>
      <w:pPr>
        <w:pStyle w:val="BookText"/>
        <w:rPr/>
      </w:pPr>
      <w:r>
        <w:rPr>
          <w:rFonts w:ascii="IRNazanin" w:hAnsi="IRNazanin" w:eastAsia="IRNazanin"/>
          <w:color w:val="111111"/>
          <w:sz w:val="28"/>
          <w:sz w:val="28"/>
          <w:szCs w:val="28"/>
          <w:rtl w:val="true"/>
          <w:lang w:bidi="fa-IR"/>
        </w:rPr>
        <w:t xml:space="preserve">و الإسلام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دعی لغیر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 بیّنتک امکنک منه، فلمّا أتی با لبیّنة، قال انّه امّه کانت 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علیک حدّ، سبّه کما سبّک او أعف عنه، فیمکن الأستدلال به لنفی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الذّلیل علی بیان ما قاله اوّلاً، ای انکر ما ادّعی علیه أنّه دعاه لغیر ابیه، و انّما شهدت البیّنة انّه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امّه کانت 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افاده فی 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کبعد حمله علی التّهدید و التّرغیب فی العفو علی ما فی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اشکال آخر، لا یمکن تسلیمه من تجویز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للسّبّ، کما انّ صدرها</w:t>
      </w:r>
      <w:r>
        <w:rPr>
          <w:rStyle w:val="FootnoteAnchor"/>
          <w:rtl w:val="true"/>
        </w:rPr>
        <w:footnoteReference w:id="1391"/>
      </w:r>
      <w:r>
        <w:rPr>
          <w:rFonts w:ascii="IRNazanin" w:hAnsi="IRNazanin" w:eastAsia="IRNazanin"/>
          <w:color w:val="111111"/>
          <w:sz w:val="28"/>
          <w:sz w:val="28"/>
          <w:szCs w:val="28"/>
          <w:rtl w:val="true"/>
          <w:lang w:bidi="fa-IR"/>
        </w:rPr>
        <w:t xml:space="preserve">الوارد فی صدور القذف من المملوک و قضائه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اری ان یفری جلده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من حمله علی خلاف ظاهره من الشّقّ لو قریء بالمعجمة، و أنّه اراد به شدّة الضّرب، او طرحه و تقدیم مادلّ علی عدم التّجرید فی حدّ القذف؛ لو قریء بالمهملة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یعری جلده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ففی ما سبق کفایة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اعتبار الأسلام، مضافاً الی عدم الخلاف، بل الأجماع المدّعی موثّقة اسماعیل بن الفضل</w:t>
      </w:r>
      <w:r>
        <w:rPr>
          <w:rStyle w:val="FootnoteAnchor"/>
          <w:rtl w:val="true"/>
        </w:rPr>
        <w:footnoteReference w:id="1392"/>
      </w:r>
      <w:r>
        <w:rPr>
          <w:rFonts w:ascii="IRNazanin" w:hAnsi="IRNazanin" w:eastAsia="IRNazanin"/>
          <w:color w:val="111111"/>
          <w:sz w:val="28"/>
          <w:sz w:val="28"/>
          <w:szCs w:val="28"/>
          <w:rtl w:val="true"/>
          <w:lang w:bidi="fa-IR"/>
        </w:rPr>
        <w:t xml:space="preserve">، قال سألت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الأفتراء علی اهل الذّمّة واهل الکتاب، هل یجلد المسلم الحدّ فی الأفتراء علیهم؟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یعزّر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صحیحة عبدالله بن سنان</w:t>
      </w:r>
      <w:r>
        <w:rPr>
          <w:rStyle w:val="FootnoteAnchor"/>
          <w:rtl w:val="true"/>
        </w:rPr>
        <w:footnoteReference w:id="1393"/>
      </w:r>
      <w:r>
        <w:rPr>
          <w:rFonts w:ascii="IRNazanin" w:hAnsi="IRNazanin" w:eastAsia="IRNazanin"/>
          <w:color w:val="111111"/>
          <w:sz w:val="28"/>
          <w:sz w:val="28"/>
          <w:szCs w:val="28"/>
          <w:rtl w:val="true"/>
          <w:lang w:bidi="fa-IR"/>
        </w:rPr>
        <w:t xml:space="preserve">،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 نهی عن قذف من لیس علی الأسلام؛ الاّ ان یطلّع علی ذلک منهم،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ایسر مایکون ان یکون قدکذب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صحیحة الحلبیّ</w:t>
      </w:r>
      <w:r>
        <w:rPr>
          <w:rStyle w:val="FootnoteAnchor"/>
          <w:rtl w:val="true"/>
        </w:rPr>
        <w:footnoteReference w:id="1394"/>
      </w:r>
      <w:r>
        <w:rPr>
          <w:rFonts w:ascii="IRNazanin" w:hAnsi="IRNazanin" w:eastAsia="IRNazanin"/>
          <w:color w:val="111111"/>
          <w:sz w:val="28"/>
          <w:sz w:val="28"/>
          <w:szCs w:val="28"/>
          <w:rtl w:val="true"/>
          <w:lang w:bidi="fa-IR"/>
        </w:rPr>
        <w:t xml:space="preserve">ایضاً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انّه نهی عن قذف من کان علی غیر الأسلام؛ الاّ ان یکون قد اطّلعت علی ذلک منه</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مارواه ابن ابی عمیر</w:t>
      </w:r>
      <w:r>
        <w:rPr>
          <w:rStyle w:val="FootnoteAnchor"/>
          <w:rtl w:val="true"/>
        </w:rPr>
        <w:footnoteReference w:id="1395"/>
      </w:r>
      <w:r>
        <w:rPr>
          <w:rFonts w:ascii="IRNazanin" w:hAnsi="IRNazanin" w:eastAsia="IRNazanin"/>
          <w:color w:val="111111"/>
          <w:sz w:val="28"/>
          <w:sz w:val="28"/>
          <w:szCs w:val="28"/>
          <w:rtl w:val="true"/>
          <w:lang w:bidi="fa-IR"/>
        </w:rPr>
        <w:t xml:space="preserve">فی الصّحیح عن ابی الحسن الحذّاء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یعرف اسمه و لم یرد </w:t>
      </w:r>
      <w:bookmarkStart w:id="514" w:name="pg3023_22840"/>
    </w:p>
    <w:p>
      <w:pPr>
        <w:pStyle w:val="Heading4"/>
        <w:numPr>
          <w:ilvl w:val="3"/>
          <w:numId w:val="1"/>
        </w:numPr>
        <w:rPr/>
      </w:pPr>
      <w:bookmarkStart w:id="515" w:name="__RefHeading___Toc656999_2749589250"/>
      <w:bookmarkStart w:id="516" w:name="_Toc186"/>
      <w:bookmarkEnd w:id="514"/>
      <w:bookmarkEnd w:id="515"/>
      <w:r>
        <w:rPr>
          <w:rtl w:val="true"/>
        </w:rPr>
        <w:t>و العفّة</w:t>
      </w:r>
      <w:bookmarkEnd w:id="516"/>
    </w:p>
    <w:p>
      <w:pPr>
        <w:pStyle w:val="BookText"/>
        <w:rPr/>
      </w:pPr>
      <w:r>
        <w:rPr>
          <w:rFonts w:ascii="Amiri" w:hAnsi="Amiri" w:eastAsia="Amiri" w:cs="Amiri"/>
          <w:color w:val="111111"/>
          <w:sz w:val="28"/>
          <w:sz w:val="28"/>
          <w:szCs w:val="28"/>
          <w:rtl w:val="true"/>
          <w:lang w:bidi="ar-SA"/>
        </w:rPr>
        <w:t xml:space="preserve">والعفّة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فیه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فسألنی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غریمک؟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ابن الفاعلة؟ فنظر الیّ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شدیداً،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انّه مجوسیّ، امّه اخته،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لیس ذلک فی دینهم نکاحاً؟</w:t>
      </w:r>
    </w:p>
    <w:p>
      <w:pPr>
        <w:pStyle w:val="BookText"/>
        <w:rPr/>
      </w:pPr>
      <w:r>
        <w:rPr>
          <w:rFonts w:ascii="IRNazanin" w:hAnsi="IRNazanin" w:eastAsia="IRNazanin"/>
          <w:color w:val="111111"/>
          <w:sz w:val="28"/>
          <w:sz w:val="28"/>
          <w:szCs w:val="28"/>
          <w:rtl w:val="true"/>
          <w:lang w:bidi="fa-IR"/>
        </w:rPr>
        <w:t xml:space="preserve">و یؤیّد ذلک ما فی 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1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قذف الرّجل المسلم الذّمّیّ لم یحدّ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نقل آخر</w:t>
      </w:r>
      <w:r>
        <w:rPr>
          <w:rStyle w:val="FootnoteAnchor"/>
          <w:rtl w:val="true"/>
        </w:rPr>
        <w:footnoteReference w:id="13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موضع آخر</w:t>
      </w:r>
      <w:r>
        <w:rPr>
          <w:rStyle w:val="FootnoteAnchor"/>
          <w:rtl w:val="true"/>
        </w:rPr>
        <w:footnoteReference w:id="13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انّه اذا قذف رجل رجلاً فی دار الکفر و هو لا یعرفه فلا شیء علیه، لأنّه لا یحلّ ان یحسن الظّن فیها بأحد الاّ من عرفت ایمانه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یشهد لذلک مسندة الجعفریّات</w:t>
      </w:r>
      <w:r>
        <w:rPr>
          <w:rStyle w:val="FootnoteAnchor"/>
          <w:rtl w:val="true"/>
        </w:rPr>
        <w:footnoteReference w:id="1399"/>
      </w:r>
      <w:r>
        <w:rPr>
          <w:rFonts w:ascii="IRNazanin" w:hAnsi="IRNazanin" w:eastAsia="IRNazanin"/>
          <w:color w:val="111111"/>
          <w:sz w:val="28"/>
          <w:sz w:val="28"/>
          <w:szCs w:val="28"/>
          <w:rtl w:val="true"/>
          <w:lang w:bidi="fa-IR"/>
        </w:rPr>
        <w:t>المتقدّمة فی اشتراط الحرّیة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الخامس، ای اشتراط العفّة مضافاً الی انّه مع الأقرار او الثّبوت بالبیّنة لا یتحقّق القذف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الرّوایات، ففی موثّقة سماعة</w:t>
      </w:r>
      <w:r>
        <w:rPr>
          <w:rStyle w:val="FootnoteAnchor"/>
          <w:rtl w:val="true"/>
        </w:rPr>
        <w:footnoteReference w:id="140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قذف المحصنة فعلیه ان یجلد ثمانین، حرّاً کان او مملوکاً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صحیحة زرارة</w:t>
      </w:r>
      <w:r>
        <w:rPr>
          <w:rStyle w:val="FootnoteAnchor"/>
          <w:rtl w:val="true"/>
        </w:rPr>
        <w:footnoteReference w:id="1401"/>
      </w:r>
      <w:r>
        <w:rPr>
          <w:rFonts w:ascii="IRNazanin" w:hAnsi="IRNazanin" w:eastAsia="IRNazanin"/>
          <w:color w:val="111111"/>
          <w:sz w:val="28"/>
          <w:sz w:val="28"/>
          <w:szCs w:val="28"/>
          <w:rtl w:val="true"/>
          <w:lang w:bidi="fa-IR"/>
        </w:rPr>
        <w:t xml:space="preserve">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مملوک قذف حرّة محصنة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یجلد ثمانین، لأنّه انّما یجلد بحقّها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العلل</w:t>
      </w:r>
      <w:r>
        <w:rPr>
          <w:rStyle w:val="FootnoteAnchor"/>
          <w:rtl w:val="true"/>
        </w:rPr>
        <w:footnoteReference w:id="14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قذف محصنة حرّة،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یجلد ثمانین، لأنّه انّما یجلد بحقّها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معتبرة سماعة</w:t>
      </w:r>
      <w:r>
        <w:rPr>
          <w:rStyle w:val="FootnoteAnchor"/>
          <w:rtl w:val="true"/>
        </w:rPr>
        <w:footnoteReference w:id="1403"/>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فی الرّجل اذا قذف المحصنة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یجلد ثمانین، حرّاً کان او مملوکاً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روایة عبید بن زرارة</w:t>
      </w:r>
      <w:r>
        <w:rPr>
          <w:rStyle w:val="FootnoteAnchor"/>
          <w:rtl w:val="true"/>
        </w:rPr>
        <w:footnoteReference w:id="1404"/>
      </w:r>
      <w:r>
        <w:rPr>
          <w:rFonts w:ascii="Amiri" w:hAnsi="Amiri" w:eastAsia="Amiri" w:cs="Amiri"/>
          <w:color w:val="111111"/>
          <w:sz w:val="28"/>
          <w:sz w:val="28"/>
          <w:szCs w:val="28"/>
          <w:rtl w:val="true"/>
          <w:lang w:bidi="ar-SA"/>
        </w:rPr>
        <w:t xml:space="preserve">فی قذف العبد المسلم و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أتیت برجل قذف عبداً مسلماً بلا زّنا لا نعلم منه الاّ 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لضربته الحدّ، حدّ الحرّ الاّ سوطاً</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لرّوایات الواردة فی قذف المحصنة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موافقة للآیة الشّریفة الدّالّة علی</w:t>
      </w:r>
      <w:bookmarkStart w:id="517" w:name="pg3023_22842"/>
    </w:p>
    <w:p>
      <w:pPr>
        <w:pStyle w:val="Heading3"/>
        <w:numPr>
          <w:ilvl w:val="2"/>
          <w:numId w:val="1"/>
        </w:numPr>
        <w:rPr/>
      </w:pPr>
      <w:bookmarkStart w:id="518" w:name="__RefHeading___Toc657001_2749589250"/>
      <w:bookmarkStart w:id="519" w:name="_Toc187"/>
      <w:bookmarkEnd w:id="517"/>
      <w:bookmarkEnd w:id="518"/>
      <w:r>
        <w:rPr>
          <w:rtl w:val="true"/>
        </w:rPr>
        <w:t>(</w:t>
      </w:r>
      <w:r>
        <w:rPr>
          <w:rtl w:val="true"/>
        </w:rPr>
        <w:t>مسائل</w:t>
      </w:r>
      <w:r>
        <w:rPr>
          <w:rtl w:val="true"/>
        </w:rPr>
        <w:t>)</w:t>
      </w:r>
      <w:bookmarkEnd w:id="519"/>
    </w:p>
    <w:p>
      <w:pPr>
        <w:pStyle w:val="Heading4"/>
        <w:numPr>
          <w:ilvl w:val="3"/>
          <w:numId w:val="1"/>
        </w:numPr>
        <w:rPr/>
      </w:pPr>
      <w:bookmarkStart w:id="520" w:name="__RefHeading___Toc657003_2749589250"/>
      <w:bookmarkStart w:id="521" w:name="_Toc188"/>
      <w:bookmarkEnd w:id="520"/>
      <w:r>
        <w:rPr>
          <w:rtl w:val="true"/>
        </w:rPr>
        <w:t>الاولی</w:t>
      </w:r>
      <w:r>
        <w:rPr>
          <w:rtl w:val="true"/>
        </w:rPr>
        <w:t xml:space="preserve">: </w:t>
      </w:r>
      <w:r>
        <w:rPr>
          <w:rtl w:val="true"/>
        </w:rPr>
        <w:t>اذا فقد المقذوف غیر الاحصان فعلی القاذف التّعریز</w:t>
      </w:r>
      <w:bookmarkEnd w:id="521"/>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فقد المقذوف احد هذه الشّروط سوی الأحصان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القاذف التّعیر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اعتبار الأحصان</w:t>
      </w:r>
      <w:r>
        <w:rPr>
          <w:rStyle w:val="FootnoteAnchor"/>
          <w:rtl w:val="true"/>
        </w:rPr>
        <w:footnoteReference w:id="14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یرمون المحصنات ثمّ لم یأتوا بأربعة شهداء فاجلدوهم ثمانین جلدة، الأیة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تعالی</w:t>
      </w:r>
      <w:r>
        <w:rPr>
          <w:rStyle w:val="FootnoteAnchor"/>
          <w:rtl w:val="true"/>
        </w:rPr>
        <w:footnoteReference w:id="14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یرمون المحصنات الغافلات المؤمنات لعنوا فی الدّنیا و الأخرة و لهم عذاب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لیعلم انّ هذه الرّوایات کلّها واردة فی المرأة، و کذلک الآیتان المبارکتان، ولکن لا اشکال فی عدم الفرق فی القذف بالزّنا بین الرّجل و المرأة، و قذف الرّجل باللّواط، إمّا لأنفهام ذلک من الأیة، او لعدم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لو ارید بالأحصان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العفّة فی قبال من هو زان؛ بالبیّنة او الأقرار او التّظاهر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اذا أرید به ما یقابل الفسق بغیر الزّنا و اللّواط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دلیل علیه، بل الأطلاقات تدفعه، و مجرد جواز سبّه و استخفافه؛ لو قلنا به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نسبته الی احدهما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فقد احد هذه الشّروط فی المقذوف، سوی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القاذف التّعزیر، علی ما سیجیء ان شاء الله فی التّعزیرات، من وجوبه علی کلّ مرتکب لجنایة لم یرد فیها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مادلّ علیه فی قذف اهل الکتاب، من موثّقة اسماعیل بن الفضل</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اختلفا فی بلوغ المقذوف و عدمه؛ حال القذف؛ و لا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فالقول قول منکره، بلا فرق بین العلم بتاریخ القذف و جهل تاریخ البلوغ، او العکس، او جهل کلیهما</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للمقذوف أو المقذوفة حال إفاقة و حال جنون، فادّعی قذفه</w:t>
      </w:r>
      <w:bookmarkStart w:id="522" w:name="pg3023_22844"/>
    </w:p>
    <w:p>
      <w:pPr>
        <w:pStyle w:val="Heading4"/>
        <w:numPr>
          <w:ilvl w:val="3"/>
          <w:numId w:val="1"/>
        </w:numPr>
        <w:rPr/>
      </w:pPr>
      <w:bookmarkStart w:id="523" w:name="__RefHeading___Toc657005_2749589250"/>
      <w:bookmarkStart w:id="524" w:name="_Toc189"/>
      <w:bookmarkEnd w:id="522"/>
      <w:bookmarkEnd w:id="523"/>
      <w:r>
        <w:rPr>
          <w:rtl w:val="true"/>
        </w:rPr>
        <w:t>الخامسة</w:t>
      </w:r>
      <w:r>
        <w:rPr>
          <w:rtl w:val="true"/>
        </w:rPr>
        <w:t xml:space="preserve">: </w:t>
      </w:r>
      <w:r>
        <w:rPr>
          <w:rtl w:val="true"/>
        </w:rPr>
        <w:t>لو قال لمسلم او مسلمة امّک زانیة و کانت کافرة او امه</w:t>
      </w:r>
      <w:bookmarkEnd w:id="524"/>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 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أمّک زانیة؛ و کانت الأمّ کافرة او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الحدّ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الأقرب الحدّ فی الکافرة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فی الحالة الأولی و ذنکر القاذف بل ادّعی حال الجنون؛ و لا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یحدّ الا اذا کانت الحالة الأولی مستصحبة، فیمکن ثبوت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لو نسب الزّنا الیه حال جنونه، او صغره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حدّ، و سیجیء البحث فی التّعزیر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اختلفا فی قذفه حال الأسلام او الکفر، او حال فسقه و تظاهره بالزّنا، او بعد توبته؛ و لا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یحدّ لعدم ثبوت موضوعه، و لا اصل یحرزه، و لو بضمّه الی الوجدان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 لمسلم او 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أمّک زانیة؛ و کانت الأمّ کافرة او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الشّیخ فی النبهایة و ابنی البرّاج و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کاملاً، و قوّاه المجلسیّ فی المرآة</w:t>
      </w:r>
      <w:r>
        <w:rPr>
          <w:rStyle w:val="FootnoteAnchor"/>
          <w:rtl w:val="true"/>
        </w:rPr>
        <w:footnoteReference w:id="1408"/>
      </w:r>
      <w:r>
        <w:rPr>
          <w:rFonts w:ascii="IRNazanin" w:hAnsi="IRNazanin" w:eastAsia="IRNazanin"/>
          <w:color w:val="111111"/>
          <w:sz w:val="28"/>
          <w:sz w:val="28"/>
          <w:szCs w:val="28"/>
          <w:rtl w:val="true"/>
          <w:lang w:bidi="fa-IR"/>
        </w:rPr>
        <w:t>و افتی به الأوّل فی الرّوضة</w:t>
      </w:r>
      <w:r>
        <w:rPr>
          <w:rStyle w:val="FootnoteAnchor"/>
          <w:rtl w:val="true"/>
        </w:rPr>
        <w:footnoteReference w:id="1409"/>
      </w:r>
      <w:r>
        <w:rPr>
          <w:rFonts w:ascii="IRNazanin" w:hAnsi="IRNazanin" w:eastAsia="IRNazanin"/>
          <w:color w:val="111111"/>
          <w:sz w:val="28"/>
          <w:sz w:val="28"/>
          <w:szCs w:val="28"/>
          <w:rtl w:val="true"/>
          <w:lang w:bidi="fa-IR"/>
        </w:rPr>
        <w:t>و استحسنه العلاّمة فی المختلف، و وافق الأخرین فی القواعد، فاستقرب التّعزیر، و کذلک الفخر، و استند الشّیخ بعد حرمة 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معتبرة عبدالرّحمن</w:t>
      </w:r>
      <w:r>
        <w:rPr>
          <w:rStyle w:val="FootnoteAnchor"/>
          <w:rtl w:val="true"/>
        </w:rPr>
        <w:footnoteReference w:id="1410"/>
      </w:r>
      <w:r>
        <w:rPr>
          <w:rFonts w:ascii="IRNazanin" w:hAnsi="IRNazanin" w:eastAsia="IRNazanin"/>
          <w:color w:val="111111"/>
          <w:sz w:val="28"/>
          <w:sz w:val="28"/>
          <w:szCs w:val="28"/>
          <w:rtl w:val="true"/>
          <w:lang w:bidi="fa-IR"/>
        </w:rPr>
        <w:t xml:space="preserve">بن ابی عبدالله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النّصرانیّة و الیهودیّة تکون تحت المسلم فیقذف ابنها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یضرب القاذف، لأنّ المسلم قد حصّنها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القاذف 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نحوها ذیل مارواه احمد بن محمّد بن عیسی</w:t>
      </w:r>
      <w:r>
        <w:rPr>
          <w:rStyle w:val="FootnoteAnchor"/>
          <w:rtl w:val="true"/>
        </w:rPr>
        <w:footnoteReference w:id="1411"/>
      </w:r>
      <w:r>
        <w:rPr>
          <w:rFonts w:ascii="IRNazanin" w:hAnsi="IRNazanin" w:eastAsia="IRNazanin"/>
          <w:color w:val="111111"/>
          <w:sz w:val="28"/>
          <w:sz w:val="28"/>
          <w:szCs w:val="28"/>
          <w:rtl w:val="true"/>
          <w:lang w:bidi="fa-IR"/>
        </w:rPr>
        <w:t xml:space="preserve">فی نوادره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یحدّ القذف الخ</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مرسلة الدّعائم</w:t>
      </w:r>
      <w:r>
        <w:rPr>
          <w:rStyle w:val="FootnoteAnchor"/>
          <w:rtl w:val="true"/>
        </w:rPr>
        <w:footnoteReference w:id="1412"/>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قذف المسلم مشرکة؛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و زوجها مسلم او ابنها، او قذف مشرکاً و له ولد مسلم؛ فقال المسلم یطلب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القاذف حدّ القذف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مرویّ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انّ الطّبریّ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لم یزل علی ذلک الی أن اشار عبدالله بنی عمر علی عمر بن عبد العزیر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لا یحدّ مسلم فی کافر فترک ذلک</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کما عن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البأس عن العمل بالمعتبرة، لوضوح طریقها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وجه لرمی السّند بالضّعف، او الدّلالة، او المعارضة بما دلّ علی التّعزیز فی قذف الکافر، فأنه لا مانع من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وردت الرّوایة</w:t>
      </w:r>
      <w:r>
        <w:rPr>
          <w:rStyle w:val="FootnoteAnchor"/>
          <w:rtl w:val="true"/>
        </w:rPr>
        <w:footnoteReference w:id="1414"/>
      </w:r>
      <w:r>
        <w:rPr>
          <w:rFonts w:ascii="IRNazanin" w:hAnsi="IRNazanin" w:eastAsia="IRNazanin"/>
          <w:color w:val="111111"/>
          <w:sz w:val="28"/>
          <w:sz w:val="28"/>
          <w:szCs w:val="28"/>
          <w:rtl w:val="true"/>
          <w:lang w:bidi="fa-IR"/>
        </w:rPr>
        <w:t>بطریق آخر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النٌصرانیّة، و الیهودیّة تکون تحت المسلم فتجلد فیقذف ابنها،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القاذف او یضرب حدّاً، لأنّ المسلم حصّنها</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الرّوایة واردهة فی الکافرة، و لا تشمل الأمة، فلو عمل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الأقتصار علیها، دون الأمة، کما انّه اذا کانت المرأة میّتة و لا وارث مسلم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یحدّ القاذف</w:t>
      </w:r>
      <w:r>
        <w:rPr>
          <w:rFonts w:eastAsia="IRNazanin" w:cs="IRNazanin"/>
          <w:color w:val="111111"/>
          <w:sz w:val="28"/>
          <w:szCs w:val="28"/>
          <w:rtl w:val="true"/>
          <w:lang w:bidi="fa-IR"/>
        </w:rPr>
        <w:t>.</w:t>
      </w:r>
      <w:bookmarkStart w:id="525" w:name="pg3023_22848"/>
    </w:p>
    <w:p>
      <w:pPr>
        <w:pStyle w:val="Heading4"/>
        <w:numPr>
          <w:ilvl w:val="3"/>
          <w:numId w:val="1"/>
        </w:numPr>
        <w:rPr/>
      </w:pPr>
      <w:bookmarkStart w:id="526" w:name="__RefHeading___Toc657007_2749589250"/>
      <w:bookmarkStart w:id="527" w:name="_Toc190"/>
      <w:bookmarkEnd w:id="525"/>
      <w:bookmarkEnd w:id="526"/>
      <w:r>
        <w:rPr>
          <w:rtl w:val="true"/>
        </w:rPr>
        <w:t>السّادسه</w:t>
      </w:r>
      <w:r>
        <w:rPr>
          <w:rtl w:val="true"/>
        </w:rPr>
        <w:t xml:space="preserve">: </w:t>
      </w:r>
      <w:r>
        <w:rPr>
          <w:rtl w:val="true"/>
        </w:rPr>
        <w:t>لو قذف المستکرهة فیعزّر و لو لم یبیّن المراد فیحدّ</w:t>
      </w:r>
      <w:bookmarkEnd w:id="527"/>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نسب المسترکهة الی الوطی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یحدّ بل یعزّر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لو قذف و لم یبیّن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یحدّ، و بذلک روایة صحیحة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قذف المستکرهة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یحدّ بل یعزّر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نسبها الی وطیها مستکرهة، بأن بیّن مراده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یحدّ قطعاً، و احتمال کون ذلک قذفاً لما فیه من العار و هتک الأستار کما فی الأیضاح</w:t>
      </w:r>
      <w:r>
        <w:rPr>
          <w:rStyle w:val="FootnoteAnchor"/>
          <w:rtl w:val="true"/>
        </w:rPr>
        <w:footnoteReference w:id="1415"/>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لذلک استشکل ذلک فی لعان القواعد، و جعل علیه التّعزیر بلا توقّف فی باب القذف و فی کشف اللّثام وفاقاً للشیّخ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اطلق عنوان الزّانیة، او نسبها الیه، کأن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زنت او زنیت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انّه لا تأمّل فی الحدّ؛ لو قلنا بأنّ الزّنا لا یصدق اذا کان لوطی اکراهاً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لو عمّمناه لما اذا کان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اشکال، لأنّ فی سایر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یوجب الحدّ انصراف الزّنا الی ما کان بالأختیار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فی صحیحة حریز</w:t>
      </w:r>
      <w:r>
        <w:rPr>
          <w:rStyle w:val="FootnoteAnchor"/>
          <w:rtl w:val="true"/>
        </w:rPr>
        <w:footnoteReference w:id="1416"/>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بن المغصوبة، یفتری علیه الرّجل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القاعلة؟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أنّ علیه الحدّ ثمانین جلدة، و یتوب الی الله ممّا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قریب منها مرسلة ابن المحبوب</w:t>
      </w:r>
      <w:r>
        <w:rPr>
          <w:rStyle w:val="FootnoteAnchor"/>
          <w:rtl w:val="true"/>
        </w:rPr>
        <w:footnoteReference w:id="1417"/>
      </w:r>
      <w:r>
        <w:rPr>
          <w:rFonts w:ascii="IRNazanin" w:hAnsi="IRNazanin" w:eastAsia="IRNazanin"/>
          <w:color w:val="111111"/>
          <w:sz w:val="28"/>
          <w:sz w:val="28"/>
          <w:szCs w:val="28"/>
          <w:rtl w:val="true"/>
          <w:lang w:bidi="fa-IR"/>
        </w:rPr>
        <w:t xml:space="preserve">عن بعض اصحابه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وقع علی جاریة لأمّة فأولدها، فقذف رجل ابنها؟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القاذف الحدّ، لأنّها مستکرهة</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انّ العمل بالصّحیحة لامانع منه</w:t>
      </w:r>
      <w:r>
        <w:rPr>
          <w:rFonts w:eastAsia="IRNazanin" w:cs="IRNazanin"/>
          <w:color w:val="111111"/>
          <w:sz w:val="28"/>
          <w:szCs w:val="28"/>
          <w:rtl w:val="true"/>
          <w:lang w:bidi="fa-IR"/>
        </w:rPr>
        <w:t>.</w:t>
      </w:r>
      <w:bookmarkStart w:id="528" w:name="pg3023_22850"/>
    </w:p>
    <w:p>
      <w:pPr>
        <w:pStyle w:val="Heading4"/>
        <w:numPr>
          <w:ilvl w:val="3"/>
          <w:numId w:val="1"/>
        </w:numPr>
        <w:rPr/>
      </w:pPr>
      <w:bookmarkStart w:id="529" w:name="__RefHeading___Toc657009_2749589250"/>
      <w:bookmarkStart w:id="530" w:name="_Toc191"/>
      <w:bookmarkEnd w:id="528"/>
      <w:bookmarkEnd w:id="529"/>
      <w:r>
        <w:rPr>
          <w:rtl w:val="true"/>
        </w:rPr>
        <w:t>السّابعة</w:t>
      </w:r>
      <w:r>
        <w:rPr>
          <w:rtl w:val="true"/>
        </w:rPr>
        <w:t xml:space="preserve">: </w:t>
      </w:r>
      <w:r>
        <w:rPr>
          <w:rtl w:val="true"/>
        </w:rPr>
        <w:t>لو قذف یهودیّ او نصرانیّ مثله فیجلد الحدّ ولو قذف مسلماً</w:t>
      </w:r>
      <w:bookmarkEnd w:id="530"/>
    </w:p>
    <w:p>
      <w:pPr>
        <w:pStyle w:val="BookText"/>
        <w:rPr/>
      </w:pPr>
      <w:r>
        <w:rPr>
          <w:rFonts w:ascii="IRNazanin" w:hAnsi="IRNazanin" w:eastAsia="IRNazanin"/>
          <w:color w:val="111111"/>
          <w:sz w:val="28"/>
          <w:sz w:val="28"/>
          <w:szCs w:val="28"/>
          <w:rtl w:val="true"/>
          <w:lang w:bidi="fa-IR"/>
        </w:rPr>
        <w:t>یزاد ثمانین الاّ سوطاً و یحلق رأسه و یطاف به فی اهل دینه</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قذف یهودیّ مثله او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فیجلد الحدّ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یزاد ثمانین سوطاً الاّ سوطاً لو قذف مسلماً، و یحلق رأسه و یطاف به فی اهل دینه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انّ قذف غیر المسلم لا حدّ فیه، کما علم ان لو قذف غیر مسلم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فیحدّ، ذمّیّاً کان او حربیّاً او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اذا اقذف غیر المسلم مثله، کما اذا قذف نصرانیّ او نصرانیّة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نصرانیّاً او نصرانیّة، او یهودیّ او یهودیّة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 او یهودیّة او نصرانیّة او نصرانیّاً، فهل هو کذلک؟ فیه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فمقتضی الأطلاق فی شرایط المقذوف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 فرق فیها بین کون القاذف مله فی کونه کافراً، ام مسلماً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فی معتبرة سماعة</w:t>
      </w:r>
      <w:r>
        <w:rPr>
          <w:rStyle w:val="FootnoteAnchor"/>
          <w:rtl w:val="true"/>
        </w:rPr>
        <w:footnoteReference w:id="141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الیهودیّ و النّصرانیّ؛ یقذف صاحبه ملّة علی ملّته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ملّته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المجوسیّ یقذف المسلم؟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یجلد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بأس بحمله علی نوع من التّعزیر؛ بالنّسبتة للقذف بینه، لما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کون هذا الخبر مخصصّاً، و یؤخذ به فی مورده، و یحدّ القاذف، کما انّ ما فی ذیل المعتبرة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لسایر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 مرسلة الدّعائم</w:t>
      </w:r>
      <w:r>
        <w:rPr>
          <w:rStyle w:val="FootnoteAnchor"/>
          <w:rtl w:val="true"/>
        </w:rPr>
        <w:footnoteReference w:id="1419"/>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قذف اهل الکتاب بعضهم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القاذف للمقذوف،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یقام الحدود علی اهل کلّ دین بما استحلّوا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موثّقة عباد بن صهیب</w:t>
      </w:r>
      <w:r>
        <w:rPr>
          <w:rStyle w:val="FootnoteAnchor"/>
          <w:rtl w:val="true"/>
        </w:rPr>
        <w:footnoteReference w:id="142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نصرانیّ قذف مسلماً فقال له یا زان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یجلد ثمانی جلدة لحّق المسلم و ثمانین سوطاً الاّ سوطاً لحرمة الأسلام، و یحلق رأسه و یظاف به فی اهل دینه لکی ینکل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مرسلة الدّعائم</w:t>
      </w:r>
      <w:r>
        <w:rPr>
          <w:rStyle w:val="FootnoteAnchor"/>
          <w:rtl w:val="true"/>
        </w:rPr>
        <w:footnoteReference w:id="1421"/>
      </w:r>
      <w:r>
        <w:rPr>
          <w:rFonts w:ascii="Amiri" w:hAnsi="Amiri" w:eastAsia="Amiri" w:cs="Amiri"/>
          <w:color w:val="111111"/>
          <w:sz w:val="28"/>
          <w:sz w:val="28"/>
          <w:szCs w:val="28"/>
          <w:rtl w:val="true"/>
          <w:lang w:bidi="ar-SA"/>
        </w:rPr>
        <w:t xml:space="preserve">المتقدّمة بتقاوت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مانع من العمل بها، لعدم المعارض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الیه فی الرّوضة</w:t>
      </w:r>
      <w:r>
        <w:rPr>
          <w:rStyle w:val="FootnoteAnchor"/>
          <w:rtl w:val="true"/>
        </w:rPr>
        <w:footnoteReference w:id="1422"/>
      </w:r>
      <w:bookmarkStart w:id="531" w:name="pg3023_22852"/>
    </w:p>
    <w:p>
      <w:pPr>
        <w:pStyle w:val="Heading4"/>
        <w:numPr>
          <w:ilvl w:val="3"/>
          <w:numId w:val="1"/>
        </w:numPr>
        <w:rPr/>
      </w:pPr>
      <w:bookmarkStart w:id="532" w:name="__RefHeading___Toc657011_2749589250"/>
      <w:bookmarkStart w:id="533" w:name="_Toc192"/>
      <w:bookmarkEnd w:id="531"/>
      <w:bookmarkEnd w:id="532"/>
      <w:r>
        <w:rPr>
          <w:rtl w:val="true"/>
        </w:rPr>
        <w:t>الثّامنة</w:t>
      </w:r>
      <w:r>
        <w:rPr>
          <w:rtl w:val="true"/>
        </w:rPr>
        <w:t xml:space="preserve">: </w:t>
      </w:r>
      <w:r>
        <w:rPr>
          <w:rtl w:val="true"/>
        </w:rPr>
        <w:t>قذف المخالف فیه الحدّ</w:t>
      </w:r>
      <w:bookmarkEnd w:id="533"/>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قذف غیر الأثنی عشریّ من طوائف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الحدّ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و ما فی 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14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فأذا قذف ذمّیّ مسلماً، جلد حدّین، حدّاً للقذف و الآخر بحرمة الأسلام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موجب للعمل به لضعف السّند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اطلاق شرایط المقذوف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المؤمن؛ لو قذف اهل الخلاف من العامّة، و او غیر الأثنی عشریّ من طوائف الشّیعة، کما هو المعرف بیننا، من کونهم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یتأمّل فی ذلک، لما ورد فی اهل الخلاف، من کونهم اولاد الزّنا، مثل مارواه ابو حمزة</w:t>
      </w:r>
      <w:r>
        <w:rPr>
          <w:rStyle w:val="FootnoteAnchor"/>
          <w:rtl w:val="true"/>
        </w:rPr>
        <w:footnoteReference w:id="1424"/>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بعض اصحابنا یفترون و یقذون من خالفهم،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 عنهم اجمل،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 النّاس کلّهم اولاد بغایا، ما خلا شیعتنا،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اصحاب الخمس، و قد حرّمناه علی جمیع النّاس؛ ما خلا 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مارواه ضریس الکناسیّ</w:t>
      </w:r>
      <w:r>
        <w:rPr>
          <w:rStyle w:val="FootnoteAnchor"/>
          <w:rtl w:val="true"/>
        </w:rPr>
        <w:footnoteReference w:id="1425"/>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من این دخل علی الناس الزّنا؟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لادری، فقال من قبل خمسنا اهل البیت؛ الاّ لشیعتنا الأطیبین، فأنّه محلّل لهم و لمیلادهم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الأجمل ما فی الرّوایة الأولی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الکفّ عنهم اجمل، اذ امثال هذه الأخبار؛ علی فرض سلامة اسنادها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مستوی اعلی معنویّ، لا اصطکاک لها بما هو مقتضی الأطلاقات، مضافاً الی ضعف سند الأولی بعلیّ بن العبّاس و احسن بن عبد الرّحمن</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صارت هذه المسئلة و نظائرها فی امثال زماننا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لأثارة الفتنة، و سفک الدّماء بین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 حسن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 عن ذلک، و الأشتغال لما هو اولی و اهمّ 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استفاض نقله، بل صار من المسلّمات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القدح فی نسب غیر واحد من رجال القریش و غیرهم کعمرو بن العاص، و معاویة بن ابی</w:t>
      </w:r>
      <w:bookmarkStart w:id="534" w:name="pg3023_22855"/>
    </w:p>
    <w:p>
      <w:pPr>
        <w:pStyle w:val="Heading4"/>
        <w:numPr>
          <w:ilvl w:val="3"/>
          <w:numId w:val="1"/>
        </w:numPr>
        <w:rPr/>
      </w:pPr>
      <w:bookmarkStart w:id="535" w:name="__RefHeading___Toc657013_2749589250"/>
      <w:bookmarkStart w:id="536" w:name="_Toc193"/>
      <w:bookmarkEnd w:id="534"/>
      <w:bookmarkEnd w:id="535"/>
      <w:r>
        <w:rPr>
          <w:rtl w:val="true"/>
        </w:rPr>
        <w:t>التّاسعة</w:t>
      </w:r>
      <w:r>
        <w:rPr>
          <w:rtl w:val="true"/>
        </w:rPr>
        <w:t xml:space="preserve">: </w:t>
      </w:r>
      <w:r>
        <w:rPr>
          <w:rtl w:val="true"/>
        </w:rPr>
        <w:t>لا یحدّ الوالد لو قذف ولده او امّه و ورث الحدّ الولد</w:t>
      </w:r>
      <w:bookmarkEnd w:id="536"/>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قذف الوالد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یحدّ، ذکراً کان او أنثی، و کذلک لو قذف امّه؛ و ورث الولد الحدّ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سفیان،  ابنه یزید، و زیاد بن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نقل عن افعالهم وزناهم، کمغیرة بن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لأبأس بنقله، و قذف امثالهم، اذ مع غمض العین عن کفر غیر واحد، کالرّجلین الأوّلین، لخروجهما و بغیهما علی الأمام الحقّ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کیزید و زیاد و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فی حقّیّة ما اشتهر فیهم نسباً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قذف جاهلیّة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یتأمّل فیه، لصحیحة ابی بکر الحضرمیّ</w:t>
      </w:r>
      <w:r>
        <w:rPr>
          <w:rStyle w:val="FootnoteAnchor"/>
          <w:rtl w:val="true"/>
        </w:rPr>
        <w:footnoteReference w:id="1426"/>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یفتری علی الرّجل من جاهلیّة العرب؟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حدّاً،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حدّاً؟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انّ ذلک یدخل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 یمکن کون المراد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حمله علیه فی الرّوضة</w:t>
      </w:r>
      <w:r>
        <w:rPr>
          <w:rStyle w:val="FootnoteAnchor"/>
          <w:rtl w:val="true"/>
        </w:rPr>
        <w:footnoteReference w:id="1427"/>
      </w:r>
      <w:r>
        <w:rPr>
          <w:rFonts w:ascii="IRNazanin" w:hAnsi="IRNazanin" w:eastAsia="IRNazanin"/>
          <w:color w:val="111111"/>
          <w:sz w:val="28"/>
          <w:sz w:val="28"/>
          <w:szCs w:val="28"/>
          <w:rtl w:val="true"/>
          <w:lang w:bidi="fa-IR"/>
        </w:rPr>
        <w:t>، و احتمل کون المراد باحدّ فی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التّعزیر، کما فی غیر جاهلیّة العرب، مستنداً فی ذلک الی صحیحة اسماعیل بن الفضل</w:t>
      </w:r>
      <w:r>
        <w:rPr>
          <w:rStyle w:val="FootnoteAnchor"/>
          <w:rtl w:val="true"/>
        </w:rPr>
        <w:footnoteReference w:id="1428"/>
      </w:r>
      <w:r>
        <w:rPr>
          <w:rFonts w:ascii="IRNazanin" w:hAnsi="IRNazanin" w:eastAsia="IRNazanin"/>
          <w:color w:val="111111"/>
          <w:sz w:val="28"/>
          <w:sz w:val="28"/>
          <w:szCs w:val="28"/>
          <w:rtl w:val="true"/>
          <w:lang w:bidi="fa-IR"/>
        </w:rPr>
        <w:t xml:space="preserve">المتقدّمة فی شرایط المقذوف، الاّ انّ ظاهر الرّوایة ربّما یناسب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لکونه صلوات الله علیه و آله کما ذکره ینقل من الأصلاب الطّاهرة الی الأرحام المطهرّة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احتماله ارادة الأعمّ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محلّه، لظاهر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فالأحوط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بها فی غیر ما علم جوازه، من موارد ثبت کونهم او کونهنّ مستحقّین و مستحقّات للأستخفاف لأشتهار کفرهم و استهتارهم، و مشهورات بالبغاء</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قذف الوالد ولده ذکراً کان او 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اشکال و لاخلاف فی عدم حدّه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علیه من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اسحاق بن عمّار</w:t>
      </w:r>
      <w:r>
        <w:rPr>
          <w:rStyle w:val="FootnoteAnchor"/>
          <w:rtl w:val="true"/>
        </w:rPr>
        <w:footnoteReference w:id="1429"/>
      </w:r>
      <w:r>
        <w:rPr>
          <w:rFonts w:ascii="IRNazanin" w:hAnsi="IRNazanin" w:eastAsia="IRNazanin"/>
          <w:color w:val="111111"/>
          <w:sz w:val="28"/>
          <w:sz w:val="28"/>
          <w:szCs w:val="28"/>
          <w:rtl w:val="true"/>
          <w:lang w:bidi="fa-IR"/>
        </w:rPr>
        <w:t>، عن جعفر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عن ابیه انّ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یقتل والد بولده اذا قتله، و یقتل الولد بالوالد اذا قتله، و لا یحدّ الوالد للولد اذا قذفه، و یحدّ الولد للوالد اذا قذفه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مسندة الجعفریّات</w:t>
      </w:r>
      <w:r>
        <w:rPr>
          <w:rStyle w:val="FootnoteAnchor"/>
          <w:rtl w:val="true"/>
        </w:rPr>
        <w:footnoteReference w:id="1430"/>
      </w:r>
      <w:r>
        <w:rPr>
          <w:rFonts w:ascii="IRNazanin" w:hAnsi="IRNazanin" w:eastAsia="IRNazanin"/>
          <w:color w:val="111111"/>
          <w:sz w:val="28"/>
          <w:sz w:val="28"/>
          <w:szCs w:val="28"/>
          <w:rtl w:val="true"/>
          <w:lang w:bidi="fa-IR"/>
        </w:rPr>
        <w:t xml:space="preserve">عن جعفر بن محمّد عن ابیه عن جدّه عن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اذا قذف الوالد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یجلد، و اذا قذف والده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مرسلة الدّعائم</w:t>
      </w:r>
      <w:r>
        <w:rPr>
          <w:rStyle w:val="FootnoteAnchor"/>
          <w:rtl w:val="true"/>
        </w:rPr>
        <w:footnoteReference w:id="1431"/>
      </w:r>
      <w:r>
        <w:rPr>
          <w:rFonts w:ascii="IRNazanin" w:hAnsi="IRNazanin" w:eastAsia="IRNazanin"/>
          <w:color w:val="111111"/>
          <w:sz w:val="28"/>
          <w:sz w:val="28"/>
          <w:szCs w:val="28"/>
          <w:rtl w:val="true"/>
          <w:lang w:bidi="fa-IR"/>
        </w:rPr>
        <w:t xml:space="preserve">عن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یحدّ الولد ولا یحدّ الوالد اذا قذف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لو قذف امّه وورث الحدّ، کأن ماتت او قذفها و هی میّتة فلا یحدّ، امّا اذا کان لها وارث؛ غیر الولد، کولدها لغیره، او غیر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الحدّ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صحیحة محمّد بن مسلم</w:t>
      </w:r>
      <w:r>
        <w:rPr>
          <w:rStyle w:val="FootnoteAnchor"/>
          <w:rtl w:val="true"/>
        </w:rPr>
        <w:footnoteReference w:id="1432"/>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قذف ابنه بالزّنا؟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قتله ما قتل به، و ان قذفه لم یجلد 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قذف ابوه 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قذفها و انتفی من 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تلاعنا، و لم یلزم ذلک الولد الّذی انتفی منه، و فرّق بینهما، و لم تحلّ له ابداً، قال و ان کان قال لأبنه و امّه 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الزّانیة؛ و لم ینتف من 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الحدّ لها و لم یفرّق بینهما،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قال لأبنه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الزّانیة و امّه میّتة و لم یکن لها، من یأخذ بحقّها منه الاّ ولدها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فأنّه لا یقام علیه الحدّ لأنّ حقّ الحدّ قد صار لولده منها، فأن کان لها ولد 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و لیّها، یجلدله، و ان لم یکن لها ولد من غیره و کان لها قرابة یقومون بأخذ الحدّ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قذف الولد اباه او امّه، او الأمّ 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فیحدّ القاذف</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 للأمّ لو قذف ولد 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فیحدّ له، امّا الجدّ للأب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فیحتمل قویّاً شمول الصّحیحة له، فیسقط، و لعدم القصاص لو قتل حفیده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الثّبوت، للمنع، حتّی فی القصاص</w:t>
      </w:r>
      <w:r>
        <w:rPr>
          <w:rFonts w:eastAsia="IRNazanin" w:cs="IRNazanin"/>
          <w:color w:val="111111"/>
          <w:sz w:val="28"/>
          <w:szCs w:val="28"/>
          <w:rtl w:val="true"/>
          <w:lang w:bidi="fa-IR"/>
        </w:rPr>
        <w:t>.</w:t>
      </w:r>
      <w:bookmarkStart w:id="537" w:name="pg3023_22859"/>
    </w:p>
    <w:p>
      <w:pPr>
        <w:pStyle w:val="Heading4"/>
        <w:numPr>
          <w:ilvl w:val="3"/>
          <w:numId w:val="1"/>
        </w:numPr>
        <w:rPr/>
      </w:pPr>
      <w:bookmarkStart w:id="538" w:name="__RefHeading___Toc657015_2749589250"/>
      <w:bookmarkStart w:id="539" w:name="_Toc194"/>
      <w:bookmarkEnd w:id="537"/>
      <w:bookmarkEnd w:id="538"/>
      <w:r>
        <w:rPr>
          <w:rtl w:val="true"/>
        </w:rPr>
        <w:t>العاشرة</w:t>
      </w:r>
      <w:r>
        <w:rPr>
          <w:rtl w:val="true"/>
        </w:rPr>
        <w:t xml:space="preserve">: </w:t>
      </w:r>
      <w:r>
        <w:rPr>
          <w:rtl w:val="true"/>
        </w:rPr>
        <w:t>لو تقاذف محصنان درء عنهما الحدّ و یعزّران</w:t>
      </w:r>
      <w:bookmarkEnd w:id="539"/>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تقاذف محصنان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درء عنهما الحدّ و یعزّران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تقاذف محصنان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درء عنهما الحدّ و یعزّران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صحیحة عبدالله بن سنان</w:t>
      </w:r>
      <w:r>
        <w:rPr>
          <w:rStyle w:val="FootnoteAnchor"/>
          <w:rtl w:val="true"/>
        </w:rPr>
        <w:footnoteReference w:id="1433"/>
      </w:r>
      <w:r>
        <w:rPr>
          <w:rFonts w:ascii="IRNazanin" w:hAnsi="IRNazanin" w:eastAsia="IRNazanin"/>
          <w:color w:val="111111"/>
          <w:sz w:val="28"/>
          <w:sz w:val="28"/>
          <w:szCs w:val="28"/>
          <w:rtl w:val="true"/>
          <w:lang w:bidi="fa-IR"/>
        </w:rPr>
        <w:t xml:space="preserve">، قال سألت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رجلین، افتری کلّ واحد منهما علی صاحبه،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یدرء عنهما الحدّ و یعزّران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صحیحة ابی ولاّد الحنّاط</w:t>
      </w:r>
      <w:r>
        <w:rPr>
          <w:rStyle w:val="FootnoteAnchor"/>
          <w:rtl w:val="true"/>
        </w:rPr>
        <w:footnoteReference w:id="1434"/>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برجلین قذف کلّ واحد منهما صاحبه بالزّنا فی بدنه،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فدرء عنهما الحدّ و عزّرهما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مارواه فی البحار</w:t>
      </w:r>
      <w:r>
        <w:rPr>
          <w:rStyle w:val="FootnoteAnchor"/>
          <w:rtl w:val="true"/>
        </w:rPr>
        <w:footnoteReference w:id="1435"/>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رجلین افتری کلّ واحد منهما علی الأخر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سقط عنهما الحدّ و یعزّران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احمد بن محمّد بن عیسی</w:t>
      </w:r>
      <w:r>
        <w:rPr>
          <w:rStyle w:val="FootnoteAnchor"/>
          <w:rtl w:val="true"/>
        </w:rPr>
        <w:footnoteReference w:id="1436"/>
      </w:r>
      <w:r>
        <w:rPr>
          <w:rFonts w:ascii="IRNazanin" w:hAnsi="IRNazanin" w:eastAsia="IRNazanin"/>
          <w:color w:val="111111"/>
          <w:sz w:val="28"/>
          <w:sz w:val="28"/>
          <w:szCs w:val="28"/>
          <w:rtl w:val="true"/>
          <w:lang w:bidi="fa-IR"/>
        </w:rPr>
        <w:t xml:space="preserve">فی نوادره عن احمد بن محمّد عن ابن سنان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سئلت ابی عن رجلین افتری کلّ واحد منهما علی صاحبه؟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یدرء عنهما الحدّ و یعزّران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مرسلة الدّعائم</w:t>
      </w:r>
      <w:r>
        <w:rPr>
          <w:rStyle w:val="FootnoteAnchor"/>
          <w:rtl w:val="true"/>
        </w:rPr>
        <w:footnoteReference w:id="1437"/>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فی الرّجلین یقذف کلّ واحد منهما صاحبه،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الی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برجلین؛ قذف کلّ احد منهما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فدرء عنهما الحدّ و عزّرهما جمیعاً</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14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تقاذف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یجلد احد منهما، لأنّ لکلّ واحد منهما مثل ما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الخلاف</w:t>
      </w:r>
      <w:r>
        <w:rPr>
          <w:rStyle w:val="FootnoteAnchor"/>
          <w:rtl w:val="true"/>
        </w:rPr>
        <w:footnoteReference w:id="14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قذف الرّجل زوجته با لزّنا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یازانیة فقالت بل انت یازانی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عنهما الحدّ و وجب التّعزیر علی کلّ واحد منهما</w:t>
      </w:r>
      <w:r>
        <w:rPr>
          <w:rFonts w:eastAsia="IRNazanin" w:cs="IRNazanin"/>
          <w:color w:val="111111"/>
          <w:sz w:val="28"/>
          <w:szCs w:val="28"/>
          <w:rtl w:val="true"/>
          <w:lang w:bidi="fa-IR"/>
        </w:rPr>
        <w:t>.</w:t>
      </w:r>
      <w:bookmarkStart w:id="540" w:name="pg3023_22860"/>
    </w:p>
    <w:p>
      <w:pPr>
        <w:pStyle w:val="Heading4"/>
        <w:numPr>
          <w:ilvl w:val="3"/>
          <w:numId w:val="1"/>
        </w:numPr>
        <w:rPr/>
      </w:pPr>
      <w:bookmarkStart w:id="541" w:name="__RefHeading___Toc657017_2749589250"/>
      <w:bookmarkStart w:id="542" w:name="_Toc195"/>
      <w:bookmarkEnd w:id="540"/>
      <w:bookmarkEnd w:id="541"/>
      <w:r>
        <w:rPr>
          <w:rtl w:val="true"/>
        </w:rPr>
        <w:t>الحادیة عشر</w:t>
      </w:r>
      <w:r>
        <w:rPr>
          <w:rtl w:val="true"/>
        </w:rPr>
        <w:t xml:space="preserve">: </w:t>
      </w:r>
      <w:r>
        <w:rPr>
          <w:rtl w:val="true"/>
        </w:rPr>
        <w:t>لو قال احدکما زان ففی الحدّ اشکال</w:t>
      </w:r>
      <w:bookmarkEnd w:id="542"/>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احدکما زان؛ وکانا، او واحد منهما یحرم قذفه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الحدب اشکال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و قال الشّافعی</w:t>
      </w:r>
      <w:r>
        <w:rPr>
          <w:rStyle w:val="FootnoteAnchor"/>
          <w:rtl w:val="true"/>
        </w:rPr>
        <w:footnoteReference w:id="14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کلّ واحد منهما الحدّ، و للزّوج اسقاطه باللّعان و البیّنة، و للمرأة اسقاط حدّ القذف بالبیّنة و اسقاط حدّ الزّنا؛ ان لا عن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باللّعان، و ان اقام البیّنة فلیس لها اسقاطه، دلیلنا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الفرقة و اخبارهم فی انّ نفسین اذا تقاذفا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فاسقط عنهما الحدّ و عزّرا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عامّة، و ایضاً الأصل برائة الذّمّة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الحادیة عشر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احدکما زان، فأن لم یکن واحد منهما یحرم قذفه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حدّ، و لو کان واحد منهما او کلاهما یحرم قذفه، فهل یطالب بالبیان؟ فأن بیّن فحدّ القذف فی الصّورة لأولی لمن یحرم قذفه؟ فیه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الدّلیل علی لزوم المطالبة و علی البیان</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اجتمعا فی الصّورتین علی مطالبة حدّ القذف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یحدّ او لا؟ فیه کلام، اختار فی الأیضاح و کشف اللّثام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 اذا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خال الزّانی و تعددّ ولد اخته،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الزّانی و تعدّ اولاد اخیه،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جدّ الزّانی و تعدّد ولد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 اذا طالبا، لأنحصار الحقّ فیهما وقد طالبا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استجود الحدّ؛ اذا اجتمع الوالدان علی المطالبة، فیما اذا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من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استشکله فی الجواهر تبعاً للمحقّق، و جعله کما لو سمع واحداً یقذف احداً بلفظ صریح؛ و لم یعلم المقذوف، فأنّه لا یحدّ بذلک</w:t>
      </w:r>
      <w:r>
        <w:rPr>
          <w:rFonts w:eastAsia="IRNazanin" w:cs="IRNazanin"/>
          <w:color w:val="111111"/>
          <w:sz w:val="28"/>
          <w:szCs w:val="28"/>
          <w:rtl w:val="true"/>
          <w:lang w:bidi="fa-IR"/>
        </w:rPr>
        <w:t>.</w:t>
      </w:r>
      <w:bookmarkStart w:id="543" w:name="pg3023_22861"/>
    </w:p>
    <w:p>
      <w:pPr>
        <w:pStyle w:val="Heading4"/>
        <w:numPr>
          <w:ilvl w:val="3"/>
          <w:numId w:val="1"/>
        </w:numPr>
        <w:rPr/>
      </w:pPr>
      <w:bookmarkStart w:id="544" w:name="__RefHeading___Toc657019_2749589250"/>
      <w:bookmarkStart w:id="545" w:name="_Toc196"/>
      <w:bookmarkEnd w:id="543"/>
      <w:bookmarkEnd w:id="544"/>
      <w:r>
        <w:rPr>
          <w:rtl w:val="true"/>
        </w:rPr>
        <w:t>الثّانیة عشر</w:t>
      </w:r>
      <w:r>
        <w:rPr>
          <w:rtl w:val="true"/>
        </w:rPr>
        <w:t xml:space="preserve">: </w:t>
      </w:r>
      <w:r>
        <w:rPr>
          <w:rtl w:val="true"/>
        </w:rPr>
        <w:t>لو قال لزوجته لم اجدک عذراء فیعزّر</w:t>
      </w:r>
      <w:bookmarkEnd w:id="545"/>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 لزوجته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اجدک عذراء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علیه الاّ التّعزیر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یقرب الحدّ اذا اجتمعا فی المطالبة، و کان کلّ منهما یحرم قذفه، و کذا لو کانوا ازید من اثنین، اذ قصاری ما یمنع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دعوی الأنصراف الی ما اذا کان المقذوف معیّناً مشخّصاً؛ لا مردّداً بین اثنین او ازید، و هذه الدّعوی قابلة للمنع، امّا مستندة الجعفریّات</w:t>
      </w:r>
      <w:r>
        <w:rPr>
          <w:rStyle w:val="FootnoteAnchor"/>
          <w:rtl w:val="true"/>
        </w:rPr>
        <w:footnoteReference w:id="1441"/>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قال 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زان،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ایّهما اردت؟ فأن اخبر، و الاّ جلد الحدّ، فعلی فرض اعتبارها یمکن حملها علی 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 عشر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 لزوجته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اجدک عذراء فالظّاهر انّه تعریض بالزّنا، لا فریة صریحة و لا ظاهرة، و حینئذ فلیس علیه الاّ التّعزیر</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ذلک معتبرة ابی بصیر</w:t>
      </w:r>
      <w:r>
        <w:rPr>
          <w:rStyle w:val="FootnoteAnchor"/>
          <w:rtl w:val="true"/>
        </w:rPr>
        <w:footnoteReference w:id="1442"/>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فی رجل قال الأمراته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اجدک عذراء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عاد؟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فانّه یوشک ان ینتهی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البحار کالمستدرک</w:t>
      </w:r>
      <w:r>
        <w:rPr>
          <w:rStyle w:val="FootnoteAnchor"/>
          <w:rtl w:val="true"/>
        </w:rPr>
        <w:footnoteReference w:id="1443"/>
      </w:r>
      <w:r>
        <w:rPr>
          <w:rFonts w:ascii="IRNazanin" w:hAnsi="IRNazanin" w:eastAsia="IRNazanin"/>
          <w:color w:val="111111"/>
          <w:sz w:val="28"/>
          <w:sz w:val="28"/>
          <w:szCs w:val="28"/>
          <w:rtl w:val="true"/>
          <w:lang w:bidi="fa-IR"/>
        </w:rPr>
        <w:t xml:space="preserve">عن احمد بن محمّد بن عیسی فی نوادره اوردها مع زیادة قوله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فأنّه یوشک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فأنّه عاد،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فأنّه او شک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ینافی التّعزیر المراد بالضّرب فی 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روایتی زیاد بن سلیمان</w:t>
      </w:r>
      <w:r>
        <w:rPr>
          <w:rStyle w:val="FootnoteAnchor"/>
          <w:rtl w:val="true"/>
        </w:rPr>
        <w:footnoteReference w:id="14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 زرارة</w:t>
      </w:r>
      <w:r>
        <w:rPr>
          <w:rStyle w:val="FootnoteAnchor"/>
          <w:rtl w:val="true"/>
        </w:rPr>
        <w:footnoteReference w:id="1445"/>
      </w:r>
      <w:r>
        <w:rPr>
          <w:rFonts w:ascii="Amiri" w:hAnsi="Amiri" w:eastAsia="Amiri" w:cs="Amiri"/>
          <w:color w:val="111111"/>
          <w:sz w:val="28"/>
          <w:sz w:val="28"/>
          <w:szCs w:val="28"/>
          <w:rtl w:val="true"/>
          <w:lang w:bidi="ar-SA"/>
        </w:rPr>
        <w:t>من نفیّ الحدّ، او الشّیء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ففی الأولی</w:t>
      </w:r>
      <w:r>
        <w:rPr>
          <w:rStyle w:val="FootnoteAnchor"/>
          <w:rtl w:val="true"/>
        </w:rPr>
        <w:footnoteReference w:id="1446"/>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قال الأمرأته بعد ما دخل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اجدک عذراء،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حدّ علیه، و فی الثّانیة</w:t>
      </w:r>
      <w:r>
        <w:rPr>
          <w:rStyle w:val="FootnoteAnchor"/>
          <w:rtl w:val="true"/>
        </w:rPr>
        <w:footnoteReference w:id="1447"/>
      </w:r>
      <w:r>
        <w:rPr>
          <w:rFonts w:ascii="IRNazanin" w:hAnsi="IRNazanin" w:eastAsia="IRNazanin"/>
          <w:color w:val="111111"/>
          <w:sz w:val="28"/>
          <w:sz w:val="28"/>
          <w:szCs w:val="28"/>
          <w:rtl w:val="true"/>
          <w:lang w:bidi="fa-IR"/>
        </w:rPr>
        <w:t xml:space="preserve">الصّحیحة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قال لأمرأته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تأتنی عذراء،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 شیء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العذرة تذهب بغیر جماع، و نحوه ما فی الدّعائم</w:t>
      </w:r>
      <w:r>
        <w:rPr>
          <w:rStyle w:val="FootnoteAnchor"/>
          <w:rtl w:val="true"/>
        </w:rPr>
        <w:footnoteReference w:id="1448"/>
      </w:r>
      <w:r>
        <w:rPr>
          <w:rFonts w:ascii="IRNazanin" w:hAnsi="IRNazanin" w:eastAsia="IRNazanin"/>
          <w:color w:val="111111"/>
          <w:sz w:val="28"/>
          <w:sz w:val="28"/>
          <w:szCs w:val="28"/>
          <w:rtl w:val="true"/>
          <w:lang w:bidi="fa-IR"/>
        </w:rPr>
        <w:t xml:space="preserve">عن ابی عبدالله و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ذیله قال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یودّب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14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العذرة قد تسقط من غیر جماع قد تذهب بالنّکبة و العثرة و السّقطة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نفی التّعزیر ایضاً اذا لم یرد الزّوج تحقیرها و تعییرها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الحسن وجوب الحدّ، و عن ابی علی موافقته عند السّباب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ربما یشهد لهما صحیحتا الحلبیّ و ابن سنان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فی الأولی</w:t>
      </w:r>
      <w:r>
        <w:rPr>
          <w:rStyle w:val="FootnoteAnchor"/>
          <w:rtl w:val="true"/>
        </w:rPr>
        <w:footnoteReference w:id="1450"/>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قال الرّجل لأمرأته لم اجدک عذراء و لیس له بیّنة، قال یجلد الحدّ و یخلّی بینه و بین المرأته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الثّانیة</w:t>
      </w:r>
      <w:r>
        <w:rPr>
          <w:rStyle w:val="FootnoteAnchor"/>
          <w:rtl w:val="true"/>
        </w:rPr>
        <w:footnoteReference w:id="145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قال الرّجل لأمرأته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اجدک عذراء و لیست له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یجلد و یخلّی بینه و 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یمکن بل هو الظّار منهما صورة ارادة القذف بالزّنا، بقریتة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لیس، اولیست له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یجلد و یخلیّ بینهما بلا لعان مع انّه ذخل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لأشتراط اللّعان بالمعاینة</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صحیحة الحلبیّ</w:t>
      </w:r>
      <w:r>
        <w:rPr>
          <w:rStyle w:val="FootnoteAnchor"/>
          <w:rtl w:val="true"/>
        </w:rPr>
        <w:footnoteReference w:id="14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قذف الرّجل امرأته فأنّه</w:t>
      </w:r>
    </w:p>
    <w:p>
      <w:pPr>
        <w:pStyle w:val="BookText"/>
        <w:rPr/>
      </w:pPr>
      <w:r>
        <w:rPr>
          <w:rFonts w:ascii="Amiri" w:hAnsi="Amiri" w:eastAsia="Amiri" w:cs="Amiri"/>
          <w:color w:val="111111"/>
          <w:sz w:val="28"/>
          <w:sz w:val="28"/>
          <w:szCs w:val="28"/>
          <w:rtl w:val="true"/>
          <w:lang w:bidi="ar-SA"/>
        </w:rPr>
        <w:t xml:space="preserve">مسئلة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قذف الولد فالحدّ له لا لوالده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لا یلاعنها؛ حتّی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بین رجلیها رجلاً یزنی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صحیحة ابن مسلم</w:t>
      </w:r>
      <w:r>
        <w:rPr>
          <w:rStyle w:val="FootnoteAnchor"/>
          <w:rtl w:val="true"/>
        </w:rPr>
        <w:footnoteReference w:id="145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یفتری علی امرأته،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یجلد ثمّ یخلّی بینهما و لا یلاعنها حتّی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انّی رأیتک تفعلین کذا و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معتبرة او صحیحة ابی بصیر</w:t>
      </w:r>
      <w:r>
        <w:rPr>
          <w:rStyle w:val="FootnoteAnchor"/>
          <w:rtl w:val="true"/>
        </w:rPr>
        <w:footnoteReference w:id="1454"/>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حتّی یقول انّه رأی بین رجلیها من یفجر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 صحیحة ابن مسلم</w:t>
      </w:r>
      <w:r>
        <w:rPr>
          <w:rStyle w:val="FootnoteAnchor"/>
          <w:rtl w:val="true"/>
        </w:rPr>
        <w:footnoteReference w:id="1455"/>
      </w:r>
      <w:r>
        <w:rPr>
          <w:rFonts w:ascii="IRNazanin" w:hAnsi="IRNazanin" w:eastAsia="IRNazanin"/>
          <w:color w:val="111111"/>
          <w:sz w:val="28"/>
          <w:sz w:val="28"/>
          <w:szCs w:val="28"/>
          <w:rtl w:val="true"/>
          <w:lang w:bidi="fa-IR"/>
        </w:rPr>
        <w:t>مارواه فی البحار</w:t>
      </w:r>
      <w:r>
        <w:rPr>
          <w:rStyle w:val="FootnoteAnchor"/>
          <w:rtl w:val="true"/>
        </w:rPr>
        <w:footnoteReference w:id="14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قذف امرأة قبل ان یدخل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الحدّ وهی امرأته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قذف الولد، کأن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إبنک زان او لائط، او إبنتک زانیة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فالحدّ للوالد، ذکراً او انثی، فله العفو، کما له الأستیفاء و لا حقّ للوالد، خلاقاً للمفید فی المقنعة و ما عن الشّیخ قدّس سرّ هما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للأب المطالبة او العفو، لأنّ العار لا حق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اشکال هذا الکلام ظاهر، اذ مجرّد العار؛ علی فرضه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لایوجب ولایة العفو و لا الأستیفاء، الاّ اذا کان صاحب الحقّ صغیراً ورث الحدّ، فیمکن جواز استیفاء الأب او العفو</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استشکل العفو فی القواعد، و قوّاه فی الأیضاح</w:t>
      </w:r>
      <w:r>
        <w:rPr>
          <w:rFonts w:eastAsia="IRNazanin" w:cs="IRNazanin"/>
          <w:color w:val="111111"/>
          <w:sz w:val="28"/>
          <w:szCs w:val="28"/>
          <w:rtl w:val="true"/>
          <w:lang w:bidi="fa-IR"/>
        </w:rPr>
        <w:t>.</w:t>
      </w:r>
      <w:bookmarkStart w:id="546" w:name="pg3023_22864"/>
    </w:p>
    <w:p>
      <w:pPr>
        <w:pStyle w:val="Heading4"/>
        <w:numPr>
          <w:ilvl w:val="3"/>
          <w:numId w:val="1"/>
        </w:numPr>
        <w:rPr/>
      </w:pPr>
      <w:bookmarkStart w:id="547" w:name="__RefHeading___Toc657021_2749589250"/>
      <w:bookmarkStart w:id="548" w:name="_Toc197"/>
      <w:bookmarkEnd w:id="546"/>
      <w:bookmarkEnd w:id="547"/>
      <w:r>
        <w:rPr>
          <w:rtl w:val="true"/>
        </w:rPr>
        <w:t>لو کان المقذوف کاملاً دون المخاطب فالحدّ للمقذوف</w:t>
      </w:r>
      <w:bookmarkEnd w:id="548"/>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المقذف کاملاً دون المخاطب فالحدّ للمقذوف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المخاطب غیر کامل و المقذوف کاملاً، کأن قال 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 زانیة و کانت 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فالحدّ لها، و اذا کانت میّتة او ماتت؛ و انحصر وارثها بالکافر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یورث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کونه للأمام، کما عن الحلبیّ، ففی 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السّلطان ولیّ المقذوف المیّت؛ اذا لم یکن له 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الحدّ بقذف الخصّی و المجبوب و المریض المذنف و الرّتقاء و القرناء، للأطلاق، و مجرّد عدم امکان ما قذفوا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لایوجب سقوط الحدّ؛ الاّ اذا کان مشهوراً بین النّاس، او فی المجمع الّذی یقذف احد هؤلاء، او مطلقاً فیحتمل سقوطه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قذف شخصاً ثمّ زنی او لاط المقذوف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یسقط الحدّ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 لمسلم عن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زنیت حال کفرک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عدم الحدّ،  یحتمل ثبوت لتّعزیر لو لم یتب، خلافاً للعلاّمة فی القوعد، فقال بثبوت الحدّ علی اشکال، و استدلّ علیه الفخر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قذف مسلماً، و لا اعتبار بالکفر المتقدّم، فانّ حرمة الأسلام تصونه عن القذف و عن مخاطبته بما یکره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اشکاله واضخ، بل ماذکره وجهاً للعدم هو الأقوی، من انّه لم یقذف مسلماً، و هکذا الحال لو اسند الزّنا الی حال الصّغر او الجنون او الرّق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قذف مجهولاً وادّعی عدم کماله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یحدّ، لعدم احراز الشّرائط، و عن الخلاف</w:t>
      </w:r>
      <w:r>
        <w:rPr>
          <w:rStyle w:val="FootnoteAnchor"/>
          <w:rtl w:val="true"/>
        </w:rPr>
        <w:footnoteReference w:id="1457"/>
      </w:r>
      <w:r>
        <w:rPr>
          <w:rFonts w:ascii="Amiri" w:hAnsi="Amiri" w:eastAsia="Amiri" w:cs="Amiri"/>
          <w:color w:val="111111"/>
          <w:sz w:val="28"/>
          <w:sz w:val="28"/>
          <w:szCs w:val="28"/>
          <w:rtl w:val="true"/>
          <w:lang w:bidi="ar-SA"/>
        </w:rPr>
        <w:t>لأصالة البرائة، قال</w:t>
      </w:r>
      <w:r>
        <w:rPr>
          <w:rStyle w:val="FootnoteAnchor"/>
          <w:rtl w:val="true"/>
        </w:rPr>
        <w:footnoteReference w:id="14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قذف امرأة و ادّعی أنّها کانت امة او مشرکة حال القذف و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قطّ الاّ مسلمة 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فالقول قوله مع یمینة</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49" w:name="pg3023_22865"/>
    </w:p>
    <w:p>
      <w:pPr>
        <w:pStyle w:val="Heading4"/>
        <w:numPr>
          <w:ilvl w:val="3"/>
          <w:numId w:val="1"/>
        </w:numPr>
        <w:rPr/>
      </w:pPr>
      <w:bookmarkStart w:id="550" w:name="__RefHeading___Toc657023_2749589250"/>
      <w:bookmarkStart w:id="551" w:name="_Toc198"/>
      <w:bookmarkEnd w:id="549"/>
      <w:bookmarkEnd w:id="550"/>
      <w:r>
        <w:rPr>
          <w:rtl w:val="true"/>
        </w:rPr>
        <w:t>لو قال من رمانی فهو زان او ملوط فرماه و احد فلا یحدّ</w:t>
      </w:r>
      <w:bookmarkEnd w:id="551"/>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رمانی فهو زان اوملوط او ابن الزّانیة، فرماه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یحدّ؛ الاّ ان یقصد من رماه فط الماضی؛ و کان معلوماً مقصوداً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و للشّافعّی فیه قولان احدهما مثل ما قلناه،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القول 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استدلّ ببرائة الذّمّة، و الدّار تجمع المسلمین و المشرکین و العبید و الأحرار، فلا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یحکم به، و لا یعلق علی الذّمّة الاّ مادلّ علیه الدّلیل، و لو قلنا انّ الظّاهر فی دار الأسلام و الأصل فیه الأسلام و حکمنا بأنّ القول قولها مع یمینها لکان قویّاً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قوّاه الأیضاح، لکنّ الأشکال فی من له الحدّ، اذ لو کان مجهولاً بشخصه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مجال للحدّ، لعدم امکان مطالبة المجهول له، لعدم تعیّنه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ارید کونه معلوماً شخصاً ولکن یدّعی القاذف کفره او رقّه مثلاً، کما 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احراز شرائط الحدّ؛ و لو بضمّ الوجدان الی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انّما یقبل قوله فی حمل فعله علی الصّحّة، و عدم الحکم بفسقه علی تأمّل، کما لو اغتاب احداً مدّعیاً انّه جائز الغیبة، ولکن لا یمکن الحکم بفسق المغتاب ایضاً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رمانی فهو زان او ملوط او ابن الزّانیة، فرماه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لایحدّ، الاّ ان یقصد من رماه فی الماضی، و کان معلوماً عنده مقصوداً له، ظاهراً عند السّامع للقذف، و کذا لا یحدّ اذا قال احد المتنازعین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الکاذب هو ملوط او زان او لائط او ابن الزّانیة، و ثبت کذب احدهما، لأنّه لایکون قذفاً، و کذا لو رمی اهل قریة او مصر، اذ البناء فی هذه الموارد علی الأکثر، و الاّفلو صرّح للکلّ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بل یقوی ثبوت الحدّ لجامع الشّرائط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تکمیل</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فقد المقذوف احد هذه الشّروط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غیر واحد ثبوت التّعزیر للقاذف، کما فی الشّرایع القواعد، و استثنی فی الجواهر العفّة، فمن فقدها و قذفه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یعزّر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سبق الکلام فی قذف الکافر و المملوک، و سیجیء البحث فی فاقد سایر الشّرایط</w:t>
      </w:r>
      <w:r>
        <w:rPr>
          <w:rFonts w:eastAsia="IRNazanin" w:cs="IRNazanin"/>
          <w:color w:val="111111"/>
          <w:sz w:val="28"/>
          <w:szCs w:val="28"/>
          <w:rtl w:val="true"/>
          <w:lang w:bidi="fa-IR"/>
        </w:rPr>
        <w:t>.</w:t>
      </w:r>
      <w:bookmarkStart w:id="552" w:name="pg3023_22866"/>
    </w:p>
    <w:p>
      <w:pPr>
        <w:pStyle w:val="Heading4"/>
        <w:numPr>
          <w:ilvl w:val="3"/>
          <w:numId w:val="1"/>
        </w:numPr>
        <w:rPr/>
      </w:pPr>
      <w:bookmarkStart w:id="553" w:name="__RefHeading___Toc657025_2749589250"/>
      <w:bookmarkStart w:id="554" w:name="_Toc199"/>
      <w:bookmarkEnd w:id="552"/>
      <w:bookmarkEnd w:id="553"/>
      <w:r>
        <w:rPr>
          <w:rtl w:val="true"/>
        </w:rPr>
        <w:t>التّعزیر فی هجو من لیس بمستحقّ له و سبّه</w:t>
      </w:r>
      <w:bookmarkEnd w:id="554"/>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هجا من لیس بمستحقّ له او سبّه او عرّض به بغیر 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فیعزّر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حدّ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هجا من لیس بمستحقّ له او سبّه او عرّض به بغیر 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اشکال فی عدم الحدّ، لما سبق من ترتّب الحدّ علی القذف صریحاً او ظاهراً ظهوراً واضحاً، نعم یعزّر، کما دلّ علیه من المعتبرات مارواه اسحاق بن عمّار</w:t>
      </w:r>
      <w:r>
        <w:rPr>
          <w:rStyle w:val="FootnoteAnchor"/>
          <w:rtl w:val="true"/>
        </w:rPr>
        <w:footnoteReference w:id="1459"/>
      </w:r>
      <w:r>
        <w:rPr>
          <w:rFonts w:ascii="IRNazanin" w:hAnsi="IRNazanin" w:eastAsia="IRNazanin"/>
          <w:color w:val="111111"/>
          <w:sz w:val="28"/>
          <w:sz w:val="28"/>
          <w:szCs w:val="28"/>
          <w:rtl w:val="true"/>
          <w:lang w:bidi="fa-IR"/>
        </w:rPr>
        <w:t xml:space="preserve">عن جعفر انّ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یعزّر فی الهجاء و لا یجلد الحدّ الاّ فی الفریة المصرّحة،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یازان او یا ابن الزّانیة او لست لأبیک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قریب منها ضعیفة وهب</w:t>
      </w:r>
      <w:r>
        <w:rPr>
          <w:rStyle w:val="FootnoteAnchor"/>
          <w:rtl w:val="true"/>
        </w:rPr>
        <w:footnoteReference w:id="14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مارواه عبد الرّحمن بن ابی عبدالله</w:t>
      </w:r>
      <w:r>
        <w:rPr>
          <w:rStyle w:val="FootnoteAnchor"/>
          <w:rtl w:val="true"/>
        </w:rPr>
        <w:footnoteReference w:id="146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تعزیر و مارواه فی البحار</w:t>
      </w:r>
      <w:r>
        <w:rPr>
          <w:rStyle w:val="FootnoteAnchor"/>
          <w:rtl w:val="true"/>
        </w:rPr>
        <w:footnoteReference w:id="1462"/>
      </w:r>
      <w:r>
        <w:rPr>
          <w:rFonts w:ascii="IRNazanin" w:hAnsi="IRNazanin" w:eastAsia="IRNazanin"/>
          <w:color w:val="111111"/>
          <w:sz w:val="28"/>
          <w:sz w:val="28"/>
          <w:szCs w:val="28"/>
          <w:rtl w:val="true"/>
          <w:lang w:bidi="fa-IR"/>
        </w:rPr>
        <w:t>، قال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عرّض بالقذف و لم یصرّح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جرّاح المداینی</w:t>
      </w:r>
      <w:r>
        <w:rPr>
          <w:rStyle w:val="FootnoteAnchor"/>
          <w:rtl w:val="true"/>
        </w:rPr>
        <w:footnoteReference w:id="1463"/>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خبیث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انت 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فیه حدّ، ولکن فیه موعظة و بعض العقوبة</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مسندة الجعفریّات</w:t>
      </w:r>
      <w:r>
        <w:rPr>
          <w:rStyle w:val="FootnoteAnchor"/>
          <w:rtl w:val="true"/>
        </w:rPr>
        <w:footnoteReference w:id="1464"/>
      </w:r>
      <w:r>
        <w:rPr>
          <w:rFonts w:ascii="IRNazanin" w:hAnsi="IRNazanin" w:eastAsia="IRNazanin"/>
          <w:color w:val="111111"/>
          <w:sz w:val="28"/>
          <w:sz w:val="28"/>
          <w:szCs w:val="28"/>
          <w:rtl w:val="true"/>
          <w:lang w:bidi="fa-IR"/>
        </w:rPr>
        <w:t xml:space="preserve">عن جعفر بن محمّد عن ابیه عن جدّه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یقول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یاخنزیر، او یاحمار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مسندها الأخر</w:t>
      </w:r>
      <w:r>
        <w:rPr>
          <w:rStyle w:val="FootnoteAnchor"/>
          <w:rtl w:val="true"/>
        </w:rPr>
        <w:footnoteReference w:id="1465"/>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یقول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آکل لحم الخنزیر و یا شارب الخمر،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التّعزیر دون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ثالث</w:t>
      </w:r>
      <w:r>
        <w:rPr>
          <w:rStyle w:val="FootnoteAnchor"/>
          <w:rtl w:val="true"/>
        </w:rPr>
        <w:footnoteReference w:id="1466"/>
      </w:r>
      <w:r>
        <w:rPr>
          <w:rFonts w:ascii="Amiri" w:hAnsi="Amiri" w:eastAsia="Amiri" w:cs="Amiri"/>
          <w:color w:val="111111"/>
          <w:sz w:val="28"/>
          <w:sz w:val="28"/>
          <w:szCs w:val="28"/>
          <w:rtl w:val="true"/>
          <w:lang w:bidi="ar-SA"/>
        </w:rPr>
        <w:t xml:space="preserve">انّ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برجل 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مالک 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فعزّره و لم یجلده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رابع</w:t>
      </w:r>
      <w:r>
        <w:rPr>
          <w:rStyle w:val="FootnoteAnchor"/>
          <w:rtl w:val="true"/>
        </w:rPr>
        <w:footnoteReference w:id="1467"/>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انّه أتی برجل قال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ماتأتی اهلک الاّ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فجلد التّعزیر و لم یحدّ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و فی مرسلة الدّعائم</w:t>
      </w:r>
      <w:r>
        <w:rPr>
          <w:rStyle w:val="FootnoteAnchor"/>
          <w:rtl w:val="true"/>
        </w:rPr>
        <w:footnoteReference w:id="1468"/>
      </w:r>
      <w:r>
        <w:rPr>
          <w:rFonts w:ascii="IRNazanin" w:hAnsi="IRNazanin" w:eastAsia="IRNazanin"/>
          <w:color w:val="111111"/>
          <w:sz w:val="28"/>
          <w:sz w:val="28"/>
          <w:szCs w:val="28"/>
          <w:rtl w:val="true"/>
          <w:lang w:bidi="fa-IR"/>
        </w:rPr>
        <w:t xml:space="preserve">عن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نفی رجلاً من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حدّ القاذف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نفاه من نسب قبیلته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أخری</w:t>
      </w:r>
      <w:r>
        <w:rPr>
          <w:rStyle w:val="FootnoteAnchor"/>
          <w:rtl w:val="true"/>
        </w:rPr>
        <w:footnoteReference w:id="1469"/>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انّه قال فی الرّجل یسبّ الرّجل او یعرّض به القذف، مثل ما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یاخنزیر  یا حمار یا فاسق یا فاجر یا خبیث و ما اشبه ذلک، او یقول فی التّعریض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احتلمت بأمّک او اختک، و ما اشبه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هذا کلّه الأدب و لا یبلغ به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مرسل غوالی اللّئالی</w:t>
      </w:r>
      <w:r>
        <w:rPr>
          <w:rStyle w:val="FootnoteAnchor"/>
          <w:rtl w:val="true"/>
        </w:rPr>
        <w:footnoteReference w:id="1470"/>
      </w: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قال لارّجل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فاضربوه 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مسندة الجعفریّات</w:t>
      </w:r>
      <w:r>
        <w:rPr>
          <w:rStyle w:val="FootnoteAnchor"/>
          <w:rtl w:val="true"/>
        </w:rPr>
        <w:footnoteReference w:id="1471"/>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من قال الأخیه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فاجر او یا کافر او یا خبیث او یا فاسق او یا منافق او یا 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فاضربوه تسعة و ثلاثین سوطاً</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وروی ابو مخلد السّراّج</w:t>
      </w:r>
      <w:r>
        <w:rPr>
          <w:rStyle w:val="FootnoteAnchor"/>
          <w:rtl w:val="true"/>
        </w:rPr>
        <w:footnoteReference w:id="1472"/>
      </w:r>
      <w:r>
        <w:rPr>
          <w:rFonts w:ascii="IRNazanin" w:hAnsi="IRNazanin" w:eastAsia="IRNazanin"/>
          <w:color w:val="111111"/>
          <w:sz w:val="28"/>
          <w:sz w:val="28"/>
          <w:szCs w:val="28"/>
          <w:rtl w:val="true"/>
          <w:lang w:bidi="fa-IR"/>
        </w:rPr>
        <w:t xml:space="preserve">ععن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دعا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المجنون، فقال له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ابن المجنون، فأمر الأوّل ان یجلد صاحبه عشرین جلدة،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انّه مستعقب مثلها عشرین، فلمّا جلده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اعطی المجلود السّوط، فجلده عشرین نکالاً ینکل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وری نعمان بن عبدالسّلام</w:t>
      </w:r>
      <w:r>
        <w:rPr>
          <w:rStyle w:val="FootnoteAnchor"/>
          <w:rtl w:val="true"/>
        </w:rPr>
        <w:footnoteReference w:id="1473"/>
      </w:r>
      <w:r>
        <w:rPr>
          <w:rFonts w:ascii="IRNazanin" w:hAnsi="IRNazanin" w:eastAsia="IRNazanin"/>
          <w:color w:val="111111"/>
          <w:sz w:val="28"/>
          <w:sz w:val="28"/>
          <w:szCs w:val="28"/>
          <w:rtl w:val="true"/>
          <w:lang w:bidi="fa-IR"/>
        </w:rPr>
        <w:t>عن ابی حنیفة،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قال 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فاسق،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حدّ علیه و یعّزر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معتبرة ابی مریم</w:t>
      </w:r>
      <w:r>
        <w:rPr>
          <w:rStyle w:val="FootnoteAnchor"/>
          <w:rtl w:val="true"/>
        </w:rPr>
        <w:footnoteReference w:id="1474"/>
      </w:r>
      <w:r>
        <w:rPr>
          <w:rFonts w:ascii="IRNazanin" w:hAnsi="IRNazanin" w:eastAsia="IRNazanin"/>
          <w:color w:val="111111"/>
          <w:sz w:val="28"/>
          <w:sz w:val="28"/>
          <w:szCs w:val="28"/>
          <w:rtl w:val="true"/>
          <w:lang w:bidi="fa-IR"/>
        </w:rPr>
        <w:t xml:space="preserve">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قضی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الهجاء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ما رواه الصّدوق</w:t>
      </w:r>
      <w:r>
        <w:rPr>
          <w:rStyle w:val="FootnoteAnchor"/>
          <w:rtl w:val="true"/>
        </w:rPr>
        <w:footnoteReference w:id="1475"/>
      </w:r>
      <w:r>
        <w:rPr>
          <w:rFonts w:ascii="IRNazanin" w:hAnsi="IRNazanin" w:eastAsia="IRNazanin"/>
          <w:color w:val="111111"/>
          <w:sz w:val="28"/>
          <w:sz w:val="28"/>
          <w:szCs w:val="28"/>
          <w:rtl w:val="true"/>
          <w:lang w:bidi="fa-IR"/>
        </w:rPr>
        <w:t>بأسناده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بن عمرو و انس بن محمّد عن ابیه عن جعفر بن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وصیّة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علیّ لیس علی زان عقر، و لا حدّ فی التّعریض، و لا شفاعة فی 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و فی ضعیفة و هب بن وهب</w:t>
      </w:r>
      <w:r>
        <w:rPr>
          <w:rStyle w:val="FootnoteAnchor"/>
          <w:rtl w:val="true"/>
        </w:rPr>
        <w:footnoteReference w:id="1476"/>
      </w:r>
      <w:r>
        <w:rPr>
          <w:rFonts w:ascii="IRNazanin" w:hAnsi="IRNazanin" w:eastAsia="IRNazanin"/>
          <w:color w:val="111111"/>
          <w:sz w:val="28"/>
          <w:sz w:val="28"/>
          <w:szCs w:val="28"/>
          <w:rtl w:val="true"/>
          <w:lang w:bidi="fa-IR"/>
        </w:rPr>
        <w:t xml:space="preserve">عن 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ابیه، فی رجل قال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شارب الخمر یا آکل الخنزیر،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حدّ علیه، ولکن یضرب اسواطاً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مسندة الجعفریّات</w:t>
      </w:r>
      <w:r>
        <w:rPr>
          <w:rStyle w:val="FootnoteAnchor"/>
          <w:rtl w:val="true"/>
        </w:rPr>
        <w:footnoteReference w:id="1477"/>
      </w:r>
      <w:r>
        <w:rPr>
          <w:rFonts w:ascii="IRNazanin" w:hAnsi="IRNazanin" w:eastAsia="IRNazanin"/>
          <w:color w:val="111111"/>
          <w:sz w:val="28"/>
          <w:sz w:val="28"/>
          <w:szCs w:val="28"/>
          <w:rtl w:val="true"/>
          <w:lang w:bidi="fa-IR"/>
        </w:rPr>
        <w:t xml:space="preserve">عن جعفر بن محمّد عن ابیه عن جدهّ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لأخیه المسلم، یا ابن النٌصرانیّ او یا ابن المجوسیّ، او انت رجل سوء؛ و قد کان الأبوان مجوسییّن او نصرانییّن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فاضربوه، لعزّ الأسلام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الحسین بن ابی العلاء</w:t>
      </w:r>
      <w:r>
        <w:rPr>
          <w:rStyle w:val="FootnoteAnchor"/>
          <w:rtl w:val="true"/>
        </w:rPr>
        <w:footnoteReference w:id="1478"/>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رجلاً لقی رجلاً علی عهد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افتری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قال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احتلم بأمّ الآخر،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العدل ان شئت جلدت ظلّه، فأنّ الحلم انّما هو مثل الظّلّ، و لکن سنوجعه ضرباً و جمیعاً حتّی لایؤذی المسلمین، فضربه ضرباً و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قریباً منها فی العلل</w:t>
      </w:r>
      <w:r>
        <w:rPr>
          <w:rStyle w:val="FootnoteAnchor"/>
          <w:rtl w:val="true"/>
        </w:rPr>
        <w:footnoteReference w:id="1479"/>
      </w:r>
      <w:r>
        <w:rPr>
          <w:rFonts w:ascii="IRNazanin" w:hAnsi="IRNazanin" w:eastAsia="IRNazanin"/>
          <w:color w:val="111111"/>
          <w:sz w:val="28"/>
          <w:sz w:val="28"/>
          <w:szCs w:val="28"/>
          <w:rtl w:val="true"/>
          <w:lang w:bidi="fa-IR"/>
        </w:rPr>
        <w:t xml:space="preserve">بسند معتبر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مسندة الجعفریّات</w:t>
      </w:r>
      <w:r>
        <w:rPr>
          <w:rStyle w:val="FootnoteAnchor"/>
          <w:rtl w:val="true"/>
        </w:rPr>
        <w:footnoteReference w:id="1480"/>
      </w:r>
      <w:r>
        <w:rPr>
          <w:rFonts w:ascii="Amiri" w:hAnsi="Amiri" w:eastAsia="Amiri" w:cs="Amiri"/>
          <w:color w:val="111111"/>
          <w:sz w:val="28"/>
          <w:sz w:val="28"/>
          <w:szCs w:val="28"/>
          <w:rtl w:val="true"/>
          <w:lang w:bidi="ar-SA"/>
        </w:rPr>
        <w:t xml:space="preserve">، انّ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فی المنام کأنّی انکح امّی،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فأقامه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الشّمس،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اضربوا ظلّه بالسّیف،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حدّک</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من لا یحضره الفقیه</w:t>
      </w:r>
      <w:r>
        <w:rPr>
          <w:rStyle w:val="FootnoteAnchor"/>
          <w:rtl w:val="true"/>
        </w:rPr>
        <w:footnoteReference w:id="1481"/>
      </w:r>
      <w:r>
        <w:rPr>
          <w:rFonts w:ascii="IRNazanin" w:hAnsi="IRNazanin" w:eastAsia="IRNazanin"/>
          <w:color w:val="111111"/>
          <w:sz w:val="28"/>
          <w:sz w:val="28"/>
          <w:szCs w:val="28"/>
          <w:rtl w:val="true"/>
          <w:lang w:bidi="fa-IR"/>
        </w:rPr>
        <w:t xml:space="preserve">انّ رجلاً جاء برجل الی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زعم انّه احتلم بأمّی، فقال انّ الحلم بمنزلة الظّل، فأن شئت جلدت لک ظلّة،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لکنّی اوجعه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أؤدّبه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یعود یؤذی المسلمین</w:t>
      </w:r>
      <w:r>
        <w:rPr>
          <w:rFonts w:eastAsia="IRNazanin" w:cs="IRNazanin"/>
          <w:color w:val="111111"/>
          <w:sz w:val="28"/>
          <w:szCs w:val="28"/>
          <w:rtl w:val="true"/>
          <w:lang w:bidi="fa-IR"/>
        </w:rPr>
        <w:t>.</w:t>
      </w:r>
      <w:bookmarkStart w:id="555" w:name="pg3023_22869"/>
    </w:p>
    <w:p>
      <w:pPr>
        <w:pStyle w:val="Heading4"/>
        <w:numPr>
          <w:ilvl w:val="3"/>
          <w:numId w:val="1"/>
        </w:numPr>
        <w:rPr/>
      </w:pPr>
      <w:bookmarkStart w:id="556" w:name="__RefHeading___Toc657027_2749589250"/>
      <w:bookmarkStart w:id="557" w:name="_Toc200"/>
      <w:bookmarkEnd w:id="555"/>
      <w:bookmarkEnd w:id="556"/>
      <w:r>
        <w:rPr>
          <w:rtl w:val="true"/>
        </w:rPr>
        <w:t>لو رماها بالسّحق ففیه التّعزیر</w:t>
      </w:r>
      <w:bookmarkEnd w:id="557"/>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رماها بالسّحق ففی ثبوت حدّ القذف اشکال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الأقوی التّعزیر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و ممّا ذکرنا ظهر حکم مالو صدّق القاذف، فأنّه لا یحدّ، بل یعزّر، و کذا لو اخبر عن قذف غیره، کما فی القواعد، و عللّه فی 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یسوء المخاطب کما احتمل الحدّ فی الأوّل، و نقله عن التّحریر، لأنّ ظاهره التّصدیق فی قذفه، و لا یخلو من قرب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رماها بالسّحق ففی الشّرایع و القواعد فی باب اللّعان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الحدّ، و نسبه فی الأیضاح الی ابن الجنید، و فی باب القذف من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علیه التّعزیر علی اشکال، و نسبه فی الأیضاح الی ابی الصّلاح و العلاّمة فی المختلف، و قوّاه هو، و وجّه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بکون المساحقة کالزّنا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فالقذف بها قذف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کان فیها حدّه یثبت بأربعة او الأقرار اربعاً، فیعمّه آیة الرّمی و التّعزیر، لحصر الفریة فی معتبرة ابن سنان فی ثلاث؛ لیس القذف بالسّحق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جعله فی الجواهر اقوی، و هو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فالقذف بامساحقة کالقذف بالتّقبیل، و مضاجعة الأجنبیّة، و اتیان البهیمة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فیه الحدّ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فذفه بالزّنا او اللّواط بالمیّتة و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فیحدّ، لعدم الفرق فی اصل الجنایة، و لا فی القذف بین و قوعه علی الحیّ و المیّت و الحیّة و المیّته بلا اشکال و لاخلاف، لأطاق الأدلّة، و قد سبق فی باب الزّنا بعض الرّوایات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 الحکم مسندة الجعفریّات</w:t>
      </w:r>
      <w:r>
        <w:rPr>
          <w:rStyle w:val="FootnoteAnchor"/>
          <w:rtl w:val="true"/>
        </w:rPr>
        <w:footnoteReference w:id="1482"/>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الّذی یقذف المرأة المسلمة،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یجلد الحدّ حیّة کانت او میّتة، شاهدة کانت او غائبة</w:t>
      </w:r>
      <w:r>
        <w:rPr>
          <w:rFonts w:eastAsia="IRNazanin" w:cs="IRNazanin"/>
          <w:color w:val="111111"/>
          <w:sz w:val="28"/>
          <w:szCs w:val="28"/>
          <w:rtl w:val="true"/>
          <w:lang w:bidi="fa-IR"/>
        </w:rPr>
        <w:t>.</w:t>
      </w:r>
      <w:bookmarkStart w:id="558" w:name="pg3023_22870"/>
    </w:p>
    <w:p>
      <w:pPr>
        <w:pStyle w:val="Heading3"/>
        <w:numPr>
          <w:ilvl w:val="2"/>
          <w:numId w:val="1"/>
        </w:numPr>
        <w:rPr/>
      </w:pPr>
      <w:bookmarkStart w:id="559" w:name="__RefHeading___Toc657029_2749589250"/>
      <w:bookmarkStart w:id="560" w:name="_Toc201"/>
      <w:bookmarkEnd w:id="558"/>
      <w:bookmarkEnd w:id="559"/>
      <w:r>
        <w:rPr>
          <w:rtl w:val="true"/>
        </w:rPr>
        <w:t>فی حدّ القذف</w:t>
      </w:r>
      <w:bookmarkEnd w:id="560"/>
    </w:p>
    <w:p>
      <w:pPr>
        <w:pStyle w:val="Heading4"/>
        <w:numPr>
          <w:ilvl w:val="3"/>
          <w:numId w:val="1"/>
        </w:numPr>
        <w:rPr/>
      </w:pPr>
      <w:bookmarkStart w:id="561" w:name="__RefHeading___Toc657031_2749589250"/>
      <w:bookmarkStart w:id="562" w:name="_Toc202"/>
      <w:bookmarkEnd w:id="561"/>
      <w:r>
        <w:rPr>
          <w:rtl w:val="true"/>
        </w:rPr>
        <w:t>حدّه ثمانون جلدة ذکراً کان او انثی</w:t>
      </w:r>
      <w:bookmarkEnd w:id="562"/>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القذف ثمانون جلدة، ذکراً کان او انثی حرّاً او مملوکاً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فی حدّ القذف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اشکال و لا خلاف فی انّ الحدّ لغیر المملوک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ثمانون جلدة ذکراً کان او انثی، و یدلّ علیه الکتاب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 تعالی</w:t>
      </w:r>
      <w:r>
        <w:rPr>
          <w:rFonts w:eastAsia="IRNazanin" w:cs="IRNazanin"/>
          <w:color w:val="111111"/>
          <w:sz w:val="28"/>
          <w:szCs w:val="28"/>
          <w:rtl w:val="true"/>
          <w:lang w:bidi="fa-IR"/>
        </w:rPr>
        <w:t>:</w:t>
      </w:r>
      <w:r>
        <w:rPr>
          <w:rStyle w:val="FootnoteAnchor"/>
          <w:rtl w:val="true"/>
        </w:rPr>
        <w:footnoteReference w:id="1483"/>
      </w:r>
      <w:r>
        <w:rPr>
          <w:rFonts w:ascii="IRNazanin" w:hAnsi="IRNazanin" w:eastAsia="IRNazanin"/>
          <w:color w:val="111111"/>
          <w:sz w:val="28"/>
          <w:sz w:val="28"/>
          <w:szCs w:val="28"/>
          <w:rtl w:val="true"/>
          <w:lang w:bidi="fa-IR"/>
        </w:rPr>
        <w:t>و الّذین یرمون المحصنات ثمّ لم یأتوا بأربعة شهداء فاجلدوهم ثمانین جلدة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فروایات مستفیضة بل متواترة، منها صحیحة ابی بصیر</w:t>
      </w:r>
      <w:r>
        <w:rPr>
          <w:rStyle w:val="FootnoteAnchor"/>
          <w:rtl w:val="true"/>
        </w:rPr>
        <w:footnoteReference w:id="1484"/>
      </w:r>
      <w:r>
        <w:rPr>
          <w:rFonts w:ascii="IRNazanin" w:hAnsi="IRNazanin" w:eastAsia="IRNazanin"/>
          <w:color w:val="111111"/>
          <w:sz w:val="28"/>
          <w:sz w:val="28"/>
          <w:szCs w:val="28"/>
          <w:rtl w:val="true"/>
          <w:lang w:bidi="fa-IR"/>
        </w:rPr>
        <w:t xml:space="preserve">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امرأة قذفت رجلاً،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تجلد ثمانین جلدة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نحوها ما فی 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معتبرة السّکونی</w:t>
      </w:r>
      <w:r>
        <w:rPr>
          <w:rStyle w:val="FootnoteAnchor"/>
          <w:rtl w:val="true"/>
        </w:rPr>
        <w:footnoteReference w:id="1486"/>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سألت الفاجرة من فجر بک، فقالت؛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علیها حدّیّن،حدّاً من فجورها، وحدّاً من فریتها علی الرّجل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مارواه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1487"/>
      </w:r>
      <w:r>
        <w:rPr>
          <w:rFonts w:ascii="IRNazanin" w:hAnsi="IRNazanin" w:eastAsia="IRNazanin"/>
          <w:color w:val="111111"/>
          <w:sz w:val="28"/>
          <w:sz w:val="28"/>
          <w:szCs w:val="28"/>
          <w:rtl w:val="true"/>
          <w:lang w:bidi="fa-IR"/>
        </w:rPr>
        <w:t xml:space="preserve">فی العلل و العیون بأسانیده عن محمّد بن سنان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کتب الیه، و علّة ضرب القاذف و شارب الخمر ثمانین جلدة، لأنّ فی القذف نفی الولد و قطع النّسل و ذهاب النّسب، و کذلک شارب الخمر، لأنّه اذا شرب هذی و اذا هذی افتری، فوجب علیهه حدّ المفتری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صحیحة حریز</w:t>
      </w:r>
      <w:r>
        <w:rPr>
          <w:rStyle w:val="FootnoteAnchor"/>
          <w:rtl w:val="true"/>
        </w:rPr>
        <w:footnoteReference w:id="1488"/>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القاذف یجلد ثمانین جلدة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یشهد لذلک مارواه احمد بن محمّد بن عیسی فی نوادره</w:t>
      </w:r>
      <w:r>
        <w:rPr>
          <w:rStyle w:val="FootnoteAnchor"/>
          <w:rtl w:val="true"/>
        </w:rPr>
        <w:footnoteReference w:id="1489"/>
      </w:r>
      <w:r>
        <w:rPr>
          <w:rFonts w:ascii="IRNazanin" w:hAnsi="IRNazanin" w:eastAsia="IRNazanin"/>
          <w:color w:val="111111"/>
          <w:sz w:val="28"/>
          <w:sz w:val="28"/>
          <w:szCs w:val="28"/>
          <w:rtl w:val="true"/>
          <w:lang w:bidi="fa-IR"/>
        </w:rPr>
        <w:t xml:space="preserve">عن ابن سنان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الفریة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رمی الرّجل بالزّنا، و اذا قال انّ امّه زانیة، و اذا دعی لغیر ابیه حدّه ثمانون</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عن ابن مسکان</w:t>
      </w:r>
      <w:r>
        <w:rPr>
          <w:rStyle w:val="FootnoteAnchor"/>
          <w:rtl w:val="true"/>
        </w:rPr>
        <w:footnoteReference w:id="1490"/>
      </w:r>
      <w:r>
        <w:rPr>
          <w:rFonts w:ascii="IRNazanin" w:hAnsi="IRNazanin" w:eastAsia="IRNazanin"/>
          <w:color w:val="111111"/>
          <w:sz w:val="28"/>
          <w:sz w:val="28"/>
          <w:szCs w:val="28"/>
          <w:rtl w:val="true"/>
          <w:lang w:bidi="fa-IR"/>
        </w:rPr>
        <w:t>عن ابی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bookmarkStart w:id="563" w:name="pg3023_22871"/>
    </w:p>
    <w:p>
      <w:pPr>
        <w:pStyle w:val="Heading4"/>
        <w:numPr>
          <w:ilvl w:val="3"/>
          <w:numId w:val="1"/>
        </w:numPr>
        <w:rPr/>
      </w:pPr>
      <w:bookmarkStart w:id="564" w:name="__RefHeading___Toc657033_2749589250"/>
      <w:bookmarkStart w:id="565" w:name="_Toc203"/>
      <w:bookmarkEnd w:id="563"/>
      <w:bookmarkEnd w:id="564"/>
      <w:r>
        <w:rPr>
          <w:rtl w:val="true"/>
        </w:rPr>
        <w:t>(</w:t>
      </w:r>
      <w:r>
        <w:rPr>
          <w:rtl w:val="true"/>
        </w:rPr>
        <w:t>مسائل</w:t>
      </w:r>
      <w:r>
        <w:rPr>
          <w:rtl w:val="true"/>
        </w:rPr>
        <w:t>)</w:t>
      </w:r>
      <w:bookmarkEnd w:id="565"/>
    </w:p>
    <w:p>
      <w:pPr>
        <w:pStyle w:val="Heading5"/>
        <w:numPr>
          <w:ilvl w:val="4"/>
          <w:numId w:val="1"/>
        </w:numPr>
        <w:rPr/>
      </w:pPr>
      <w:bookmarkStart w:id="566" w:name="__RefHeading___Toc657035_2749589250"/>
      <w:bookmarkStart w:id="567" w:name="_Toc204"/>
      <w:bookmarkEnd w:id="566"/>
      <w:r>
        <w:rPr>
          <w:rtl w:val="true"/>
        </w:rPr>
        <w:t>الاولی</w:t>
      </w:r>
      <w:r>
        <w:rPr>
          <w:rtl w:val="true"/>
        </w:rPr>
        <w:t xml:space="preserve">: </w:t>
      </w:r>
      <w:r>
        <w:rPr>
          <w:rtl w:val="true"/>
        </w:rPr>
        <w:t>یجلد جلداً متوسّطاً و ینزع منه الرّداء و یجرّد</w:t>
      </w:r>
      <w:bookmarkEnd w:id="567"/>
    </w:p>
    <w:p>
      <w:pPr>
        <w:pStyle w:val="BookText"/>
        <w:rPr/>
      </w:pPr>
      <w:r>
        <w:rPr>
          <w:rFonts w:ascii="Amiri" w:hAnsi="Amiri" w:eastAsia="Amiri" w:cs="Amiri"/>
          <w:color w:val="111111"/>
          <w:sz w:val="28"/>
          <w:sz w:val="28"/>
          <w:szCs w:val="28"/>
          <w:rtl w:val="true"/>
          <w:lang w:bidi="ar-SA"/>
        </w:rPr>
        <w:t xml:space="preserve">مسئلة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یجلد جلداً متوسّطاً و لا یجرّد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ینزع منه الرّداء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یرمون ازواجهم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الرّجل یقذف امرأته، فأذا اقرّ انّه کذب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الحدّ، ثمانین ـ الخبر ـ و یؤیّد الحکم مرسلة الدّعائم</w:t>
      </w:r>
      <w:r>
        <w:rPr>
          <w:rStyle w:val="FootnoteAnchor"/>
          <w:rtl w:val="true"/>
        </w:rPr>
        <w:footnoteReference w:id="1491"/>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القاذف ثمانون جلدة، کما قال الله جلّ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فی 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14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یرحمک الله، اذا قذف مسلم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القاذف ثمانون جلدة، 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قذفت المرأة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جلدت ثمانین جلدة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تقدّمت معتبرات اخری فی الأبحاث السّابقة، تدلّ علی المطلوب کما سبق انّ المملوک ذکراً او انثی یجلد ثمانون کالحرّ و الحرّة، لکون حدّ القذف من حقوق النّاس و لا ینصّف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الجلد فی المقام یکون متوسّطاً بین الجلدین، و لا یجردّ بلا خلاف و 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ورد فی نزع الرّداء معتبرة السّکونیّ</w:t>
      </w:r>
      <w:r>
        <w:rPr>
          <w:rStyle w:val="FootnoteAnchor"/>
          <w:rtl w:val="true"/>
        </w:rPr>
        <w:footnoteReference w:id="1493"/>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 ینزع شیء من ثیاب القاذف الاّ الرّداء</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اسحاق بن عمّار</w:t>
      </w:r>
      <w:r>
        <w:rPr>
          <w:rStyle w:val="FootnoteAnchor"/>
          <w:rtl w:val="true"/>
        </w:rPr>
        <w:footnoteReference w:id="1494"/>
      </w:r>
      <w:r>
        <w:rPr>
          <w:rFonts w:ascii="IRNazanin" w:hAnsi="IRNazanin" w:eastAsia="IRNazanin"/>
          <w:color w:val="111111"/>
          <w:sz w:val="28"/>
          <w:sz w:val="28"/>
          <w:szCs w:val="28"/>
          <w:rtl w:val="true"/>
          <w:lang w:bidi="fa-IR"/>
        </w:rPr>
        <w:t xml:space="preserve">فی مارواه احمد بن محمّد بن عیسی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یجلد الزّانی أشدّ الحدین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ثیابه؟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یخلع ثیابه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فالمفتری؟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بین الضّربین، فوق الثّیاب، یضرب جسده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معتبرة سماعة بن مهران</w:t>
      </w:r>
      <w:r>
        <w:rPr>
          <w:rStyle w:val="FootnoteAnchor"/>
          <w:rtl w:val="true"/>
        </w:rPr>
        <w:footnoteReference w:id="149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یفتری کیف ینبغی للأمام ان یضربه؟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بین الجلدین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معتبرة اسحاق بن عمّار</w:t>
      </w:r>
      <w:r>
        <w:rPr>
          <w:rStyle w:val="FootnoteAnchor"/>
          <w:rtl w:val="true"/>
        </w:rPr>
        <w:footnoteReference w:id="1496"/>
      </w:r>
      <w:r>
        <w:rPr>
          <w:rFonts w:ascii="IRNazanin" w:hAnsi="IRNazanin" w:eastAsia="IRNazanin"/>
          <w:color w:val="111111"/>
          <w:sz w:val="28"/>
          <w:sz w:val="28"/>
          <w:szCs w:val="28"/>
          <w:rtl w:val="true"/>
          <w:lang w:bidi="fa-IR"/>
        </w:rPr>
        <w:t xml:space="preserve">عن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المفتری ضرباً بین الضّربین، یضرب جسده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معتبرته الأخری</w:t>
      </w:r>
      <w:r>
        <w:rPr>
          <w:rStyle w:val="FootnoteAnchor"/>
          <w:rtl w:val="true"/>
        </w:rPr>
        <w:footnoteReference w:id="1497"/>
      </w:r>
      <w:r>
        <w:rPr>
          <w:rFonts w:ascii="IRNazanin" w:hAnsi="IRNazanin" w:eastAsia="IRNazanin"/>
          <w:color w:val="111111"/>
          <w:sz w:val="28"/>
          <w:sz w:val="28"/>
          <w:szCs w:val="28"/>
          <w:rtl w:val="true"/>
          <w:lang w:bidi="fa-IR"/>
        </w:rPr>
        <w:t xml:space="preserve">ایضاً عن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المفتری یضرب بین الضّربین، یضرب جسده کلّه فوق ثیابه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قریب منها مارواه فی قرب الأسناد</w:t>
      </w:r>
      <w:r>
        <w:rPr>
          <w:rStyle w:val="FootnoteAnchor"/>
          <w:rtl w:val="true"/>
        </w:rPr>
        <w:footnoteReference w:id="1498"/>
      </w:r>
      <w:r>
        <w:rPr>
          <w:rFonts w:ascii="IRNazanin" w:hAnsi="IRNazanin" w:eastAsia="IRNazanin"/>
          <w:color w:val="111111"/>
          <w:sz w:val="28"/>
          <w:sz w:val="28"/>
          <w:szCs w:val="28"/>
          <w:rtl w:val="true"/>
          <w:lang w:bidi="fa-IR"/>
        </w:rPr>
        <w:t>عن علیّ عن اخیه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یجلد الزّانی اشدّ الجلد، و جلد المفتری بین الجلدین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ضعیفة ابی البختریّ</w:t>
      </w:r>
      <w:r>
        <w:rPr>
          <w:rStyle w:val="FootnoteAnchor"/>
          <w:rtl w:val="true"/>
        </w:rPr>
        <w:footnoteReference w:id="1499"/>
      </w:r>
      <w:r>
        <w:rPr>
          <w:rFonts w:ascii="IRNazanin" w:hAnsi="IRNazanin" w:eastAsia="IRNazanin"/>
          <w:color w:val="111111"/>
          <w:sz w:val="28"/>
          <w:sz w:val="28"/>
          <w:szCs w:val="28"/>
          <w:rtl w:val="true"/>
          <w:lang w:bidi="fa-IR"/>
        </w:rPr>
        <w:t xml:space="preserve"> عن جعفر عن ابیه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الزّانی اشدّ من حدّ القذف و حدّ الشّارب اشدّ من حدّ القاذف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 ما ذکر روایة مسمع بن عبد الملک</w:t>
      </w:r>
      <w:r>
        <w:rPr>
          <w:rStyle w:val="FootnoteAnchor"/>
          <w:rtl w:val="true"/>
        </w:rPr>
        <w:footnoteReference w:id="1500"/>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الزّانی اشدّ ضرباً من شارب الخمر و شارب الخمر اشدّ ضرباً من القاذف و القاذف اشدّ ضرباً من التّعزیر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مسندة الجعفریّات</w:t>
      </w:r>
      <w:r>
        <w:rPr>
          <w:rStyle w:val="FootnoteAnchor"/>
          <w:rtl w:val="true"/>
        </w:rPr>
        <w:footnoteReference w:id="1501"/>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الزّانی اشدّ من جلد القاذف و جلد القاذف اشدّ من جلد الشّارب و جلد الشّارب اشدّ من جلد التّعزیر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دعائم الأسلام</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فی صحیحة محمّد بن قیس</w:t>
      </w:r>
      <w:r>
        <w:rPr>
          <w:rStyle w:val="FootnoteAnchor"/>
          <w:rtl w:val="true"/>
        </w:rPr>
        <w:footnoteReference w:id="1503"/>
      </w:r>
      <w:r>
        <w:rPr>
          <w:rFonts w:ascii="IRNazanin" w:hAnsi="IRNazanin" w:eastAsia="IRNazanin"/>
          <w:color w:val="111111"/>
          <w:sz w:val="28"/>
          <w:sz w:val="28"/>
          <w:szCs w:val="28"/>
          <w:rtl w:val="true"/>
          <w:lang w:bidi="fa-IR"/>
        </w:rPr>
        <w:t xml:space="preserve">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المملوک یدعوا الرّجل لغیر ابیه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ان یعری جلده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یقاوم ظهور تلک الأخبار، مضافاً الی عدم ثبوت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الوافی</w:t>
      </w:r>
      <w:r>
        <w:rPr>
          <w:rStyle w:val="FootnoteAnchor"/>
          <w:rtl w:val="true"/>
        </w:rPr>
        <w:footnoteReference w:id="1504"/>
      </w:r>
      <w:r>
        <w:rPr>
          <w:rFonts w:ascii="IRNazanin" w:hAnsi="IRNazanin" w:eastAsia="IRNazanin"/>
          <w:color w:val="111111"/>
          <w:sz w:val="28"/>
          <w:sz w:val="28"/>
          <w:szCs w:val="28"/>
          <w:rtl w:val="true"/>
          <w:lang w:bidi="fa-IR"/>
        </w:rPr>
        <w:t>و الجواهر عن</w:t>
      </w:r>
      <w:bookmarkStart w:id="568" w:name="pg3023_22873"/>
    </w:p>
    <w:p>
      <w:pPr>
        <w:pStyle w:val="Heading5"/>
        <w:numPr>
          <w:ilvl w:val="4"/>
          <w:numId w:val="1"/>
        </w:numPr>
        <w:rPr/>
      </w:pPr>
      <w:bookmarkStart w:id="569" w:name="__RefHeading___Toc657037_2749589250"/>
      <w:bookmarkStart w:id="570" w:name="_Toc205"/>
      <w:bookmarkEnd w:id="568"/>
      <w:bookmarkEnd w:id="569"/>
      <w:r>
        <w:rPr>
          <w:rtl w:val="true"/>
        </w:rPr>
        <w:t>الثّانیة</w:t>
      </w:r>
      <w:r>
        <w:rPr>
          <w:rtl w:val="true"/>
        </w:rPr>
        <w:t xml:space="preserve">: </w:t>
      </w:r>
      <w:r>
        <w:rPr>
          <w:rtl w:val="true"/>
        </w:rPr>
        <w:t>الاشکال فی تشهیر القاذف</w:t>
      </w:r>
      <w:bookmarkEnd w:id="570"/>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یشهر القاذف، لتجتنب شهادته، و فیه اشکال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بالعین المهملة، لکن فیهما بالفاء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فسّره فی الجواهر بالشّق، و احتمل فی المهملة عن عراه یعروه اذا أتاه، وجلده بالفتح، ای اری ان یحضر النّاس جلده حدّاً او دونه، کما احتمل کونه باعجام العین و تضفیف الرّاء و البناء للفاعل من التّغریة و انّه بمعنی ان یلصق الغراء بجلده کنایة عن توطین النّفس للحدّ او التّعزیر، و لا یخفی بعد هذه الأحتمالات، و مجرّد التّردد بین یفری و یعری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 فی سقوط الأستدلال و المعارضة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الشّرایع و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یشهر القاذف، لتجتنب شهادته، و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یشهر شاهد الزّور، لأشتراک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اشکال فی حرمة شهادة الزّور، و یجلد الشّاهد حسب ما یراه الأمام، و یشهر و لا تقبل شهادته؛ حتّی یکذب نفسه و یتوب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معتبرة سماعة</w:t>
      </w:r>
      <w:r>
        <w:rPr>
          <w:rStyle w:val="FootnoteAnchor"/>
          <w:rtl w:val="true"/>
        </w:rPr>
        <w:footnoteReference w:id="1505"/>
      </w:r>
      <w:r>
        <w:rPr>
          <w:rFonts w:ascii="IRNazanin" w:hAnsi="IRNazanin" w:eastAsia="IRNazanin"/>
          <w:color w:val="111111"/>
          <w:sz w:val="28"/>
          <w:sz w:val="28"/>
          <w:szCs w:val="28"/>
          <w:rtl w:val="true"/>
          <w:lang w:bidi="fa-IR"/>
        </w:rPr>
        <w:t>المضمرة،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شهود زور؟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یجلدون حدّاً لیس له وقت فذلک الی الأمام، و یطاف به حتی یعرفهم النّاس، و امّا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تقبلوا لهم شهادة ابداً الاّ الّذین تابوا،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تعرف توبتهم؟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یکذب نفسه علی رؤس النّاس حتّی یضرب و یستغفر ربّه، فاذا فعل ذلک فقد ظهرت توبته</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نحوها معتبرته</w:t>
      </w:r>
      <w:r>
        <w:rPr>
          <w:rStyle w:val="FootnoteAnchor"/>
          <w:rtl w:val="true"/>
        </w:rPr>
        <w:footnoteReference w:id="1506"/>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روایة عبدالله بن سنان</w:t>
      </w:r>
      <w:r>
        <w:rPr>
          <w:rStyle w:val="FootnoteAnchor"/>
          <w:rtl w:val="true"/>
        </w:rPr>
        <w:footnoteReference w:id="1507"/>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معتبرة سماعة</w:t>
      </w:r>
      <w:r>
        <w:rPr>
          <w:rStyle w:val="FootnoteAnchor"/>
          <w:rtl w:val="true"/>
        </w:rPr>
        <w:footnoteReference w:id="1508"/>
      </w:r>
      <w:r>
        <w:rPr>
          <w:rFonts w:ascii="Amiri" w:hAnsi="Amiri" w:eastAsia="Amiri" w:cs="Amiri"/>
          <w:color w:val="111111"/>
          <w:sz w:val="28"/>
          <w:sz w:val="28"/>
          <w:szCs w:val="28"/>
          <w:rtl w:val="true"/>
          <w:lang w:bidi="ar-SA"/>
        </w:rPr>
        <w:t xml:space="preserve">الثّالثة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معتبرته</w:t>
      </w:r>
      <w:r>
        <w:rPr>
          <w:rStyle w:val="FootnoteAnchor"/>
          <w:rtl w:val="true"/>
        </w:rPr>
        <w:footnoteReference w:id="1509"/>
      </w:r>
      <w:r>
        <w:rPr>
          <w:rFonts w:ascii="IRNazanin" w:hAnsi="IRNazanin" w:eastAsia="IRNazanin"/>
          <w:color w:val="111111"/>
          <w:sz w:val="28"/>
          <w:sz w:val="28"/>
          <w:szCs w:val="28"/>
          <w:rtl w:val="true"/>
          <w:lang w:bidi="fa-IR"/>
        </w:rPr>
        <w:t xml:space="preserve">الرّابعة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571" w:name="pg3023_22874"/>
    </w:p>
    <w:p>
      <w:pPr>
        <w:pStyle w:val="Heading5"/>
        <w:numPr>
          <w:ilvl w:val="4"/>
          <w:numId w:val="1"/>
        </w:numPr>
        <w:rPr/>
      </w:pPr>
      <w:bookmarkStart w:id="572" w:name="__RefHeading___Toc657039_2749589250"/>
      <w:bookmarkStart w:id="573" w:name="_Toc206"/>
      <w:bookmarkEnd w:id="571"/>
      <w:bookmarkEnd w:id="572"/>
      <w:r>
        <w:rPr>
          <w:rtl w:val="true"/>
        </w:rPr>
        <w:t>الثّالثة</w:t>
      </w:r>
      <w:r>
        <w:rPr>
          <w:rtl w:val="true"/>
        </w:rPr>
        <w:t xml:space="preserve">: </w:t>
      </w:r>
      <w:r>
        <w:rPr>
          <w:rtl w:val="true"/>
        </w:rPr>
        <w:t>لو قذف شخصاً مکرراً فیحدّ حدّاً واحداً فان حدّ و قذف یحدّ ثانیاً</w:t>
      </w:r>
      <w:bookmarkEnd w:id="573"/>
    </w:p>
    <w:p>
      <w:pPr>
        <w:pStyle w:val="BookText"/>
        <w:rPr/>
      </w:pPr>
      <w:r>
        <w:rPr>
          <w:rFonts w:ascii="Amiri" w:hAnsi="Amiri" w:eastAsia="Amiri" w:cs="Amiri"/>
          <w:color w:val="111111"/>
          <w:sz w:val="28"/>
          <w:sz w:val="28"/>
          <w:szCs w:val="28"/>
          <w:rtl w:val="true"/>
          <w:lang w:bidi="ar-SA"/>
        </w:rPr>
        <w:t xml:space="preserve">مسئلة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قذف شخصاً مکرّراً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فیحدّ حدّاً و احداً، فأن حدّ و قذف و کان صریحاً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فیحدّ ثانیاً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معتبرة غیاث</w:t>
      </w:r>
      <w:r>
        <w:rPr>
          <w:rStyle w:val="FootnoteAnchor"/>
          <w:rtl w:val="true"/>
        </w:rPr>
        <w:footnoteReference w:id="1510"/>
      </w:r>
      <w:r>
        <w:rPr>
          <w:rFonts w:ascii="IRNazanin" w:hAnsi="IRNazanin" w:eastAsia="IRNazanin"/>
          <w:color w:val="111111"/>
          <w:sz w:val="28"/>
          <w:sz w:val="28"/>
          <w:szCs w:val="28"/>
          <w:rtl w:val="true"/>
          <w:lang w:bidi="fa-IR"/>
        </w:rPr>
        <w:t xml:space="preserve">بن ابراهیم عن جعفر عن ابیه انّ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اذا اخذ شاهد زور؛ فان کان غریباً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به الی حیّه، و ان کان سوقیّاً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به الی سوقه فطیف به، ثمّ یحبسه ایاماً، ثمّ یخلّی 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مرسلة الدّعائم</w:t>
      </w:r>
      <w:r>
        <w:rPr>
          <w:rStyle w:val="FootnoteAnchor"/>
          <w:rtl w:val="true"/>
        </w:rPr>
        <w:footnoteReference w:id="1511"/>
      </w:r>
      <w:r>
        <w:rPr>
          <w:rFonts w:ascii="IRNazanin" w:hAnsi="IRNazanin" w:eastAsia="IRNazanin"/>
          <w:color w:val="111111"/>
          <w:sz w:val="28"/>
          <w:sz w:val="28"/>
          <w:szCs w:val="28"/>
          <w:rtl w:val="true"/>
          <w:lang w:bidi="fa-IR"/>
        </w:rPr>
        <w:t xml:space="preserve">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المعتبرة الأولی 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یعرفه النّاس، قال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تاب بعد ذلک و اصلح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شهادته وردّ ما کان منه قائماً علی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کون القاذف شاهد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علی اطلاقه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قذف انساناً مکرّراً؛ فان لم یحدّ للسّابق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یحدّ للّاحق، و ان حدّ ثمّ قذف فعلیه الحدّ ؛ اذا کان القذف صریحاً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قلت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فلا یحدّ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هذا التّفصیل بعد أن لا اشکال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محمدّ بن مسلم</w:t>
      </w:r>
      <w:r>
        <w:rPr>
          <w:rStyle w:val="FootnoteAnchor"/>
          <w:rtl w:val="true"/>
        </w:rPr>
        <w:footnoteReference w:id="1512"/>
      </w:r>
      <w:r>
        <w:rPr>
          <w:rFonts w:ascii="IRNazanin" w:hAnsi="IRNazanin" w:eastAsia="IRNazanin"/>
          <w:color w:val="111111"/>
          <w:sz w:val="28"/>
          <w:sz w:val="28"/>
          <w:szCs w:val="28"/>
          <w:rtl w:val="true"/>
          <w:lang w:bidi="fa-IR"/>
        </w:rPr>
        <w:t xml:space="preserve">عن ابی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الرّجل یقذف الرّجل، فیجلد فیعود علیه باقذف؟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 قلت لک حقّ لم یجلد، و ان قذفه بالزّنا بعد ما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الحدّ، و این قذفه قبل ما یجلد بعشر قذفات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علیه الاّ حدّ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نحوه فی مقنع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مرسلة الدّعائم</w:t>
      </w:r>
      <w:r>
        <w:rPr>
          <w:rStyle w:val="FootnoteAnchor"/>
          <w:rtl w:val="true"/>
        </w:rPr>
        <w:footnoteReference w:id="1514"/>
      </w:r>
      <w:r>
        <w:rPr>
          <w:rFonts w:ascii="IRNazanin" w:hAnsi="IRNazanin" w:eastAsia="IRNazanin"/>
          <w:color w:val="111111"/>
          <w:sz w:val="28"/>
          <w:sz w:val="28"/>
          <w:szCs w:val="28"/>
          <w:rtl w:val="true"/>
          <w:lang w:bidi="fa-IR"/>
        </w:rPr>
        <w:t xml:space="preserve">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قذف رجلاً؛ فضرب احرّ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قلت فیک الاّ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یحدّ علیه حدّتان، و ان عاد فقذفه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 ذیلها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الفرق بین قذفها ثانیاً و ثالثاً بعین ماقذفه</w:t>
      </w:r>
      <w:bookmarkStart w:id="574" w:name="pg3023_22875"/>
    </w:p>
    <w:p>
      <w:pPr>
        <w:pStyle w:val="Heading5"/>
        <w:numPr>
          <w:ilvl w:val="4"/>
          <w:numId w:val="1"/>
        </w:numPr>
        <w:rPr/>
      </w:pPr>
      <w:bookmarkStart w:id="575" w:name="__RefHeading___Toc657041_2749589250"/>
      <w:bookmarkStart w:id="576" w:name="_Toc207"/>
      <w:bookmarkEnd w:id="574"/>
      <w:bookmarkEnd w:id="575"/>
      <w:r>
        <w:rPr>
          <w:rtl w:val="true"/>
        </w:rPr>
        <w:t>الرّابعة</w:t>
      </w:r>
      <w:r>
        <w:rPr>
          <w:rtl w:val="true"/>
        </w:rPr>
        <w:t xml:space="preserve">: </w:t>
      </w:r>
      <w:r>
        <w:rPr>
          <w:rtl w:val="true"/>
        </w:rPr>
        <w:t>لو اتّحد المقذوف و تعدّد القاذف فعلی کلّ واحد حدّ و فی العکس</w:t>
      </w:r>
      <w:bookmarkEnd w:id="576"/>
    </w:p>
    <w:p>
      <w:pPr>
        <w:pStyle w:val="BookText"/>
        <w:rPr/>
      </w:pPr>
      <w:r>
        <w:rPr>
          <w:rFonts w:ascii="Amiri" w:hAnsi="Amiri" w:eastAsia="Amiri" w:cs="Amiri"/>
          <w:color w:val="111111"/>
          <w:sz w:val="28"/>
          <w:sz w:val="28"/>
          <w:szCs w:val="28"/>
          <w:rtl w:val="true"/>
          <w:lang w:bidi="ar-SA"/>
        </w:rPr>
        <w:t>ضرب لکلّ حدّاً ان اتوا به متفرّقین و ان اتوابه مجتمعین حدّاً واحداً ان جمعهم فی القذف</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اتّحد المقذوف و تعدّد القاذف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کلّ واحد حدّ، و له العفو عن البعض و مطالبته الحدّ للآخر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اتّحد القاذف و تعدّد المقذوف؛ فان اتوا به متفرّقین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لکلّ واحد حدّاً، و ان اتوا به مجتمعین یضرب حدّاً واحداً؛ ان جمعهم فی القذف، و الاّ فلکلّ واحد 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به اوّلاً او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قذفه بالزّنا ولم یحدّ ثمّ قذفه باللّواط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فیحدّ حدّاً واحداً، کما مال الیه فی الجواهر، و یحتمل انصرافه الی خصوص الجنایة الّتی نسبها الیه اوّلاً، ففی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یحدّ حدّین، حدّاً للزّنا و حدّاً آخر لقذفه باللّواط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یؤیّده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فان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 قلت لک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الّذی اختاره فی کشف اللّثام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اتّحد المقذوف، کأن قذفه مرّة بالزّنا و اخری باللّواط و اخری بأنّه ملوط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فعلیه لکلّ حدّ ؛ و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یتخلّل الحدّ، فانّ الأجماع و النّصوص دلّت علی ایجاب الرّمی بالزّنا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 ثمانین، اتّحد او تکرّر، و کذا الرّمی باللّواط، و هکذا بأنّه ملوط، و لا دلیل علی تداخلها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ذکره قریب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اتّحد المقذوف و تعدّد القاذف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کلّ واحد من القاذفین حدّ، و للمقذوف ان یعفو عن بعض و یطالب الأخر بالحدّ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انعکس، بان اتحدّ القاذف  و تعدّد المقذوف؛ فان اتوا به متفرّقین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لکلّ حدّاً، سواء کان قذفهم بکلمة واحدة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اتوا به مجتمعین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حدّاً واحداً؛ ان جمعهم فی القذف، ولکلّ واحداً حدّاً؛ ان فرّق بینهم فیه</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المشهور، و خالف الأسکافیّ، فجعل الحدّ واحداً؛ اذا جمعهم فی القذف، و اعتبر فیما اذا قذفهم متفرّقین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الأتیان به کذلک، والاّ ضرب حدّاً واحداً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قال فی الخلاف</w:t>
      </w:r>
      <w:r>
        <w:rPr>
          <w:rStyle w:val="FootnoteAnchor"/>
          <w:rtl w:val="true"/>
        </w:rPr>
        <w:footnoteReference w:id="15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قذف الرّجل اربع نسووة اجنبیّات بکلمة واحدة، او قذف اربعة رجال اجانب، او قذف اربع نسوة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فالحکم فی الجمیع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یجب علیه حدّ واحد للجمیع؟ او یجب علیه حدّ کامل لکلّ واحدة من المقذوفات؟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ان جائوا به متفرّقین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لکلّ واحد منهم حدّ کامل، و ان جائوا به مجتمعین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علیه لجمیعهم حدّ واحد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وللشّافعیّ فیه قولان</w:t>
      </w:r>
      <w:r>
        <w:rPr>
          <w:rStyle w:val="FootnoteAnchor"/>
          <w:rtl w:val="true"/>
        </w:rPr>
        <w:footnoteReference w:id="1516"/>
      </w:r>
      <w:r>
        <w:rPr>
          <w:rFonts w:ascii="IRNazanin" w:hAnsi="IRNazanin" w:eastAsia="IRNazanin"/>
          <w:color w:val="111111"/>
          <w:sz w:val="28"/>
          <w:sz w:val="28"/>
          <w:szCs w:val="28"/>
          <w:rtl w:val="true"/>
          <w:lang w:bidi="fa-IR"/>
        </w:rPr>
        <w:t>، قال فی 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لکلّ واحد حدّ کامل، و هو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الأصحّ، و قال فی القدیم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لجمیعهم حدّ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استدلّ بأجماع الفرقة و اخباره، و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یرمون المحصنات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به کلّ واحد من الرّامین و المحصنات، فأوجب الحدّ لکلّ واحدة منهنّ، فمن ادّعی تداخله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اذا جائوا به مجتمعین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او جبنا علیه حدّاً  واحداً، لأجماع الفرقة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المشهور الرّوایات الواردة فی المقام؛ بعد الجمع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صحیحة جمیل بن درّاج</w:t>
      </w:r>
      <w:r>
        <w:rPr>
          <w:rStyle w:val="FootnoteAnchor"/>
          <w:rtl w:val="true"/>
        </w:rPr>
        <w:footnoteReference w:id="1517"/>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افتری علی قوم جماعة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اتو ا به مجتمعین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حدّاً واحداً، و ان اتوا به متفرّقیّن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لکلّ منهم 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نحوها معتبرة یونس</w:t>
      </w:r>
      <w:r>
        <w:rPr>
          <w:rStyle w:val="FootnoteAnchor"/>
          <w:rtl w:val="true"/>
        </w:rPr>
        <w:footnoteReference w:id="1518"/>
      </w:r>
      <w:r>
        <w:rPr>
          <w:rFonts w:ascii="IRNazanin" w:hAnsi="IRNazanin" w:eastAsia="IRNazanin"/>
          <w:color w:val="111111"/>
          <w:sz w:val="28"/>
          <w:sz w:val="28"/>
          <w:szCs w:val="28"/>
          <w:rtl w:val="true"/>
          <w:lang w:bidi="fa-IR"/>
        </w:rPr>
        <w:t>عن سماعة، و اخری عن محمّد بن حمران</w:t>
      </w:r>
      <w:r>
        <w:rPr>
          <w:rStyle w:val="FootnoteAnchor"/>
          <w:rtl w:val="true"/>
        </w:rPr>
        <w:footnoteReference w:id="1519"/>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یشهد لذلک مارواه فی البحار</w:t>
      </w:r>
      <w:r>
        <w:rPr>
          <w:rStyle w:val="FootnoteAnchor"/>
          <w:rtl w:val="true"/>
        </w:rPr>
        <w:footnoteReference w:id="15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قذف قوماً و هم جلوس فی مجلس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یجلد حدّاً واحداً، و لیس لمن عفی عن المفتری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فی الحدّ، و المفتری علی الجماعة؛ ان اتوا به مجتمعین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حدّاً واحداً، و ان ادّعوا علیه متفرّقین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کلّ مدّع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مدّع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 ـ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معتبرة الحسن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العطّار،</w:t>
      </w:r>
      <w:r>
        <w:rPr>
          <w:rStyle w:val="FootnoteAnchor"/>
          <w:rtl w:val="true"/>
        </w:rPr>
        <w:footnoteReference w:id="1521"/>
      </w:r>
      <w:r>
        <w:rPr>
          <w:rFonts w:ascii="IRNazanin" w:hAnsi="IRNazanin" w:eastAsia="IRNazanin"/>
          <w:color w:val="111111"/>
          <w:sz w:val="28"/>
          <w:sz w:val="28"/>
          <w:szCs w:val="28"/>
          <w:rtl w:val="true"/>
          <w:lang w:bidi="fa-IR"/>
        </w:rPr>
        <w:t xml:space="preserve">قالک 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قذف قوماً،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بکلمة واحدة؟ قلت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حدّاً واحداً، فأن فرّق بینهم فی القذف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لکلّ واحد منهم حدّاً</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انّ المراد بقوله فی الصّحیحة</w:t>
      </w:r>
      <w:r>
        <w:rPr>
          <w:rStyle w:val="FootnoteAnchor"/>
          <w:rtl w:val="true"/>
        </w:rPr>
        <w:footnoteReference w:id="15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بکلمة واحدة، کما فی المعتبرة</w:t>
      </w:r>
      <w:r>
        <w:rPr>
          <w:rStyle w:val="FootnoteAnchor"/>
          <w:rtl w:val="true"/>
        </w:rPr>
        <w:footnoteReference w:id="1523"/>
      </w:r>
      <w:r>
        <w:rPr>
          <w:rFonts w:ascii="IRNazanin" w:hAnsi="IRNazanin" w:eastAsia="IRNazanin"/>
          <w:color w:val="111111"/>
          <w:sz w:val="28"/>
          <w:sz w:val="28"/>
          <w:szCs w:val="28"/>
          <w:rtl w:val="true"/>
          <w:lang w:bidi="fa-IR"/>
        </w:rPr>
        <w:t>و فی ما یأتی من بعض الأخبار، و یکون حاصل الرّوایتین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القذف بکلمة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یوجب حدّاً واحداً؛ اذا اتوا به مجتمعین، فأن أتوا به متفرّقین، او لم یکن القذف بکلمة واحدة فلکلّ واحد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فیقیّد اطلاق المعتبرة</w:t>
      </w:r>
      <w:r>
        <w:rPr>
          <w:rStyle w:val="FootnoteAnchor"/>
          <w:rtl w:val="true"/>
        </w:rPr>
        <w:footnoteReference w:id="1524"/>
      </w:r>
      <w:r>
        <w:rPr>
          <w:rFonts w:ascii="IRNazanin" w:hAnsi="IRNazanin" w:eastAsia="IRNazanin"/>
          <w:color w:val="111111"/>
          <w:sz w:val="28"/>
          <w:sz w:val="28"/>
          <w:szCs w:val="28"/>
          <w:rtl w:val="true"/>
          <w:lang w:bidi="fa-IR"/>
        </w:rPr>
        <w:t>فی الضّرب حدّاً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اذا اتوا به مجتمعین، لمذکور فی الصّحیحة</w:t>
      </w:r>
      <w:r>
        <w:rPr>
          <w:rStyle w:val="FootnoteAnchor"/>
          <w:rtl w:val="true"/>
        </w:rPr>
        <w:footnoteReference w:id="1525"/>
      </w:r>
      <w:r>
        <w:rPr>
          <w:rFonts w:ascii="IRNazanin" w:hAnsi="IRNazanin" w:eastAsia="IRNazanin"/>
          <w:color w:val="111111"/>
          <w:sz w:val="28"/>
          <w:sz w:val="28"/>
          <w:szCs w:val="28"/>
          <w:rtl w:val="true"/>
          <w:lang w:bidi="fa-IR"/>
        </w:rPr>
        <w:t>و لا مقیّد لما فی المعتبرة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فرّق بینهم فی القذف ضرب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 الحکم مرسلة الدّعائم</w:t>
      </w:r>
      <w:r>
        <w:rPr>
          <w:rStyle w:val="FootnoteAnchor"/>
          <w:rtl w:val="true"/>
        </w:rPr>
        <w:footnoteReference w:id="1526"/>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افتری علی جماعة یعنی بکلمة واحدة، فأتوا به مجتمعین الی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لهم حدّاً واحداً، و ان أتوا به متفرّقین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لکلّ من یأتیه منهم به من واحد او جماعة، و ان قذف کلّ واحد منهم علی الأنفراد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له اتوا به مجتمعین او متفرّقین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المقنع</w:t>
      </w:r>
      <w:r>
        <w:rPr>
          <w:rStyle w:val="FootnoteAnchor"/>
          <w:rtl w:val="true"/>
        </w:rPr>
        <w:footnoteReference w:id="15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قذف قوماً بکلمة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حدّ واحد؛ اذا لم یسمّهم بأسمائهم، و ان سماّهم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لکلّ رجل سماّه حدّ، وروی فی رجل یقذف قوماً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اتوا به متفرّقین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لکلّ رجل منهم حدّ، و ان اتوا به مجتمعین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حدّاً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سماّهم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لکلّ رجل سماّه حدّ، و ان لم یسمّهم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حدّ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ماذکرنا یحمل کما عن</w:t>
      </w:r>
      <w:bookmarkStart w:id="577" w:name="pg3023_22879"/>
    </w:p>
    <w:p>
      <w:pPr>
        <w:pStyle w:val="Heading5"/>
        <w:numPr>
          <w:ilvl w:val="4"/>
          <w:numId w:val="1"/>
        </w:numPr>
        <w:rPr/>
      </w:pPr>
      <w:bookmarkStart w:id="578" w:name="__RefHeading___Toc657043_2749589250"/>
      <w:bookmarkStart w:id="579" w:name="_Toc208"/>
      <w:bookmarkEnd w:id="577"/>
      <w:bookmarkEnd w:id="578"/>
      <w:r>
        <w:rPr>
          <w:rtl w:val="true"/>
        </w:rPr>
        <w:t>الخامسة</w:t>
      </w:r>
      <w:r>
        <w:rPr>
          <w:rtl w:val="true"/>
        </w:rPr>
        <w:t xml:space="preserve">: </w:t>
      </w:r>
      <w:r>
        <w:rPr>
          <w:rtl w:val="true"/>
        </w:rPr>
        <w:t>اذا حدّ مرّتین فیقتل فی الثّالثه</w:t>
      </w:r>
      <w:bookmarkEnd w:id="579"/>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حدّ القاذف مرّتین قتل فی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سماعة</w:t>
      </w:r>
      <w:r>
        <w:rPr>
          <w:rStyle w:val="FootnoteAnchor"/>
          <w:rtl w:val="true"/>
        </w:rPr>
        <w:footnoteReference w:id="1528"/>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افتری علی نفر جمیعاً، فجلده حدّاً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مارواه برید</w:t>
      </w:r>
      <w:r>
        <w:rPr>
          <w:rStyle w:val="FootnoteAnchor"/>
          <w:rtl w:val="true"/>
        </w:rPr>
        <w:footnoteReference w:id="1529"/>
      </w:r>
      <w:r>
        <w:rPr>
          <w:rFonts w:ascii="IRNazanin" w:hAnsi="IRNazanin" w:eastAsia="IRNazanin"/>
          <w:color w:val="111111"/>
          <w:sz w:val="28"/>
          <w:sz w:val="28"/>
          <w:szCs w:val="28"/>
          <w:rtl w:val="true"/>
          <w:lang w:bidi="fa-IR"/>
        </w:rPr>
        <w:t xml:space="preserve">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یقذف القوم جمیعاً بکلمة واحدة،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لم یسمّهم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فأنّما علیه حدّ واحد، و ان سمّی فعلیه لکلّ رجل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 الصّدوق فی الفقیه و عن 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محجوج بما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قذف قوماً بکلمة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حدّ واحد؛ اذا لم یسمّهم بأسمائهم، و ان سماّهم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لکلّ رجل سماّه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أتوا به متفرّقین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لکلّ رجل منهم حدّ، و ان أتوا به مجتمعین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حدّاً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عکس فی الهدایة، فأفتی بما جعله فی الکتابین روایة، و جعل ما افتی به فیهما روایة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روایة برید</w:t>
      </w:r>
      <w:r>
        <w:rPr>
          <w:rStyle w:val="FootnoteAnchor"/>
          <w:rtl w:val="true"/>
        </w:rPr>
        <w:footnoteReference w:id="1530"/>
      </w:r>
      <w:r>
        <w:rPr>
          <w:rFonts w:ascii="IRNazanin" w:hAnsi="IRNazanin" w:eastAsia="IRNazanin"/>
          <w:color w:val="111111"/>
          <w:sz w:val="28"/>
          <w:sz w:val="28"/>
          <w:szCs w:val="28"/>
          <w:rtl w:val="true"/>
          <w:lang w:bidi="fa-IR"/>
        </w:rPr>
        <w:t>اوردها الشّیخ باسناده عن الحسین بن سعید عن ابن محبوب عن ابی الحسن الشّامیّ عن بید، ورواه الصّدوق باسناده عن برید ولکن اسناده غیر مذکور فی المشیخة، و الأسناد الأوّل صحیح الی ابن محبوب، و ابو الحسن الشّامیّ مجهول، و جعله فی الرّوضة و عن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السّائی، و استظهر کونه علیّ بن سوید الثّقة</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حدّ للقذف مرّتین فیقتل فی الثّالثة، و فاقاً للشّیخ فی الأستبصار و ابن ادریس فی السّرائر</w:t>
      </w:r>
      <w:r>
        <w:rPr>
          <w:rStyle w:val="FootnoteAnchor"/>
          <w:rtl w:val="true"/>
        </w:rPr>
        <w:footnoteReference w:id="1531"/>
      </w:r>
      <w:r>
        <w:rPr>
          <w:rFonts w:ascii="IRNazanin" w:hAnsi="IRNazanin" w:eastAsia="IRNazanin"/>
          <w:color w:val="111111"/>
          <w:sz w:val="28"/>
          <w:sz w:val="28"/>
          <w:szCs w:val="28"/>
          <w:rtl w:val="true"/>
          <w:lang w:bidi="fa-IR"/>
        </w:rPr>
        <w:t xml:space="preserve">و المحقّق فی الشّرایع، و اختاره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دلّ علی انّ اصحاب الکبائر اذا اقیم علیهم الحدّ مرّتین قتلو فی الثّالثة و خلافاً للقواعد و الأیضاح و محکّی النّهایة و المختلف، للأحتیاط فی الدّماء و الشّبهة،</w:t>
      </w:r>
      <w:bookmarkStart w:id="580" w:name="pg3023_22880"/>
    </w:p>
    <w:p>
      <w:pPr>
        <w:pStyle w:val="Heading4"/>
        <w:numPr>
          <w:ilvl w:val="3"/>
          <w:numId w:val="1"/>
        </w:numPr>
        <w:rPr/>
      </w:pPr>
      <w:bookmarkStart w:id="581" w:name="__RefHeading___Toc657045_2749589250"/>
      <w:bookmarkStart w:id="582" w:name="_Toc209"/>
      <w:bookmarkEnd w:id="580"/>
      <w:bookmarkEnd w:id="581"/>
      <w:r>
        <w:rPr>
          <w:rtl w:val="true"/>
        </w:rPr>
        <w:t>(</w:t>
      </w:r>
      <w:r>
        <w:rPr>
          <w:rtl w:val="true"/>
        </w:rPr>
        <w:t>مسائل</w:t>
      </w:r>
      <w:r>
        <w:rPr>
          <w:rtl w:val="true"/>
        </w:rPr>
        <w:t>)</w:t>
      </w:r>
      <w:bookmarkEnd w:id="582"/>
    </w:p>
    <w:p>
      <w:pPr>
        <w:pStyle w:val="Heading5"/>
        <w:numPr>
          <w:ilvl w:val="4"/>
          <w:numId w:val="1"/>
        </w:numPr>
        <w:rPr/>
      </w:pPr>
      <w:bookmarkStart w:id="583" w:name="__RefHeading___Toc657047_2749589250"/>
      <w:bookmarkStart w:id="584" w:name="_Toc210"/>
      <w:bookmarkEnd w:id="583"/>
      <w:r>
        <w:rPr>
          <w:rtl w:val="true"/>
        </w:rPr>
        <w:t>الاولی</w:t>
      </w:r>
      <w:r>
        <w:rPr>
          <w:rtl w:val="true"/>
        </w:rPr>
        <w:t xml:space="preserve">: </w:t>
      </w:r>
      <w:r>
        <w:rPr>
          <w:rtl w:val="true"/>
        </w:rPr>
        <w:t>سقوط الحدّ بتصدیق المقذوف و البیّنة</w:t>
      </w:r>
      <w:bookmarkEnd w:id="584"/>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یسقط الحدّ الاّ بتصدیق المقذوف او البیّنة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و هو ضعیف، واضعف منه ما فی الخلاف</w:t>
      </w:r>
      <w:r>
        <w:rPr>
          <w:rStyle w:val="FootnoteAnchor"/>
          <w:rtl w:val="true"/>
        </w:rPr>
        <w:footnoteReference w:id="15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قتله و قتل الزّانی الحرّ فی الخامسة، و العبد یقتل فی الثّامنة، و ذکر انّه قد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الحرّ یقتل فی الرّابعة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خالف جمیع الفقهاء فی ذلک،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الحدّ بالغاً مابلغ، و اغرب من هذا انّه استدلّ با جماع الفرقة و اخبارهم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یسقط الحدّ الاّ بتصدیق المقذوف او بالبیّنة او بالعفو، و فی الزّوجة باللّعان مع تحقّق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 امور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سقوط الحدّ بعد ثبوته الاّ فی الموارد المذکورة، و ذلک لأحتیاجه الی الدّلیل، و لا دلیل الاّ بالنّسبة للوالد اذا قذف ولده، کما سبق، او ورث حدّ القذف علی ابیه؛ و لا وارث للأمّ المقذوفة غیر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سقوطه بتصدیق المقذوف، فلأنّ الحقّ له، فأذا صدّقه فلا قذف؛ و ان لم یجب بتصدیقه له حدّ ما قذف به، او انّه لا یحدّ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الخلاف</w:t>
      </w:r>
      <w:r>
        <w:rPr>
          <w:rStyle w:val="FootnoteAnchor"/>
          <w:rtl w:val="true"/>
        </w:rPr>
        <w:footnoteReference w:id="15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اعترفت المرأة بالزّنا قبل الشّّروع فی اللّعان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عن الزّوج حدّ القذف عندنا و عند الشّافعیّ ـ الی ـ و خالف ابو حنیفة فی ثلاثة احکام،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اعترفت المرأة بالزّنا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یتعلّق باعترافها سقوط الحدّ، لأنّ عنده انّ الحدّ 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الزّوج بقذفه حتّی یسقط، و انّما اوجب علیه اللّعان، و یسقط ذلک باعترافها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المقصود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استدلّ الشّیخ باجماع الفرقة و اخبارهم</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سقوطه بالبیّنة، فلا اشکال فی اعتبارها، و بها یخرج عن کونه قاذفاً، و اشترط فی الأیة المبارکة لجلد ثمانین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اتیان اربعة شهداء</w:t>
      </w:r>
      <w:r>
        <w:rPr>
          <w:rFonts w:eastAsia="IRNazanin" w:cs="IRNazanin"/>
          <w:color w:val="111111"/>
          <w:sz w:val="28"/>
          <w:szCs w:val="28"/>
          <w:rtl w:val="true"/>
          <w:lang w:bidi="fa-IR"/>
        </w:rPr>
        <w:t>.</w:t>
      </w:r>
      <w:bookmarkStart w:id="585" w:name="pg3023_22881"/>
    </w:p>
    <w:p>
      <w:pPr>
        <w:pStyle w:val="Heading5"/>
        <w:numPr>
          <w:ilvl w:val="4"/>
          <w:numId w:val="1"/>
        </w:numPr>
        <w:rPr/>
      </w:pPr>
      <w:bookmarkStart w:id="586" w:name="__RefHeading___Toc657049_2749589250"/>
      <w:bookmarkStart w:id="587" w:name="_Toc211"/>
      <w:bookmarkEnd w:id="585"/>
      <w:bookmarkEnd w:id="586"/>
      <w:r>
        <w:rPr>
          <w:rtl w:val="true"/>
        </w:rPr>
        <w:t>سقوط الحدّ بالعفو</w:t>
      </w:r>
      <w:bookmarkEnd w:id="587"/>
    </w:p>
    <w:p>
      <w:pPr>
        <w:pStyle w:val="BookText"/>
        <w:rPr/>
      </w:pPr>
      <w:r>
        <w:rPr>
          <w:rFonts w:ascii="IRNazanin" w:hAnsi="IRNazanin" w:eastAsia="IRNazanin"/>
          <w:color w:val="111111"/>
          <w:sz w:val="28"/>
          <w:sz w:val="28"/>
          <w:szCs w:val="28"/>
          <w:rtl w:val="true"/>
          <w:lang w:bidi="fa-IR"/>
        </w:rPr>
        <w:t xml:space="preserve">او العفو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اشکال فی جوازه و انّه حقّ المقذوف، بلاخلاف فیه</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الخلاف</w:t>
      </w:r>
      <w:r>
        <w:rPr>
          <w:rStyle w:val="FootnoteAnchor"/>
          <w:rtl w:val="true"/>
        </w:rPr>
        <w:footnoteReference w:id="15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المقذوف من حقوق الآدمیّین، لا یستوفی الاّ بمطالبة آدمیّ، و یورث کما تورث حقوق الآدمییّن و یدخله العفو والابراء کما یدخل فی حقوق الآدمییّن، به قال الشّافعّی، و قال ابو حنیفة</w:t>
      </w:r>
      <w:r>
        <w:rPr>
          <w:rStyle w:val="FootnoteAnchor"/>
          <w:rtl w:val="true"/>
        </w:rPr>
        <w:footnoteReference w:id="15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حقوق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تعالی متعلّق بحقّ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الآدمیّ، و لا یورث و لا یدخله العفو و الأبراء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وافق فی انّه لا یستوفی الاّ بطلب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بمطالبة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دلیلنا اجماع الفرقة و اخبارهم، و ایضاً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فتح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اعراضکم و دمائکم و اموالکم علیکم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کحرمة بلدکم هذا فی شهرکم هذا، فأضاف الأعراض الینا کأضافة الدّماء و 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ما یجب باستباحة ذلک حقّاً لنا، کما انّ ما یجب باستباحة الدّم و المال حقّ لناـ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الأصحاب علی جوازه قبل المرافعة و بعدها، و لا اعتراض للحاکم الاّ ما حکی عن الشّیخ فی کتابی الأخبار، و یحیی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العفو للزّوجة بعد المرافعة و للمحکیّ عن المقنع من عدم العفو لها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للأصحاب بصحیحة ضریس الکناسیّ</w:t>
      </w:r>
      <w:r>
        <w:rPr>
          <w:rStyle w:val="FootnoteAnchor"/>
          <w:rtl w:val="true"/>
        </w:rPr>
        <w:footnoteReference w:id="1536"/>
      </w:r>
      <w:r>
        <w:rPr>
          <w:rFonts w:ascii="IRNazanin" w:hAnsi="IRNazanin" w:eastAsia="IRNazanin"/>
          <w:color w:val="111111"/>
          <w:sz w:val="28"/>
          <w:sz w:val="28"/>
          <w:szCs w:val="28"/>
          <w:rtl w:val="true"/>
          <w:lang w:bidi="fa-IR"/>
        </w:rPr>
        <w:t xml:space="preserve">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یعفی عن الحدود الّتی لله دون الأمام، فأمّا ما کان من حقوق النّاس فی حدّ فلا بأس بأن یعفی عنه دون الأمام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صحیحة محمّد بن مسلم</w:t>
      </w:r>
      <w:r>
        <w:rPr>
          <w:rStyle w:val="FootnoteAnchor"/>
          <w:rtl w:val="true"/>
        </w:rPr>
        <w:footnoteReference w:id="1537"/>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جنی علیّ، اعفو عنه او ارفعه الی السّلطان؟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حقّک، ان عفوت عنه فحسن، و ان رفعته الی الأمام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فأنّما طلبت حقّک، و کیف لک بالأمام؟</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معتبرة سماعة</w:t>
      </w:r>
      <w:r>
        <w:rPr>
          <w:rStyle w:val="FootnoteAnchor"/>
          <w:rtl w:val="true"/>
        </w:rPr>
        <w:footnoteReference w:id="1538"/>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باا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یقذف الرّجل بالزّنا، فیعفو عنه و یجعله من ذلک فی حلّ، ثمّ انّه بعد ذلک یبدو له فی ان یقدّمه حتّی یجلده؛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حدّ بعد العفو ـ الحدیث ـ و معتبرة اخری</w:t>
      </w:r>
      <w:r>
        <w:rPr>
          <w:rStyle w:val="FootnoteAnchor"/>
          <w:rtl w:val="true"/>
        </w:rPr>
        <w:footnoteReference w:id="1539"/>
      </w:r>
      <w:r>
        <w:rPr>
          <w:rFonts w:ascii="IRNazanin" w:hAnsi="IRNazanin" w:eastAsia="IRNazanin"/>
          <w:color w:val="111111"/>
          <w:sz w:val="28"/>
          <w:sz w:val="28"/>
          <w:szCs w:val="28"/>
          <w:rtl w:val="true"/>
          <w:lang w:bidi="fa-IR"/>
        </w:rPr>
        <w:t xml:space="preserve">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یفتری علی الرّجل، فیعفو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یرید ان یجلده بعد العفو؟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ان یجلده بعد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 للمدّعی مرسلة الدّعائم</w:t>
      </w:r>
      <w:r>
        <w:rPr>
          <w:rStyle w:val="FootnoteAnchor"/>
          <w:rtl w:val="true"/>
        </w:rPr>
        <w:footnoteReference w:id="1540"/>
      </w:r>
      <w:r>
        <w:rPr>
          <w:rFonts w:ascii="IRNazanin" w:hAnsi="IRNazanin" w:eastAsia="IRNazanin"/>
          <w:color w:val="111111"/>
          <w:sz w:val="28"/>
          <w:sz w:val="28"/>
          <w:szCs w:val="28"/>
          <w:rtl w:val="true"/>
          <w:lang w:bidi="fa-IR"/>
        </w:rPr>
        <w:t>و ما 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النّوادر</w:t>
      </w:r>
      <w:r>
        <w:rPr>
          <w:rStyle w:val="FootnoteAnchor"/>
          <w:rtl w:val="true"/>
        </w:rPr>
        <w:footnoteReference w:id="1541"/>
      </w:r>
      <w:r>
        <w:rPr>
          <w:rFonts w:ascii="IRNazanin" w:hAnsi="IRNazanin" w:eastAsia="IRNazanin"/>
          <w:color w:val="111111"/>
          <w:sz w:val="28"/>
          <w:sz w:val="28"/>
          <w:szCs w:val="28"/>
          <w:rtl w:val="true"/>
          <w:lang w:bidi="fa-IR"/>
        </w:rPr>
        <w:t>الأتیان قبل الأستدلال للخامس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اطلاقهما یشمل ما قبل المرافعة و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 یمکن ان یکون مستند الشّیخ و یحیی بن سعید قدّس سرّههما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فروایتان، احدیهما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محمّد بن مسلم</w:t>
      </w:r>
      <w:r>
        <w:rPr>
          <w:rStyle w:val="FootnoteAnchor"/>
          <w:rtl w:val="true"/>
        </w:rPr>
        <w:footnoteReference w:id="154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یقذف امرأته؟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ارأیت ان عفت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لا 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یجمع بینها و بین مادلّ علی جواز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باختصاصها بما بعد المرافعة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کما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شاهد له، بل المتّجه؛ علی تقدیر العمل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 تلک الرّوایات بغیر الزّوجة، کما تقدّم عن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ادّعی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ظهورها فی صحّة العفو، و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ای لا یجلد، و بعد التّنزّل فهی مجملة، فامرجع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اطلاقات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دعواه الأولی بعیدة عن ظاهر الکلام، بل تفید عدم حّ لها فی العفو، حینئذ فلا مجال للأجمال، و الرّجوع الی الأطلاقات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یتّجه ما فی الجواهر، کما اعترف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علی فرض تمامیّة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روایة حمزة بن حمران</w:t>
      </w:r>
      <w:r>
        <w:rPr>
          <w:rStyle w:val="FootnoteAnchor"/>
          <w:rtl w:val="true"/>
        </w:rPr>
        <w:footnoteReference w:id="1543"/>
      </w:r>
      <w:r>
        <w:rPr>
          <w:rFonts w:ascii="IRNazanin" w:hAnsi="IRNazanin" w:eastAsia="IRNazanin"/>
          <w:color w:val="111111"/>
          <w:sz w:val="28"/>
          <w:sz w:val="28"/>
          <w:szCs w:val="28"/>
          <w:rtl w:val="true"/>
          <w:lang w:bidi="fa-IR"/>
        </w:rPr>
        <w:t xml:space="preserve">عن احدهما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قذف الرّجل جاریته الّتی اعتق نصفها، ثمّ قذفها بالزّنا،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علیه خمسین جلدة و یستغفر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ارأیت ان جعلته فی حلّ و عفت عنه؟ قال لا ضرب علیه؛ اذا عفت عنه من قبل ان ترفعه</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ضعیفة، لعدم مدح لحمزة بن حمران، فالعمدة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الصّحیحة، و لذلک یشکل موافعة الأصحاب فی عفو الزّوجة، و هی مطلقة لما قبل المرافعة و بعدها، کتلک الرّوایات، قابلة لتخصیصها، و لا مانع منه؛ الاّ ذهاب المشهور الی الخلاف،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و هو لا یسقط الرّوایة الّتی عمل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الأعتبار، فیمکن العمل بها فی موردها الخاصّ؛ الاّ انّ الّذی یقتضیه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یعمل بها، لما سبق من عدم شاهد للجم بین اطلاقها، لعدم صحّة العفو مع تلک الرّوایات المصحّحة له بحملها علی ما بعد المرافعة، کی توافق الشّیخ و ابن سعید، و انّما یوافقها المحکیّ عن المقنع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فالرّوایة حینئذ کالمهجورة المطروحة و لا تقوی علی تخصیص العمومات، فالأولی ما ذهب الیه المشهور</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ربما یظهر من معتبرة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یؤیّد اختصاص العفو بما قبل المرافعة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فروی فی موثّقته</w:t>
      </w:r>
      <w:r>
        <w:rPr>
          <w:rStyle w:val="FootnoteAnchor"/>
          <w:rtl w:val="true"/>
        </w:rPr>
        <w:footnoteReference w:id="1544"/>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اخذ سارقاً فعفا عنه فذلک له، فاذا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الی الأمام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فان قال الّذی سرق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اهبه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لم یدعه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الأمام حتّی یقطعه اذا رفعه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الیه، و انّما الهبة قبل ان یرفع الی الأمام، و ذلک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الحافظین لحدود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انتهی الحدّ الی الأمام فلیس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 ذلک ذیل مارواه فی الخصال</w:t>
      </w:r>
      <w:r>
        <w:rPr>
          <w:rStyle w:val="FootnoteAnchor"/>
          <w:rtl w:val="true"/>
        </w:rPr>
        <w:footnoteReference w:id="1545"/>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کلنّها مخصوصة بالسّرقة، و یحتمل شمولها لسایر حقوق الله المشترکة، و لا یشمل حدّ القذف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 بعد العفو عمّن له حقّ الحدّ فلیس له المطالبة، کما دلّ علیه معتبرتا</w:t>
      </w:r>
      <w:r>
        <w:rPr>
          <w:rStyle w:val="FootnoteAnchor"/>
          <w:rtl w:val="true"/>
        </w:rPr>
        <w:footnoteReference w:id="1546"/>
      </w:r>
      <w:r>
        <w:rPr>
          <w:rStyle w:val="FootnoteAnchor"/>
          <w:rtl w:val="true"/>
        </w:rPr>
        <w:footnoteReference w:id="1547"/>
      </w:r>
      <w:r>
        <w:rPr>
          <w:rFonts w:ascii="IRNazanin" w:hAnsi="IRNazanin" w:eastAsia="IRNazanin"/>
          <w:color w:val="111111"/>
          <w:sz w:val="28"/>
          <w:sz w:val="28"/>
          <w:szCs w:val="28"/>
          <w:rtl w:val="true"/>
          <w:lang w:bidi="fa-IR"/>
        </w:rPr>
        <w:t>سماعة، و ما فی نوادر احمد بن محمّد بن عیسی</w:t>
      </w:r>
      <w:r>
        <w:rPr>
          <w:rStyle w:val="FootnoteAnchor"/>
          <w:rtl w:val="true"/>
        </w:rPr>
        <w:footnoteReference w:id="1548"/>
      </w:r>
      <w:r>
        <w:rPr>
          <w:rFonts w:ascii="IRNazanin" w:hAnsi="IRNazanin" w:eastAsia="IRNazanin"/>
          <w:color w:val="111111"/>
          <w:sz w:val="28"/>
          <w:sz w:val="28"/>
          <w:szCs w:val="28"/>
          <w:rtl w:val="true"/>
          <w:lang w:bidi="fa-IR"/>
        </w:rPr>
        <w:t xml:space="preserve">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لمن عفا عن المفتری الرّجوع فی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مرسلة الدّعائم</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bookmarkStart w:id="588" w:name="pg3023_22885"/>
    </w:p>
    <w:p>
      <w:pPr>
        <w:pStyle w:val="Heading5"/>
        <w:numPr>
          <w:ilvl w:val="4"/>
          <w:numId w:val="1"/>
        </w:numPr>
        <w:rPr/>
      </w:pPr>
      <w:bookmarkStart w:id="589" w:name="__RefHeading___Toc657051_2749589250"/>
      <w:bookmarkStart w:id="590" w:name="_Toc212"/>
      <w:bookmarkEnd w:id="588"/>
      <w:bookmarkEnd w:id="589"/>
      <w:r>
        <w:rPr>
          <w:rtl w:val="true"/>
        </w:rPr>
        <w:t>سقوط حدّ قذف الزّوجة باللّعان</w:t>
      </w:r>
      <w:bookmarkEnd w:id="590"/>
    </w:p>
    <w:p>
      <w:pPr>
        <w:pStyle w:val="BookText"/>
        <w:rPr/>
      </w:pPr>
      <w:r>
        <w:rPr>
          <w:rFonts w:ascii="Amiri" w:hAnsi="Amiri" w:eastAsia="Amiri" w:cs="Amiri"/>
          <w:color w:val="111111"/>
          <w:sz w:val="28"/>
          <w:sz w:val="28"/>
          <w:szCs w:val="28"/>
          <w:rtl w:val="true"/>
          <w:lang w:bidi="ar-SA"/>
        </w:rPr>
        <w:t xml:space="preserve">و فی الزّوجة باللّعان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نعم لو قذف امّه فلا اثر لعفوه، کما لیس له الأستیفاء؛ مادامت الأمّ حیّة، نعم ان ماتت بلا مطالبة و لا عفو، وورث الولد حقّ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العفو، کما انّ له حقّ المطالبة و الأستیفاء، دلّ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ما تقدّم من معتبرة سماعة</w:t>
      </w:r>
      <w:r>
        <w:rPr>
          <w:rStyle w:val="FootnoteAnchor"/>
          <w:rtl w:val="true"/>
        </w:rPr>
        <w:footnoteReference w:id="1550"/>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ارأیت ان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الزّانیة فعفا عنه و ترک ذلک 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کانت امّه قد ماتت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فأنّه ولیّ امرها، یجوز عفوه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سقوط حدّ قذف الزّوجة باللّعان، فیدلّ علیه الأجماع و الکتاب و السّنّة</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الخلاف</w:t>
      </w:r>
      <w:r>
        <w:rPr>
          <w:rStyle w:val="FootnoteAnchor"/>
          <w:rtl w:val="true"/>
        </w:rPr>
        <w:footnoteReference w:id="15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القذف عندنا فی حقّ الزّوج الحدّ و له اسقاطه باللّعان، و موجب اللّعان فی حقّ المرأة الحدّ و لها استفاطه باللّعان؛ و به قال الشّافعیّ</w:t>
      </w:r>
      <w:r>
        <w:rPr>
          <w:rStyle w:val="FootnoteAnchor"/>
          <w:rtl w:val="true"/>
        </w:rPr>
        <w:footnoteReference w:id="1552"/>
      </w:r>
      <w:r>
        <w:rPr>
          <w:rFonts w:ascii="IRNazanin" w:hAnsi="IRNazanin" w:eastAsia="IRNazanin"/>
          <w:color w:val="111111"/>
          <w:sz w:val="28"/>
          <w:sz w:val="28"/>
          <w:szCs w:val="28"/>
          <w:rtl w:val="true"/>
          <w:lang w:bidi="fa-IR"/>
        </w:rPr>
        <w:t>و قال ابو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القذف فی حقّ الزّوج اللّعان، فأذا قذف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لزمه اللّعان، فان امتنع من اللّعان حبس؛ حتّی یلاعن، فاذا لاعن وجب علی المرأة اللّعان، فاذا امتنعت حبست؛ حتّی تلاعن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ابو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 یجب بالقذف علی الرّجل، و امّا المرأة فاذا امتنعت من اللّعان لم یلزمها الحدّ، لأنّه یکون حکماً بالنّکول، والحدّ لایجب بالنّکول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دلیلنا اجماع الفرقة و اخبارهم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استدلّ بالآیة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یرمون ازواجهم الآیة، و بما روی</w:t>
      </w:r>
      <w:r>
        <w:rPr>
          <w:rStyle w:val="FootnoteAnchor"/>
          <w:rtl w:val="true"/>
        </w:rPr>
        <w:footnoteReference w:id="1553"/>
      </w:r>
      <w:r>
        <w:rPr>
          <w:rFonts w:ascii="IRNazanin" w:hAnsi="IRNazanin" w:eastAsia="IRNazanin"/>
          <w:color w:val="111111"/>
          <w:sz w:val="28"/>
          <w:sz w:val="28"/>
          <w:szCs w:val="28"/>
          <w:rtl w:val="true"/>
          <w:lang w:bidi="fa-IR"/>
        </w:rPr>
        <w:t xml:space="preserve">انّ هلال بن امیّة قذف زوجته بشریک بن السّحماء، 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البیّة و الاّ فحدّ فی ظهرک،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أیجد احدنا مع امرأته رجلاً یلتمس البیّنة؟ فجعل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البیّنة و الاّ فحدّ فی ظهرک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الحدّ واجب علیه حتّی یقیم البیّنة</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ثبت انّ قذف الزّوج لزوجت موجب للحدّ الخ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و امّا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 تعالی</w:t>
      </w:r>
      <w:r>
        <w:rPr>
          <w:rStyle w:val="FootnoteAnchor"/>
          <w:rtl w:val="true"/>
        </w:rPr>
        <w:footnoteReference w:id="1554"/>
      </w:r>
      <w:r>
        <w:rPr>
          <w:rFonts w:ascii="IRNazanin" w:hAnsi="IRNazanin" w:eastAsia="IRNazanin"/>
          <w:color w:val="111111"/>
          <w:sz w:val="28"/>
          <w:sz w:val="28"/>
          <w:szCs w:val="28"/>
          <w:rtl w:val="true"/>
          <w:lang w:bidi="fa-IR"/>
        </w:rPr>
        <w:t>و الّذین یرمون ازواجهم و لم یکن لهم شهداء الاّ انفسهم فشهادة احدهم اربع شهادات بالله انبه لمن الصّادقین و الخامسة انّ لعنة الله علیه ان کان من الکاذبین و یدرء عنها العذاب ان تشهد اربع شهادات بالله انّه لمن الکاذبین و الخامسة انّ غضب الله علیها ان کان من الصّادقین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فروایات عدّة منها صحیحة عبدالرّحمن بن الحجّاج</w:t>
      </w:r>
      <w:r>
        <w:rPr>
          <w:rStyle w:val="FootnoteAnchor"/>
          <w:rtl w:val="true"/>
        </w:rPr>
        <w:footnoteReference w:id="1555"/>
      </w:r>
      <w:r>
        <w:rPr>
          <w:rFonts w:ascii="IRNazanin" w:hAnsi="IRNazanin" w:eastAsia="IRNazanin"/>
          <w:color w:val="111111"/>
          <w:sz w:val="28"/>
          <w:sz w:val="28"/>
          <w:szCs w:val="28"/>
          <w:rtl w:val="true"/>
          <w:lang w:bidi="fa-IR"/>
        </w:rPr>
        <w:t>الواردة فی اوّل لعان فی الأسلام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مارواه علیّ بن ابراهیم</w:t>
      </w:r>
      <w:r>
        <w:rPr>
          <w:rStyle w:val="FootnoteAnchor"/>
          <w:rtl w:val="true"/>
        </w:rPr>
        <w:footnoteReference w:id="1556"/>
      </w:r>
      <w:r>
        <w:rPr>
          <w:rFonts w:ascii="IRNazanin" w:hAnsi="IRNazanin" w:eastAsia="IRNazanin"/>
          <w:color w:val="111111"/>
          <w:sz w:val="28"/>
          <w:sz w:val="28"/>
          <w:szCs w:val="28"/>
          <w:rtl w:val="true"/>
          <w:lang w:bidi="fa-IR"/>
        </w:rPr>
        <w:t xml:space="preserve">فی تفسیره و ما فی 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1557"/>
      </w:r>
      <w:r>
        <w:rPr>
          <w:rFonts w:ascii="Amiri" w:hAnsi="Amiri" w:eastAsia="Amiri" w:cs="Amiri"/>
          <w:color w:val="111111"/>
          <w:sz w:val="28"/>
          <w:sz w:val="28"/>
          <w:szCs w:val="28"/>
          <w:rtl w:val="true"/>
          <w:lang w:bidi="ar-SA"/>
        </w:rPr>
        <w:t>والنّوادر</w:t>
      </w:r>
      <w:r>
        <w:rPr>
          <w:rStyle w:val="FootnoteAnchor"/>
          <w:rtl w:val="true"/>
        </w:rPr>
        <w:footnoteReference w:id="1558"/>
      </w:r>
      <w:r>
        <w:rPr>
          <w:rFonts w:ascii="Amiri" w:hAnsi="Amiri" w:eastAsia="Amiri" w:cs="Amiri"/>
          <w:color w:val="111111"/>
          <w:sz w:val="28"/>
          <w:sz w:val="28"/>
          <w:szCs w:val="28"/>
          <w:rtl w:val="true"/>
          <w:lang w:bidi="ar-SA"/>
        </w:rPr>
        <w:t>و منها مرسلة الصّدوق</w:t>
      </w:r>
      <w:r>
        <w:rPr>
          <w:rStyle w:val="FootnoteAnchor"/>
          <w:rtl w:val="true"/>
        </w:rPr>
        <w:footnoteReference w:id="1559"/>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تقول المرأة غضب الله علیها ان کان من الصّادقین فیما رماها به، فأن نکلت رجمت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مارواه زرارة</w:t>
      </w:r>
      <w:r>
        <w:rPr>
          <w:rStyle w:val="FootnoteAnchor"/>
          <w:rtl w:val="true"/>
        </w:rPr>
        <w:footnoteReference w:id="1560"/>
      </w:r>
      <w:r>
        <w:rPr>
          <w:rFonts w:ascii="IRNazanin" w:hAnsi="IRNazanin" w:eastAsia="IRNazanin"/>
          <w:color w:val="111111"/>
          <w:sz w:val="28"/>
          <w:sz w:val="28"/>
          <w:szCs w:val="28"/>
          <w:rtl w:val="true"/>
          <w:lang w:bidi="fa-IR"/>
        </w:rPr>
        <w:t>بطریق فیه سهل و ان کان الأقوی کونه معتبر الرّوایة،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عزّو جلّ و الّذین یرمون الأیة؟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القاذف الّذی یقذف امرأته فأذا قذفها ثمّ اقرّ انّه کذب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الحدّ، وردّت الیه امرأته، و ان أبی الاّ ان یمضی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فیشهد علیها اربع شهادات بالله انّه لمن الصّادقین، و الخامسة یلعن فیها نفسه ان کان من الکاذبین، و ان ارادت ان تدرء عن نفسها العذاب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العذاب هو 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اربع شهادت بالله انّه لمن الکاذبین، و ان ارادت ان تدرء عن نفسها العذاب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العذاب هو 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اربع شهادات بالله انّه لمن الکاذبین، و الخامسة انّ غضب الله علیها ان کان من الصّادقین، فأن لم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رجمت، و ان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درأت عن نفسها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bookmarkStart w:id="591" w:name="pg3023_22888"/>
    </w:p>
    <w:p>
      <w:pPr>
        <w:pStyle w:val="Heading5"/>
        <w:numPr>
          <w:ilvl w:val="4"/>
          <w:numId w:val="1"/>
        </w:numPr>
        <w:rPr/>
      </w:pPr>
      <w:bookmarkStart w:id="592" w:name="__RefHeading___Toc657053_2749589250"/>
      <w:bookmarkStart w:id="593" w:name="_Toc213"/>
      <w:bookmarkEnd w:id="591"/>
      <w:bookmarkEnd w:id="592"/>
      <w:r>
        <w:rPr>
          <w:rtl w:val="true"/>
        </w:rPr>
        <w:t>حدّ القذف یورث</w:t>
      </w:r>
      <w:bookmarkEnd w:id="593"/>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القذف یورث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و قریب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الفضیل</w:t>
      </w:r>
      <w:r>
        <w:rPr>
          <w:rStyle w:val="FootnoteAnchor"/>
          <w:rtl w:val="true"/>
        </w:rPr>
        <w:footnoteReference w:id="1561"/>
      </w:r>
      <w:r>
        <w:rPr>
          <w:rFonts w:ascii="IRNazanin" w:hAnsi="IRNazanin" w:eastAsia="IRNazanin"/>
          <w:color w:val="111111"/>
          <w:sz w:val="28"/>
          <w:sz w:val="28"/>
          <w:szCs w:val="28"/>
          <w:rtl w:val="true"/>
          <w:lang w:bidi="fa-IR"/>
        </w:rPr>
        <w:t>و مارواه فی النّوادر</w:t>
      </w:r>
      <w:r>
        <w:rPr>
          <w:rStyle w:val="FootnoteAnchor"/>
          <w:rtl w:val="true"/>
        </w:rPr>
        <w:footnoteReference w:id="1562"/>
      </w:r>
      <w:r>
        <w:rPr>
          <w:rFonts w:ascii="IRNazanin" w:hAnsi="IRNazanin" w:eastAsia="IRNazanin"/>
          <w:color w:val="111111"/>
          <w:sz w:val="28"/>
          <w:sz w:val="28"/>
          <w:szCs w:val="28"/>
          <w:rtl w:val="true"/>
          <w:lang w:bidi="fa-IR"/>
        </w:rPr>
        <w:t>عن ابی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یرشد الی ثبوت الرّجم بعدم لعان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الدّعائم</w:t>
      </w:r>
      <w:r>
        <w:rPr>
          <w:rStyle w:val="FootnoteAnchor"/>
          <w:rtl w:val="true"/>
        </w:rPr>
        <w:footnoteReference w:id="1563"/>
      </w:r>
      <w:r>
        <w:rPr>
          <w:rFonts w:ascii="IRNazanin" w:hAnsi="IRNazanin" w:eastAsia="IRNazanin"/>
          <w:color w:val="111111"/>
          <w:sz w:val="28"/>
          <w:sz w:val="28"/>
          <w:szCs w:val="28"/>
          <w:rtl w:val="true"/>
          <w:lang w:bidi="fa-IR"/>
        </w:rPr>
        <w:t xml:space="preserve">عن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ثبوته فی حقّها والحدّ له بعدم اللّعان بعد الرّمی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الجعفریّات</w:t>
      </w:r>
      <w:r>
        <w:rPr>
          <w:rStyle w:val="FootnoteAnchor"/>
          <w:rtl w:val="true"/>
        </w:rPr>
        <w:footnoteReference w:id="15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یعارضها او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عن اخیه</w:t>
      </w:r>
      <w:r>
        <w:rPr>
          <w:rStyle w:val="FootnoteAnchor"/>
          <w:rtl w:val="true"/>
        </w:rPr>
        <w:footnoteReference w:id="1565"/>
      </w:r>
      <w:r>
        <w:rPr>
          <w:rFonts w:ascii="IRNazanin" w:hAnsi="IRNazanin" w:eastAsia="IRNazanin"/>
          <w:color w:val="111111"/>
          <w:sz w:val="28"/>
          <w:sz w:val="28"/>
          <w:szCs w:val="28"/>
          <w:rtl w:val="true"/>
          <w:lang w:bidi="fa-IR"/>
        </w:rPr>
        <w:t xml:space="preserve">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 رجل لاعن امرأته، فحلف اربع شهادات باللهف ثمّ نکل فی الخامسة؟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نکل عن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امرأته وجلد، و ان نکلت المرأة عن ذلک اذا کانت الیمین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فعلیها مثل ذلک ـ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 منها فی النّکول مرسلة الدّعائم</w:t>
      </w:r>
      <w:r>
        <w:rPr>
          <w:rStyle w:val="FootnoteAnchor"/>
          <w:rtl w:val="true"/>
        </w:rPr>
        <w:footnoteReference w:id="1566"/>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انّ ظاهر المرسلة انّ النّکول عن الصّیغة الخامسة یوجب رجمها، و ظاهر الصّحیحة هو النّکول عن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صحیحة علیّ بن جعفر ظاهرة فی کون النّکول عن الخامسة یوجب جلدها لا رجمها؛ الاّ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ذلک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الأشارة الی الحدّ اللاّزم لها، و لیس الاّ الرّجم، و یقال فی المرسلة رجوع النّکول عن شهاداتها الأربع و الخامسة، فلا تعارض، بل یتلائم الأخبار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تکمیل</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یطالب صاحب الحقّ حتّی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اشکال فی ارث الحدّ، بل علیه الأجماع، کما سبق من الخلاف</w:t>
      </w:r>
      <w:r>
        <w:rPr>
          <w:rStyle w:val="FootnoteAnchor"/>
          <w:rtl w:val="true"/>
        </w:rPr>
        <w:footnoteReference w:id="1567"/>
      </w:r>
      <w:r>
        <w:rPr>
          <w:rFonts w:ascii="IRNazanin" w:hAnsi="IRNazanin" w:eastAsia="IRNazanin"/>
          <w:color w:val="111111"/>
          <w:sz w:val="28"/>
          <w:sz w:val="28"/>
          <w:szCs w:val="28"/>
          <w:rtl w:val="true"/>
          <w:lang w:bidi="fa-IR"/>
        </w:rPr>
        <w:t>و قال فی موضع آخر</w:t>
      </w:r>
      <w:r>
        <w:rPr>
          <w:rStyle w:val="FootnoteAnchor"/>
          <w:rtl w:val="true"/>
        </w:rPr>
        <w:footnoteReference w:id="15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القذف موروث یرثه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کلّ من یرث المال من ذوی الأنساب دون ذوی الأسباب عند الأجتماع و الأنفراد، و قال ابو حنیفة</w:t>
      </w:r>
      <w:r>
        <w:rPr>
          <w:rStyle w:val="FootnoteAnchor"/>
          <w:rtl w:val="true"/>
        </w:rPr>
        <w:footnoteReference w:id="15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القذف لا یورث، و قال الشّافعیّ</w:t>
      </w:r>
      <w:r>
        <w:rPr>
          <w:rStyle w:val="FootnoteAnchor"/>
          <w:rtl w:val="true"/>
        </w:rPr>
        <w:footnoteReference w:id="1570"/>
      </w:r>
      <w:r>
        <w:rPr>
          <w:rFonts w:ascii="IRNazanin" w:hAnsi="IRNazanin" w:eastAsia="IRNazanin"/>
          <w:color w:val="111111"/>
          <w:sz w:val="28"/>
          <w:sz w:val="28"/>
          <w:szCs w:val="28"/>
          <w:rtl w:val="true"/>
          <w:lang w:bidi="fa-IR"/>
        </w:rPr>
        <w:t>هو موروث مثل ما قلناه، و من یرثه؟ فیه ثلاثة اوجه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احدها مثل ماقلناه،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یرثه العصبات من الرّجال فقط، و الثّالث و هو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یرثه کلّ من یرث المال من النّساء و الرّجال من ذوی الأنساب و الأسباب یعنی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 اجماع الفرقة و اخبارهم، و قد مضت فی اللّعان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هناک</w:t>
      </w:r>
      <w:r>
        <w:rPr>
          <w:rStyle w:val="FootnoteAnchor"/>
          <w:rtl w:val="true"/>
        </w:rPr>
        <w:footnoteReference w:id="1571"/>
      </w:r>
      <w:r>
        <w:rPr>
          <w:rFonts w:ascii="IRNazanin" w:hAnsi="IRNazanin" w:eastAsia="IRNazanin"/>
          <w:color w:val="111111"/>
          <w:sz w:val="28"/>
          <w:sz w:val="28"/>
          <w:szCs w:val="28"/>
          <w:rtl w:val="true"/>
          <w:lang w:bidi="fa-IR"/>
        </w:rPr>
        <w:t xml:space="preserve">قریباً ممّا هنا؛ الاّ انّه لم ینقل عن ابی حنیفة شیئاً، او استدلّ علی ما عندنا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ارث المناسب دون ذوی 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باجماع الفرقة و اخبارهم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ارثه لیس کأرث المال، بل لو عفی الجمیع الاّ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استیفاء الحدّ تماماً، و بذلک یجمع بین روایات المقام</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ففی معتبرة السّکونیّ</w:t>
      </w:r>
      <w:r>
        <w:rPr>
          <w:rStyle w:val="FootnoteAnchor"/>
          <w:rtl w:val="true"/>
        </w:rPr>
        <w:footnoteReference w:id="1572"/>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 لا یورث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موثّقة عمّار السّاباطیّ</w:t>
      </w:r>
      <w:r>
        <w:rPr>
          <w:rStyle w:val="FootnoteAnchor"/>
          <w:rtl w:val="true"/>
        </w:rPr>
        <w:footnoteReference w:id="1573"/>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الحدّ</w:t>
      </w:r>
      <w:bookmarkStart w:id="594" w:name="pg3023_22890"/>
    </w:p>
    <w:p>
      <w:pPr>
        <w:pStyle w:val="Heading5"/>
        <w:numPr>
          <w:ilvl w:val="4"/>
          <w:numId w:val="1"/>
        </w:numPr>
        <w:rPr/>
      </w:pPr>
      <w:bookmarkStart w:id="595" w:name="__RefHeading___Toc657055_2749589250"/>
      <w:bookmarkStart w:id="596" w:name="_Toc214"/>
      <w:bookmarkEnd w:id="594"/>
      <w:bookmarkEnd w:id="595"/>
      <w:r>
        <w:rPr>
          <w:rtl w:val="true"/>
        </w:rPr>
        <w:t>یرثه المناسب لا ذو السّبب و لا یسقط حقّ الآخرین بعفو البعض</w:t>
      </w:r>
      <w:bookmarkEnd w:id="596"/>
    </w:p>
    <w:p>
      <w:pPr>
        <w:pStyle w:val="BookText"/>
        <w:rPr/>
      </w:pPr>
      <w:r>
        <w:rPr>
          <w:rFonts w:ascii="IRNazanin" w:hAnsi="IRNazanin" w:eastAsia="IRNazanin"/>
          <w:color w:val="111111"/>
          <w:sz w:val="28"/>
          <w:sz w:val="28"/>
          <w:szCs w:val="28"/>
          <w:rtl w:val="true"/>
          <w:lang w:bidi="fa-IR"/>
        </w:rPr>
        <w:t xml:space="preserve">و یرثه المناسب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یرثه ذو السّبب،  و اذا عفا واحد من المناسبین فلا یسقط حقّ الأخرین، و لهم مطالبة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لایورث کما تورث الدّیة و المال، ولکن من قام به من الورثة فهو ولیّه، و من ترکه فلم یطلبه فلا حقّ له، و ذلک مثل رجل قذف و للمقذوف 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عفا عنه احدهما کان للآخر أن یطلبه بحقّه لأنّها امّهما جمیعاً، و العفو الیهما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موثّقته الأخری</w:t>
      </w:r>
      <w:r>
        <w:rPr>
          <w:rStyle w:val="FootnoteAnchor"/>
          <w:rtl w:val="true"/>
        </w:rPr>
        <w:footnoteReference w:id="1574"/>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انّ رجلاً قال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الفاعلة یعنی الزّنا و کان للمقذوف اخ لأبیه و امّه؛ فعفی احدهما عن القاذف؛ واراد احد هما ان یقدّمه الی الوالی و یجلده أکان ذلک 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الیس امّه هی امّ الّذی عفا؟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العفو الیهما جمیعاً اذ کانت امّهما میّتة، فالأمر الیهما فی العفو، و ان کانت 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فالأمر الیها فی العفو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یجری الأرث فی الطّبقات الثّلاث النّسبیّة دون السّببیّ، لما اشار الیه فی موثّقة عمّار</w:t>
      </w:r>
      <w:r>
        <w:rPr>
          <w:rStyle w:val="FootnoteAnchor"/>
          <w:rtl w:val="true"/>
        </w:rPr>
        <w:footnoteReference w:id="1575"/>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قام به من الورثة فهو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و ان کان لیس لها ظهور معتدّ به فی المدّعی ؛ لکن فی صحیحة ابن مسلم</w:t>
      </w:r>
      <w:r>
        <w:rPr>
          <w:rStyle w:val="FootnoteAnchor"/>
          <w:rtl w:val="true"/>
        </w:rPr>
        <w:footnoteReference w:id="1576"/>
      </w:r>
      <w:r>
        <w:rPr>
          <w:rFonts w:ascii="IRNazanin" w:hAnsi="IRNazanin" w:eastAsia="IRNazanin"/>
          <w:color w:val="111111"/>
          <w:sz w:val="28"/>
          <w:sz w:val="28"/>
          <w:szCs w:val="28"/>
          <w:rtl w:val="true"/>
          <w:lang w:bidi="fa-IR"/>
        </w:rPr>
        <w:t>کفایة، مضافاً الی الأخبار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یرث المتأخّر لو فرض مانع من ارث المتقدّم، کما دلّ علی ذلک صحیحة ابن مسلم المتقدّمة</w:t>
      </w:r>
      <w:r>
        <w:rPr>
          <w:rStyle w:val="FootnoteAnchor"/>
          <w:rtl w:val="true"/>
        </w:rPr>
        <w:footnoteReference w:id="1577"/>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 کان قال لأبنه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بان الزّنیة و امّه میّتة ولم یکن لها من یأخذ بحقّها منه الاّ ولدها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فأنّه لا یقام علیه الحدّ، لأنّ حقّ الحدّ قد صار لولده منها، فأن کان لها ولد 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ولیّها یجلد له، و ان لم یکن لها ولد من غیره و کان لها قرابة یقومون بأخذ الحدّ جلد لهم</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یرثه ذوو الأسباب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احد الزّوجین ذا قرابة مع 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فیرث بالقرابة، لا بالزّوجیّة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لم یکن له ولیّ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فیسقط الحدّ</w:t>
      </w:r>
      <w:r>
        <w:rPr>
          <w:rFonts w:eastAsia="IRNazanin" w:cs="IRNazanin"/>
          <w:color w:val="111111"/>
          <w:sz w:val="28"/>
          <w:szCs w:val="28"/>
          <w:rtl w:val="true"/>
          <w:lang w:bidi="fa-IR"/>
        </w:rPr>
        <w:t>.</w:t>
      </w:r>
      <w:bookmarkStart w:id="597" w:name="pg3023_22891"/>
    </w:p>
    <w:p>
      <w:pPr>
        <w:pStyle w:val="Heading5"/>
        <w:numPr>
          <w:ilvl w:val="4"/>
          <w:numId w:val="1"/>
        </w:numPr>
        <w:rPr/>
      </w:pPr>
      <w:bookmarkStart w:id="598" w:name="__RefHeading___Toc657057_2749589250"/>
      <w:bookmarkStart w:id="599" w:name="_Toc215"/>
      <w:bookmarkEnd w:id="597"/>
      <w:bookmarkEnd w:id="598"/>
      <w:r>
        <w:rPr>
          <w:rtl w:val="true"/>
        </w:rPr>
        <w:t>یثبت القذف بالبیّنة و هی عدلان و بالاقرار و یکفی مرّة واحدة</w:t>
      </w:r>
      <w:bookmarkEnd w:id="599"/>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یثبت القذف بالبیّنة و هی شاهدان عدلان،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بالأقرار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اعتبر الأکثر فیه التّعدّد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الحقّ کفایة مرّة واحدة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و حکی عن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السّلطان اللحدّ؛ اذا لم یکن للمقذوف المیّت ولیّ، کما حلی عن الحلبییّن ارث الأمام؛ مع فقد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خاتمة فی مایثبت القذف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اشکال کما لا خلاف فی ثبوته بالبیّنة، لأطلاق ادلّة حجّیّتها، و من الرّوایات المعروفة معتبرة مسعدة بن صدقه</w:t>
      </w:r>
      <w:r>
        <w:rPr>
          <w:rStyle w:val="FootnoteAnchor"/>
          <w:rtl w:val="true"/>
        </w:rPr>
        <w:footnoteReference w:id="1578"/>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الأشیاء کلّها علی هذا حتّی یستبین لک غیر ذلک او تقوم به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یکفی شاهدان عدلان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لا اشکال و لا خلاف فی ثبوته بالأقرار؛ من الکامل بالبلوغ و العقل و الحرّیّة و الأختیار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اعتبر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الأقرار، بل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اجد فیه خلافاً، و انّه لا یکفی الأقرار مرّة واحدة، بل لابدّ من مرّتین</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اختار العلاّمة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الواحدة، و اعترف فی الجواهر بعدم الظّفر بنصّ خاصّ علی التّعدّد، و انّ عموم اقرار العقلاء، یقتضی الأکتفاء بالمّرة،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الاّ ان یکون ذلک من جهة بناء الحدود علی التّخفیف، فینزّل اقراره منزلة الشّهادة علی نفسه، فیعتبر فیها التّعدّد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لا یخلو من اشکال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فأذن مختار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الحقّ القویّ</w:t>
      </w:r>
      <w:r>
        <w:rPr>
          <w:rFonts w:eastAsia="IRNazanin" w:cs="IRNazanin"/>
          <w:color w:val="111111"/>
          <w:sz w:val="28"/>
          <w:szCs w:val="28"/>
          <w:rtl w:val="true"/>
          <w:lang w:bidi="fa-IR"/>
        </w:rPr>
        <w:t>.</w:t>
      </w:r>
      <w:bookmarkStart w:id="600" w:name="pg3023_22892"/>
    </w:p>
    <w:p>
      <w:pPr>
        <w:pStyle w:val="Heading2"/>
        <w:numPr>
          <w:ilvl w:val="1"/>
          <w:numId w:val="1"/>
        </w:numPr>
        <w:rPr/>
      </w:pPr>
      <w:bookmarkStart w:id="601" w:name="__RefHeading___Toc657059_2749589250"/>
      <w:bookmarkStart w:id="602" w:name="_Toc216"/>
      <w:bookmarkEnd w:id="600"/>
      <w:bookmarkEnd w:id="601"/>
      <w:r>
        <w:rPr>
          <w:rtl w:val="true"/>
        </w:rPr>
        <w:t>سبّ النّبی صلی الله علیه و آله</w:t>
      </w:r>
      <w:bookmarkEnd w:id="602"/>
    </w:p>
    <w:p>
      <w:pPr>
        <w:pStyle w:val="Heading3"/>
        <w:numPr>
          <w:ilvl w:val="2"/>
          <w:numId w:val="1"/>
        </w:numPr>
        <w:rPr/>
      </w:pPr>
      <w:bookmarkStart w:id="603" w:name="__RefHeading___Toc657061_2749589250"/>
      <w:bookmarkStart w:id="604" w:name="_Toc217"/>
      <w:bookmarkEnd w:id="603"/>
      <w:r>
        <w:rPr>
          <w:rtl w:val="true"/>
        </w:rPr>
        <w:t>فیه ابحاث</w:t>
      </w:r>
      <w:bookmarkEnd w:id="604"/>
    </w:p>
    <w:p>
      <w:pPr>
        <w:pStyle w:val="Heading4"/>
        <w:numPr>
          <w:ilvl w:val="3"/>
          <w:numId w:val="1"/>
        </w:numPr>
        <w:rPr/>
      </w:pPr>
      <w:bookmarkStart w:id="605" w:name="__RefHeading___Toc657063_2749589250"/>
      <w:bookmarkStart w:id="606" w:name="_Toc218"/>
      <w:bookmarkEnd w:id="605"/>
      <w:r>
        <w:rPr>
          <w:rtl w:val="true"/>
        </w:rPr>
        <w:t>الاول</w:t>
      </w:r>
      <w:r>
        <w:rPr>
          <w:rtl w:val="true"/>
        </w:rPr>
        <w:t xml:space="preserve">: </w:t>
      </w:r>
      <w:r>
        <w:rPr>
          <w:rtl w:val="true"/>
        </w:rPr>
        <w:t>سبّ النّبی صلی الله علیه و آله یوجب القتل</w:t>
      </w:r>
      <w:bookmarkEnd w:id="606"/>
    </w:p>
    <w:p>
      <w:pPr>
        <w:pStyle w:val="BookText"/>
        <w:rPr/>
      </w:pPr>
      <w:r>
        <w:rPr>
          <w:rFonts w:ascii="IRNazanin" w:hAnsi="IRNazanin" w:eastAsia="IRNazanin"/>
          <w:color w:val="111111"/>
          <w:sz w:val="28"/>
          <w:sz w:val="28"/>
          <w:szCs w:val="28"/>
          <w:rtl w:val="true"/>
          <w:lang w:bidi="fa-IR"/>
        </w:rPr>
        <w:t xml:space="preserve">و لاعبرة بشهادة النّساء لا منفردة و لا منضمّة الی الرّجال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یوجب القتل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سبق عدم کفایة شهادة النّساء، لا منفردة و لا منضمّة الی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لثبوت القذف،لعدم استثناء القذف من موارد عدم قبول شهادتهنّ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قذف المملوک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فالتّعزیر له، لا لمولاه، لعدم الدّلیل، و العفو له ایضاً فلو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لمولاه العفو، و لو 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لمولاه المطالبة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ورثها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جنّ المقذوف بعد استحقاقه للحدّ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فمختار کثیر من الأصحاب انّه لا یقام علیه الحدّ؛ حتّی یفیق و ططالب، لأنّ الحدّ للتّشفّی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لمولاه ولایة مطالبة الحدّ؟ استصحّ الفخر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لأنّه نصب الأستیفاء الحقوق، و انّ تأخیره تعریض للفوات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یخلو من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یحدّ القاذف فی غیر دار الأسلام؟ فیه کلام تقدّم فی بحث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یلحق بباب القذف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احد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فاطمة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ابحاث</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اشکال فی انّ سبّ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القتل، بلا حاجة الی اذن الأمام او حاکم الشّرع، و یدلّ علیه بعد الأتّفاق و الأجماع بقسمیه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هشام ابن سالم</w:t>
      </w:r>
      <w:r>
        <w:rPr>
          <w:rStyle w:val="FootnoteAnchor"/>
          <w:rtl w:val="true"/>
        </w:rPr>
        <w:footnoteReference w:id="1579"/>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انّه سئل عمّن شتم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یقتله الأدنی فالأدنی قبل ان یرفع الی الأمام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و فی مرسلة الدّعائم</w:t>
      </w:r>
      <w:r>
        <w:rPr>
          <w:rStyle w:val="FootnoteAnchor"/>
          <w:rtl w:val="true"/>
        </w:rPr>
        <w:footnoteReference w:id="1580"/>
      </w:r>
      <w:r>
        <w:rPr>
          <w:rFonts w:ascii="IRNazanin" w:hAnsi="IRNazanin" w:eastAsia="IRNazanin"/>
          <w:color w:val="111111"/>
          <w:sz w:val="28"/>
          <w:sz w:val="28"/>
          <w:szCs w:val="28"/>
          <w:rtl w:val="true"/>
          <w:lang w:bidi="fa-IR"/>
        </w:rPr>
        <w:t xml:space="preserve">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سبّ انّبیّ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قتل ولم یستتب، قال ابو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تناول سبّ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فلیقتله الأدنی فالأدنی،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ان یرفع الی الوالی؟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یفعال ذلک المسلمون؛ ان امنوا علی انفسهم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15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کتب الی رفاعة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تنقّص نبیّاً فلا تناظره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وروایة علیّ بن اسباط</w:t>
      </w:r>
      <w:r>
        <w:rPr>
          <w:rStyle w:val="FootnoteAnchor"/>
          <w:rtl w:val="true"/>
        </w:rPr>
        <w:footnoteReference w:id="1582"/>
      </w:r>
      <w:r>
        <w:rPr>
          <w:rFonts w:ascii="IRNazanin" w:hAnsi="IRNazanin" w:eastAsia="IRNazanin"/>
          <w:color w:val="111111"/>
          <w:sz w:val="28"/>
          <w:sz w:val="28"/>
          <w:szCs w:val="28"/>
          <w:rtl w:val="true"/>
          <w:lang w:bidi="fa-IR"/>
        </w:rPr>
        <w:t>الّتی لعلّها لا تقصر عن المعتبرة، عن علیّ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اخبرنی اخی،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واقفاً علی رأس ابی حین اتاه رسول زیاد بن عبیدالله الحارثیّ عامل المدینة،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انهض الیّ، فاعتلّ بعلّة، فعاد الیه الرّسول،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امرت ان یفتح لک باب المقصورة فهو اقرب لخطوک،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فنهض ابی و اعتمد علیّ، و دخل الی الوالی؛ و قد جمع فقهاء اهل المدینة کلّهم، و بین یدیه کتاب فیه شهادة علی رجل من اهل وادی القری، قد ذکر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فنال منه، فقال له الوالی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اباب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فی الکتاب،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انظر ماقالوا، فالتفت الیهم فقال ما قلتم؟ قالو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یؤدّب</w:t>
      </w:r>
      <w:r>
        <w:rPr>
          <w:rStyle w:val="FootnoteAnchor"/>
          <w:rtl w:val="true"/>
        </w:rPr>
        <w:footnoteReference w:id="1583"/>
      </w:r>
      <w:r>
        <w:rPr>
          <w:rFonts w:ascii="IRNazanin" w:hAnsi="IRNazanin" w:eastAsia="IRNazanin"/>
          <w:color w:val="111111"/>
          <w:sz w:val="28"/>
          <w:sz w:val="28"/>
          <w:szCs w:val="28"/>
          <w:rtl w:val="true"/>
          <w:lang w:bidi="fa-IR"/>
        </w:rPr>
        <w:t>و یضرب و یعزّر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یحبس،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ارأیتم لو ذکر رجلاً من اصحاب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الحکم فیه؟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بین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رجل من اصحابه فرق؟ فقال الوالی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 هؤلاء یا ابا عبدالله، لو اردنا هؤلاء لم نرسل الیک، فقال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اخبرنی ابی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فیّ اسوه سواء، من سمع احداً یذکرنی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فالواجب علیه ان یقتل من شتمنی و لا یرفع الی السّلطان، والواجب علی السّلطان اذا رفع الیه ان یقتل من نال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زیاد بن 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اخرجوا الرّجل فاقتلوه بحکم ابی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اوردها فی المناقب</w:t>
      </w:r>
      <w:r>
        <w:rPr>
          <w:rStyle w:val="FootnoteAnchor"/>
          <w:rtl w:val="true"/>
        </w:rPr>
        <w:footnoteReference w:id="1584"/>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و صحیحة محمّد بن مسلم</w:t>
      </w:r>
      <w:r>
        <w:rPr>
          <w:rStyle w:val="FootnoteAnchor"/>
          <w:rtl w:val="true"/>
        </w:rPr>
        <w:footnoteReference w:id="1585"/>
      </w:r>
      <w:r>
        <w:rPr>
          <w:rFonts w:ascii="IRNazanin" w:hAnsi="IRNazanin" w:eastAsia="IRNazanin"/>
          <w:color w:val="111111"/>
          <w:sz w:val="28"/>
          <w:sz w:val="28"/>
          <w:szCs w:val="28"/>
          <w:rtl w:val="true"/>
          <w:lang w:bidi="fa-IR"/>
        </w:rPr>
        <w:t xml:space="preserve">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رجلاً من هذیل کان یسبّ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فبلغ ذلک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لهذا؟ فقام رجلان من الأنصار،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یا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فانطلقا حتّی اتیا عربة، فسألا عنه، فاذا هو یتلقّی غنمه،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انتما و ما اسمکما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فلان بن فلان؟ قال نعم، فنزلا فضربا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مسلم؟ فقلت لأبی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ارأیت لو انّ رجلاً الأن سبّ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لم تخف علی نفسک فاقتله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قریب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الدّعائم</w:t>
      </w:r>
      <w:r>
        <w:rPr>
          <w:rStyle w:val="FootnoteAnchor"/>
          <w:rtl w:val="true"/>
        </w:rPr>
        <w:footnoteReference w:id="1586"/>
      </w:r>
      <w:r>
        <w:rPr>
          <w:rFonts w:ascii="IRNazanin" w:hAnsi="IRNazanin" w:eastAsia="IRNazanin"/>
          <w:color w:val="111111"/>
          <w:sz w:val="28"/>
          <w:sz w:val="28"/>
          <w:szCs w:val="28"/>
          <w:rtl w:val="true"/>
          <w:lang w:bidi="fa-IR"/>
        </w:rPr>
        <w:t>الی قوله فضربا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یؤیّدها معتبرة الوشّاء</w:t>
      </w:r>
      <w:r>
        <w:rPr>
          <w:rStyle w:val="FootnoteAnchor"/>
          <w:rtl w:val="true"/>
        </w:rPr>
        <w:footnoteReference w:id="158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شتم رجل علی عهد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فأتی به عامل المدینة، فجمع النّاس، فدخل علیه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قریب العهد بالعلّة، و علیه رداء له مورّد، فأجلسه فی صدر المجلس، و استأذنه فی الأتّکاء،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ترون؟ فقال له عبدالله بن الحسن و الحسن بن زید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 ان تقطع لسانه، فالتفت العامل الی ربیعة الرّأی و اصحابه،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یؤدّب، فقال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 الله، فلیس بین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اصحابه فرق ؟</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یؤیّد ذلک مارواه الطّوسیّ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امالیه</w:t>
      </w:r>
      <w:r>
        <w:rPr>
          <w:rStyle w:val="FootnoteAnchor"/>
          <w:rtl w:val="true"/>
        </w:rPr>
        <w:footnoteReference w:id="1588"/>
      </w:r>
      <w:r>
        <w:rPr>
          <w:rFonts w:ascii="Amiri" w:hAnsi="Amiri" w:eastAsia="Amiri" w:cs="Amiri"/>
          <w:color w:val="111111"/>
          <w:sz w:val="28"/>
          <w:sz w:val="28"/>
          <w:szCs w:val="28"/>
          <w:rtl w:val="true"/>
          <w:lang w:bidi="ar-SA"/>
        </w:rPr>
        <w:t xml:space="preserve">باسناده عن اخی دعبل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سبّ نبیّاً من الأنبیاء فاقتلوه و من سبّ و صیّاً فقد سبّ نبیّاً</w:t>
      </w:r>
      <w:r>
        <w:rPr>
          <w:rFonts w:eastAsia="Amiri" w:cs="Amiri" w:ascii="Amiri" w:hAnsi="Amiri"/>
          <w:color w:val="111111"/>
          <w:sz w:val="28"/>
          <w:szCs w:val="28"/>
          <w:rtl w:val="true"/>
          <w:lang w:bidi="ar-SA"/>
        </w:rPr>
        <w:t>.</w:t>
      </w:r>
      <w:bookmarkStart w:id="607" w:name="pg3023_22896"/>
    </w:p>
    <w:p>
      <w:pPr>
        <w:pStyle w:val="Heading4"/>
        <w:numPr>
          <w:ilvl w:val="3"/>
          <w:numId w:val="1"/>
        </w:numPr>
        <w:rPr/>
      </w:pPr>
      <w:bookmarkStart w:id="608" w:name="__RefHeading___Toc657065_2749589250"/>
      <w:bookmarkStart w:id="609" w:name="_Toc219"/>
      <w:bookmarkEnd w:id="607"/>
      <w:bookmarkEnd w:id="608"/>
      <w:r>
        <w:rPr>
          <w:rtl w:val="true"/>
        </w:rPr>
        <w:t>الثّانی</w:t>
      </w:r>
      <w:r>
        <w:rPr>
          <w:rtl w:val="true"/>
        </w:rPr>
        <w:t xml:space="preserve">: </w:t>
      </w:r>
      <w:r>
        <w:rPr>
          <w:rtl w:val="true"/>
        </w:rPr>
        <w:t>سبّ احد الأئمة الطّاهرین علیهم السلام او سبّ الزّهراء سلام الله علیها موجب للقتل</w:t>
      </w:r>
      <w:bookmarkEnd w:id="609"/>
    </w:p>
    <w:p>
      <w:pPr>
        <w:pStyle w:val="BookText"/>
        <w:rPr/>
      </w:pPr>
      <w:r>
        <w:rPr>
          <w:rFonts w:ascii="IRNazanin" w:hAnsi="IRNazanin" w:eastAsia="IRNazanin"/>
          <w:color w:val="111111"/>
          <w:sz w:val="28"/>
          <w:sz w:val="28"/>
          <w:szCs w:val="28"/>
          <w:rtl w:val="true"/>
          <w:lang w:bidi="fa-IR"/>
        </w:rPr>
        <w:t xml:space="preserve">اذا لم یخف علی نفسه او اهله او ولده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یقتل من سبّ احداً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لم یخف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فی صحیفة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1589"/>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سبّ نبیّاً قتل و من سبّ اصحابی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1590"/>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من ذکر السّیّد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واحداً من اهل بیته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بالسّوء و بما لا یلیق بهم او الطّعن فیهم 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علیه القتل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یدلّ علیه الصّحیحة الأولی</w:t>
      </w:r>
      <w:r>
        <w:rPr>
          <w:rStyle w:val="FootnoteAnchor"/>
          <w:rtl w:val="true"/>
        </w:rPr>
        <w:footnoteReference w:id="15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التقل، لکن صحیحة ابن مسلم</w:t>
      </w:r>
      <w:r>
        <w:rPr>
          <w:rStyle w:val="FootnoteAnchor"/>
          <w:rtl w:val="true"/>
        </w:rPr>
        <w:footnoteReference w:id="15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تدلّ علی اکثر من الجواز؛ مشروطاً بعدم الخوف علی النّفس، و یمکن زیادة الهل و الولد، و لا دلالة لها علی عدم التّضرّر بغیر ذلک کالمال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اذا کان مضّراً به فی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رفعه بدلیل نفی الضّرر، کما انّ الوجوب لو کان حرجیّاً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فیسقط، ولکن من المعلوم عدم کفایة الحرج وقتاً 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سبّ الحد الأئمة الطّهرین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سبّ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اشکال عندنا معاشر الأمامیّة فی عصمتهم و وجوب احترامهم و تعظیمهم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کونهم بمنزلة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کذلک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فسبّ احدهم او سبّها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الخلاف</w:t>
      </w:r>
      <w:r>
        <w:rPr>
          <w:rStyle w:val="FootnoteAnchor"/>
          <w:rtl w:val="true"/>
        </w:rPr>
        <w:footnoteReference w:id="1593"/>
      </w:r>
      <w:r>
        <w:rPr>
          <w:rFonts w:ascii="IRNazanin" w:hAnsi="IRNazanin" w:eastAsia="IRNazanin"/>
          <w:color w:val="111111"/>
          <w:sz w:val="28"/>
          <w:sz w:val="28"/>
          <w:szCs w:val="28"/>
          <w:rtl w:val="true"/>
          <w:lang w:bidi="fa-IR"/>
        </w:rPr>
        <w:t>من سبّ الأمام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قتله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 قال الشّافعیّ</w:t>
      </w:r>
      <w:r>
        <w:rPr>
          <w:rStyle w:val="FootnoteAnchor"/>
          <w:rtl w:val="true"/>
        </w:rPr>
        <w:footnoteReference w:id="1594"/>
      </w:r>
      <w:r>
        <w:rPr>
          <w:rFonts w:ascii="IRNazanin" w:hAnsi="IRNazanin" w:eastAsia="IRNazanin"/>
          <w:color w:val="111111"/>
          <w:sz w:val="28"/>
          <w:sz w:val="28"/>
          <w:szCs w:val="28"/>
          <w:rtl w:val="true"/>
          <w:lang w:bidi="fa-IR"/>
        </w:rPr>
        <w:t xml:space="preserve">یجب تعزیره، و به قال جمیع الفقهاء، ثمّ استدلّ باجماع الفرقة و اخبارهم، و ایضاً 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سبّ علیّاً فقد سبّنی و من سبّنی فقد سبّ الله و من سبّ الله و سبّ نبیّه فقد کفر و یجب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ذلک الرّوایات الکثیرة، مضافاً الی ما تقدّم فی البحث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داود بن فرقد</w:t>
      </w:r>
      <w:r>
        <w:rPr>
          <w:rStyle w:val="FootnoteAnchor"/>
          <w:rtl w:val="true"/>
        </w:rPr>
        <w:footnoteReference w:id="159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تقول فی قتل النّاصب؟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الدّم، لکنّی اتّقی علیک، فان قدرت ان تقلب علیه حائطاً او تغرقه فی ماء؛ لکیلا یشهد به علیک فافعل ـ الحدیث</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صحیحة هشام بن سالم</w:t>
      </w:r>
      <w:r>
        <w:rPr>
          <w:rStyle w:val="FootnoteAnchor"/>
          <w:rtl w:val="true"/>
        </w:rPr>
        <w:footnoteReference w:id="159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تقول فی رجل سبّابة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الدّم، و الله لو لا ان تعمّ به بریئاً ـ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 هما روایات أخری، کروایة عبدالله بن سلیمان العامریّ</w:t>
      </w:r>
      <w:r>
        <w:rPr>
          <w:rStyle w:val="FootnoteAnchor"/>
          <w:rtl w:val="true"/>
        </w:rPr>
        <w:footnoteReference w:id="159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شیء تقول فی رجل سمعته یشتم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یبرء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هو حلال الدّم، و ما الف منهم برجل منکم، دعه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تعرّض له؛ الاّ ان تأمن علی نفسک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 </w:t>
      </w:r>
    </w:p>
    <w:p>
      <w:pPr>
        <w:pStyle w:val="BookText"/>
        <w:rPr/>
      </w:pPr>
      <w:r>
        <w:rPr>
          <w:rFonts w:ascii="IRNazanin" w:hAnsi="IRNazanin" w:eastAsia="IRNazanin"/>
          <w:color w:val="111111"/>
          <w:sz w:val="28"/>
          <w:sz w:val="28"/>
          <w:szCs w:val="28"/>
          <w:rtl w:val="true"/>
          <w:lang w:bidi="fa-IR"/>
        </w:rPr>
        <w:t>و یؤیدها روایة عبید بن زرراة</w:t>
      </w:r>
      <w:r>
        <w:rPr>
          <w:rStyle w:val="FootnoteAnchor"/>
          <w:rtl w:val="true"/>
        </w:rPr>
        <w:footnoteReference w:id="1598"/>
      </w:r>
      <w:r>
        <w:rPr>
          <w:rFonts w:ascii="IRNazanin" w:hAnsi="IRNazanin" w:eastAsia="IRNazanin"/>
          <w:color w:val="111111"/>
          <w:sz w:val="28"/>
          <w:sz w:val="28"/>
          <w:szCs w:val="28"/>
          <w:rtl w:val="true"/>
          <w:lang w:bidi="fa-IR"/>
        </w:rPr>
        <w:t xml:space="preserve">عن ابیه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قعد فی مجلس یسبّ فیه امام من الأئمّة یقدر علی الأنتصاف فلم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البسه الله عزوّجلّ الذّل فی ادّنیا و عذّبه فی الآخرة وسلبه صالح ما منّ به علیه من معرفتنا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روایة دعائم الأسلام</w:t>
      </w:r>
      <w:r>
        <w:rPr>
          <w:rStyle w:val="FootnoteAnchor"/>
          <w:rtl w:val="true"/>
        </w:rPr>
        <w:footnoteReference w:id="1599"/>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یقتل من سبّ الأمام، کما یقتل من سبّ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فی الفقه الرّضویّ</w:t>
      </w:r>
      <w:r>
        <w:rPr>
          <w:rStyle w:val="FootnoteAnchor"/>
          <w:rtl w:val="true"/>
        </w:rPr>
        <w:footnoteReference w:id="1600"/>
      </w:r>
      <w:r>
        <w:rPr>
          <w:rFonts w:ascii="IRNazanin" w:hAnsi="IRNazanin" w:eastAsia="IRNazanin"/>
          <w:color w:val="111111"/>
          <w:sz w:val="28"/>
          <w:sz w:val="28"/>
          <w:szCs w:val="28"/>
          <w:rtl w:val="true"/>
          <w:lang w:bidi="fa-IR"/>
        </w:rPr>
        <w:t>المتقدّم فی المبحث الأوّل</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مارواه الکشّی</w:t>
      </w:r>
      <w:r>
        <w:rPr>
          <w:rStyle w:val="FootnoteAnchor"/>
          <w:rtl w:val="true"/>
        </w:rPr>
        <w:footnoteReference w:id="1601"/>
      </w:r>
      <w:r>
        <w:rPr>
          <w:rFonts w:ascii="IRNazanin" w:hAnsi="IRNazanin" w:eastAsia="IRNazanin"/>
          <w:color w:val="111111"/>
          <w:sz w:val="28"/>
          <w:sz w:val="28"/>
          <w:szCs w:val="28"/>
          <w:rtl w:val="true"/>
          <w:lang w:bidi="fa-IR"/>
        </w:rPr>
        <w:t>فی رجاله بسنده الی علیّ بن حدید ضعیفاً،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من سأل ابا احسن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سمعت محمّد بن بشیر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لست موسی بن جعفر الّذی انت امامنا و حجّتنا فیما بیننا و بین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 الله ثلاثاً اذاقه الله حرّ الحدید قتله الله اخبث مایکون من قتلة،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سمعت ذلک منه او لیس حلال لی دمه مباح کما ابیح دم السّباّب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حلّ و الله، حلّ والله دمه، و اباحه لک و لمن سمع ذلک منه،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اولیس ذلک بسابّ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سبّاب لله و سبّاب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سّباب الأبائی و سبّابی و ایّ سبّ لیس یقصر عن هذا و لا یفوقه هذا القول،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ارأیت اذا انا لم اخف ان اغمر بذلک بریئاً ثمّ لم افعل و لم اقتله ما علیّ من الوزر؟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علیک وزره اضعافاً مظاعفة من غیر ان ینقص من وزره شیء، اما علمت انّ افضل الشّهداء درجة یو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نصر الله و روسله بظهر الغیب، وردّ عن الله و عن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روایة عمّار السّجستانیّ</w:t>
      </w:r>
      <w:r>
        <w:rPr>
          <w:rStyle w:val="FootnoteAnchor"/>
          <w:rtl w:val="true"/>
        </w:rPr>
        <w:footnoteReference w:id="1602"/>
      </w:r>
      <w:r>
        <w:rPr>
          <w:rFonts w:ascii="IRNazanin" w:hAnsi="IRNazanin" w:eastAsia="IRNazanin"/>
          <w:color w:val="111111"/>
          <w:sz w:val="28"/>
          <w:sz w:val="28"/>
          <w:szCs w:val="28"/>
          <w:rtl w:val="true"/>
          <w:lang w:bidi="fa-IR"/>
        </w:rPr>
        <w:t xml:space="preserve">المرویّ عن رجال الکشیّ ایضاً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 عبدالله بن النّجاشیّ قال له و عمّار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قتلت ثلاثة عشر</w:t>
      </w:r>
    </w:p>
    <w:p>
      <w:pPr>
        <w:pStyle w:val="BookText"/>
        <w:rPr/>
      </w:pPr>
      <w:r>
        <w:rPr>
          <w:rFonts w:ascii="IRNazanin" w:hAnsi="IRNazanin" w:eastAsia="IRNazanin"/>
          <w:color w:val="111111"/>
          <w:sz w:val="28"/>
          <w:sz w:val="28"/>
          <w:szCs w:val="28"/>
          <w:rtl w:val="true"/>
          <w:lang w:bidi="fa-IR"/>
        </w:rPr>
        <w:t xml:space="preserve">رجلاً من الخوارج کلّهم سمعته یبرء من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فسألت عبد الله بن الحسن، فلم یکن عنده جواب، و عظم 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مأخوذ فی الدّنیا والآخرة، فقال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قتلتهم یا ابا بحیر؟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من کنت اصعد سطحه بسلّم حتّی اقتله، ومنهم من دعوته باللّیل علی بابه فأذا خرج قتلته، منهم من کنت اصحبه فی الطّریق فاذا خلا لی قتلته، وقد استتر ذلک علیّ، فقال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قتلتهم بأمر الأمام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علیک شیء فی قتلهم، ولکنّک سبقت الأمام، فعلیک ثلاثة عشر شاة تذبحها بمنی، وتتصدّق بلحمها؛ لسبقک الأمام، ولیس علیک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ونحوها مرفوعة علیّ بن ابراهیم</w:t>
      </w:r>
      <w:r>
        <w:rPr>
          <w:rStyle w:val="FootnoteAnchor"/>
          <w:rtl w:val="true"/>
        </w:rPr>
        <w:footnoteReference w:id="16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ومرسلة ابی الصّباح</w:t>
      </w:r>
      <w:r>
        <w:rPr>
          <w:rStyle w:val="FootnoteAnchor"/>
          <w:rtl w:val="true"/>
        </w:rPr>
        <w:footnoteReference w:id="1604"/>
      </w:r>
      <w:r>
        <w:rPr>
          <w:rFonts w:ascii="IRNazanin" w:hAnsi="IRNazanin" w:eastAsia="IRNazanin"/>
          <w:color w:val="111111"/>
          <w:sz w:val="28"/>
          <w:sz w:val="28"/>
          <w:szCs w:val="28"/>
          <w:rtl w:val="true"/>
          <w:lang w:bidi="fa-IR"/>
        </w:rPr>
        <w:t xml:space="preserve">قال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لنا جاراً فنذکر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وفضله فیقع فیه، افتأذن لی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کنت فاعلاً؟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والله، لو اذنت لی فیه لأرصدنّه فاذا صار فیها اقتحمت علیه بسیفی فخبطته حتّی اقتله،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الصّباح هذا القتل، وقد نهی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القتل، یا ابا الصّباح انّ الأسلام قید القتل، ولکن دعه فستکفی بغیرک ـ الحدیث</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الکافی</w:t>
      </w:r>
      <w:r>
        <w:rPr>
          <w:rStyle w:val="FootnoteAnchor"/>
          <w:rtl w:val="true"/>
        </w:rPr>
        <w:footnoteReference w:id="1605"/>
      </w:r>
      <w:r>
        <w:rPr>
          <w:rFonts w:ascii="IRNazanin" w:hAnsi="IRNazanin" w:eastAsia="IRNazanin"/>
          <w:color w:val="111111"/>
          <w:sz w:val="28"/>
          <w:sz w:val="28"/>
          <w:szCs w:val="28"/>
          <w:rtl w:val="true"/>
          <w:lang w:bidi="fa-IR"/>
        </w:rPr>
        <w:t>رواها ایضاً مرسلة،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لنا جاراً من همدان یقال له الجعد بن عبد الله کما انّ فیه مکان هذا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 ابا الصّباح هذا الفتک وقد نهی ـ الی قوله ـ عن الفتک یا ابا الصّباح انّ الأسلام قید الفتک الخ، وفی ذیله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فأیقظوه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للصّلاة فاذا هو مثل الزّقّ المنفوخ میّتاً، فذهبوا یحملونه، فاذا لحمه یسقط عن عظمه، فجمعوه فی نطع فاذا تحته اسود، فدفنوه</w:t>
      </w:r>
      <w:r>
        <w:rPr>
          <w:rFonts w:eastAsia="IRNazanin" w:cs="IRNazanin"/>
          <w:color w:val="111111"/>
          <w:sz w:val="28"/>
          <w:szCs w:val="28"/>
          <w:rtl w:val="true"/>
          <w:lang w:bidi="fa-IR"/>
        </w:rPr>
        <w:t>.</w:t>
      </w:r>
      <w:bookmarkStart w:id="610" w:name="pg3023_22900"/>
    </w:p>
    <w:p>
      <w:pPr>
        <w:pStyle w:val="Heading4"/>
        <w:numPr>
          <w:ilvl w:val="3"/>
          <w:numId w:val="1"/>
        </w:numPr>
        <w:rPr/>
      </w:pPr>
      <w:bookmarkStart w:id="611" w:name="__RefHeading___Toc657067_2749589250"/>
      <w:bookmarkStart w:id="612" w:name="_Toc220"/>
      <w:bookmarkEnd w:id="610"/>
      <w:bookmarkEnd w:id="611"/>
      <w:r>
        <w:rPr>
          <w:rtl w:val="true"/>
        </w:rPr>
        <w:t>جواز السّبّ و الشّتم اکراهاً</w:t>
      </w:r>
      <w:bookmarkEnd w:id="612"/>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اکره علی الشّتم والسّبّ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لأحد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فجائز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ما فی ذیل صحیحة هشام بن سالم</w:t>
      </w:r>
      <w:r>
        <w:rPr>
          <w:rStyle w:val="FootnoteAnchor"/>
          <w:rtl w:val="true"/>
        </w:rPr>
        <w:footnoteReference w:id="1606"/>
      </w:r>
      <w:r>
        <w:rPr>
          <w:rFonts w:ascii="IRNazanin" w:hAnsi="IRNazanin" w:eastAsia="IRNazanin"/>
          <w:color w:val="111111"/>
          <w:sz w:val="28"/>
          <w:sz w:val="28"/>
          <w:szCs w:val="28"/>
          <w:rtl w:val="true"/>
          <w:lang w:bidi="fa-IR"/>
        </w:rPr>
        <w:t>المتقدّمة،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فما تقول فی رجل مؤذ لنا؟ قال فیماذا؟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فی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لیقول ذلک ویظهره،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تعرّض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رحمة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للمؤذی، و الّا فلا فرق بین النّاصب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لغیره من اولاده الأئمّة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الاّ ان یدّعی ظهوره فی حدّ الشّتم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اذا لم یخف علی نفسه او عرضه او ما له بما اذا کان مضرّاً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اذا اکره علی الشّتم او السّبّ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اشکال فی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علیه بعد الأتّفاق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ماورد فی شأن نزول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من اکره وقلبه مطمئنّ بالأیمان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لعمّار بعد اعترافه بالنّیل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عادوا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وروایات کثیرة بالغة حدّ التّواتر عن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اخباره صلوات الله علیه بما یجری علی شیعته من بعده من البلاء، و عرضهم علی 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والبرائة من کما ورد عن الأئمّة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علیّ بن ابراهیم</w:t>
      </w:r>
      <w:r>
        <w:rPr>
          <w:rStyle w:val="FootnoteAnchor"/>
          <w:rtl w:val="true"/>
        </w:rPr>
        <w:footnoteReference w:id="1607"/>
      </w:r>
      <w:r>
        <w:rPr>
          <w:rFonts w:ascii="IRNazanin" w:hAnsi="IRNazanin" w:eastAsia="IRNazanin"/>
          <w:color w:val="111111"/>
          <w:sz w:val="28"/>
          <w:sz w:val="28"/>
          <w:szCs w:val="28"/>
          <w:rtl w:val="true"/>
          <w:lang w:bidi="fa-IR"/>
        </w:rPr>
        <w:t>عن هارون بن مسلم عن مسعدة بن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النّاس یروون انّ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منبر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انّکم ستدعون الی سبّی، فسبّونی، ثمّ تدعون الی البرائة منّی، فلا تبرّئوا منّی،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اکثر ما یکذب النّاس علی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انّکم ستدعون الی سبّی فسبّونی ، ثمّ تدعون الی البرائة منّی و انّی لعلی 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یقل و لا تبرّئوا منّی، فقال له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ارأیت ان اختار القتل دون البرائة؟ فقال والله ما ذلک علیه و ما له الاّ ما مضی علیه عمّار بن یاسر حیث اکرهه اهل مکّة و قلبه مطمئنّ</w:t>
      </w:r>
    </w:p>
    <w:p>
      <w:pPr>
        <w:pStyle w:val="BookText"/>
        <w:rPr/>
      </w:pPr>
      <w:r>
        <w:rPr>
          <w:rFonts w:ascii="IRNazanin" w:hAnsi="IRNazanin" w:eastAsia="IRNazanin"/>
          <w:color w:val="111111"/>
          <w:sz w:val="28"/>
          <w:sz w:val="28"/>
          <w:szCs w:val="28"/>
          <w:rtl w:val="true"/>
          <w:lang w:bidi="fa-IR"/>
        </w:rPr>
        <w:t>بالأیمان، فانزل الله عزّوجلّ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من اکره و قلبه مطمئنّ بالأیمان، فقال له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عادوا فعد، فقد انزل الله عذرک، وامرک ان تعود؛ ان عادوا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روایة محمّد بن میمون</w:t>
      </w:r>
      <w:r>
        <w:rPr>
          <w:rStyle w:val="FootnoteAnchor"/>
          <w:rtl w:val="true"/>
        </w:rPr>
        <w:footnoteReference w:id="1608"/>
      </w:r>
      <w:r>
        <w:rPr>
          <w:rFonts w:ascii="IRNazanin" w:hAnsi="IRNazanin" w:eastAsia="IRNazanin"/>
          <w:color w:val="111111"/>
          <w:sz w:val="28"/>
          <w:sz w:val="28"/>
          <w:szCs w:val="28"/>
          <w:rtl w:val="true"/>
          <w:lang w:bidi="fa-IR"/>
        </w:rPr>
        <w:t xml:space="preserve">عن جعفر بن محمّد عن ابیه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ستدعون الی سبّی فسبّونی، وتدعون الی البرائة منّی، فمدّوا الرّقاب فأنّی علی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علیّ بن علیّ</w:t>
      </w:r>
      <w:r>
        <w:rPr>
          <w:rStyle w:val="FootnoteAnchor"/>
          <w:rtl w:val="true"/>
        </w:rPr>
        <w:footnoteReference w:id="1609"/>
      </w:r>
      <w:r>
        <w:rPr>
          <w:rFonts w:ascii="IRNazanin" w:hAnsi="IRNazanin" w:eastAsia="IRNazanin"/>
          <w:color w:val="111111"/>
          <w:sz w:val="28"/>
          <w:sz w:val="28"/>
          <w:szCs w:val="28"/>
          <w:rtl w:val="true"/>
          <w:lang w:bidi="fa-IR"/>
        </w:rPr>
        <w:t xml:space="preserve">اخی دعبل بن علیّ الخزاعیّ عن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ابیه عن آبائه عن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ستعرضون علی سبّی، فان خفتم علی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فسبّونی، الا و انّکم ستعرضون علی البرائة منّی، فلا تفعلوا، فأنّی علی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نهج البلاغة</w:t>
      </w:r>
      <w:r>
        <w:rPr>
          <w:rStyle w:val="FootnoteAnchor"/>
          <w:rtl w:val="true"/>
        </w:rPr>
        <w:footnoteReference w:id="16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انّه سیظهر علیکم بعدی رجل رحب البلعوم مند حق البطن، یأکل ما یجد، ویطلب ما لا یجد، فاقتلوه ولن تقتلوه، الاّ و انّه سیأمرکم  بسبیّ والبرائة منّی، فامّا السّبّ فسبّونی، فانّه لی زکاة، ولکم نجاة، وامّا البرائة فلا تبرّأوا منّی، فأنّی ولدت علی الفطرة، وسبقت الی الأیمان والهجرة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ارشاد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16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استفاض عن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ستعرضون من بعدی علی سبّی، فسبّونی فمن عرض علیه البرائة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فلیمدد عنقه فان بریء منّی، فلا دنیا له ولا 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روایة ابراهیم بن محمّد الثّقفیّ</w:t>
      </w:r>
      <w:r>
        <w:rPr>
          <w:rStyle w:val="FootnoteAnchor"/>
          <w:rtl w:val="true"/>
        </w:rPr>
        <w:footnoteReference w:id="1612"/>
      </w:r>
      <w:r>
        <w:rPr>
          <w:rFonts w:ascii="IRNazanin" w:hAnsi="IRNazanin" w:eastAsia="IRNazanin"/>
          <w:color w:val="111111"/>
          <w:sz w:val="28"/>
          <w:sz w:val="28"/>
          <w:szCs w:val="28"/>
          <w:rtl w:val="true"/>
          <w:lang w:bidi="fa-IR"/>
        </w:rPr>
        <w:t xml:space="preserve">فی کتاب الغارات مسنداً عن ابی مریم الأنصاریّ عن محمّد بن علیّ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منبر الکوفة،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سیعرض علیکم سبّی، وستذبحون علیه، فان عرض علیکم سبّی فسبّونی، وان عرض علیکم البرائة منّی فانّی علی 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یقل فلا تبرّأوا منّی</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وقریب منها روایته الأخری</w:t>
      </w:r>
      <w:r>
        <w:rPr>
          <w:rStyle w:val="FootnoteAnchor"/>
          <w:rtl w:val="true"/>
        </w:rPr>
        <w:footnoteReference w:id="1613"/>
      </w:r>
      <w:r>
        <w:rPr>
          <w:rFonts w:ascii="IRNazanin" w:hAnsi="IRNazanin" w:eastAsia="IRNazanin"/>
          <w:color w:val="111111"/>
          <w:sz w:val="28"/>
          <w:sz w:val="28"/>
          <w:szCs w:val="28"/>
          <w:rtl w:val="true"/>
          <w:lang w:bidi="fa-IR"/>
        </w:rPr>
        <w:t>عن الحسن بن صالح عن جعفر بن محمّد عن</w:t>
      </w:r>
    </w:p>
    <w:p>
      <w:pPr>
        <w:pStyle w:val="BookText"/>
        <w:rPr/>
      </w:pP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امالی الشّیخ المفید مسنداً</w:t>
      </w:r>
      <w:r>
        <w:rPr>
          <w:rStyle w:val="FootnoteAnchor"/>
          <w:rtl w:val="true"/>
        </w:rPr>
        <w:footnoteReference w:id="1614"/>
      </w:r>
      <w:r>
        <w:rPr>
          <w:rFonts w:ascii="IRNazanin" w:hAnsi="IRNazanin" w:eastAsia="IRNazanin"/>
          <w:color w:val="111111"/>
          <w:sz w:val="28"/>
          <w:sz w:val="28"/>
          <w:szCs w:val="28"/>
          <w:rtl w:val="true"/>
          <w:lang w:bidi="fa-IR"/>
        </w:rPr>
        <w:t xml:space="preserve">عن مالک بن ضمرة قال سمعت علیّاً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أنّکم معرضون علی لعنی و دعائی کذّاباً، فمن لعننی کارهاً مکرهاً یعلم الله انّه کان مکرهاً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وردت انا وهو علی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 و من امسک لسانه فلم یلعنّی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سبقنی کرمیة سهم او لمحة بصر، ومن لعننی منشرحاً صدره بلعنتی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حجاب بینه و بین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ـ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حجّة له عند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واورد العیّاشیّ</w:t>
      </w:r>
      <w:r>
        <w:rPr>
          <w:rStyle w:val="FootnoteAnchor"/>
          <w:rtl w:val="true"/>
        </w:rPr>
        <w:footnoteReference w:id="1615"/>
      </w:r>
      <w:r>
        <w:rPr>
          <w:rFonts w:ascii="IRNazanin" w:hAnsi="IRNazanin" w:eastAsia="IRNazanin"/>
          <w:color w:val="111111"/>
          <w:sz w:val="28"/>
          <w:sz w:val="28"/>
          <w:szCs w:val="28"/>
          <w:rtl w:val="true"/>
          <w:lang w:bidi="fa-IR"/>
        </w:rPr>
        <w:t xml:space="preserve">فی تفسیره عن ابی بکر الحضرمیّ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انّه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الرّقاب احبّ الیک ام البرائة 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الرّخصة احبّ الیّ، اما سمعت قول الله عزّ وجلّ فی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من اکره وقلبه مطمئنّ بالأیمان؟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عبد الله بن عجلان</w:t>
      </w:r>
      <w:r>
        <w:rPr>
          <w:rStyle w:val="FootnoteAnchor"/>
          <w:rtl w:val="true"/>
        </w:rPr>
        <w:footnoteReference w:id="1616"/>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الضّحّاک قد ظهر بالکوفة، ویوشک ان تدعی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ندعی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البرائة 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فکیف نصنع؟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فابرء منه،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ایّهما أحبّ الیک؟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تمضوا علی ما مضی علیه عمّار بن یاسر، اخذ بمکّة،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ابرء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فبرء منه، فانزل الله عزّ وجلّ عذره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من اکره وقلبه مطمئنّ بالأیمان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الجعفریّات</w:t>
      </w:r>
      <w:r>
        <w:rPr>
          <w:rStyle w:val="FootnoteAnchor"/>
          <w:rtl w:val="true"/>
        </w:rPr>
        <w:footnoteReference w:id="1617"/>
      </w:r>
      <w:r>
        <w:rPr>
          <w:rFonts w:ascii="IRNazanin" w:hAnsi="IRNazanin" w:eastAsia="IRNazanin"/>
          <w:color w:val="111111"/>
          <w:sz w:val="28"/>
          <w:sz w:val="28"/>
          <w:szCs w:val="28"/>
          <w:rtl w:val="true"/>
          <w:lang w:bidi="fa-IR"/>
        </w:rPr>
        <w:t>المسندة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یؤیّد ذلک</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البرائة فی 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یراد لفظیّها والممنوع هی البرائة القلبیّة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هذه الأخبار اشارة واضحة الی شدّة ابتلاء الشّیعة فی الأزمنة السّابقة، لا سیّما زمن بنی امیّة وبنی مروان، وما لقی منهم و من عمّا لهم واذنابهم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الهدی وائمّتهم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w:t>
      </w:r>
      <w:bookmarkStart w:id="613" w:name="pg3023_22903"/>
    </w:p>
    <w:p>
      <w:pPr>
        <w:pStyle w:val="Heading4"/>
        <w:numPr>
          <w:ilvl w:val="3"/>
          <w:numId w:val="1"/>
        </w:numPr>
        <w:rPr/>
      </w:pPr>
      <w:bookmarkStart w:id="614" w:name="__RefHeading___Toc657069_2749589250"/>
      <w:bookmarkStart w:id="615" w:name="_Toc221"/>
      <w:bookmarkEnd w:id="613"/>
      <w:bookmarkEnd w:id="614"/>
      <w:r>
        <w:rPr>
          <w:rtl w:val="true"/>
        </w:rPr>
        <w:t>لا یجب السّبّ اکراهاً</w:t>
      </w:r>
      <w:bookmarkEnd w:id="615"/>
    </w:p>
    <w:p>
      <w:pPr>
        <w:pStyle w:val="BookText"/>
        <w:rPr/>
      </w:pPr>
      <w:r>
        <w:rPr>
          <w:rFonts w:ascii="Amiri" w:hAnsi="Amiri" w:eastAsia="Amiri" w:cs="Amiri"/>
          <w:color w:val="111111"/>
          <w:sz w:val="28"/>
          <w:sz w:val="28"/>
          <w:szCs w:val="28"/>
          <w:rtl w:val="true"/>
          <w:lang w:bidi="ar-SA"/>
        </w:rPr>
        <w:t xml:space="preserve">ولا یجب السّبّ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الأذی والظّلم، کما اشار الیه مثل الرّوایات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w:t>
      </w:r>
      <w:r>
        <w:rPr>
          <w:rStyle w:val="FootnoteAnchor"/>
          <w:rtl w:val="true"/>
        </w:rPr>
        <w:footnoteReference w:id="1618"/>
      </w:r>
      <w:r>
        <w:rPr>
          <w:rFonts w:ascii="IRNazanin" w:hAnsi="IRNazanin" w:eastAsia="IRNazanin"/>
          <w:color w:val="111111"/>
          <w:sz w:val="28"/>
          <w:sz w:val="28"/>
          <w:szCs w:val="28"/>
          <w:rtl w:val="true"/>
          <w:lang w:bidi="fa-IR"/>
        </w:rPr>
        <w:t xml:space="preserve">باسناد التّمیمی عن الرّضا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انّکم ستعرضون علی البرائة منّی، فلا تبرّأوا منّی، فأنّی علی 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صحیحة ابن مسکان</w:t>
      </w:r>
      <w:r>
        <w:rPr>
          <w:rStyle w:val="FootnoteAnchor"/>
          <w:rtl w:val="true"/>
        </w:rPr>
        <w:footnoteReference w:id="1619"/>
      </w:r>
      <w:r>
        <w:rPr>
          <w:rFonts w:ascii="IRNazanin" w:hAnsi="IRNazanin" w:eastAsia="IRNazanin"/>
          <w:color w:val="111111"/>
          <w:sz w:val="28"/>
          <w:sz w:val="28"/>
          <w:szCs w:val="28"/>
          <w:rtl w:val="true"/>
          <w:lang w:bidi="fa-IR"/>
        </w:rPr>
        <w:t xml:space="preserve">، قال لی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لأحسبک اذا شتم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یدیک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تستطیع ان تأکل انف شاتمه لفعلت؟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والله، جعلت فداک، انّی لهکذا، واهل بیتی،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لربّما سمعت من یشتم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بینی وبینه الاّ اسطوانة فاستتر بها، فاذا فرغت من صلواتی فاقرّبه فأسلّم علیه واصافحه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وقریب منها روایة ابی بکر الحضرمیّ</w:t>
      </w:r>
      <w:r>
        <w:rPr>
          <w:rStyle w:val="FootnoteAnchor"/>
          <w:rtl w:val="true"/>
        </w:rPr>
        <w:footnoteReference w:id="1620"/>
      </w:r>
      <w:r>
        <w:rPr>
          <w:rFonts w:ascii="IRNazanin" w:hAnsi="IRNazanin" w:eastAsia="IRNazanin"/>
          <w:color w:val="111111"/>
          <w:sz w:val="28"/>
          <w:sz w:val="28"/>
          <w:szCs w:val="28"/>
          <w:rtl w:val="true"/>
          <w:lang w:bidi="fa-IR"/>
        </w:rPr>
        <w:t xml:space="preserve">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ابی بصیر</w:t>
      </w:r>
      <w:r>
        <w:rPr>
          <w:rStyle w:val="FootnoteAnchor"/>
          <w:rtl w:val="true"/>
        </w:rPr>
        <w:footnoteReference w:id="162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خالطوهم بالبرّانیة وخالفوهم بالجوّانیّة اذا کانت الأمرة صبیانیّة</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والمتحصّل من هذه الرّوایات بضمیمة ما تقدّم من اباحة دم الشّاتم والنّاصب والسّابّ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مع الضّرورة والتّقیّة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یباح الشّتم والسّبّ، لحفظ النّفس، ولا یصل الی حدّ الوجوب غالباً، فیجوز احیاناً ترک التّقیّة ومجاهرتهم ومجابهتهم بالحقّ، کما اشار الیه مضافاً الی ما یشعر او یلوح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عبد الله بن عطاء</w:t>
      </w:r>
      <w:r>
        <w:rPr>
          <w:rStyle w:val="FootnoteAnchor"/>
          <w:rtl w:val="true"/>
        </w:rPr>
        <w:footnoteReference w:id="162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رجلان من اهل الکوفة اخذا، فقیل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ابرئا من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فبرئ واحد منهما، وابی الآخر، فخلّی سبیل الّذی برئ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الآخر،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الّذی برء فرجل فقیه فی دینه، وامّا الّذی لم یبرء فرجل تعجّل الی الجنّة</w:t>
      </w:r>
      <w:r>
        <w:rPr>
          <w:rFonts w:eastAsia="IRNazanin" w:cs="IRNazanin"/>
          <w:color w:val="111111"/>
          <w:sz w:val="28"/>
          <w:szCs w:val="28"/>
          <w:rtl w:val="true"/>
          <w:lang w:bidi="fa-IR"/>
        </w:rPr>
        <w:t>.</w:t>
      </w:r>
      <w:bookmarkStart w:id="616" w:name="pg3023_22904"/>
    </w:p>
    <w:p>
      <w:pPr>
        <w:pStyle w:val="Heading4"/>
        <w:numPr>
          <w:ilvl w:val="3"/>
          <w:numId w:val="1"/>
        </w:numPr>
        <w:rPr/>
      </w:pPr>
      <w:bookmarkStart w:id="617" w:name="__RefHeading___Toc657071_2749589250"/>
      <w:bookmarkStart w:id="618" w:name="_Toc222"/>
      <w:bookmarkEnd w:id="616"/>
      <w:bookmarkEnd w:id="617"/>
      <w:r>
        <w:rPr>
          <w:rtl w:val="true"/>
        </w:rPr>
        <w:t>و لایجوز البرائة قلباً</w:t>
      </w:r>
      <w:bookmarkEnd w:id="618"/>
    </w:p>
    <w:p>
      <w:pPr>
        <w:pStyle w:val="BookText"/>
        <w:rPr/>
      </w:pPr>
      <w:r>
        <w:rPr>
          <w:rFonts w:ascii="IRNazanin" w:hAnsi="IRNazanin" w:eastAsia="IRNazanin"/>
          <w:color w:val="111111"/>
          <w:sz w:val="28"/>
          <w:sz w:val="28"/>
          <w:szCs w:val="28"/>
          <w:rtl w:val="true"/>
          <w:lang w:bidi="fa-IR"/>
        </w:rPr>
        <w:t xml:space="preserve">کما لا یجوز البرائة قلباً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فی القتل بالسّبّ بین الرّجل والمرأة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ونحو منها مرسلة العوالی</w:t>
      </w:r>
      <w:r>
        <w:rPr>
          <w:rStyle w:val="FootnoteAnchor"/>
          <w:rtl w:val="true"/>
        </w:rPr>
        <w:footnoteReference w:id="1623"/>
      </w:r>
      <w:r>
        <w:rPr>
          <w:rFonts w:ascii="IRNazanin" w:hAnsi="IRNazanin" w:eastAsia="IRNazanin"/>
          <w:color w:val="111111"/>
          <w:sz w:val="28"/>
          <w:sz w:val="28"/>
          <w:szCs w:val="28"/>
          <w:rtl w:val="true"/>
          <w:lang w:bidi="fa-IR"/>
        </w:rPr>
        <w:t xml:space="preserve">، بل فی ماورد فی قتل کثیر من اصحاب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صبرهم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یدلّ علی رجحانه، وانّه من شیعة الکمّل من اولیائه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البرائة فلا یجوز، لأنّها عمل القلب، ولا یتعلّق به الأضطرار والأکراه، کما انّه اذا لم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ضرورة و تقیّة، وسبّ معصوماً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قتل السّابّ؛ بلا حاجة الی اذن الأمام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نائبه، وما ورد فی بعض الضّعاف</w:t>
      </w:r>
      <w:r>
        <w:rPr>
          <w:rStyle w:val="FootnoteAnchor"/>
          <w:rtl w:val="true"/>
        </w:rPr>
        <w:footnoteReference w:id="1624"/>
      </w:r>
      <w:r>
        <w:rPr>
          <w:rFonts w:ascii="IRNazanin" w:hAnsi="IRNazanin" w:eastAsia="IRNazanin"/>
          <w:color w:val="111111"/>
          <w:sz w:val="28"/>
          <w:sz w:val="28"/>
          <w:szCs w:val="28"/>
          <w:rtl w:val="true"/>
          <w:lang w:bidi="fa-IR"/>
        </w:rPr>
        <w:t>من ذبح شاة لقتل کلّ خارجیّ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یعمل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علی سبیل رجاء النّدب، لکن اذا کان هناک خوف علی نفسه او من کنفسه؛ لو قتل السّابّ فقد سبق المنع منه، ولا یبعدان یکون الخوف علی مؤمن ولو اجنبیّ بالنّسبة للّذی یباشر قتل السّابّ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کالخوف علی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جواز القتل بالسّبّ بین الرّجل والمرأة، لعدم رجوعه الی الأرتداد، کی یفرق بینهما، وبین الارتداد الملّی والفطریّ بالنّسبة الی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ویشهد له مضافاً الی اطلاعق معقد الأجماع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روایظ علیّ بن اسباط</w:t>
      </w:r>
      <w:r>
        <w:rPr>
          <w:rStyle w:val="FootnoteAnchor"/>
          <w:rtl w:val="true"/>
        </w:rPr>
        <w:footnoteReference w:id="16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یظهر من صحیحة داود بن فرقد</w:t>
      </w:r>
      <w:r>
        <w:rPr>
          <w:rStyle w:val="FootnoteAnchor"/>
          <w:rtl w:val="true"/>
        </w:rPr>
        <w:footnoteReference w:id="1626"/>
      </w:r>
      <w:r>
        <w:rPr>
          <w:rFonts w:ascii="IRNazanin" w:hAnsi="IRNazanin" w:eastAsia="IRNazanin"/>
          <w:color w:val="111111"/>
          <w:sz w:val="28"/>
          <w:sz w:val="28"/>
          <w:szCs w:val="28"/>
          <w:rtl w:val="true"/>
          <w:lang w:bidi="fa-IR"/>
        </w:rPr>
        <w:t>المتقدّمین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الأولی ضعیف السّند، ویمکن الخدشة فی الثّانیة بما ورد فی باب الجهاد من منع قتل النّساء الکافرات، ولذلک یشکل شمول اطلاق الحکم للکافر والمسلم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سبّ بالنّسبة الیهنّ</w:t>
      </w:r>
      <w:r>
        <w:rPr>
          <w:rFonts w:eastAsia="IRNazanin" w:cs="IRNazanin"/>
          <w:color w:val="111111"/>
          <w:sz w:val="28"/>
          <w:szCs w:val="28"/>
          <w:rtl w:val="true"/>
          <w:lang w:bidi="fa-IR"/>
        </w:rPr>
        <w:t>.</w:t>
      </w:r>
      <w:bookmarkStart w:id="619" w:name="pg3023_22905"/>
    </w:p>
    <w:p>
      <w:pPr>
        <w:pStyle w:val="Heading4"/>
        <w:numPr>
          <w:ilvl w:val="3"/>
          <w:numId w:val="1"/>
        </w:numPr>
        <w:rPr/>
      </w:pPr>
      <w:bookmarkStart w:id="620" w:name="__RefHeading___Toc657073_2749589250"/>
      <w:bookmarkStart w:id="621" w:name="_Toc223"/>
      <w:bookmarkEnd w:id="619"/>
      <w:bookmarkEnd w:id="620"/>
      <w:r>
        <w:rPr>
          <w:rtl w:val="true"/>
        </w:rPr>
        <w:t>لو عاب النّبی</w:t>
      </w:r>
      <w:r>
        <w:rPr>
          <w:rtl w:val="true"/>
        </w:rPr>
        <w:t>(</w:t>
      </w:r>
      <w:r>
        <w:rPr>
          <w:rtl w:val="true"/>
        </w:rPr>
        <w:t>ص</w:t>
      </w:r>
      <w:r>
        <w:rPr>
          <w:rtl w:val="true"/>
        </w:rPr>
        <w:t xml:space="preserve">) </w:t>
      </w:r>
      <w:r>
        <w:rPr>
          <w:rtl w:val="true"/>
        </w:rPr>
        <w:t>او قذفه او احد المعصومین</w:t>
      </w:r>
      <w:r>
        <w:rPr>
          <w:rtl w:val="true"/>
        </w:rPr>
        <w:t>(</w:t>
      </w:r>
      <w:r>
        <w:rPr>
          <w:rtl w:val="true"/>
        </w:rPr>
        <w:t>ع</w:t>
      </w:r>
      <w:r>
        <w:rPr>
          <w:rtl w:val="true"/>
        </w:rPr>
        <w:t xml:space="preserve">) </w:t>
      </w:r>
      <w:r>
        <w:rPr>
          <w:rtl w:val="true"/>
        </w:rPr>
        <w:t>و آل الی الارتداد فیحکم بحکمه</w:t>
      </w:r>
      <w:bookmarkEnd w:id="621"/>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قذف النّبیّ او احد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ذلک الی الأرتداد فیحکم بحکمه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الاّ ان یکون هناک تسالم و اجماع، فتدبّر جیّداً، وربما یؤیّده ما عن سنن النّسائیّ</w:t>
      </w:r>
      <w:r>
        <w:rPr>
          <w:rStyle w:val="FootnoteAnchor"/>
          <w:rtl w:val="true"/>
        </w:rPr>
        <w:footnoteReference w:id="1627"/>
      </w:r>
      <w:r>
        <w:rPr>
          <w:rFonts w:ascii="IRNazanin" w:hAnsi="IRNazanin" w:eastAsia="IRNazanin"/>
          <w:color w:val="111111"/>
          <w:sz w:val="28"/>
          <w:sz w:val="28"/>
          <w:szCs w:val="28"/>
          <w:rtl w:val="true"/>
          <w:lang w:bidi="fa-IR"/>
        </w:rPr>
        <w:t xml:space="preserve">عن ابن عبّاس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یهودیّة کانت تشتم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وتقع فیه، فخنقها رجل حتّی ماتت، فأبطل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عاب او قذف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احداً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عاب او قذف والدی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1628"/>
      </w:r>
      <w:r>
        <w:rPr>
          <w:rFonts w:ascii="IRNazanin" w:hAnsi="IRNazanin" w:eastAsia="IRNazanin"/>
          <w:color w:val="111111"/>
          <w:sz w:val="28"/>
          <w:sz w:val="28"/>
          <w:szCs w:val="28"/>
          <w:rtl w:val="true"/>
          <w:lang w:bidi="fa-IR"/>
        </w:rPr>
        <w:t xml:space="preserve">او بناته غیر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عاب او قذف احد اولاد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امّهاتهم؛ بما لا یرجع الی النّصب، فان رجع الی الأرتداد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فیقتل الفطریّ؛ لو کان رجلاً ویستتاب الملّیّ، وتعامل الفطریّة معاملتها فی الأرتداد، وان لم یکن ارتداداً ولا نصباً فلا موجب للحکم بموجبها، بل الوجه الأقتصار علی حدّ القذف فی مورده، والتّعریز فی غیره، لکن تصوّره بحیث لا یرجع الی ما یوجب القتل او الأرتداد فیه تأمّل واضح</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قد یشکل جریان حکم المرتدّ علی قذف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یرجع الی سبّه الّذی قد عرفت انّ حکمه القتل علی کلّ حال، نعم ما لا یرجع</w:t>
      </w:r>
    </w:p>
    <w:p>
      <w:pPr>
        <w:pStyle w:val="BookText"/>
        <w:rPr/>
      </w:pPr>
      <w:r>
        <w:rPr>
          <w:rFonts w:ascii="IRNazanin" w:hAnsi="IRNazanin" w:eastAsia="IRNazanin"/>
          <w:color w:val="111111"/>
          <w:sz w:val="28"/>
          <w:sz w:val="28"/>
          <w:szCs w:val="28"/>
          <w:rtl w:val="true"/>
          <w:lang w:bidi="fa-IR"/>
        </w:rPr>
        <w:t>الی السّبّ یتّجه فیه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واستصعب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اقامة الدّلیل علی بعض الأحکام الّتی نقلها عن اللّمعة والرّوضة وحاشیة الکرکیّ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ارتداد قاذف امّ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بنته، وامّ الأمام او بنته، واستأنس بل استأکد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الحکم بالأرتداد بقذف عایشة زوجة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استشکله او استصعبه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 یمکن الأستیناس له بما رواه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الصّحیح الی مطربن ارقم</w:t>
      </w:r>
      <w:r>
        <w:rPr>
          <w:rStyle w:val="FootnoteAnchor"/>
          <w:rtl w:val="true"/>
        </w:rPr>
        <w:footnoteReference w:id="162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عبد العزیز بن عمر الولیّ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الیّ، فأتیته وبین یدیه رجلان قد تناول احدهما صاحبه، فمرس 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یا ابا عبد الله فی هذین الرّجلین؟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قالا؟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علی احد من بنی امیّة فی الحسب، وقال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الفضل علی النّاس کلّهم فی کلّ خیر، وغضب الّذی نصر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فصنع بوجهه ما تری، فهل علیه شیء؟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ینبغی لمن زعم انّ احداً مثل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الفضل ان یقتل ولا یستحیی،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الحسب بواحد؟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الحسب لیس النّسب، الا تری لو نزلت برجل من بعض هذه الأجناس فقراک، فقلت انّ هذا لحسیب؟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النّسب بواحد؟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اجتمعا الی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النّسب واحد،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یخلطه شرک ولا بغی، فأمر به فقتل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السّند ضعیف، والرّوایة غیر معمول بها، فلا یمکن الأستناد الیها فی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یمکن حمل ما رواه الطّبرسیّ</w:t>
      </w:r>
      <w:r>
        <w:rPr>
          <w:rStyle w:val="FootnoteAnchor"/>
          <w:rtl w:val="true"/>
        </w:rPr>
        <w:footnoteReference w:id="1630"/>
      </w:r>
      <w:r>
        <w:rPr>
          <w:rFonts w:ascii="IRNazanin" w:hAnsi="IRNazanin" w:eastAsia="IRNazanin"/>
          <w:color w:val="111111"/>
          <w:sz w:val="28"/>
          <w:sz w:val="28"/>
          <w:szCs w:val="28"/>
          <w:rtl w:val="true"/>
          <w:lang w:bidi="fa-IR"/>
        </w:rPr>
        <w:t xml:space="preserve">باسناده عن صحیفة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 نبیّاً قتل ومن سبّ صاحب</w:t>
      </w:r>
      <w:r>
        <w:rPr>
          <w:rStyle w:val="FootnoteAnchor"/>
          <w:rtl w:val="true"/>
        </w:rPr>
        <w:footnoteReference w:id="1631"/>
      </w:r>
      <w:r>
        <w:rPr>
          <w:rFonts w:ascii="IRNazanin" w:hAnsi="IRNazanin" w:eastAsia="IRNazanin"/>
          <w:color w:val="111111"/>
          <w:sz w:val="28"/>
          <w:sz w:val="28"/>
          <w:szCs w:val="28"/>
          <w:rtl w:val="true"/>
          <w:lang w:bidi="fa-IR"/>
        </w:rPr>
        <w:t>نبیّ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اصحابه المعروفین بالسّداد والوفاء بعهد الولایة لا مطلقا، وعلی ما فی المستدرک، فیراد به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622" w:name="pg3023_22907"/>
    </w:p>
    <w:p>
      <w:pPr>
        <w:pStyle w:val="Heading4"/>
        <w:numPr>
          <w:ilvl w:val="3"/>
          <w:numId w:val="1"/>
        </w:numPr>
        <w:rPr/>
      </w:pPr>
      <w:bookmarkStart w:id="623" w:name="__RefHeading___Toc657075_2749589250"/>
      <w:bookmarkStart w:id="624" w:name="_Toc224"/>
      <w:bookmarkEnd w:id="622"/>
      <w:bookmarkEnd w:id="623"/>
      <w:r>
        <w:rPr>
          <w:rtl w:val="true"/>
        </w:rPr>
        <w:t>فی الحاق سایر الانبیاء و الرّسل بالنّبی صلی الله علیه و آله</w:t>
      </w:r>
      <w:bookmarkEnd w:id="624"/>
    </w:p>
    <w:p>
      <w:pPr>
        <w:pStyle w:val="BookText"/>
        <w:rPr/>
      </w:pPr>
      <w:r>
        <w:rPr>
          <w:rFonts w:ascii="IRNazanin" w:hAnsi="IRNazanin" w:eastAsia="IRNazanin"/>
          <w:color w:val="111111"/>
          <w:sz w:val="28"/>
          <w:sz w:val="28"/>
          <w:szCs w:val="28"/>
          <w:rtl w:val="true"/>
          <w:lang w:bidi="fa-IR"/>
        </w:rPr>
        <w:t xml:space="preserve">وفی الحاق سایر الأنبیاء والرّسل او اولی العزم منهم بالنّبیّ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625" w:name="__RefHeading___Toc657077_2749589250"/>
      <w:bookmarkStart w:id="626" w:name="_Toc225"/>
      <w:bookmarkEnd w:id="625"/>
      <w:r>
        <w:rPr>
          <w:rtl w:val="true"/>
        </w:rPr>
        <w:t>الاشکال فی جبّ الاسلام لقتل السّابّ او توبته</w:t>
      </w:r>
      <w:bookmarkEnd w:id="626"/>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جبّ الأسلام لقتل السّابّ اشکال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وکذلک توبته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یلحق بالنّبیّ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الأنبیاء والرّسل؛ او خصوص اولی العزم منهم؟ عن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الألحاق قوّة، وتبعه غیر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الجواهر بل فی الرّیاض عن 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الأجماع علیه، ولکن ناقشه صاحب الجواهر فی استدلاله، بأنّ کما لهم وتعظیمهم علم من دین الأسلام ضرورة، فسبّهم 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ذلک یقتضی الأرتداد؛ لا القتل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یمکن المناقشة فی غیر الرّسل أو غیر أولی العزم منهم بالنّسبة الی کونه ضروریّا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یرتض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فی المبسوط</w:t>
      </w:r>
      <w:r>
        <w:rPr>
          <w:rStyle w:val="FootnoteAnchor"/>
          <w:rtl w:val="true"/>
        </w:rPr>
        <w:footnoteReference w:id="1632"/>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علطّ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أوتی برجل یذکر انّ داود صادف المرأة الاّ جلدته مأة وستّین، فأنّ جلد النّاس ثمانون، وجلد الأنبیاء مأة وستّون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مال بعض المیل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التّمسّک بما رواه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علی فرض اعتبار ما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حمله علی من تجدّد اسلامه من اهل الکتاب، لأعتقادهم وروایتهم فی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افظع من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سبّ النّبیّ او احد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احد الأنبیاء مطلقاً، او الّذی اوجبنا به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یجبّه الأسلام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السّابّ  کافراً فأسلم، او الأستبصار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کافراً فاستبصر؟ یحتمل الجبّ بالأسلام، لأطلاق حدیثه؛ لو جبرناه بالعمل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الخدشة باختصاصه بغیر ذلک، ممّا لیس للعرف والعقلاء طریق الی درک قبحه؛ لا مثل القتل والسّرقة وامثالهما والقذف، ومنه سبّ الأبریاء الصّلحاء لا سیّما الأنبیاء والأوصیاء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بالنّسبة الی الأستبصار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مورد له، لورود دلیله موارد خاصّة</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تاب السّابّ، فهل یرفع قتله؟ او یفرق بین ما اذا تاب قبل الثّبوت مطلقاً؟ او بالبیّنة وبعده، فیرفع الأوّل دون الأخیر؟ وجهان، لم ار من</w:t>
      </w:r>
      <w:bookmarkStart w:id="627" w:name="pg3023_22908"/>
    </w:p>
    <w:p>
      <w:pPr>
        <w:pStyle w:val="Heading4"/>
        <w:numPr>
          <w:ilvl w:val="3"/>
          <w:numId w:val="1"/>
        </w:numPr>
        <w:rPr/>
      </w:pPr>
      <w:bookmarkStart w:id="628" w:name="__RefHeading___Toc657079_2749589250"/>
      <w:bookmarkStart w:id="629" w:name="_Toc226"/>
      <w:bookmarkEnd w:id="627"/>
      <w:bookmarkEnd w:id="628"/>
      <w:r>
        <w:rPr>
          <w:rtl w:val="true"/>
        </w:rPr>
        <w:t>یثبت السّب بالبیّنة و بالاقرار من الکامل</w:t>
      </w:r>
      <w:bookmarkEnd w:id="629"/>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یثبت السّبّ بالبیّنة والأقرار من الکامل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630" w:name="__RefHeading___Toc657081_2749589250"/>
      <w:bookmarkStart w:id="631" w:name="_Toc227"/>
      <w:bookmarkEnd w:id="630"/>
      <w:r>
        <w:rPr>
          <w:rtl w:val="true"/>
        </w:rPr>
        <w:t>(</w:t>
      </w:r>
      <w:r>
        <w:rPr>
          <w:rtl w:val="true"/>
        </w:rPr>
        <w:t>مسائل</w:t>
      </w:r>
      <w:r>
        <w:rPr>
          <w:rtl w:val="true"/>
        </w:rPr>
        <w:t>)</w:t>
      </w:r>
      <w:bookmarkEnd w:id="631"/>
    </w:p>
    <w:p>
      <w:pPr>
        <w:pStyle w:val="Heading4"/>
        <w:numPr>
          <w:ilvl w:val="3"/>
          <w:numId w:val="1"/>
        </w:numPr>
        <w:rPr/>
      </w:pPr>
      <w:bookmarkStart w:id="632" w:name="__RefHeading___Toc657083_2749589250"/>
      <w:bookmarkStart w:id="633" w:name="_Toc228"/>
      <w:bookmarkEnd w:id="632"/>
      <w:r>
        <w:rPr>
          <w:rtl w:val="true"/>
        </w:rPr>
        <w:t>الاولی</w:t>
      </w:r>
      <w:r>
        <w:rPr>
          <w:rtl w:val="true"/>
        </w:rPr>
        <w:t xml:space="preserve">: </w:t>
      </w:r>
      <w:r>
        <w:rPr>
          <w:rtl w:val="true"/>
        </w:rPr>
        <w:t>من ادّعی النّبوّة وجب قتله</w:t>
      </w:r>
      <w:bookmarkEnd w:id="633"/>
    </w:p>
    <w:p>
      <w:pPr>
        <w:pStyle w:val="BookText"/>
        <w:rPr/>
      </w:pPr>
      <w:r>
        <w:rPr>
          <w:rFonts w:ascii="Amiri" w:hAnsi="Amiri" w:eastAsia="Amiri" w:cs="Amiri"/>
          <w:color w:val="111111"/>
          <w:sz w:val="28"/>
          <w:sz w:val="28"/>
          <w:szCs w:val="28"/>
          <w:rtl w:val="true"/>
          <w:lang w:bidi="ar-SA"/>
        </w:rPr>
        <w:t xml:space="preserve">مسئلة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ادّعی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قتله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تعرّض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الرّفع؛ فیما لم یرجع الی الأرتداد، وفیه یحکم بمقتضاه، فیفصل بین الرّجل والمرأة، کما یفصل فی الأوّل بین الفطریّ والملّیّ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اشکال فی ثبوت السّبّ بالبیّنة الّتی هی شهادة عدلین، کما لا وجه لقیام شهادة المرأتین العادلتین مقام عدل واحد، فلا تقبل شهادتهنّ، لا منفردة ولا منضمّة، لعدم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ما ذکرنا فی القذف ونظائره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کفایة الأقرار مرّة واحدة؛ بلا حاجة الی التّعدّد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اشتراط البلوغ والعقل والأختیار فی اعتبار الأقرار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ادّعی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قتله، بلا خلاف بین الفقهاء</w:t>
      </w:r>
      <w:r>
        <w:rPr>
          <w:rStyle w:val="FootnoteAnchor"/>
          <w:rtl w:val="true"/>
        </w:rPr>
        <w:footnoteReference w:id="1633"/>
      </w:r>
      <w:r>
        <w:rPr>
          <w:rFonts w:ascii="IRNazanin" w:hAnsi="IRNazanin" w:eastAsia="IRNazanin"/>
          <w:color w:val="111111"/>
          <w:sz w:val="28"/>
          <w:sz w:val="28"/>
          <w:szCs w:val="28"/>
          <w:rtl w:val="true"/>
          <w:lang w:bidi="fa-IR"/>
        </w:rPr>
        <w:t>ویدلّ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ابن ابی یعفور</w:t>
      </w:r>
      <w:r>
        <w:rPr>
          <w:rStyle w:val="FootnoteAnchor"/>
          <w:rtl w:val="true"/>
        </w:rPr>
        <w:footnoteReference w:id="163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بزیعاً یزعم انّه نبیّ،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سمعته یقول ذلک فاقتله،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فجلست الی جنبه غیر مرّة، فلم یمکنّی ذلک</w:t>
      </w:r>
      <w:r>
        <w:rPr>
          <w:rFonts w:eastAsia="IRNazanin" w:cs="IRNazanin"/>
          <w:color w:val="111111"/>
          <w:sz w:val="28"/>
          <w:szCs w:val="28"/>
          <w:rtl w:val="true"/>
          <w:lang w:bidi="fa-IR"/>
        </w:rPr>
        <w:t>.</w:t>
      </w:r>
      <w:bookmarkStart w:id="634" w:name="pg3023_22909"/>
    </w:p>
    <w:p>
      <w:pPr>
        <w:pStyle w:val="Heading4"/>
        <w:numPr>
          <w:ilvl w:val="3"/>
          <w:numId w:val="1"/>
        </w:numPr>
        <w:rPr/>
      </w:pPr>
      <w:bookmarkStart w:id="635" w:name="__RefHeading___Toc657085_2749589250"/>
      <w:bookmarkStart w:id="636" w:name="_Toc229"/>
      <w:bookmarkEnd w:id="634"/>
      <w:bookmarkEnd w:id="635"/>
      <w:r>
        <w:rPr>
          <w:rtl w:val="true"/>
        </w:rPr>
        <w:t>الثّانیة</w:t>
      </w:r>
      <w:r>
        <w:rPr>
          <w:rtl w:val="true"/>
        </w:rPr>
        <w:t xml:space="preserve">: </w:t>
      </w:r>
      <w:r>
        <w:rPr>
          <w:rtl w:val="true"/>
        </w:rPr>
        <w:t>الشّاک فی نبوّة نبیّنا صلی الله علیه و آله او صدقه</w:t>
      </w:r>
      <w:bookmarkEnd w:id="636"/>
    </w:p>
    <w:p>
      <w:pPr>
        <w:pStyle w:val="BookText"/>
        <w:rPr/>
      </w:pPr>
      <w:r>
        <w:rPr>
          <w:rFonts w:ascii="IRNazanin" w:hAnsi="IRNazanin" w:eastAsia="IRNazanin"/>
          <w:color w:val="111111"/>
          <w:sz w:val="28"/>
          <w:sz w:val="28"/>
          <w:szCs w:val="28"/>
          <w:rtl w:val="true"/>
          <w:lang w:bidi="fa-IR"/>
        </w:rPr>
        <w:t xml:space="preserve">وهل الشّاکّ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نبوّة نبیّنا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فی صدقة کذلک؟ فیه اشکال وکلام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رواة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معتبراً عن ابی بصیر یحیی بن القاسم</w:t>
      </w:r>
      <w:r>
        <w:rPr>
          <w:rStyle w:val="FootnoteAnchor"/>
          <w:rtl w:val="true"/>
        </w:rPr>
        <w:footnoteReference w:id="1635"/>
      </w:r>
      <w:r>
        <w:rPr>
          <w:rFonts w:ascii="IRNazanin" w:hAnsi="IRNazanin" w:eastAsia="IRNazanin"/>
          <w:color w:val="111111"/>
          <w:sz w:val="28"/>
          <w:sz w:val="28"/>
          <w:szCs w:val="28"/>
          <w:rtl w:val="true"/>
          <w:lang w:bidi="fa-IR"/>
        </w:rPr>
        <w:t xml:space="preserve">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انّه لا نبیّ بعدی، ولا سنّة بعد سنّتی، فمن ادّعی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فدعواه وبدعته فی النّار، فاقتلوه، ومن تبعه فأنّه فی النّار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رواه فی العیون</w:t>
      </w:r>
      <w:r>
        <w:rPr>
          <w:rStyle w:val="FootnoteAnchor"/>
          <w:rtl w:val="true"/>
        </w:rPr>
        <w:footnoteReference w:id="1636"/>
      </w:r>
      <w:r>
        <w:rPr>
          <w:rFonts w:ascii="IRNazanin" w:hAnsi="IRNazanin" w:eastAsia="IRNazanin"/>
          <w:color w:val="111111"/>
          <w:sz w:val="28"/>
          <w:sz w:val="28"/>
          <w:szCs w:val="28"/>
          <w:rtl w:val="true"/>
          <w:lang w:bidi="fa-IR"/>
        </w:rPr>
        <w:t xml:space="preserve">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قال وشریعة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تنسخ الی یوم القیامة، ولا نبیّ بعده الی یوم القیامة، فمن ادّعی نبیّاً او أتی بعده بکتاب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فدمه مباح لکلّ من سمع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الفرق بین الرّجل والمرأة والکافر والمسلم فلا یدخل تحت ضابط الأرتداد، کما فی مسئلة السّبّ وشتم النّبیّ او الوصیّ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شکّ فی نبوّة نبیّنا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یکن من اهل الکتاب الّذی یقرّون علی دینهم؛ بشرائط الذّمّة ولا من غیرهم من الکفّار الحربیّین الّذین لا یقرّون، ولا حرمة لدمائهم واموالهم؛ الاّ بالأمان، بل کان ممّن ظاهره الأسلام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قتل مدّعی النّبوّة والشّاکّ فی نبوّة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فی صدقة ممّن ظاهره الأسلام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الشّرایع بعد ان حکم علی وجوب قتل من ادّعی النّبوّة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أدری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او لا؛ وکان علی ظاهر الأسلام</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خلاف اجده فیه ایضاً، لقول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 ابن سنان</w:t>
      </w:r>
      <w:r>
        <w:rPr>
          <w:rStyle w:val="FootnoteAnchor"/>
          <w:rtl w:val="true"/>
        </w:rPr>
        <w:footnoteReference w:id="1637"/>
      </w:r>
      <w:r>
        <w:rPr>
          <w:rFonts w:ascii="IRNazanin" w:hAnsi="IRNazanin" w:eastAsia="IRNazanin"/>
          <w:color w:val="111111"/>
          <w:sz w:val="28"/>
          <w:sz w:val="28"/>
          <w:szCs w:val="28"/>
          <w:rtl w:val="true"/>
          <w:lang w:bidi="fa-IR"/>
        </w:rPr>
        <w:t>المرویّ عن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شکّ فی الله وفی رسوله فهو کافر، وقال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الحارث</w:t>
      </w:r>
      <w:r>
        <w:rPr>
          <w:rStyle w:val="FootnoteAnchor"/>
          <w:rtl w:val="true"/>
        </w:rPr>
        <w:footnoteReference w:id="1638"/>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ارأیت لو انّ رجلاً أتی الی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ادری انبیّ انت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یقبل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کان یقتله، انّه لو 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اسلم منافق</w:t>
      </w:r>
    </w:p>
    <w:p>
      <w:pPr>
        <w:pStyle w:val="BookText"/>
        <w:rPr/>
      </w:pP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تبعه علیه الأردبیلیّ، بکون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الأنتفاء من دین الأسلام ضرورة، الّذی هو بالنّسبة الی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 او خروج عن الملل الّتی تقرّ اهلها، وانّ الشّکّ من المسلم ارتداد، واشکل علیه</w:t>
      </w:r>
    </w:p>
    <w:p>
      <w:pPr>
        <w:pStyle w:val="BookText"/>
        <w:rPr/>
      </w:pP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مقتضی النّصّ والفتوی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القتل علی کلّ حال، لا جریان احکام الأرتداد، نعم فی الشّکّ من الکافر لا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فی اطلاق الکفر علی من انکر او شکّ فی امر من الأمور الّتی هی من قطعیّات مذهبنا، او ترک عماداً من اعمدة الدّین، کالصّلاة والحجّ مثلاً، متعمّداً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واردة فی الموارد المختلفة، لکن کلّ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 اباحة اراقة دم المتلبّس به؛ حتّی لو وصل الی حدّ الأرتداد؛ الاّ اذا کان مرتدّاً فطریّاً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ولأبن سنان</w:t>
      </w:r>
      <w:r>
        <w:rPr>
          <w:rStyle w:val="FootnoteAnchor"/>
          <w:rtl w:val="true"/>
        </w:rPr>
        <w:footnoteReference w:id="1639"/>
      </w:r>
      <w:r>
        <w:rPr>
          <w:rFonts w:ascii="IRNazanin" w:hAnsi="IRNazanin" w:eastAsia="IRNazanin"/>
          <w:color w:val="111111"/>
          <w:sz w:val="28"/>
          <w:sz w:val="28"/>
          <w:szCs w:val="28"/>
          <w:rtl w:val="true"/>
          <w:lang w:bidi="fa-IR"/>
        </w:rPr>
        <w:t xml:space="preserve">صحیحة اخری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شکّ فی الله او فی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صحیحة منصور بن حازم</w:t>
      </w:r>
      <w:r>
        <w:rPr>
          <w:rStyle w:val="FootnoteAnchor"/>
          <w:rtl w:val="true"/>
        </w:rPr>
        <w:footnoteReference w:id="1640"/>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شکّ فی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بمضمون الرّوایات المذکورة فی کفر الشّاکّ فی الله وفی رسوله، لکن اذا کان الشّک فی طریق التّحرّی وتحقیق الحقّ والتفحّص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یوجب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یوجد فی بعض الرّوایات الواردة فی بیان حال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بدو احتجاجه بأفول الکوکب والقمر والشّمس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ینفع فی المقام، کذیل معتبرة محمّد بن مسلم</w:t>
      </w:r>
      <w:r>
        <w:rPr>
          <w:rStyle w:val="FootnoteAnchor"/>
          <w:rtl w:val="true"/>
        </w:rPr>
        <w:footnoteReference w:id="1641"/>
      </w:r>
      <w:r>
        <w:rPr>
          <w:rFonts w:ascii="IRNazanin" w:hAnsi="IRNazanin" w:eastAsia="IRNazanin"/>
          <w:color w:val="111111"/>
          <w:sz w:val="28"/>
          <w:sz w:val="28"/>
          <w:szCs w:val="28"/>
          <w:rtl w:val="true"/>
          <w:lang w:bidi="fa-IR"/>
        </w:rPr>
        <w:t xml:space="preserve">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ان اجاب ابا بصیر عن من شکّ فی الله او فی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ثمّ التفت الی زرارة،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یکفر اذا جحد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لم یدخل فی عنوان السّبّ والشّتم، کما هو کذلک؛ اذا خلا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فیشکل الحکم بأباحة دمه مطلقاً</w:t>
      </w:r>
      <w:r>
        <w:rPr>
          <w:rFonts w:eastAsia="IRNazanin" w:cs="IRNazanin"/>
          <w:color w:val="111111"/>
          <w:sz w:val="28"/>
          <w:szCs w:val="28"/>
          <w:rtl w:val="true"/>
          <w:lang w:bidi="fa-IR"/>
        </w:rPr>
        <w:t>.</w:t>
      </w:r>
      <w:bookmarkStart w:id="637" w:name="pg3023_22911"/>
    </w:p>
    <w:p>
      <w:pPr>
        <w:pStyle w:val="Heading4"/>
        <w:numPr>
          <w:ilvl w:val="3"/>
          <w:numId w:val="1"/>
        </w:numPr>
        <w:rPr/>
      </w:pPr>
      <w:bookmarkStart w:id="638" w:name="__RefHeading___Toc657087_2749589250"/>
      <w:bookmarkStart w:id="639" w:name="_Toc230"/>
      <w:bookmarkEnd w:id="637"/>
      <w:bookmarkEnd w:id="638"/>
      <w:r>
        <w:rPr>
          <w:rtl w:val="true"/>
        </w:rPr>
        <w:t>الثّالثة</w:t>
      </w:r>
      <w:r>
        <w:rPr>
          <w:rtl w:val="true"/>
        </w:rPr>
        <w:t xml:space="preserve">: </w:t>
      </w:r>
      <w:r>
        <w:rPr>
          <w:rtl w:val="true"/>
        </w:rPr>
        <w:t>یحکم بحکم السّبّ لو رجعالیه الشّک فی امامة امیرالمومنین علیه السلام او</w:t>
      </w:r>
      <w:bookmarkEnd w:id="639"/>
    </w:p>
    <w:p>
      <w:pPr>
        <w:pStyle w:val="BookText"/>
        <w:rPr/>
      </w:pPr>
      <w:r>
        <w:rPr>
          <w:rFonts w:ascii="IRNazanin" w:hAnsi="IRNazanin" w:eastAsia="IRNazanin"/>
          <w:color w:val="111111"/>
          <w:sz w:val="28"/>
          <w:sz w:val="28"/>
          <w:szCs w:val="28"/>
          <w:rtl w:val="true"/>
          <w:lang w:bidi="fa-IR"/>
        </w:rPr>
        <w:t>احد اولاده المعصومین علیهم السلام و الاّ ففی ارتداده اشکال و کذا تکذیب واحد منهم فی دعوی الامامة</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شکّ فی امامة امیر المؤمنین او احد اولاده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انکر امامتهم؛ فان رجع الی السّبّ فیحکم بحکمه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ففی ارتداده اشکال، وکذا لو کذّبه او واحداً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دعوی الأمامة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مضائقة فی معاملته معاملة المرتدّ، فیفرق بین الملّیّ والفطریّ، وفی الثّانی بین الرّجل والمرأة، کما سیجئ فی بابه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اطلاق روایة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فیمکن حملها علی زمان سیطرة الأسلام وتضافر الشّواهد علی صدق نبیّنا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فاذا اظهر رجل الشّکّ فی نبوّته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فی صدقه؛ ولم یکن من اهل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فاللاّزم قتله، ولا 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ضعف السّند، اذ فیه عبد الرّحمن الأبزاریّ ولم یرد فیه مدح، اذ لم یعنون فی کتب الرّجال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شکّ فی امامة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کذّبه صلوات الله علیه فی دعواها، او انکر امامته، او واحد من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رجع الی السّبّ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فیحکم علیه بحکمه، والاّ فیشکل جریان حکم الأرتداد علیه؛ حتّی بالنّسبة الی احد من الشّیعة الأنثی عشریّة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ویقرب احتمال رجوعه الی انکار الضّروریّ عنده، کأنکار حلّیّة المتعة، وحینئذ فیفرق بین الشّیعیّ المنکر لأمامة احد من المعصومین، او لحلّیّة المتعة مثلاً وبین المخالف، فیرتدّ ذاک دون هذا، وقد اشرنا الی عدم اقتضاء اطلاق الکافر؛ علی اطلاقه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اباحة دم من اطلق علیه، و علی هذا فاطلاقه علی مخالفی الأمامة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 قتلهم، ولا اباحة اموالهم؛ ما لم ینصبوا، وقد وردت روایات کثیرة لعلّها تتجاوز حدّ التّواتر فی هذا الموضوع، نذکر نبذاً منها</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الکلینیّ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1642"/>
      </w:r>
      <w:r>
        <w:rPr>
          <w:rFonts w:ascii="IRNazanin" w:hAnsi="IRNazanin" w:eastAsia="IRNazanin"/>
          <w:color w:val="111111"/>
          <w:sz w:val="28"/>
          <w:sz w:val="28"/>
          <w:szCs w:val="28"/>
          <w:rtl w:val="true"/>
          <w:lang w:bidi="fa-IR"/>
        </w:rPr>
        <w:t xml:space="preserve">بطریقه عن ابی سلمة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عرفنا کان مؤمناً، ومن انکرنا کان کافراً، ومن لم یعرفنا ولم ینکرنا کان ضالاًّ</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الفضیل بن یسار</w:t>
      </w:r>
      <w:r>
        <w:rPr>
          <w:rStyle w:val="FootnoteAnchor"/>
          <w:rtl w:val="true"/>
        </w:rPr>
        <w:footnoteReference w:id="1643"/>
      </w:r>
      <w:r>
        <w:rPr>
          <w:rFonts w:ascii="IRNazanin" w:hAnsi="IRNazanin" w:eastAsia="IRNazanin"/>
          <w:color w:val="111111"/>
          <w:sz w:val="28"/>
          <w:sz w:val="28"/>
          <w:szCs w:val="28"/>
          <w:rtl w:val="true"/>
          <w:lang w:bidi="fa-IR"/>
        </w:rPr>
        <w:t xml:space="preserve">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عزّوجلّ نصب علیّاً علماً بینه وبین خلقه، فمن عرفه کان مؤمناً، ومن انکره کان کافراً، ومن جهله کان ضالاًّ، ومن نصب معه شیئاً کان مشرکاً، ومن جاء بولایته 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طریق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جاء بعداوته دخل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وقریب منها ما رواه المفضّل بن عمر</w:t>
      </w:r>
      <w:r>
        <w:rPr>
          <w:rStyle w:val="FootnoteAnchor"/>
          <w:rtl w:val="true"/>
        </w:rPr>
        <w:footnoteReference w:id="1644"/>
      </w:r>
      <w:r>
        <w:rPr>
          <w:rFonts w:ascii="IRNazanin" w:hAnsi="IRNazanin" w:eastAsia="IRNazanin"/>
          <w:color w:val="111111"/>
          <w:sz w:val="28"/>
          <w:sz w:val="28"/>
          <w:szCs w:val="28"/>
          <w:rtl w:val="true"/>
          <w:lang w:bidi="fa-IR"/>
        </w:rPr>
        <w:t xml:space="preserve">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ابی حمزه</w:t>
      </w:r>
      <w:r>
        <w:rPr>
          <w:rStyle w:val="FootnoteAnchor"/>
          <w:rtl w:val="true"/>
        </w:rPr>
        <w:footnoteReference w:id="16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باب فتحه الله عزّوجلّ، فمن دخله کان مؤمناً، ومن خرج منه کان کافراً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الأختصاص</w:t>
      </w:r>
      <w:r>
        <w:rPr>
          <w:rStyle w:val="FootnoteAnchor"/>
          <w:rtl w:val="true"/>
        </w:rPr>
        <w:footnoteReference w:id="1646"/>
      </w:r>
      <w:r>
        <w:rPr>
          <w:rFonts w:ascii="IRNazanin" w:hAnsi="IRNazanin" w:eastAsia="IRNazanin"/>
          <w:color w:val="111111"/>
          <w:sz w:val="28"/>
          <w:sz w:val="28"/>
          <w:szCs w:val="28"/>
          <w:rtl w:val="true"/>
          <w:lang w:bidi="fa-IR"/>
        </w:rPr>
        <w:t xml:space="preserve">سئل محمّد بن مسلم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ارأیت من جحد اماماً من الله وبرئ منه ومن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کافر مرتدّ عن الأسلام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وفی روایات مروان بن مسلم</w:t>
      </w:r>
      <w:r>
        <w:rPr>
          <w:rStyle w:val="FootnoteAnchor"/>
          <w:rtl w:val="true"/>
        </w:rPr>
        <w:footnoteReference w:id="1647"/>
      </w:r>
      <w:r>
        <w:rPr>
          <w:rFonts w:ascii="IRNazanin" w:hAnsi="IRNazanin" w:eastAsia="IRNazanin"/>
          <w:color w:val="111111"/>
          <w:sz w:val="28"/>
          <w:sz w:val="28"/>
          <w:szCs w:val="28"/>
          <w:rtl w:val="true"/>
          <w:lang w:bidi="fa-IR"/>
        </w:rPr>
        <w:t>وسدیر</w:t>
      </w:r>
      <w:r>
        <w:rPr>
          <w:rStyle w:val="FootnoteAnchor"/>
          <w:rtl w:val="true"/>
        </w:rPr>
        <w:footnoteReference w:id="1648"/>
      </w:r>
      <w:r>
        <w:rPr>
          <w:rFonts w:ascii="IRNazanin" w:hAnsi="IRNazanin" w:eastAsia="IRNazanin"/>
          <w:color w:val="111111"/>
          <w:sz w:val="28"/>
          <w:sz w:val="28"/>
          <w:szCs w:val="28"/>
          <w:rtl w:val="true"/>
          <w:lang w:bidi="fa-IR"/>
        </w:rPr>
        <w:t>وحسین بن سعید</w:t>
      </w:r>
      <w:r>
        <w:rPr>
          <w:rStyle w:val="FootnoteAnchor"/>
          <w:rtl w:val="true"/>
        </w:rPr>
        <w:footnoteReference w:id="1649"/>
      </w:r>
      <w:r>
        <w:rPr>
          <w:rFonts w:ascii="IRNazanin" w:hAnsi="IRNazanin" w:eastAsia="IRNazanin"/>
          <w:color w:val="111111"/>
          <w:sz w:val="28"/>
          <w:sz w:val="28"/>
          <w:szCs w:val="28"/>
          <w:rtl w:val="true"/>
          <w:lang w:bidi="fa-IR"/>
        </w:rPr>
        <w:t>وصفوان</w:t>
      </w:r>
      <w:r>
        <w:rPr>
          <w:rStyle w:val="FootnoteAnchor"/>
          <w:rtl w:val="true"/>
        </w:rPr>
        <w:footnoteReference w:id="1650"/>
      </w:r>
      <w:r>
        <w:rPr>
          <w:rFonts w:ascii="IRNazanin" w:hAnsi="IRNazanin" w:eastAsia="IRNazanin"/>
          <w:color w:val="111111"/>
          <w:sz w:val="28"/>
          <w:sz w:val="28"/>
          <w:szCs w:val="28"/>
          <w:rtl w:val="true"/>
          <w:lang w:bidi="fa-IR"/>
        </w:rPr>
        <w:t>الجمّال ویحیی بن القاسم</w:t>
      </w:r>
      <w:r>
        <w:rPr>
          <w:rStyle w:val="FootnoteAnchor"/>
          <w:rtl w:val="true"/>
        </w:rPr>
        <w:footnoteReference w:id="1651"/>
      </w:r>
      <w:r>
        <w:rPr>
          <w:rFonts w:ascii="IRNazanin" w:hAnsi="IRNazanin" w:eastAsia="IRNazanin"/>
          <w:color w:val="111111"/>
          <w:sz w:val="28"/>
          <w:sz w:val="28"/>
          <w:szCs w:val="28"/>
          <w:rtl w:val="true"/>
          <w:lang w:bidi="fa-IR"/>
        </w:rPr>
        <w:t>وموسی بن عبد ربّه</w:t>
      </w:r>
      <w:r>
        <w:rPr>
          <w:rStyle w:val="FootnoteAnchor"/>
          <w:rtl w:val="true"/>
        </w:rPr>
        <w:footnoteReference w:id="1652"/>
      </w:r>
      <w:r>
        <w:rPr>
          <w:rFonts w:ascii="IRNazanin" w:hAnsi="IRNazanin" w:eastAsia="IRNazanin"/>
          <w:color w:val="111111"/>
          <w:sz w:val="28"/>
          <w:sz w:val="28"/>
          <w:szCs w:val="28"/>
          <w:rtl w:val="true"/>
          <w:lang w:bidi="fa-IR"/>
        </w:rPr>
        <w:t>وابی خالد الکابلی</w:t>
      </w:r>
      <w:r>
        <w:rPr>
          <w:rStyle w:val="FootnoteAnchor"/>
          <w:rtl w:val="true"/>
        </w:rPr>
        <w:footnoteReference w:id="1653"/>
      </w:r>
      <w:r>
        <w:rPr>
          <w:rFonts w:ascii="IRNazanin" w:hAnsi="IRNazanin" w:eastAsia="IRNazanin"/>
          <w:color w:val="111111"/>
          <w:sz w:val="28"/>
          <w:sz w:val="28"/>
          <w:szCs w:val="28"/>
          <w:rtl w:val="true"/>
          <w:lang w:bidi="fa-IR"/>
        </w:rPr>
        <w:t>والمکاتبة الّتی رواها</w:t>
      </w:r>
      <w:r>
        <w:rPr>
          <w:rStyle w:val="FootnoteAnchor"/>
          <w:rtl w:val="true"/>
        </w:rPr>
        <w:footnoteReference w:id="1654"/>
      </w:r>
      <w:r>
        <w:rPr>
          <w:rFonts w:ascii="Amiri" w:hAnsi="Amiri" w:eastAsia="Amiri" w:cs="Amiri"/>
          <w:color w:val="111111"/>
          <w:sz w:val="28"/>
          <w:sz w:val="28"/>
          <w:szCs w:val="28"/>
          <w:rtl w:val="true"/>
          <w:lang w:bidi="ar-SA"/>
        </w:rPr>
        <w:t>احمد بن محمّد بن مطهّر وروایات عمّار</w:t>
      </w:r>
      <w:r>
        <w:rPr>
          <w:rStyle w:val="FootnoteAnchor"/>
          <w:rtl w:val="true"/>
        </w:rPr>
        <w:footnoteReference w:id="1655"/>
      </w:r>
      <w:r>
        <w:rPr>
          <w:rFonts w:ascii="IRNazanin" w:hAnsi="IRNazanin" w:eastAsia="IRNazanin"/>
          <w:color w:val="111111"/>
          <w:sz w:val="28"/>
          <w:sz w:val="28"/>
          <w:szCs w:val="28"/>
          <w:rtl w:val="true"/>
          <w:lang w:bidi="fa-IR"/>
        </w:rPr>
        <w:t>وابی سلمة</w:t>
      </w:r>
      <w:r>
        <w:rPr>
          <w:rStyle w:val="FootnoteAnchor"/>
          <w:rtl w:val="true"/>
        </w:rPr>
        <w:footnoteReference w:id="16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وهذه الرّوایات ذکرها صاحب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وروایات جابر ابن یزید</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59"/>
      </w:r>
      <w:r>
        <w:rPr>
          <w:rFonts w:ascii="IRNazanin" w:hAnsi="IRNazanin" w:eastAsia="IRNazanin"/>
          <w:color w:val="111111"/>
          <w:sz w:val="28"/>
          <w:sz w:val="28"/>
          <w:szCs w:val="28"/>
          <w:rtl w:val="true"/>
          <w:lang w:bidi="fa-IR"/>
        </w:rPr>
        <w:t>الثّلث، وما رواه عبد الله بن محمّد ابن العبّاس</w:t>
      </w:r>
      <w:r>
        <w:rPr>
          <w:rStyle w:val="FootnoteAnchor"/>
          <w:rtl w:val="true"/>
        </w:rPr>
        <w:footnoteReference w:id="1660"/>
      </w:r>
      <w:r>
        <w:rPr>
          <w:rFonts w:ascii="IRNazanin" w:hAnsi="IRNazanin" w:eastAsia="IRNazanin"/>
          <w:color w:val="111111"/>
          <w:sz w:val="28"/>
          <w:sz w:val="28"/>
          <w:szCs w:val="28"/>
          <w:rtl w:val="true"/>
          <w:lang w:bidi="fa-IR"/>
        </w:rPr>
        <w:t>وعبد العزیز القراطیسیّ</w:t>
      </w:r>
      <w:r>
        <w:rPr>
          <w:rStyle w:val="FootnoteAnchor"/>
          <w:rtl w:val="true"/>
        </w:rPr>
        <w:footnoteReference w:id="1661"/>
      </w:r>
      <w:r>
        <w:rPr>
          <w:rFonts w:ascii="IRNazanin" w:hAnsi="IRNazanin" w:eastAsia="IRNazanin"/>
          <w:color w:val="111111"/>
          <w:sz w:val="28"/>
          <w:sz w:val="28"/>
          <w:szCs w:val="28"/>
          <w:rtl w:val="true"/>
          <w:lang w:bidi="fa-IR"/>
        </w:rPr>
        <w:t>وابو علی الخراسانیّ</w:t>
      </w:r>
      <w:r>
        <w:rPr>
          <w:rStyle w:val="FootnoteAnchor"/>
          <w:rtl w:val="true"/>
        </w:rPr>
        <w:footnoteReference w:id="1662"/>
      </w:r>
      <w:r>
        <w:rPr>
          <w:rFonts w:ascii="IRNazanin" w:hAnsi="IRNazanin" w:eastAsia="IRNazanin"/>
          <w:color w:val="111111"/>
          <w:sz w:val="28"/>
          <w:sz w:val="28"/>
          <w:szCs w:val="28"/>
          <w:rtl w:val="true"/>
          <w:lang w:bidi="fa-IR"/>
        </w:rPr>
        <w:t>وروایة ابی حمزة الثّمالیّ</w:t>
      </w:r>
      <w:r>
        <w:rPr>
          <w:rStyle w:val="FootnoteAnchor"/>
          <w:rtl w:val="true"/>
        </w:rPr>
        <w:footnoteReference w:id="1663"/>
      </w:r>
      <w:r>
        <w:rPr>
          <w:rFonts w:ascii="IRNazanin" w:hAnsi="IRNazanin" w:eastAsia="IRNazanin"/>
          <w:color w:val="111111"/>
          <w:sz w:val="28"/>
          <w:sz w:val="28"/>
          <w:szCs w:val="28"/>
          <w:rtl w:val="true"/>
          <w:lang w:bidi="fa-IR"/>
        </w:rPr>
        <w:t>، اکثرها عن الصّادقین وبعضها عن الحسین بن علیّ</w:t>
      </w:r>
      <w:bookmarkStart w:id="640" w:name="pg3023_22913"/>
    </w:p>
    <w:p>
      <w:pPr>
        <w:pStyle w:val="Heading2"/>
        <w:numPr>
          <w:ilvl w:val="1"/>
          <w:numId w:val="1"/>
        </w:numPr>
        <w:rPr/>
      </w:pPr>
      <w:bookmarkStart w:id="641" w:name="__RefHeading___Toc657089_2749589250"/>
      <w:bookmarkStart w:id="642" w:name="_Toc231"/>
      <w:bookmarkEnd w:id="640"/>
      <w:bookmarkEnd w:id="641"/>
      <w:r>
        <w:rPr>
          <w:rtl w:val="true"/>
        </w:rPr>
        <w:t>الکلام فی السّحر</w:t>
      </w:r>
      <w:bookmarkEnd w:id="642"/>
    </w:p>
    <w:p>
      <w:pPr>
        <w:pStyle w:val="Heading3"/>
        <w:numPr>
          <w:ilvl w:val="2"/>
          <w:numId w:val="1"/>
        </w:numPr>
        <w:rPr/>
      </w:pPr>
      <w:bookmarkStart w:id="643" w:name="__RefHeading___Toc657091_2749589250"/>
      <w:bookmarkStart w:id="644" w:name="_Toc232"/>
      <w:bookmarkEnd w:id="643"/>
      <w:r>
        <w:rPr>
          <w:rtl w:val="true"/>
        </w:rPr>
        <w:t>فی مسائل</w:t>
      </w:r>
      <w:bookmarkEnd w:id="644"/>
    </w:p>
    <w:p>
      <w:pPr>
        <w:pStyle w:val="Heading4"/>
        <w:numPr>
          <w:ilvl w:val="3"/>
          <w:numId w:val="1"/>
        </w:numPr>
        <w:rPr/>
      </w:pPr>
      <w:bookmarkStart w:id="645" w:name="__RefHeading___Toc657093_2749589250"/>
      <w:bookmarkStart w:id="646" w:name="_Toc233"/>
      <w:bookmarkEnd w:id="645"/>
      <w:r>
        <w:rPr>
          <w:rtl w:val="true"/>
        </w:rPr>
        <w:t>الاولی</w:t>
      </w:r>
      <w:r>
        <w:rPr>
          <w:rtl w:val="true"/>
        </w:rPr>
        <w:t xml:space="preserve">: </w:t>
      </w:r>
      <w:r>
        <w:rPr>
          <w:rtl w:val="true"/>
        </w:rPr>
        <w:t>یقتل ساحر المسلمین لا الکفّار</w:t>
      </w:r>
      <w:bookmarkEnd w:id="646"/>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بالسّحر؛ وکان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وان کان کافراً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وآخر عن علیّ بن الحسین و قسم رابع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والمکاتبة عن ابی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واشارة الی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فی حدّ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حقیقته فی طیّ مسائل</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السّاحر اذا عمل به وکان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فیقتل، وان کان کافراً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بلا خلاف اجده فیه، کما فی الجواهر، وکأنّه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یبال بخلاف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الخلاف</w:t>
      </w:r>
      <w:r>
        <w:rPr>
          <w:rStyle w:val="FootnoteAnchor"/>
          <w:rtl w:val="true"/>
        </w:rPr>
        <w:footnoteReference w:id="16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استحلّ عمل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کافر، ووجب قتله بلا خلاف، ومن لم یستحلّه وقال هو حرام الاّ أنّی استعمله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فاسقاً؛ لا یجب قتله، وبه قال ابو حنیفة</w:t>
      </w:r>
      <w:r>
        <w:rPr>
          <w:rStyle w:val="FootnoteAnchor"/>
          <w:rtl w:val="true"/>
        </w:rPr>
        <w:footnoteReference w:id="1665"/>
      </w:r>
      <w:r>
        <w:rPr>
          <w:rFonts w:ascii="IRNazanin" w:hAnsi="IRNazanin" w:eastAsia="IRNazanin"/>
          <w:color w:val="111111"/>
          <w:sz w:val="28"/>
          <w:sz w:val="28"/>
          <w:szCs w:val="28"/>
          <w:rtl w:val="true"/>
          <w:lang w:bidi="fa-IR"/>
        </w:rPr>
        <w:t>والشّافعیّ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السّاحر زندیق اذا عمل السّحر، وقوله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استعمله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مقبول، ولا تقبل توبة الزّندیق عنده</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احمد بن حنبل واسحق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یقتل السّاحر، ولم یعرض بکفره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یتعرّضا</w:t>
      </w:r>
    </w:p>
    <w:p>
      <w:pPr>
        <w:pStyle w:val="BookText"/>
        <w:rPr/>
      </w:pPr>
      <w:r>
        <w:rPr>
          <w:rFonts w:ascii="IRNazanin" w:hAnsi="IRNazanin" w:eastAsia="IRNazanin"/>
          <w:color w:val="111111"/>
          <w:sz w:val="28"/>
          <w:sz w:val="28"/>
          <w:szCs w:val="28"/>
          <w:rtl w:val="true"/>
          <w:lang w:bidi="fa-IR"/>
        </w:rPr>
        <w:t>لکفره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ذلک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استدلّ باصل حقن الدّماء واحتیاج الاباحة الی دلیل، وبما روی عنه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امرت ان اقاتل النّاس حتّی یقولوا لا اله الاّ الله فاذا قالوها منعوا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عصموا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 دمائهم واموالهم الاّ بحقّها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واورد لمن اوجب قتله بأمر عمر بقتل کلّ ساحر وساحرة، 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فقتلنا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 سواحر، وحفصة زوجة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جاریة لها سحرتها فبعثت بها الی عبد الرّحمن بن زید فقتلها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Style w:val="FootnoteAnchor"/>
          <w:rtl w:val="true"/>
        </w:rPr>
        <w:footnoteReference w:id="16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اقرّ انّه سحر فقتل بسحره متعمّداً لا یجب علیه القود، وبه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حنیفة، وقال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استدلّ ببرائة الذّمّة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Style w:val="FootnoteAnchor"/>
          <w:rtl w:val="true"/>
        </w:rPr>
        <w:footnoteReference w:id="16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اعرف السّحر واحسنه؛ لکنّی لا اعمل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علیه و به قال الشّافعیّ وابو حنیفة، و 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زندیق وقد اعترف بذلک فوجب قتله ولا تقبل توبته</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استدلّ باصلی برائة الذّمّة وحقن 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وخالف فی المبسوط</w:t>
      </w:r>
      <w:r>
        <w:rPr>
          <w:rStyle w:val="FootnoteAnchor"/>
          <w:rtl w:val="true"/>
        </w:rPr>
        <w:footnoteReference w:id="1668"/>
      </w:r>
      <w:r>
        <w:rPr>
          <w:rFonts w:ascii="IRNazanin" w:hAnsi="IRNazanin" w:eastAsia="IRNazanin"/>
          <w:color w:val="111111"/>
          <w:sz w:val="28"/>
          <w:sz w:val="28"/>
          <w:szCs w:val="28"/>
          <w:rtl w:val="true"/>
          <w:lang w:bidi="fa-IR"/>
        </w:rPr>
        <w:t xml:space="preserve">کلامه فی الخلاف بالنّسبة الی عدم وجوب القود، بل اثبت القود اذا اعترف السّاحر بقتله عمداً، والدّیة مغلّظة اذا قال الغالب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 الحکم معتبرة السّکونیّ</w:t>
      </w:r>
      <w:r>
        <w:rPr>
          <w:rStyle w:val="FootnoteAnchor"/>
          <w:rtl w:val="true"/>
        </w:rPr>
        <w:footnoteReference w:id="1669"/>
      </w:r>
      <w:r>
        <w:rPr>
          <w:rFonts w:ascii="IRNazanin" w:hAnsi="IRNazanin" w:eastAsia="IRNazanin"/>
          <w:color w:val="111111"/>
          <w:sz w:val="28"/>
          <w:sz w:val="28"/>
          <w:szCs w:val="28"/>
          <w:rtl w:val="true"/>
          <w:lang w:bidi="fa-IR"/>
        </w:rPr>
        <w:t xml:space="preserve">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 المسلمین یقتل وساحر الکفاّر لا یقتل،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ولم لا یقتل ساحر الکفّار؟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اعظم من السّحر ولأنّ السّحر والشّرک مقرونان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ونحوها ما عن الرّاوندیّ</w:t>
      </w:r>
      <w:r>
        <w:rPr>
          <w:rStyle w:val="FootnoteAnchor"/>
          <w:rtl w:val="true"/>
        </w:rPr>
        <w:footnoteReference w:id="1670"/>
      </w:r>
      <w:r>
        <w:rPr>
          <w:rFonts w:ascii="IRNazanin" w:hAnsi="IRNazanin" w:eastAsia="IRNazanin"/>
          <w:color w:val="111111"/>
          <w:sz w:val="28"/>
          <w:sz w:val="28"/>
          <w:szCs w:val="28"/>
          <w:rtl w:val="true"/>
          <w:lang w:bidi="fa-IR"/>
        </w:rPr>
        <w:t>باسناده عن موسی بن جعفر عن آبائه عن</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ومعتبرة زید بن علیّ</w:t>
      </w:r>
      <w:r>
        <w:rPr>
          <w:rStyle w:val="FootnoteAnchor"/>
          <w:rtl w:val="true"/>
        </w:rPr>
        <w:footnoteReference w:id="1671"/>
      </w:r>
      <w:r>
        <w:rPr>
          <w:rFonts w:ascii="IRNazanin" w:hAnsi="IRNazanin" w:eastAsia="IRNazanin"/>
          <w:color w:val="111111"/>
          <w:sz w:val="28"/>
          <w:sz w:val="28"/>
          <w:szCs w:val="28"/>
          <w:rtl w:val="true"/>
          <w:lang w:bidi="fa-IR"/>
        </w:rPr>
        <w:t xml:space="preserve">عن ابیه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السّاحر،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جاء رجلان عدلان فشهدا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حلّ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 ذلک ما رواه زید الشّحّام</w:t>
      </w:r>
      <w:r>
        <w:rPr>
          <w:rStyle w:val="FootnoteAnchor"/>
          <w:rtl w:val="true"/>
        </w:rPr>
        <w:footnoteReference w:id="1672"/>
      </w:r>
      <w:r>
        <w:rPr>
          <w:rFonts w:ascii="IRNazanin" w:hAnsi="IRNazanin" w:eastAsia="IRNazanin"/>
          <w:color w:val="111111"/>
          <w:sz w:val="28"/>
          <w:sz w:val="28"/>
          <w:szCs w:val="28"/>
          <w:rtl w:val="true"/>
          <w:lang w:bidi="fa-IR"/>
        </w:rPr>
        <w:t xml:space="preserve">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السّاحر یضرب بالسّیف ضربة واحدة علی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رواه فی الجعفریّات</w:t>
      </w:r>
      <w:r>
        <w:rPr>
          <w:rStyle w:val="FootnoteAnchor"/>
          <w:rtl w:val="true"/>
        </w:rPr>
        <w:footnoteReference w:id="1673"/>
      </w:r>
      <w:r>
        <w:rPr>
          <w:rFonts w:ascii="IRNazanin" w:hAnsi="IRNazanin" w:eastAsia="IRNazanin"/>
          <w:color w:val="111111"/>
          <w:sz w:val="28"/>
          <w:sz w:val="28"/>
          <w:szCs w:val="28"/>
          <w:rtl w:val="true"/>
          <w:lang w:bidi="fa-IR"/>
        </w:rPr>
        <w:t xml:space="preserve">مسنداً عن جعفر بن محمّد عن ابیه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نحو معتبرة السّکونیّ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رواه القاضی نعمان</w:t>
      </w:r>
      <w:r>
        <w:rPr>
          <w:rStyle w:val="FootnoteAnchor"/>
          <w:rtl w:val="true"/>
        </w:rPr>
        <w:footnoteReference w:id="1674"/>
      </w:r>
      <w:r>
        <w:rPr>
          <w:rFonts w:ascii="IRNazanin" w:hAnsi="IRNazanin" w:eastAsia="IRNazanin"/>
          <w:color w:val="111111"/>
          <w:sz w:val="28"/>
          <w:sz w:val="28"/>
          <w:szCs w:val="28"/>
          <w:rtl w:val="true"/>
          <w:lang w:bidi="fa-IR"/>
        </w:rPr>
        <w:t xml:space="preserve">فی دعائم الأسلام مرسلاً عن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کالأولی</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رواه ایضاً فی الجعفریّات</w:t>
      </w:r>
      <w:r>
        <w:rPr>
          <w:rStyle w:val="FootnoteAnchor"/>
          <w:rtl w:val="true"/>
        </w:rPr>
        <w:footnoteReference w:id="1675"/>
      </w:r>
      <w:r>
        <w:rPr>
          <w:rFonts w:ascii="IRNazanin" w:hAnsi="IRNazanin" w:eastAsia="IRNazanin"/>
          <w:color w:val="111111"/>
          <w:sz w:val="28"/>
          <w:sz w:val="28"/>
          <w:szCs w:val="28"/>
          <w:rtl w:val="true"/>
          <w:lang w:bidi="fa-IR"/>
        </w:rPr>
        <w:t xml:space="preserve">مسنداً بذاک الأسناد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ابن اعصم سحر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لو کان هو الیهودیّ المعروف فقتله لیس لسحره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شرح الأخبار</w:t>
      </w:r>
      <w:r>
        <w:rPr>
          <w:rStyle w:val="FootnoteAnchor"/>
          <w:rtl w:val="true"/>
        </w:rPr>
        <w:footnoteReference w:id="1676"/>
      </w:r>
      <w:r>
        <w:rPr>
          <w:rFonts w:ascii="IRNazanin" w:hAnsi="IRNazanin" w:eastAsia="IRNazanin"/>
          <w:color w:val="111111"/>
          <w:sz w:val="28"/>
          <w:sz w:val="28"/>
          <w:szCs w:val="28"/>
          <w:rtl w:val="true"/>
          <w:lang w:bidi="fa-IR"/>
        </w:rPr>
        <w:t>فی سیاق عدّة الشّهداء بصفّین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وجندب الخیر</w:t>
      </w:r>
      <w:r>
        <w:rPr>
          <w:rStyle w:val="FootnoteAnchor"/>
          <w:rtl w:val="true"/>
        </w:rPr>
        <w:footnoteReference w:id="1677"/>
      </w:r>
      <w:r>
        <w:rPr>
          <w:rFonts w:ascii="IRNazanin" w:hAnsi="IRNazanin" w:eastAsia="IRNazanin"/>
          <w:color w:val="111111"/>
          <w:sz w:val="28"/>
          <w:sz w:val="28"/>
          <w:szCs w:val="28"/>
          <w:rtl w:val="true"/>
          <w:lang w:bidi="fa-IR"/>
        </w:rPr>
        <w:t>قتل بصفّین ـ الی ـ فرأی جندب ساحراً بین یدی الولید بن عقبة وکان عاملاً لعثمان علی الکوفة فقتله، فقال له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قتلته؟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آتیک بالبیّنة انّ</w:t>
      </w:r>
      <w:bookmarkStart w:id="647" w:name="pg3023_22917"/>
    </w:p>
    <w:p>
      <w:pPr>
        <w:pStyle w:val="Heading4"/>
        <w:numPr>
          <w:ilvl w:val="3"/>
          <w:numId w:val="1"/>
        </w:numPr>
        <w:rPr/>
      </w:pPr>
      <w:bookmarkStart w:id="648" w:name="__RefHeading___Toc657095_2749589250"/>
      <w:bookmarkStart w:id="649" w:name="_Toc234"/>
      <w:bookmarkEnd w:id="647"/>
      <w:bookmarkEnd w:id="648"/>
      <w:r>
        <w:rPr>
          <w:rtl w:val="true"/>
        </w:rPr>
        <w:t>الثّانیة</w:t>
      </w:r>
      <w:r>
        <w:rPr>
          <w:rtl w:val="true"/>
        </w:rPr>
        <w:t xml:space="preserve">: </w:t>
      </w:r>
      <w:r>
        <w:rPr>
          <w:rtl w:val="true"/>
        </w:rPr>
        <w:t>الاشکال فی القتل بتعلّم السّحر</w:t>
      </w:r>
      <w:bookmarkEnd w:id="649"/>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القتل بتعلّم السّحر اشکال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رأی ساحراً فلیضربه بالسّیف الخ</w:t>
      </w:r>
      <w:r>
        <w:rPr>
          <w:rFonts w:eastAsia="Amiri" w:cs="Amiri" w:ascii="Amiri" w:hAnsi="Amiri"/>
          <w:color w:val="111111"/>
          <w:sz w:val="28"/>
          <w:szCs w:val="28"/>
          <w:rtl w:val="true"/>
          <w:lang w:bidi="ar-SA"/>
        </w:rPr>
        <w:t>.</w:t>
      </w:r>
      <w:r>
        <w:rPr>
          <w:rStyle w:val="FootnoteAnchor"/>
          <w:rtl w:val="true"/>
        </w:rPr>
        <w:footnoteReference w:id="1678"/>
      </w:r>
      <w:r>
        <w:rPr>
          <w:rFonts w:ascii="IRNazanin" w:hAnsi="IRNazanin" w:eastAsia="IRNazanin"/>
          <w:color w:val="111111"/>
          <w:sz w:val="28"/>
          <w:sz w:val="28"/>
          <w:szCs w:val="28"/>
          <w:rtl w:val="true"/>
          <w:lang w:bidi="fa-IR"/>
        </w:rPr>
        <w:t>کما یؤیّد ذلک مرسلة الدّعائم</w:t>
      </w:r>
      <w:r>
        <w:rPr>
          <w:rStyle w:val="FootnoteAnchor"/>
          <w:rtl w:val="true"/>
        </w:rPr>
        <w:footnoteReference w:id="1679"/>
      </w:r>
      <w:r>
        <w:rPr>
          <w:rFonts w:ascii="IRNazanin" w:hAnsi="IRNazanin" w:eastAsia="IRNazanin"/>
          <w:color w:val="111111"/>
          <w:sz w:val="28"/>
          <w:sz w:val="28"/>
          <w:szCs w:val="28"/>
          <w:rtl w:val="true"/>
          <w:lang w:bidi="fa-IR"/>
        </w:rPr>
        <w:t xml:space="preserve">عن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شهد رجلان عدلان علی رجل من المسلمین انّه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فی 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تعلیل قتل المسلم بالأرتداد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الاّ ان یکون نظره الی انّ عمله لا یخلو من اهانة وهتک للقرآن او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وحینئذ فیجب الفرق بین الملّیّ، فیستتاب ثلثة ایّام، والاّ فیقتل ان کان رجلاً، وفی الفطریّ یختلف حکم الرّجل فالقتل عن المرأة فلا قتل، بل له فیها احکام خاصّة یجییء ذکرها فی بابه ان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تعلّم السّحر ولم یعمل به، ففی معتبرة اسحاق بن عمّار</w:t>
      </w:r>
      <w:r>
        <w:rPr>
          <w:rStyle w:val="FootnoteAnchor"/>
          <w:rtl w:val="true"/>
        </w:rPr>
        <w:footnoteReference w:id="1680"/>
      </w:r>
      <w:r>
        <w:rPr>
          <w:rFonts w:ascii="IRNazanin" w:hAnsi="IRNazanin" w:eastAsia="IRNazanin"/>
          <w:color w:val="111111"/>
          <w:sz w:val="28"/>
          <w:sz w:val="28"/>
          <w:szCs w:val="28"/>
          <w:rtl w:val="true"/>
          <w:lang w:bidi="fa-IR"/>
        </w:rPr>
        <w:t xml:space="preserve">عن جعفر عن 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تعلّم شیئاً من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آخر عهده بربّه، وحدّه القتل؛ الاّ ان یتوب، لکن ضعّف الرّوایة تارة وحملت علی ما اذا عمل به أخری</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ویدفع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سندها، اذ هی عن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الصّفّار عن الحسن بن موسی الخشّاب عن غیاث بن کلوب بن قیس البجلیّ عن اسحاق بن عمّار</w:t>
      </w:r>
      <w:bookmarkStart w:id="650" w:name="pg3023_22918"/>
    </w:p>
    <w:p>
      <w:pPr>
        <w:pStyle w:val="BookText"/>
        <w:rPr/>
      </w:pPr>
      <w:bookmarkEnd w:id="650"/>
      <w:r>
        <w:rPr>
          <w:rFonts w:ascii="IRNazanin" w:hAnsi="IRNazanin" w:eastAsia="IRNazanin"/>
          <w:color w:val="111111"/>
          <w:sz w:val="28"/>
          <w:sz w:val="28"/>
          <w:szCs w:val="28"/>
          <w:rtl w:val="true"/>
          <w:lang w:bidi="fa-IR"/>
        </w:rPr>
        <w:t xml:space="preserve">واسناد الشّیخ الی الصّفّار صحیح، والحسن لااقلّ من حسنة، والغیاث بن کلوب بن فیهس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وقیس 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الشّیخ فی العدّة</w:t>
      </w:r>
      <w:r>
        <w:rPr>
          <w:rStyle w:val="FootnoteAnchor"/>
          <w:rtl w:val="true"/>
        </w:rPr>
        <w:footnoteReference w:id="1681"/>
      </w:r>
      <w:r>
        <w:rPr>
          <w:rFonts w:ascii="IRNazanin" w:hAnsi="IRNazanin" w:eastAsia="IRNazanin"/>
          <w:color w:val="111111"/>
          <w:sz w:val="28"/>
          <w:sz w:val="28"/>
          <w:szCs w:val="28"/>
          <w:rtl w:val="true"/>
          <w:lang w:bidi="fa-IR"/>
        </w:rPr>
        <w:t>ممّن عملت الطّائفة بما رواه، کما یدفع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خلاف اطلاق الرّوایة بلا مقیّد، وکذا ما عن بعضهم من تقییده بالمستحلّ تعلّماً او عملاً، ودعوی تبادر العامل ممنوعة؛ الاّ ان یقال بالأنصراف، ولعلّه لا یخلو من وجه او قوّة، وحکی عن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ذیل الرّوایة صریح فی دفع التّوبة لقتله، ولعلّه قرینة علی ارادة عمل السّحر؛ لا التّعلّم، لعدم ذهاب العلم بالتّوبة، ولرجوع الضّمیر الی السّحر، وان اختلف المراد به عن مرجعه لااقلّ من عدم ظهور لها فی التّعلّم، فحینئذ یشکل القتل بسبب التّعلّم</w:t>
      </w:r>
      <w:r>
        <w:rPr>
          <w:rFonts w:eastAsia="IRNazanin" w:cs="IRNazanin"/>
          <w:color w:val="111111"/>
          <w:sz w:val="28"/>
          <w:szCs w:val="28"/>
          <w:rtl w:val="true"/>
          <w:lang w:bidi="fa-IR"/>
        </w:rPr>
        <w:t>.</w:t>
      </w:r>
    </w:p>
    <w:p>
      <w:pPr>
        <w:pStyle w:val="Heading4"/>
        <w:numPr>
          <w:ilvl w:val="3"/>
          <w:numId w:val="1"/>
        </w:numPr>
        <w:rPr/>
      </w:pPr>
      <w:bookmarkStart w:id="651" w:name="__RefHeading___Toc657097_2749589250"/>
      <w:bookmarkStart w:id="652" w:name="_Toc235"/>
      <w:bookmarkEnd w:id="651"/>
      <w:r>
        <w:rPr>
          <w:rtl w:val="true"/>
        </w:rPr>
        <w:t>الثّالثة</w:t>
      </w:r>
      <w:r>
        <w:rPr>
          <w:rtl w:val="true"/>
        </w:rPr>
        <w:t xml:space="preserve">: </w:t>
      </w:r>
      <w:r>
        <w:rPr>
          <w:rtl w:val="true"/>
        </w:rPr>
        <w:t>الاشکال فی کون المراد به من اتّخذه عملاً له و حرفة و ان لم یقع منه</w:t>
      </w:r>
      <w:bookmarkEnd w:id="652"/>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یقال انّ المراد بالسّاحر هو متّخذ السّحر صنعة وعملاً له، وان لم یقع منه، لصدق اسم السّاحر علیه، کغیره من ارباب الصّنایع، نعم لا قتل علی معرفة السّحر، لا لذلک بل لأبطال مدّعی النّبوّة مثلاً به، فأنّه ربما یجب تعلّمه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امکن استظهاره من صدر روایة السّکونیّ، للتّبادر، لکن ذیلها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اعظم من السّحر ولأنّ السّحر والشّرک مقرونان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یدفعه، لظهوره ظهوراً معتدّاً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ارادة المصدر، ولا یصدق علی من اتّخذه عملاً ولم یعمل به، فهذا القول ضعیف، کضعف ارادة المسحور من المسلمین والکفّار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المضاف الیه،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من سحر مسلماً ولا یقتل من سحر کافراً، سواء کان السّاحر مسلماً او کافراً، ویشهد له التّعلیل فی ذیلها</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کلامه من استثناء من تعلّم السّحر لأبطال دعوی مدّعی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تحت ضابط الأهمّ والمهمّ؛ والاّ فلا دلیل علیه، مضافاً الی عدم</w:t>
      </w:r>
      <w:bookmarkStart w:id="653" w:name="pg3023_22919"/>
    </w:p>
    <w:p>
      <w:pPr>
        <w:pStyle w:val="Heading4"/>
        <w:numPr>
          <w:ilvl w:val="3"/>
          <w:numId w:val="1"/>
        </w:numPr>
        <w:rPr/>
      </w:pPr>
      <w:bookmarkStart w:id="654" w:name="__RefHeading___Toc657099_2749589250"/>
      <w:bookmarkStart w:id="655" w:name="_Toc236"/>
      <w:bookmarkEnd w:id="653"/>
      <w:bookmarkEnd w:id="654"/>
      <w:r>
        <w:rPr>
          <w:rtl w:val="true"/>
        </w:rPr>
        <w:t>الرّابعة</w:t>
      </w:r>
      <w:r>
        <w:rPr>
          <w:rtl w:val="true"/>
        </w:rPr>
        <w:t xml:space="preserve">: </w:t>
      </w:r>
      <w:r>
        <w:rPr>
          <w:rtl w:val="true"/>
        </w:rPr>
        <w:t>یثبت بالبیّنة و هی شهادة العدلین و بالاقرار مرّة واحدة</w:t>
      </w:r>
      <w:bookmarkEnd w:id="655"/>
    </w:p>
    <w:p>
      <w:pPr>
        <w:pStyle w:val="BookText"/>
        <w:rPr/>
      </w:pPr>
      <w:r>
        <w:rPr>
          <w:rFonts w:ascii="IRNazanin" w:hAnsi="IRNazanin" w:eastAsia="IRNazanin"/>
          <w:color w:val="111111"/>
          <w:sz w:val="28"/>
          <w:sz w:val="28"/>
          <w:szCs w:val="28"/>
          <w:rtl w:val="true"/>
          <w:lang w:bidi="fa-IR"/>
        </w:rPr>
        <w:t xml:space="preserve">ویثبت بالبیّنة والأقرار مرّة واحدة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انحصار طریق الأبطال بهذا العمل الحرام، بل یمکن التّوصّل الی ذلک بما هو محلّل، وعلی فرض الحلّ لذاک الضّابط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ینحصر بالأبطال، بل یشمل حلّ السّحر ایضاً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ویؤیّده ما رواه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وروی</w:t>
      </w:r>
      <w:r>
        <w:rPr>
          <w:rStyle w:val="FootnoteAnchor"/>
          <w:rtl w:val="true"/>
        </w:rPr>
        <w:footnoteReference w:id="1682"/>
      </w:r>
      <w:r>
        <w:rPr>
          <w:rFonts w:ascii="Amiri" w:hAnsi="Amiri" w:eastAsia="Amiri" w:cs="Amiri"/>
          <w:color w:val="111111"/>
          <w:sz w:val="28"/>
          <w:sz w:val="28"/>
          <w:szCs w:val="28"/>
          <w:rtl w:val="true"/>
          <w:lang w:bidi="ar-SA"/>
        </w:rPr>
        <w:t>انّ توبة السّاحر انّ یحلّ ولا یعقد، ولعلّه روایة عیسی بن سقفی</w:t>
      </w:r>
      <w:r>
        <w:rPr>
          <w:rStyle w:val="FootnoteAnchor"/>
          <w:rtl w:val="true"/>
        </w:rPr>
        <w:footnoteReference w:id="1683"/>
      </w:r>
      <w:r>
        <w:rPr>
          <w:rFonts w:ascii="IRNazanin" w:hAnsi="IRNazanin" w:eastAsia="IRNazanin"/>
          <w:color w:val="111111"/>
          <w:sz w:val="28"/>
          <w:sz w:val="28"/>
          <w:szCs w:val="28"/>
          <w:rtl w:val="true"/>
          <w:lang w:bidi="fa-IR"/>
        </w:rPr>
        <w:t xml:space="preserve">حیث لقی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بمنی وکانت صناعته السّحر وتاب الی الله، وسئل المخرج منه، فقال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ولا تعقد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اشکال فی ثبوت السّحر بالبیّنة الّتی هی شهادة العدلین، وبالأقرار مرّة واحدة، کما مرّ فی نظائره، ولا عبرة بشهادة النّساء لا منفردات ولا منضمّات الی شهادة الرّجل</w:t>
      </w:r>
      <w:r>
        <w:rPr>
          <w:rFonts w:eastAsia="IRNazanin" w:cs="IRNazanin"/>
          <w:color w:val="111111"/>
          <w:sz w:val="28"/>
          <w:szCs w:val="28"/>
          <w:rtl w:val="true"/>
          <w:lang w:bidi="fa-IR"/>
        </w:rPr>
        <w:t>.</w:t>
      </w:r>
    </w:p>
    <w:p>
      <w:pPr>
        <w:pStyle w:val="Heading4"/>
        <w:numPr>
          <w:ilvl w:val="3"/>
          <w:numId w:val="1"/>
        </w:numPr>
        <w:rPr/>
      </w:pPr>
      <w:bookmarkStart w:id="656" w:name="__RefHeading___Toc657101_2749589250"/>
      <w:bookmarkStart w:id="657" w:name="_Toc237"/>
      <w:bookmarkEnd w:id="656"/>
      <w:r>
        <w:rPr>
          <w:rtl w:val="true"/>
        </w:rPr>
        <w:t>الخامسة</w:t>
      </w:r>
      <w:r>
        <w:rPr>
          <w:rtl w:val="true"/>
        </w:rPr>
        <w:t xml:space="preserve">: </w:t>
      </w:r>
      <w:r>
        <w:rPr>
          <w:rtl w:val="true"/>
        </w:rPr>
        <w:t>فی حقیقة و انّ ما یعدّ فی العرف سحراً محکوم بحکمه</w:t>
      </w:r>
      <w:bookmarkEnd w:id="657"/>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حقیقة السّحر، وانّه یعمّ العلوم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الکیمیاء واللّیمیاء والهیمیاء والسّیمیاء والرّیمیاء؟ او هو مخصوص ببعضها، او موکول الی نظر العرف؟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اشکال فی انّ ما یعدّه العرف سحراً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بحکمه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یدخل فیه احضار الأرواح الطّیبة او الخبیثة من الجنّ والأنس، او الملائکة؟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فرض عدم دخوله فی السّحر، کما هو الظّاهر، فهل هو فی نفسه مباح، او اذا لم یوجب اذیً علی مسلم حیّ او میّت؟ لا یبعد الأخیر</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المعلوم، انّه اذا شکّ فی کونه من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یحکم بحکمه، اذ هو من التّمسّک بالعامّ فی شبهة الصّدق، وهو لایجوز، کما فی الشّبهة المصداقیّة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ویثبت بالبیّنة والأقرار مرّة واحدة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انحصار طریق الأبطال بهذا العمل الحرام، بل یمکن التّوصّل الی ذلک بما هو محلّل، وعلی فرض الحلّ لذاک الضّابط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ینحصر بالأبطال، بل یشمل حلّ السّحر ایضاً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ویؤیّده ما رواه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وروی</w:t>
      </w:r>
      <w:r>
        <w:rPr>
          <w:rStyle w:val="FootnoteAnchor"/>
          <w:rtl w:val="true"/>
        </w:rPr>
        <w:footnoteReference w:id="1684"/>
      </w:r>
      <w:r>
        <w:rPr>
          <w:rFonts w:ascii="Amiri" w:hAnsi="Amiri" w:eastAsia="Amiri" w:cs="Amiri"/>
          <w:color w:val="111111"/>
          <w:sz w:val="28"/>
          <w:sz w:val="28"/>
          <w:szCs w:val="28"/>
          <w:rtl w:val="true"/>
          <w:lang w:bidi="ar-SA"/>
        </w:rPr>
        <w:t>انّ توبة السّاحر انّ یحلّ ولا یعقد، ولعلّه روایة عیسی بن سقفی</w:t>
      </w:r>
      <w:r>
        <w:rPr>
          <w:rStyle w:val="FootnoteAnchor"/>
          <w:rtl w:val="true"/>
        </w:rPr>
        <w:footnoteReference w:id="1685"/>
      </w:r>
      <w:r>
        <w:rPr>
          <w:rFonts w:ascii="IRNazanin" w:hAnsi="IRNazanin" w:eastAsia="IRNazanin"/>
          <w:color w:val="111111"/>
          <w:sz w:val="28"/>
          <w:sz w:val="28"/>
          <w:szCs w:val="28"/>
          <w:rtl w:val="true"/>
          <w:lang w:bidi="fa-IR"/>
        </w:rPr>
        <w:t xml:space="preserve">حیث لقی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بمنی وکانت صناعته السّحر وتاب الی الله، وسئل المخرج منه، فقال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ولا تعقد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اشکال فی ثبوت السّحر بالبیّنة الّتی هی شهادة العدلین، وبالأقرار مرّة واحدة، کما مرّ فی نظائره، ولا عبرة بشهادة النّساء لا منفردات ولا منضمّات الی شهادة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حقیقة السّحر، وانّه یعمّ العلوم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الکیمیاء واللّیمیاء والهیمیاء والسّیمیاء والرّیمیاء؟ او هو مخصوص ببعضها، او موکول الی نظر العرف؟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اشکال فی انّ ما یعدّه العرف سحراً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بحکمه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یدخل فیه احضار الأرواح الطّیبة او الخبیثة من الجنّ والأنس، او الملائکة؟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فرض عدم دخوله فی السّحر، کما هو الظّاهر، فهل هو فی نفسه مباح، او اذا لم یوجب اذیً علی مسلم حیّ او میّت؟ لا یبعد الأخیر</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المعلوم، انّه اذا شکّ فی کونه من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یحکم بحکمه، اذ هو من التّمسّک بالعامّ فی شبهة الصّدق، وهو لایجوز، کما فی الشّبهة المصداقیّة</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هو زیادة ماله الاّ بتکلّف</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مرآة العقول   و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ولأقامة الحدّ الله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مقدّمات الحدود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ابواب مقدّمات الحدود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ابواب مقدّمات الحدود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الحنفیة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أذا استأجر الرّجل امرأة للزّنا فقبلت و وطنها فلا یقام الحدّ علیها و یعزّران بما یراه الإمام، الفقه علی المذاهب الأربعة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المغنی إذا استأجر امرأة شیء فزنی بها أو استأجرها لیزنی بها و فعل ذلک أو زنی بامرأة تزوّجها أو اشترها فعلِیهما الحدّ و به قال أکثر أهل العلم و قال أبو حنیفة لا حدّ علیهما فی هذه المواضع لأنّ ملکه لمنفعتها شبهة دارئة للحدّة و لا یحدّ بوطی امرأة هو مالک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8/211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اعتبار الرّجل بناء علی کونه أبا خالد القماط کلام بین أصحاب الرّجل</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الوسائل 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فی المتن موافق لمرآة العقول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والفقیه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بالمصاهرة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14/149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یخرم بالمصاهرة، المستدرک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مایحرم بالمصاهرة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الزبنا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المتدرک الأبواب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حدود الزّنا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تروک الاحرام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الحدود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فی المغنی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اشتری امّه أو أخته من الرّضاعة و نحو هما و وطئها فذکر القاضی عن أصحابنا أنّ علیه الحدّ لأنّه فرج لا ِیستباح بحال فوجب الحدّ بالوطی کفرج الغلام و قال بعض اصحابنا لا حدّ فیه و هو قول أصحاب الرّأی و الشّا فعی لأنّه و طیء فی فرج مملوک له یملک المعاوضة عنه و أخذ صداقه فلم یجب به الحدّ کو طی الجاریة المشترکة، فأمّا ان اشتری ذات محرمه من النّسب ممن ِینعتق علیه و وطئها فعلیه الحدّ لا نعلم فیه خلافاً لأنّ الملک لا ِیثبت فیها فلم توجد الشبهة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الحدود، المسألة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سبق الکلام فی الاستیجار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المغنی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 تزوّج ذات محرمه فالنکاح باطل بالأجماع فإن وطئها فعلیه الحد فی قول أکثر أهل العلم منهم الحسن و جابر بن زید و مالک و الشّافعی و أبو یوسف و محمّد و إسحاق و أبو أیوب و این أبی خثیمة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حنیفة و الثّوری لا حدّ علیه لاّنه وطءتمکنّت الشّبهة منه قلم یوجب الحدّ کما لو اشتری اخته من الرّضاع ثمّ وطنها و بیان الشّبهة انّه قد وجت صورة المبیح و هو عقد النّکاح الذی هو سبب للاباحة فإذا لم یثبت حکمه و هو الإباحة بقیت صورته دارئة للحدّ الذی یندرء بالشّبهات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8/182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وکلّ نکاح اجمع علی بطلانه کنکاح خامة او متزّوجة او معتدّة او نکاح المطّلقة ثلاثاً اذا وطنی فیه عالماً بالتّحریم فهو زنا موجب للحدّ المشروع فیه قبل العقد و به قال الشافعیّ و قال أبو حنیفة و صاحباه لا حدّ فیه لما ذکره فی الفصل الّذی قبل هذا و قال النّخعی یجلد مأة و لا ینفی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8/183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الفقه علی المذاهب الأربعة قریب مما ذکرنا قال مؤلّفه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المالکیة و الشافعیة و الحنابلة قالو إذا عقد رجل علی امرأة و هی فی عدة زوجها الأوّل و دخل علیها فإنه یجب علیه اقامة لاحدّ ـ الی ـ و لا بکون هذا العقد شبهة ندراً الحدّ عنهما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الحنفیة قالو لا یجب علیها اقامی الحدّ و إنّما یجب علیهما التعزیر حبث إن العقد شبهة مقبولة تدرأ الحدّ عنهما و الحدود تدرأ بالشبهات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علی المحارم ـ المالکیة و الشافعیّة و الحنابله و أبو یوسف و الإمام محمّد من الحنفیّة قالو إذا عقد رجل علی امرأة لا یجلّ له نکاحها، بأن کانت من ذوی مجارمه کأمّه و أخته مثلاً أو محرّمة من نسب أو رضاع، ثمّ و طاها فی هذا العقد و هو عالم بالتّحریم فإنّه یجب علیه اقامة الحد لأنّ هذا العقد لم یصادف محلّه لأنّه لا شبهة فیه عنده و بلحق به الولد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أبو حنیفة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یجب علیه اقامة الحدّ و إن قال علمت أنّها علّی حرام لکن یجب علیه بذلک المهر و یلحق به الولد و یعاقب عقوبة هی اشدّ ما یکون من أنواع التعزیر سطاسیاً لا حدّاً مقدراً شرعاً إذا کان عالماً بذلک، فإذا کان یجهل الحکم و لم یعلم بالحرمة فالا حدّ و لا عقوبة تعزیر الفقه علی المذاهب الأربعة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الحدود، المسألة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مقدّمة العبادات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مقدّمات الحدود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مقدّمات الحدود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الزّنا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من أبواب حدّ الزّنا</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مقدّمات الحدود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تنقیح المقال و خاتمة المستدرک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الحدود مسألة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الی ـ</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حدّالزّنا</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فیها تعتل مکان تقتل</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حدّالزّنا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حدّالزّنا</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حدّالزّنا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الی 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حدۀ الزّنا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من أبواب حدّ الزّنا،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توادر الحدود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خاتمة المستدرک خاتمة الفائدة الخامسة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الحدود مسئلة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السّرقة مسئلة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الدّیات و مسئلة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الحدود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الدّیات و مسئلة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الحدود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الدّیات و مسئلة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الحدود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خلاف بین أهل الأسلام فی أنّ المستکرهة لا حدّ علیها و انّما اختلفوا فی وجوب الصّداق لها و سبب الخلاف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الصّداق عوض عن البضع او نحلة؟ فمن قال هو عوض عن البضع اوجبه فی البضع الحلال و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قال انّه نحلة خصب الله به الأزواج لم یوجبه الاّ علی الأزواج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الأربعة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الدّیات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الفقه علی مذاهب الأربعة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الدّیات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الحدود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ـ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آبواب حدّ الزّنا</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النّفس</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النّفس</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قصص النّفس</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ایضاح الفوائد </w:t>
      </w:r>
      <w:r>
        <w:rPr>
          <w:rFonts w:eastAsia="IRNazanin" w:cs="IRNazanin"/>
          <w:b w:val="false"/>
          <w:bCs w:val="false"/>
          <w:i w:val="false"/>
          <w:iCs w:val="false"/>
          <w:color w:val="333333"/>
          <w:sz w:val="20"/>
          <w:szCs w:val="20"/>
        </w:rPr>
        <w:t>4/660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مکرّر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مفتاح الکرامة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ألباب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السّرفة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البحار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و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فی الخلاف اذا قرّ العبد علی نفسه بالسّرقة لا یقبل اقراره قال جمیع الفقها٭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یقبل اقراره و یقطع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استدلّ باجماع الفرقة و ما اشرنا الیه أنفاً، الخلاف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السّرقة مسئلة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أتّفق الأنمّة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انّ الزّنا یثبت بالأقرار سواء کان المقّر ذکراً ام انثی وسواء کان محصناً امم غبر محصن و سواء کان المقّر حرّاً ام عبداً بشرط ان یکون بالقاً عاقلاً ممیزاً غیر مستکره علی اقراره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علی مذاهب الأربعة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 فی المغنی بعد اعتبار ذکر شروط السّرقة من النّصاب و الحرز و اخراجه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والبحرّ و العبد فی هذا 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علیه احمد و ذلک لعموم النّصّ فیهما و لما روی الأعمش عن القاسم عن ابیه انّ علیّها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عبداً اقرّ عنده بالسّرفة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روایة قال کان عبداً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الّذی قطعه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یعتبر أن یفرّ مرّ 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 وی مهنّا عن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اقرّ العبد اربع مرّات انّه سرق 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8/280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یظهر من الفقه علی المذاهب الأربعة مساواة العبد للحرّ فی ثبوت السّرقة باقراره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الحنفیّة المالکیّة و الشّافعیّة، قالوا یثبت بالأقرار مرّة واحدة ـ الی ـ الحنابلة و ابو یوسف من الحنفیّة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یشت باقراره مرّتین و الأقرار مرّة واحدة لا یثبت 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الأربعة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 الحدود، مسئله</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ـ الی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الأربعة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و 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سنن البیهق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أبی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کنر العمّال</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الی ـ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الی ـ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5/116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الی ـ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الحدود مسئلة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3/429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الزّنا؛ البحار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کتاب الحدود مسئلة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المبسوط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الحدودمسئلة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الأربعة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النوّر ـ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الشّهادات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الشّهادات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الشّهادات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الشّهادات</w:t>
      </w:r>
      <w:r>
        <w:rPr>
          <w:rFonts w:eastAsia="IRNazanin" w:cs="IRNazanin"/>
          <w:b w:val="false"/>
          <w:bCs w:val="false"/>
          <w:i w:val="false"/>
          <w:iCs w:val="false"/>
          <w:color w:val="333333"/>
          <w:sz w:val="20"/>
          <w:szCs w:val="20"/>
          <w:rtl w:val="true"/>
        </w:rPr>
        <w:t>.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الشّهادات</w:t>
      </w:r>
      <w:r>
        <w:rPr>
          <w:rFonts w:eastAsia="IRNazanin" w:cs="IRNazanin"/>
          <w:b w:val="false"/>
          <w:bCs w:val="false"/>
          <w:i w:val="false"/>
          <w:iCs w:val="false"/>
          <w:color w:val="333333"/>
          <w:sz w:val="20"/>
          <w:szCs w:val="20"/>
          <w:rtl w:val="true"/>
        </w:rPr>
        <w:t>.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الشّهادات</w:t>
      </w:r>
      <w:r>
        <w:rPr>
          <w:rFonts w:eastAsia="IRNazanin" w:cs="IRNazanin"/>
          <w:b w:val="false"/>
          <w:bCs w:val="false"/>
          <w:i w:val="false"/>
          <w:iCs w:val="false"/>
          <w:color w:val="333333"/>
          <w:sz w:val="20"/>
          <w:szCs w:val="20"/>
          <w:rtl w:val="true"/>
        </w:rPr>
        <w:t>.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الی ـ</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الزّنا 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ین</w:t>
      </w:r>
      <w:r>
        <w:rPr>
          <w:rFonts w:eastAsia="IRNazanin" w:cs="IRNazanin"/>
          <w:b w:val="false"/>
          <w:bCs w:val="false"/>
          <w:i w:val="false"/>
          <w:iCs w:val="false"/>
          <w:color w:val="333333"/>
          <w:sz w:val="20"/>
          <w:szCs w:val="20"/>
          <w:rtl w:val="true"/>
        </w:rPr>
        <w:t>.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الشّهادات</w:t>
      </w:r>
      <w:r>
        <w:rPr>
          <w:rFonts w:eastAsia="IRNazanin" w:cs="IRNazanin"/>
          <w:b w:val="false"/>
          <w:bCs w:val="false"/>
          <w:i w:val="false"/>
          <w:iCs w:val="false"/>
          <w:color w:val="333333"/>
          <w:sz w:val="20"/>
          <w:szCs w:val="20"/>
          <w:rtl w:val="true"/>
        </w:rPr>
        <w:t>.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الشّهادات</w:t>
      </w:r>
      <w:r>
        <w:rPr>
          <w:rFonts w:eastAsia="IRNazanin" w:cs="IRNazanin"/>
          <w:b w:val="false"/>
          <w:bCs w:val="false"/>
          <w:i w:val="false"/>
          <w:iCs w:val="false"/>
          <w:color w:val="333333"/>
          <w:sz w:val="20"/>
          <w:szCs w:val="20"/>
          <w:rtl w:val="true"/>
        </w:rPr>
        <w:t>.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الشّهادت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الشّهادت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الشّهادت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اشّهادات 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الشّهادات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الشّهادات مسئلة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الشّهادات</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الشّهادات مسئلة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اتّفقت کلمة الفقهاء علی انّ جریمة الزّنا تثبت بالشّهادة او الأقرار و اتّفقوا علی انّ عدد الشّهود فی هذه الجریمة المنکرة اربعة بخلاف سایر الحقوق ـ الی ـ و اجماع الأمّة علی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اتّفق الأئمِة علی انّ صفة الشّهود انّ یکونوا عدولاً، و ان یکونوا غیر محدودین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الأربعة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المغنی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او یشهد علیه اربعة رجال من المسلمین احرار عدول یصفون الزّنا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الحرقی فی شهود الزّنا سبعة شروط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احدها ان یکونوا اربعة و هذا اجماع لا خلاف فیه بین اهل العلم ـ الی ـ الشّرط الثّانی ان یکونوا رجالاً کلّهم و لا تقبل فیه شهادة النّساء بحال و لا نعلم فیه خلافاً الاّ شیئاً یروی عن عطا و حمّاد انّه یقبل فیه ثلاثة رجال و امرأتان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شذوذ لایعول علیه ـ الی ـ و لا خلاف فی انّ الأربعة اذا کان بعضهم نساء لا یکتفی بهم ـ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8/198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اذا شهد الشّهود علی الزّانی ـ الخ</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مرأة العقول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اتّفق الأئمّة علی انّ من وطیء امرأة اجنبیّة فیما دون الفرج بأن اولج ذکره فی مغابن بطنها و نحو بعیداً عن القبل و الدّبر لا یقام علیه الحدّ و لکنّة یعزّر لأنّه اتی فعلا منکراً یحرّمه الشّرع وقد حکم الأمام علیّ کرّم الله وجهه علی من وجد مع امرأة اجنبیة مختلیابها و لم ِیقع علیها، بأن یضرب مأة جلدة تعزیراً الفقه علی المذاهب الأربعة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الحدود مسئلة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الحدود مسئلة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اختلف الفقهاء فی اشتراط عدم اختلاف الشّهود فی تحدید المکان الّذی وقعت فیه الفاحشة کأن شهد اثنان من الشّهود انّه زنی بها فی هذه الزّوایة من المنزل و شهد اثنان آخران انّه زنی بها فی زاویة اخری من نفس المنزل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الحنفیّة و الحنابلة قالو انّ الخلاف لا یضرّ فی اداء الشّهادة، بل تقبل ویقام 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المالکیّة و الشّافعیة قالو لاتقبل الشّهادة فی هذه المسئلة و لا تجب اقامة الحدّ، لأنّ اختلاف الشّهود فی تحدید المکان شبهة تدرء الحدّ عن الزّنا، فیشترط ان یأتی الأربعة فة وقت واحد یشهدن علی وطی واحد فی موضع واحد بصفة واحدة، بهذا تتمّ 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اختلافهم فی 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شهد اثنان علیرجل بأنّه زنی بها فی الکوفة و شهد آخران بأنّه زنی بها فة البصرة مثلاً، فلا تقبل الشبهادة و لا یقام علیها الحدّ بالأجماع، و یحدّ الشّهود حدّ القذف</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الأربعة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اذا شهد اثنان انّه زنی بها فی هذا البیت و اثنان انّه زنی بها فی بیت آخر، اوشهد کلّ اثنین علیه بالزّنا فی بلد غیر البلد الّذی شهد به صاحباهما، او اختلفو فی الیوم فالجمیع قذفة و علیهم 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قال مالک و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اختار ابو بکر انّه لا حدّ علیهم و به قال النّخعیّ و ابو ثور و اصحاب الرّأی لأنّهم کملوا اربعة لناـ الی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شهد اثنان انبه زنی بها فی زاویة بیت و شهد اثنان انّه زنی بها فی زاویة منه اخری و کانت الزّاویتان متباعدتین فالقول فیهما کالقول فی البیتین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کانتا متقاربتین کملت شهادتهم و حدّ المشهود علیه، و به قال ابو حنیفة و قال الشّافعی لا حدّ علیه لأنّ شهادتهم لم تکمل و لأنّهم اختلفو فی المکان، فأشبه مالو اختلفا فی البیتین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قول ابی بکر تکمل الشّهادة، سواء تقاربت الزّاویتان او تباعدتا ـ الی ـ 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شهد اثنان انّه زنی بها فی قمیص ابیض و شهد اثنان انّه زنی بها فی قمیص احمر، او شهد اثنان انّه زنی بها فی ثوب کتّان و شهد اثنان انّه زنی بها فی ثوب خزّ کملت شهادتهم و قال الشّافعیّ لا تکمل، لتنا فی الشّهادتین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شهد اثنان انّه زنی بها مکرهة و شهد اثنان انّه زنی بها مطاوعة فلا حدّ علیها اجماعاغً، فأن الشّهادة لم تکمل علی فعل موجب للحدّ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الرّجل و 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احدهما لا حدّ علیه و هو قول ابی بکر و القاضی و اکثر الأصحاب و قول ابی حنیفة واحد الوجهین الأصحاب الشّافعّی ـ الی ـ والوجه الثّانی یجب الحدّ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اختاره ابو الخطاّب و هو قول ابی یوسف و محمّد و وجه ثان للشّافعیّ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المغی </w:t>
      </w:r>
      <w:r>
        <w:rPr>
          <w:rFonts w:eastAsia="IRNazanin" w:cs="IRNazanin"/>
          <w:b w:val="false"/>
          <w:bCs w:val="false"/>
          <w:i w:val="false"/>
          <w:iCs w:val="false"/>
          <w:color w:val="333333"/>
          <w:sz w:val="20"/>
          <w:szCs w:val="20"/>
        </w:rPr>
        <w:t>8/204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الخلاف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کتاب الحدود مسئلة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فی الأختلاف فی الأستکراه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شهد اثنان علی رجل بالزّنا استکراها و قال آخران بل کان الزّنا طوّاعیّة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الأمام ابو حنیفة و المالکیّة و الشّافعیّة و الحنابلة قالو لا حدّ علیها فی هذه الحاله ـ الی ـ و قال الصاّحبان یحدّ الرّجل خاصّة ـ الی ـ و امّا فلا یقام علیها الحدّ لأنّها فی هذه الحالة مکرهة بشهادة الشّهود و المکرهة علی الزّنا لا تحدّ اجماعاً و یجب علی الزّافی دفع صداقها و یلحق و به ولدهاان حملت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الأربعة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الحدود مسئلة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الحنفیّة و المالکیّة و الحنابلة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 انّه یشترط فی اداء الشبهادة ان یشهدوابالزّنا فی مجلس واحد و الاّ فهم فسقة، ویقام علیهم حدّ القذف ـ الی ـ الشّافعیة قالو انّه لا بأس بتفرّق المجالس فی اداء شهادة الشّهود، و تقبل شهادتهم اذا ادّوها فی مجالس متفرّقة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الی ـ الحنفیّة و المالکیّة قالو یشترط ان تکون شهادة الأربعة فی مجلس واحد و اشترطوا کذلک ان یحضر الشّهود الأربعة مجتمعین فی زمان واحد فأن جائوا متفرّقین و اجتمعوا فی مجلس واحد لا تقبل شهادتهم و یقام علیهم حدّ القذف ـ الی ـ الحنابلة قالو المجلس الواحد شرط فی اجتماع الشّهود و فی اداء الشّهادة، فأذا جمعهم مجلس واحد وادّوا الشّهادة سمعت شهادتهم و ان جائوا متفرّقین قبل اداء الشّهادة ـ الخ 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 علی المذهب الأربعة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الشّرط السّابع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شرایط شهود الزّنا السّبعة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مجییء الشّهود کلّهم فی مجلس واحد ذکره الخرقی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و ان جاء اربعة متفرّقین و الحاکم جالس فی مجلس حکمه لم یقم قبل شهادتهم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 جاء بعضهم بعد ان قام الحاکم کانوا قذفة و علیهم الحدّ و بهذا قال مالک و ابو حنیفة و قال الشّافعیّ و البتی و ابن المنذر لا یشترط ثمّ اخذ فی الأستدلال لهذا القول و المختاره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اذا ثبت هذا لایشترط اجتماعهم حال مجیئهم و لو جائوا متقرّقین واحداً بعد واحد فی مجلس واحد قبل شهادتهم و قال مالک و بو حنیفة ان جائوا متفرّقین فهم قذفة لأنّهم لم ِجتمعوا فی مجیئهم فلم تقبل شهادتهم کالّذین لم یشهدوا فی مجلس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اخذ فی الأستدلال علی مختاره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27/318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آ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الحدود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3/436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شهد اربعة غیر هم شهدوا بالزّنا بامرأة اخری فرجم، ثمّ رجع الفریقان فی شهادتهم، ضمنوا دیته اجماعاً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حدّوا للقذف جمیعاً عند الأمام ابی حنیفة و ابی یوسف و الأمام محمّد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یضمنون الدیة و لکن لایقام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القذف</w:t>
      </w:r>
      <w:r>
        <w:rPr>
          <w:rFonts w:eastAsia="IRNazanin" w:cs="IRNazanin"/>
          <w:b w:val="false"/>
          <w:bCs w:val="false"/>
          <w:i w:val="false"/>
          <w:iCs w:val="false"/>
          <w:color w:val="333333"/>
          <w:sz w:val="20"/>
          <w:szCs w:val="20"/>
          <w:rtl w:val="true"/>
        </w:rPr>
        <w:t>.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الحنفیّة قالو اذا رجع احد الشّهود بعد الرّجم حدّ الرّاجع وحده و غرم ربع الدّیة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اذا رجع واحد منهم قبل اقامة الحدّ حدّوا جمیعاً لأنّهم نقصوا عن اربعة الشّافعیة قالو اذا رجع واحد یجب قتله لأنّه کان سبباً فی قتل المتّهم ظلماً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الأربعة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مبحث رجوع احد الشّهود بعد 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الحنفیّة قالوا اذا رجع واحد من الشّهود بعد القضاء و قبل اقامة الحدّ، حدّوا جمیعاً حدّ القذف لأنّ الأمضاء من القضاء فکان رجوعه قبل الأمضاء کرجوعه قبل القضاء ـ الی ـ ولو رجع واحد من الشّهود فی شهادته قبل القضاء حدّوا جمیعاً لأنّ کلامهم قذف فی الأصل و انّما یصیر شهادة باتّصل القضاء به ولم یتّصل به لأنّ رجوعهم منع من ذلک فبقی قذفاً فیحدّون حب القذف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اذا امتنع الرّابع عن اداء الشّهادة فأنّه یحدّ الثّلاثة و لا یحدّ الرّابع ـ الخ 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الأربعة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اذا کان الشّهود خمسة فرجع احدهم بعد رجم الزّانی المشهود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الحنفیّة و المالکیّة و الحنابلة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شیئ عیه من الحدّ و القرامة لأنّه بقی بعد رجوعه من یبغی بشادته کلّ الحقّ و هو شهادة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الشّافعیّة قالو علیه من الحدّ و الغرامة لأنّه بقی بعد رجوعه من یبقی بشهادته کلۀ الحقّ و هو شهادة الأربیعه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الشّافعیّة قالو علیه الغرامةای خمس الدّیة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الأربعة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اذا رجع اثنان من الشّهود الخمسة بعد رجم المشهود علیه فالحنفیّة قالو ان قال الشّاهدان الّذان رجا فی شهادتهما اخطأنا و جب علیها قسطهما من الدّیة و فیه و 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خمساها و فی وجه آخر ربعها کما قال الأنمّة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اذا قالا تعمّدنا الکذب و الشّهادة فأنّهما یقتلان بالرّجوع حدّاً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الأربعة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و ان رجعوا عن الشّهادة او واحد منهم فعلی جمیعهم الحدّ فی اصّح الرّوایتین و هو قول ابی حنیفة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یحدّ الثّلاثة دون الرّاجع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اختیار ابی بکر و ابن حامد ـ الی ـ وقال الشّافعیّ یحدّ الرّاجع دون الثّلاثة لأنّه مقرّ علی نفسه بالکذب ـ الخ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مبانی تکملة المنهاج ـ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الحدود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الحدود مسئلة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الحنفیّة قالو ا انّه لا تقبل شهادتهم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شهد الشّهود بحدّ متقادم لم یمتعهم من اقامته بعدهم عن الأمام 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هذه الحالة لوجود شبهة التّقادم فی اداء 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الأصل هندهم انّ الحدود الخالصة الله تعالی تبطل بالتّقادم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الی ـ المالکیّة و الشّافعیّة و الحنابلة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 انّ الشّهادة فی الزّنا و فی حدّ القذف شرب الخمر تسمع بعد زمان طویب من الواقعة الخ ـ الفقه علی المذاهب الأربعة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و ان شهد بزنا قدیم او اقرّبه وجب 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قال مالک و الأوزاعیّ و الثّوری و اسحاق و ابو 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ابو حنیفة لا اقبل بیّنة علی زنا قدیم واحدّه بالأقرار به وهذا قول ابن حامد و ذکره ابن ابی موسی مذهباً لأحمد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8/207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مقدّمات الحدود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27/320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الحدود مسئلة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 و اذا تّمت الشّهادة بالزّنا فصدّقهم المشهود علیه بالزّنا لم یسقط 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ابو حنیفة یسقط لأنّ شرط صحّة البیّنة الانکار و ما کمل الأقرار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اخذ فی الأستدلال لمختاره المغنی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مقدّمات لاحدود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مقدّمات الحدود و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قال رسول</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استتر و مات لکان خیرأله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مقدّمات الحدود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مقدّمات الحدود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البحار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الأمر بالمعروف و النّهی عن المنکر</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الأمر بالمعروف و النّهی عن المنکر</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الأمر بالمعروف و النّهی عن المنکر؛ البحار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المحاسن و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التّقیّة فی کلّ شیئ و کلّ شیئ اضطرّ الیه ابن آدم فقد احلّه الله و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المحاسن</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الأمر بالمعروف و النّهی عن المنکر</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الزّنا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الحدود</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الفقه علی المذاهب الأربعة عن الحنفیّة انّ الشّبهة قسمان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شبهة الفعل و هی فی ثمانیة مواضع ثالثها ان یطاً المطلّقة ثلاثاً و هی فی 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انّه یرفع الحدّ اذا قال ظننت انبها تحلّ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رابعها ان وطأ المطلّقة طلاقاً بائناً علی 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وطأ زوجته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المنخلعة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الّتی خلعت نفسها من زوجها وردّت لیهه المهر الّذی دفعه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یقام الحدّ علی الزّانی فی هذه المواضع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الثّمانیة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اشبهها اذا قال فعلت ذلک الفعل و انا اعتقد فی قرارة نفسی انّها حلال لی ـ الی ـ ان عدّ الشّبهة الثّمانیة عندهم و هی تکون فی المحلّ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 منها وطئ زوجته المطلقة بائناً بالکنایات کأن قال لها انت خلیّة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امرک بیدک فاختارت نفسها و نحوها ثمّ وطئها فی 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ففی جمیع هذه المواضع الّتی ذکرناها لا یجب اقامة الحدّ علی الواطی، و ان قال علمت انّها علیّ حرام الخ 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الفقه علی المذاهب الأربعة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المالکیّة و الشّافعیّة و الحنابلة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 اذا عقد رجل علی امرأة و هی فی عدّة زوجها الأوّل و دخل علیها، الحنفیّة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یجب علیهما اقامة الحدّ، و انّما یجب علیهما التّعزیر الخ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الفقه علی المذاهب الأربعة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المالکیّة قالو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عقد رجل علی امرأة خامسة و معه اربع نسوة فأن کان یعلم بحرمتها اقیم علیه 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اذا اجری العقد و لم یکن یعلم بتحریمها فلا یقام علیه الحدّ، و یکون عدم علمه شبهة تدر، الحدّ عنه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الفقه علی المذاهب الأربعة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المالکیّة و الشّافعیّة و الحنابلة و ابو یوسف و الأمام محمّد من الحنفیّة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عقد رجل علی امرأة لا یحلّ له نکاحها، بأن کانت من ذوی محارمه کأمّه و اخته مثلاً او محرّمة من نسب او رضاع ثمّ و طاها فی هذا العقد و هو عالم بالتّحریم فأنّه یجب علیه اقامة 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هذا العقد لم یصادف محلّه لأنّه لا شبهة فیه عنده و یلحق به الولد</w:t>
      </w:r>
      <w:r>
        <w:rPr>
          <w:rFonts w:eastAsia="IRNazanin" w:cs="IRNazanin"/>
          <w:b w:val="false"/>
          <w:bCs w:val="false"/>
          <w:i w:val="false"/>
          <w:iCs w:val="false"/>
          <w:color w:val="333333"/>
          <w:sz w:val="20"/>
          <w:szCs w:val="20"/>
          <w:rtl w:val="true"/>
        </w:rPr>
        <w:t>.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الأمام ابو حنیفة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یجب علیه اقامة الحدّ و ان قال علمت انّها علیّ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یجب علیه بذلک المهر و یلحق به الولد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الی ـ و علی هذا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محرّمة برضاع او مصاهرة و محلّ هذا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هذا العقد یوجب شبهة ام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فعند الجمهور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عند الأمام ابی حنیفة، و سفیان، و الثّوریّ، و زفر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الأربعة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و ان تزوّج ذات محرمه فالنّکاح باطل بالأجماع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 وطئها فعلیه الحدّ فی قول اکثر اهل العلم منهم الحسن و جابر بن زید و مالک و الشّافعّی و ابو یوسف و محمّد و اسحاق و ابو ایّوب و ابن ابی خثیمة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ابو حنیفة و الصّوریّ لا حدّ علیه لأنّه وطؤ تمکّنت الشّبهة منه فلم یئحب الحدّ، انّه یقتل علی کلّ حال و بهذا قال جابربن زید و اسحاق و ابو ایّوب و ابن ابی خثیمة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اسماعیل بن سعید عن احمد فی رجل تزوّج امرأة ابیه او بذات محرم فقال یقتل و یؤخذ ماله الی بیت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الرّوایة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حدّه حدّ الزّانی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قال الحسن و مالک و الشّافعی لعموم الأیة و الخبر، ووجه الاُولی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روی البراء 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8/182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و کلّ نکاح اجمع علی بطلانه کنکاح خامسة، او متزوّجه، او معتدّة، او نکاح المطلّقة ثلاثاً اذا وطئ فیه عالماً بالتّحریم فهو زناً موجب للحدّ المشروع فیه قبل 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قال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ابو حنیفة و صاحباه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حدّ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ذکروه فی الفصل الّذی قبل هذا وقال النّخعیّ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یجلد مأة و لا ینفی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8/182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الأنتصار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الواب حدّ الزّنا</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اـ</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اـ</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الزّنا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کتاب الحدود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مسئلة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الحدود</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3/438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3/437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الأنتصار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الشّافعیّة و الحنابلة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زنی الذّمّیّ یقام علیه الحدب مثل المسلم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المالکیّة قالو لا یقام الحدّ علیه لأنّه غیر محصن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الأحصان شرف یختصّ به المسلم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الأربعة </w:t>
      </w:r>
      <w:r>
        <w:rPr>
          <w:rFonts w:eastAsia="IRNazanin" w:cs="IRNazanin"/>
          <w:b w:val="false"/>
          <w:bCs w:val="false"/>
          <w:i w:val="false"/>
          <w:iCs w:val="false"/>
          <w:color w:val="333333"/>
          <w:sz w:val="20"/>
          <w:szCs w:val="20"/>
        </w:rPr>
        <w:t>5/125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الیهودیّ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الشّافعیّة و الحنابلة قالو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یقام الحدّ علی الیهودیّ کغیره من النّصاری و الذّمیّن و المستأمنین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ذکر الأستدلال الی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الحنفیّة و المالکیّة قالو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یقام الحدّ علی الیهودیّ و لا المسیحیّ و لا الذّمّی و لا المستأمن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بیّن الدّلیل الی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الأربعة </w:t>
      </w:r>
      <w:r>
        <w:rPr>
          <w:rFonts w:eastAsia="IRNazanin" w:cs="IRNazanin"/>
          <w:b w:val="false"/>
          <w:bCs w:val="false"/>
          <w:i w:val="false"/>
          <w:iCs w:val="false"/>
          <w:color w:val="333333"/>
          <w:sz w:val="20"/>
          <w:szCs w:val="20"/>
        </w:rPr>
        <w:t>5/126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معجم رجال احدیث </w:t>
      </w:r>
      <w:r>
        <w:rPr>
          <w:rFonts w:eastAsia="IRNazanin" w:cs="IRNazanin"/>
          <w:b w:val="false"/>
          <w:bCs w:val="false"/>
          <w:i w:val="false"/>
          <w:iCs w:val="false"/>
          <w:color w:val="333333"/>
          <w:sz w:val="20"/>
          <w:szCs w:val="20"/>
        </w:rPr>
        <w:t>6/302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السّیّد الخوئی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طریق الشّیخ الی حنّان ضعیفاً بابی المفضّل و ابن بطّة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عدّ الرّوایة المذکورة صحیحة فی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الطّریق فی الفهرست و ان کان کذلک لکن جعل الربوایة صحیحة بالنّظر الی طریق الکلینی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فأنّه 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وصف بعضهم کالمجلسّی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مرأة العقول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 الرّوایة بالموثّقة لأجل حنّان فأنّه قبل و اقفّی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الأصح کونها صحیحة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الزّنا و 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3/438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الزّنا و 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من ابواب حدّ الزّنا</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احیاء الکتب العربیّة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النّهج لابن ابی الحدید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20/14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المستمسک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قضاء الصّلاة</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النّهج لابن ابی الحدید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20/14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المستمسک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قضاء الصّلاة</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الرهان </w:t>
      </w:r>
      <w:r>
        <w:rPr>
          <w:rFonts w:eastAsia="IRNazanin" w:cs="IRNazanin"/>
          <w:b w:val="false"/>
          <w:bCs w:val="false"/>
          <w:i w:val="false"/>
          <w:iCs w:val="false"/>
          <w:color w:val="333333"/>
          <w:sz w:val="20"/>
          <w:szCs w:val="20"/>
        </w:rPr>
        <w:t>2/450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المستمسک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قضاء الصّلاة</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الطّلاق</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الزّنا؛ 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الحدود</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3/440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3/438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الحدود مسئلة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الحدود مسئلة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المالکیّة و الشّافعیّة و الحنفیّة قالو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یجوز الجمع بین الجلد و الرّجم علی المحصن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حدّ الرّجم نسخ حدّ الجلد و رفعه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الحنابلة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المحصن یجلد فط الیوم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یحدّ بالرّجم فی الیوم الثّانی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لما روی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جلد رجلاً یوم الخمیس و رجمه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ذکر فی کلامه انّه لم یثبت عن احد من الصّحابة انّه جلد واحداً منهما قبل 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الأمام الشّافعیّ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فدلّت اسّنّة علی الجلد ثابت علی البکر ساقط عن الثّیّب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 الأئمّة عندهم رجم بلا 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الأربعة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یجلد ثمّ یرجم، فی احدی الرّوایتین فعل ذلک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ابیّ بن کعب، و ابوذرّ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ذلک عبد العزیز عنهما و اختاره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قال الحسن و اسحاق، و داود، و ابن المنذر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الرّوایة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یرجم و لا یجلد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عمر، و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انّهما رجا ولم یجلدا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عن ابن مسعود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اجتمع حدّ ان الله تعالی فیهما القتل احاط القتل بذلک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قال النّخعیّ و الزّهریّ و الأوزارعیّ و مالک و الشّافعیّ و ابو ثور و اصحاب الرّأی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اختار هذا؛ ابو اسحاق الجورجانّی، و ابوبکر الأثرم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نصراه فی سنّتهما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ان ـ و وجه الرّوایة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الزّانیة و الزّانی فاجلدوا کلّ واحد منهما مأة جلدة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عامّ ثمّ جانت السّنّة بالرّجم فی حقّ الثّیّب، و التّغریب فی حقّ البکر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فوجب الجمع بینهما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والی هذا اشار علیّ رضی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جلدتها بکتاب الله، و رجمتها بسنّة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صرّح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 فی حدیث عبادة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الثّیّب بالثّیّب الجلد و الرّجم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الطّریح الثّابت بیقین لا یترک الاّ بمثله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الأنتصار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الزّنا و 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 </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 </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الأنتصار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الجزء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الزّنا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منابواب حدّ الزّنا</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الحدود مسئلة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3/439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الحدود مسئلة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المالکیة قالوا یجب تغریب البکر الحرّ الزّانی غیر المحصن بعد اقامة حدّ الجلد علیه بعیدً عن موطنه الّذی یقیم فیه مسافة قصر و لمدّة عام ـ الی ـ و امّا المرأة ازّانیة فلا تغریب عن بلدها، خوفاً من شیوع الفتنة و انتشار الفساد ـ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الحنفیة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یجوزا الجمع بین الجلد و التّغریب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التّغریب لم یدکر فی أیة النّور، فهو زیادة علی النّص،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و التّغریب ثابت بخبر الواحد، فلا یعمل به ـ الی ـ وقال الآمام ابو حنیفة فی هذا المقام حکمته المشهورة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کفی بالنّفی 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الشّافعیّة، و الحنابلة قالو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یجمع فی حقّ الزّانیین البکرین الحرّین العاقلین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بطن الجلد و التّغریب الی حدّ تقصر فیه الصّلاة ـ الی ـ و به حکم ابو بکر و عمر بن الخطاّب و عثمان بن عفّان و الأمام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أری فیه الأجماع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ثبت انّ عمر غرّب الی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عثمان غرّب الی مصر و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غرّب الی البصرة الخ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الأربعة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اذا زنی الحرّ البکر جلد مأة و غرّب عاماً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لم یحصن و ان کان ثیّباً ـ الی ـ و لا خلاف فی وجوب الجلد علی الزّانی اذا لم یکن محصناً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الی ـ و یجب مع الجلد تغریبة عاماً فی قول جمهور العلاماء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ذلک عن الخلفء الرّاشدین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قال ابیّ ابو داود و ابن مسعود و ابن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الطه ذهب عطاء و طاوس و الثّوریّ و ابن ابی لیلی و الشّافعّی و اسحاق و ابو 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مالک الأوزاعیّ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یغرب الرّجل دون المرأة ـ الی ـ و قال ابو حنیفة و محمبد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یجب التّغریب لأنّ علیباً رضی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حسبهما من الفتنة ان ینفیا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و یغرّب البکر الزّانی حولاض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 عاد قبل مضیّ الحول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اعید تغریبه حتّی یکمل الحول مسافراً و یبنی علی ما مضی و یغرّب الرّجل الی مسافة 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ما دونها فی حکم الحضر ـ الی ـ فأمّا المرأة فأن خرج معها محرمهاک نفیت الی مسافة القصر، و ان لم یخرج معها محرمهاف فقد نقل عن احمدانّها تغرّب الی دون مسافة القصر، لتقرب من اهلها، فیحفظوها ـ الی ـ و قال ابو ثور و بن المنذر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نفی الی قریة اخری بینهما میل او اقلّ 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یجوز أن ینفی من مصر الی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نحوه قال ابن ابی لیلی ـ الی ـ و لا یحبس فی البلد الّذی نفی 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قال الشّافعیّ و قال 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3/439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41/362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ازّنا 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ـ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الحدود</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لمعرفة اقوال العامّة</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یجوز التّغریب بغیر محرم لقول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یحلّ لأمرأة تؤمن بالله و الیوم الأخران تسافر یستره یوم و لیلة الاّ مع ذی 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8/167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العیوب والتّدلیس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العیوب والتّدلیس</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مبانی العروة النّکاح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  </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  </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27/331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مسئلظ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اقسام حدّ الزّنا</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آ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الزّنا و 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مرأة العقول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الجزء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 </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الحدود مسئلة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تغریب علی عبد و لا 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قال الحسن و حمّاد و مالک و اسحاق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الثّوری و ابو 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یغرّب نصف 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فعلیهنّ نصف ما علی المحصنات من العذاب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 ابن عمر مملوکة له و نفاها الی فدک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الشّافیّ قولان، کالمذهبین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8/175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41/333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3/443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الأنتصار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الحدود مسئلة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الأنتصار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ان اقیم علیه الحدّ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من فعل ما یوجب الحدّ مراراً او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حدثت منه جنایة اخری ففیها حدّها، لا نعلم فیه خلافاً، و حکاه ابن المنذر عمبن یحفظ عنه، و قد سئل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الأمة تزنی قبل أن تحصن؟ قال ان زنت فاجلدوها، ثمّ ان زنت فاجلدوها، ثمّ ان زنت فاجلدوها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8/213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اتّفق الأئمّة الأربعة علی انّ العبد و الأمة اذا زنیا فلا یکمل حدّ هما ـ الی ـ و اتّفقوا علی انّهما لا یرجمان و ان احصنا، بل یجلدان ـ الی ـ الشّافعیّة و المالکیّة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الرّفیق اذا زنی یجلد خمسین جلدة، و یغرّب نصف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روی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اذا زنت امة احدکم فتبیّن زنت فیجلدها الحدّ، و لا یثرب علیها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لا یوبّخها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ان زنت فلیجلدها الحدّ و لا یثرب علیها، ثمّ ان زنت الثّالثة فلیبعها و لو بحبل من 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الخمسة عن ابی هریرة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الأربعة </w:t>
      </w:r>
      <w:r>
        <w:rPr>
          <w:rFonts w:eastAsia="IRNazanin" w:cs="IRNazanin"/>
          <w:b w:val="false"/>
          <w:bCs w:val="false"/>
          <w:i w:val="false"/>
          <w:iCs w:val="false"/>
          <w:color w:val="333333"/>
          <w:sz w:val="20"/>
          <w:szCs w:val="20"/>
        </w:rPr>
        <w:t>5/123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الحدود مسئلة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الزّنا، و 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  </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الحدود مسئلة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اتّفق الأئمّة علی انّ من شرائط الأحصان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الرّیّة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البلوغ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العقل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ان یکون متزوّجاً بامرأة محصنة مثل حاله بعقد صحیح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و ان یکون دخل بها و وطئها فی حالة جاز فیها الوطئ و هما علی صفة الأحصان، فلا یقام الحدّ علی عبد و لا صبیّ و لا مجنون و لا غیر متزوّج زواجاً صحیحاً کما و صفنا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وطئ زوجته فی الدّبر فلیس بمحصن، او وطیء جاریته فی القبل فلیس بمحصن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وطیء فی نکاح فاسد کأن تزوّجها بلا ولیّ و لا شهود فلیس بمحصن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وطیء زوجته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عبد ثمّ عتق، او کان صبیاً ثمّ بلغ، او کان مجنوناً ثمّ افاق ـ الی ـ و ا ختلف الفقهاء فی شرط الأسلام فی الأحصان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الحنفیّة و المالکیّة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الأسلام من شروط الأحصان ـ الی ـ الشّافعیّة و الحنابلة قالو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الأسلام لیس بشرط فی الأحصان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الأربعة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اتّفق الفقهاء علی وجوب شروط الأحصان فی المرأة المزنیّ بها مثل ارّجل فی الأتفاق و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فأذا توفّرت شورط الأحصان فی احد الزّوجین دون الأخر ففیه 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الحنفیّة و الحنابله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یثبت الأحصان لواحد منهما، فلا یرجمان بل یجلدان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الشّافعیّة و المالکیّة قالو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یثبت الأحصان لمن تتوافرفیه الشّروط، فیرجم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یسقط الأحصان عمّن لا تتوافر فیه هذه الشّروط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 زنیا کان الجلد فی حقّ من لم یثبت له الأحصان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الرّجم علی من لم ةبت له الأحصان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الأربعة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الرّجم لا یجب الاّ علی المحصن باجماع اهل العلم ـ الی ـ و للأحصان شروط سبعة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احدها الوطیء فی انّ الزّنا و وطیء الشّبهة لا یصیر به الواطیء محصناً و لا تعلم خلافاً فی انّ التّسرّی لا یحصل به الأحصان لواحد منهما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 ان یکون النّکاح صحیحاً و هذا قول اکثر اهل العلم منهم عطاء و قتادة و مالک و الشّافعیّ و اصحاب الرّأی و قال ابو 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یحصل الأحصان بالوطؤ فی نکاح فاسد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حکی ذلک عن اللّیث و الأوزاعیّ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 الحرّیّة و هی شرط فی قول اهل العلم کلّهم الاّ اباثور،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العبد و الأمة هما محصنان،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یرجمان اذا زنیا، الاّ ان یکون اجماع یخالف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حکی عن الأوزاعیّ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العبد تحته حرّة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محصن یرجم؛ اذا زنی؛ و انکان تحته امة لم یرجم ـ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 و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البلوغ و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و طیء و هو صبیّ او مجنون ثمّ بلغ او عقل لم یکن محصناً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اکثر اهل العلم و مذهب الشّافعیّ، و من اصحابه من قال یصیر محصناً، و کذلک العبد اذا وطیء فی رقّه ثمّ عتق یصیر محصناً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الشّرط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یوجد الکمال فیهما جمیعاً حال الوطیء، فیطأ الرّجل العاقل 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امرأظ عاقلة حرّة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قول ابی حنیفة و اصحابه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نحو قول عطاء و الحسن و ابن سیرین و النخعیّ و قتادة و الثّوریّ و اسحاق قالوه فی الرّفیق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ان احد هما کاملاً صار محصناً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الصّبیّ اذا وطیء الکبیرة لم یحصنها، و نحوه عن الأوزاعیّ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اختلف عن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فقیل له قولان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 هما کقولنا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الثّانی انب الکامل یصیر محصناً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قول ابن المنذر ـ الی ـ و 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القولان فی الصّبیّ دون العبد، فأنّه یصیر محصناً، قولاً واحداض اذا کان کاملاً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و لا یشترط الأسلام فی الأحصان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قال الزّهریّ و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فعلی هذا یکون الذّمّیّان محصنین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 تزوّج المسلم ذمّیّة فوطئها صارا محصنین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احمد فی روایة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الذّمّیّة لا تحصن المسلم و قال عطاء و النّخعیّ و الشّعبیّ و مجاهد و الثّوریّ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شرط فی الأحصان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یکون الکافر محصنا، و لا تحصن الذّمّیّة مسلماً ـ الی ـ و قال مالک کقولهم، الاّ انّ الذّمّیّة تحصن المسلم بناء علی اصله فی انّه لا یعتبر الکمال فی الزّوجین و ینبغی ان یکون ذلک قولاً للشّافعیّ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8/161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الی ـ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الحدود مسئلة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3/438</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3/438</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حدود الزّنا لکنّ فیه ابی اسحق عن ابراهطم فی روایة اسحق و لا یبعدان یکون فیه تصحیف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حدود الزّنا لکنّ فیه ابی اسحق عن ابراهطم فی روایة اسحق و لا یبعدان یکون فیه تصحیف؛ 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حدود الزّنا لکنّ فیه ابی اسحق عن ابراهطم فی روایة اسحق و لا یبعدان یکون فیه تصحیف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ما فی المستدرک فی روایة اسحاق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الزّنا، 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منابواب حدّ الزّنا</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تغییر فی بعض العبارات للرّوایة الأولی لا یضرّ بامقصود</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تغییر فی بعض العبارات للرّوایة الأولی لا یضرّ بامقصود</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الزّنا، 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الزّنا مع تغییر یسیر، 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حدود الزّنا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الحدود مسئلة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حدود الزّنا</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حدود الزّنا</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حدود الزّنا</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الزّنا، 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الزبنا، 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موانع الأرث</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موانع الأرث</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المرتدّ</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مقدّمات الحدود</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الحدود</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مقدّمات الحدود</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مقدّمات الحدود</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مقدبمات الحدود، 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مقدّمات الحدود</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مقدبمات الحدود، 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مقدّمات الحدود</w:t>
      </w:r>
      <w:r>
        <w:rPr>
          <w:rFonts w:eastAsia="IRNazanin" w:cs="IRNazanin"/>
          <w:b w:val="false"/>
          <w:bCs w:val="false"/>
          <w:i w:val="false"/>
          <w:iCs w:val="false"/>
          <w:color w:val="333333"/>
          <w:sz w:val="20"/>
          <w:szCs w:val="20"/>
          <w:rtl w:val="true"/>
        </w:rPr>
        <w:t>. </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مقدبمات الحدود، 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مقدّمات الحدود</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مقدّمات الحدود</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مقدبمات الحدود</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مقدّمات الحدود</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مقدّمات الحدود</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النّفاس 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مقدّمات الحدود</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کنز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1810</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مقدّمات الحدود</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منابواب حدّ الزّنا</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البواب مقدّمات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منابواب مقدّمات الحدود و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الحدود</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الأنتصار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سنن البیهقی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رجل من الأنصار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ارضاعه یا نبیّ الله قال فرجمها</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الزّا</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کیفیّة الحکم</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مقدّمات الحدود، 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دیة النّفس</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مقدّمات الحدود</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مقدّمات الحدود</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مقدّمات الحدود</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مقدّمات الحدود</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مقدّمات الحدود</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مقدّمات الحدود</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بقیّة الحدود</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مقدّمات الحدود</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مقدّمات الحدود</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مقدّمات الحدود</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مقدّمات الحدود</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مقدّمات الحدود</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قطّاع الطّریق مسئلة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الحنابلة و الحنفیّة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لو زنی رجل و شرب الخمر و سرق و وجب علیه القتل فی المحاربة او 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و لم یقطع و لم یجلد و لا یستوفی باقی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الشّافعیّة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یجب ان تستوفی جمیعها من غیر تداخل علی الأطلاق لأنّ کلّ واحد یجب فیه الحدّ الّذی شرع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الأربعة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الی ـ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اجتماع عقوبات فی غیر قاطع الطّریق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الشّافعیّة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لزمه قصاص فی نفس و قطع لطرف آدمّی، و حدّ قذف لأخر، و طالبوه بذلک جلد اوّلاً للقذف، ثمّ قطع لقصاص الطّرف، ثمّ قتل لقصاص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ذلک اقرب الی استیفاء الجمیع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 اجتمع مع ذلک تعزیز لأدمیّ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بدء به، و یبادر بقتله بعد قطعه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قطعه بعد جلده؛ ان غاب مستحقّ قتله جزماً، و کذا ان حضر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عجّلوا القطع و انا ابادر بالقتل بعده ـ الی ـ و لو اجتمعت حدود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وجوباً الأخفّ فالأخفّ، او اجتمعت عقوبات لله تعالی و الأدمیّین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حدّ قذف علی حدّ 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الأصحّ تقدیمه علی حدّ شرب، و ان القصاص قتلاً و قطعاً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یقدّم علی حدّ الزّنا، و لو اجتمع قتل قصاص فی غیر محاربة و قتل محاربة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السّابق منهما، و رجع الأخر الی الدیّة، و من زنی مرّات او سرق او شرب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اجزأه عن کلّ جنس حدّ واحد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الأربعة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الی ـ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انکانت الحدود من اجناس مثل الزّنا و السّرقة و شرب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اقیمت کلّها الاّ ان یکون فیها 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 کان فیها قتل اکتفی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لا حاجة معه الی الزّجر بغیره و قد قال 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کانت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حدود 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القتل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احاط القتل بذلک کلّه و ان لم یکن فیها قتل استوفت کلّها و بدئ بالأخفّ فالأخفّ فیبدء بالجلد ثمّ بالقطع و یقدّم الأخفّ فی الجلد علی الأثقل فیبدء فی الجلد بحدّ الشّرب ثمّ بحدّ القذف ان قلنا انّه حقّ لله تعالی ثمّ بحدّ الزّنا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قلنا انّ حدّ القذف حقّ لأدمیّ قدّمناه ثمّ بحدّ الشّرب ثمّ بحدّ الزّنا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الحدود المجتمة فی المغنی الی ثلاثة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ان تکون خالصة لله تعالی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الخاصّة للأدمیّ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ان تجتمع حدود الله و حدود الأدمییّن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 علی نوعین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 هما ان یکون فطها 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ان یسرق و یزنی و هو محصن و یشرب الخمر و یقتل فی المحاربة فهذا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یقتل و یسقط سائرها ـ قال ـ و هذا قول ابن مسعود و عطاء و الشّعبیّ و النخعیّ و الأوزاعیّ و حمّاد و مالک و ابی حنیفة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یستوفی جمیعها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النّوع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لا یکون فیها قتل ـ قال ـ فأنّ جمیعها یستوفی من غیر خلاف نعلمه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یبدء بالأخفّ فالأخفّ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فأذا شرب وزنی و سرق حدّ للشّرب اوّلاً ثمّ حدّ الزّنا ثمّ حدّ للسّرقة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اخذ المال فی المحاربة قطع لذلک و یدخل فیه القطع للسّرقة و لأنّ محلّ القطعین واحد فتد الا کالقتلین ـ قال ـ و هذا قال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ابو حنیفة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یتخیّر بین البدئة بحدّ الزّنا و قطع السبرقة لأنّ کلّ واحد منهما ثبت بنصّ القرآن ثمّ یحدّ للشّرب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فی القسم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للأدمیّ و مثّل له باقصاص و حدّ القذف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تستوفی کلّها و یبدء بأخفّها فیحدّ للقذف ثمّ یقطع ثمّ یقتل لدنّها حقوق الأدمییّن امکن استیفائها فوجب کسایر حقوقهم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و هذا قول الأوزاعیّ و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ابو حنیفة یدخل ما دون القتل فیه احتجاجاً بقول ابن مسعود و قیاساً علی الحدود الخالصة 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قسّم القسم الثّالث علی ثلاثة انواع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احدها ان لا یکون فیها 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فهذه تستوفی کلّها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قال ابو حنیفة و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مالک انّ حدّی الشّرب و القذف یتداخلان لأستوانهما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فهما کالقتلین و القطعین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النّوع الثّانی ان یکون فیها قتل و ذهب الی دخول حدود الله تعالی فی القتل سواء کان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من حدود الله تعالی کالرّجم فی الزّنا و القتل للمحاربة او الرّدّة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لحقّ آدمیّ کالقصاص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امبا حقوق الأدمیّ فتستوفی کلّها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ذهب الی استیفاء الحقوق کلّها متوالیة ان کان القتل حقاً 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الی انتظار برئه من الأوّل لأستیفاء الثّانی ان کان حقّاً لأدمیّ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اجتماع القتل للمحاربة وجب لولّی المقتول دیته فی مال الجانی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سبق القصاص قتل قصاصاً وسقط الحدّ باقصاص فسقط الصّلب کما لو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واوجب الدّیة فی ترکة القاتل فط المحاربة لو مات، لتعذّر استیفاء القتل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عفی ولیّ المقتول فیما لوکان القصاص سابقاً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استوفی للمحاربة بلا فرق بین ما لو عفا مطلقاً او الی الدّیة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هذا مذهب الشّافعیّ ـ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الی ـ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الحدود مسئلة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سنن البیهقی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المسبوط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مقدّمات الحدود</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مع تفاوت غیر مضرّ سن</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مقدّمات الحدود، 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  </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الرّجم</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الرّجم</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المقنع امستدرک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الزبنا</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الرّجم</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الحدود</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المذکور عن السبنن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الغامدیّة دون العامریّة</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الزّنا، 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کتاب الحدود مسئلة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الحنفیّة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یجب ان یبتدیّ الشّهود برجم الزّانی اوّلاً و یجبرهم الأمام علی ذلک، ثمّ الأمام او نائبه، ثمّ النّاس بعد ذلک، و هذا شرط لا بدّ منه فی اقامة الحدّ، حتّی لو امتنع الشّهود عن رجم الزّانی یسقط الحدّ عن المشهود علیهما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یوسف من علماء الحنفیّة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انّ بدأة الشّهود مستحبّة و لیست مستحقّة، فاذا امتنعوا او غابوا او ماتوا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یقیم الأمام الحدّ و لا یترکه، لأنّه ثبت بالشّهادة فیجب اقامته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لا یشترط ان یبدء الشّهود برجم الزّانی، اعتباراً بالجلد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 یبدء بالرّجم الأمام او نائبه و لا یشترط ان یبدء الشّهود، و لیس له ان یرجم نفسه ـ الی ـ بل ذلک للأمام او نائبه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الحنابلة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 یجوز للأمام ان یحضر رجمه و ان لا یحضر، و کذا الشّهود، لأنّ النّبیّ صلّی الله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 امر برجم ما عز و لم یحضر 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السّنّة ان یدور النّاس حوال المرجوم فانکان الزّنا ثبت ببیّنة فالبیّنة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فالسنّة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یبدء الشّهود بالرّجم، و ان کان ثبت بالأقرار بدء به الأمام او الحاکم؛ ان کان ثبت عنده، ثمّ یرجم النّاس بعده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یجب ان یحضر الحدّ طائفة واحد فما فوقه و هذا قول ابن عبّاس و مجاهد ـ الی ـ و قال عطاء و اسحاق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اثنان ـ الی ـ و قال الزّهری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لأنّ الطّائفة جماعة، و اقلّ الجمع ثلاثة، و قال 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اربعة لأنّه العدد الّذی یثبت به الزّنا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للشّفعّی قولان، کقول الزّهری و 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ربیعة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قتادظ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ـ الی ـ و لا یجب ان یحضر الأمام و لا الشّهود، و بهذا قال الشّافعط و ابن المنذر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ابو حنیفة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ثبت الحدّ ببیّنة فعلیها الحضور البدئة بالرّجم، و ان ثبت باعتراف وجب علی الأمام الحضور و البدئة بالرّجم ـ الی ـ و قال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الأعتراف ان یرجم الأمام ثمّ النّاس، و لا نعلم خلافاً فی استحباب ذلک</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کتاب الحدود مسئلة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مقدّمات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مقدّمات الحدود</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بواب حدّ الزّنا</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ـ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الزّنا، 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مقدّمات الحدود</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مقدّمات الحدود</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الحدود مسئلة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مقدّمات الحدود</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الحدود مسئلة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المصدر؛ 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الزّنا لکنب الرّاوی ابن عمّار عن ابی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الزّنا</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الزّنا؛ 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الحدود مسئلة</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الفقهاء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التّعزیر اشدّ من ضرب الزّنا و ضرب الزّنا اشدّ من ضرب </w:t>
      </w:r>
      <w:r>
        <w:rPr>
          <w:rFonts w:eastAsia="IRNazanin" w:cs="IRNazanin"/>
          <w:b w:val="false"/>
          <w:bCs w:val="false"/>
          <w:i w:val="false"/>
          <w:iCs w:val="false"/>
          <w:color w:val="333333"/>
          <w:sz w:val="20"/>
          <w:szCs w:val="20"/>
          <w:rtl w:val="true"/>
        </w:rPr>
        <w:t>=&lt;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شارب الخمر و فی حالة الجلد لا یضرب بسوط جدید، حتّی لا یزید الألم و لا بسوط قدیم بال حتّی لا یؤلمه الضّرب ـ الی ـ قالو و لا یمدّ المضروب و لا یشدّ و لا یبالغ الجلاّد فی الضّرب و ل ا یجرّد من جمیع ثیابه، فیترک علیه قمیص یستر عورته، و یرفع عنه الفرو و ثیاب الجلد، و یفرّق الضّرب علی جمیع الأعضاء حتّی یعطی کلّ عضو حظّه من الضّرب ـ الی ـ و یتّقی فی الضّرب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المقاتل، کثغرة النّحر و الفرج والوجه ـ الی ـ و قال بعضهم یجوز الضّرب علی الرّأس ـ الی و یضرب الرّجل قائماً، و امّا المرأة فتضرب جالسة، مستورة و لا تجرّد من ثیابها ـ الی ـ الاّ انّه ینزع عنها الحشو والفرو و لاجلد ـ الی ـ و انّما تضرب و هی قاعدة الخ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مسئلة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یضرب الرّجل فی سایر الحدود قائما بسوط، لا خلق و لا جدید، و لا یمدّ و لا یربط و یتقّی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هذه المسئلة ثلاث 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احدها انّ الرّجل یضرب یفرّق علی جمیع حسده، لیأخذ کلّ عضو منه حصّته، و یکثر منه فی مواضع اللّحم، کالأللیتین و الفخذین، و یتّقی المقاتل، و هی الرّأس و الوجه و الفرج من الرّجل و المرأة جمیعاً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مالک یضرب الظّهر و ما یقاربه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ابو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یضرب الرّأس ایضاً، لأنّ علیّاً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یستثنه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المسئلة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لا یمدّ و لا یربط، و لا نعلم عنهم فی هذا خلافاً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دیننا مدّ و لا قید و لا تجرید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اصحاب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ینقل عن احد منهم مدّ و لا قید و لا تجرید، و لا تنزع عنه ثیابه، بل یکون علیه الثّوب و الثّوبان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کان علیه فرو او جبّة محشوّة نزعت عنه، لأنّه لو ترک علیه ذلک لم یبال بالضّرب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ترکت علیه ثیاب الشّتاء ما بالی باضرّب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مالک یجردّد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السمئلة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الضّرب بالسّوط و لا نعلم بین اهل العلم خلاقاً فی هذا فی غیر حدّ الخمر الخ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مسئلة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تضرب المرأة جالسة و تمسک یداها لئلاً تنکشف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قال ابو حنیفة و الشّافعیّ و مالک، و قال ابن ابی لیلی و ابو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تحدّ قائمة، کما تلا عن الخ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الأربعة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مقدّمات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مقدّمات الحدود</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مقدّمات الحدود</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الحدود مسئلة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اتّفقوا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انّه اذا مات الزّانی فی الحدّ یغسّل و یکفّن و یصلّی علیه و یدفن فی مقابر المسلمین کما فعل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فیمن مات بالحدّ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یغسّلان و یکفّنان و یصلّی علیها و یدفنان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خلاف فة تغسیلها و دفنهما و اکثر اهل العلم یرون الصّلاة علیهما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الأمام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علیّ رضی الله عنه عن شراحة و کان رجمها فقال اصنعوا بها کما تصنعون بمتاکم وصلّی علیّ علیه السّلام علی شراحة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قتله الامام فی حدّ لا نصلّی علیه لأنّ جابراً قال فی حدیث ما عز فرجم حتّی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خیرا ولم یصلّ علیه متّفق علیه الخ</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سنن البژهقی </w:t>
      </w:r>
      <w:r>
        <w:rPr>
          <w:rFonts w:eastAsia="IRNazanin" w:cs="IRNazanin"/>
          <w:b w:val="false"/>
          <w:bCs w:val="false"/>
          <w:i w:val="false"/>
          <w:iCs w:val="false"/>
          <w:color w:val="333333"/>
          <w:sz w:val="20"/>
          <w:szCs w:val="20"/>
        </w:rPr>
        <w:t>8/225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امغنی </w:t>
      </w:r>
      <w:r>
        <w:rPr>
          <w:rFonts w:eastAsia="IRNazanin" w:cs="IRNazanin"/>
          <w:b w:val="false"/>
          <w:bCs w:val="false"/>
          <w:i w:val="false"/>
          <w:iCs w:val="false"/>
          <w:color w:val="333333"/>
          <w:sz w:val="20"/>
          <w:szCs w:val="20"/>
        </w:rPr>
        <w:t>8/166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قریب ممّا فی المتن</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عسل المیّت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غسل المیّت</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عسل المیّت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اقتصر علی الصلاة علیه؛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باواب حدّ الزّنا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باواب حدّ الزّنا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باواب حدّ السرقة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نکاح البهائم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نکاح البهائم و وطیء الاموات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السّرقة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نکاح البهیمة و وطیء الأموات</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نکاح البهیمة و وطیء الاموات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3/468</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دعوی القتل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قریب من المتن</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مقدّمات الحدود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مقدّمات الحدود</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مقدّمات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مقدّمات الحدود</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مقدّمات الحدود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فی السّند ابن ابی عمیر</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الحدود مسئلة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الأربعة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الحنفیّة و الشّافیّة و الحنابلة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رجع المقرّ بالزّنا فی قوله یقبل رجوعه و لا یقام علیه الحدّ و یترک سواء وقع علیه بعض الحدّ او لم یقع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خالفهم فی ذلک ابن ابی لیلی و عثمان البتّی و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یقبل رجوعه و یقام علیه الحد المالکیّة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رجع عن الأقرار بشبهة قبل رجوعه و لا یقام علیه الحدّ، امّا اذا رجع فی اقراره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وجود شبهة فلا یقبل اقراره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 یقبل و هو الراجّح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الاربعة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ینزع عن اقراره حتّی یتّم علیه 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من شرط اقامة الحدّ بالأقرار البقاء علیه الی تمام الحدّ فان رجع عن اقراره او هرب کفّ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قال عطاء و یحی بن یعمر و الزهری و حماد و مالک و الثّوری و الشافعّی و اسحق و ابو حنیفة و ابو یسف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 الحسن و سعید بن جبیر و ابن ابی لیلی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یقام علیه الحدّ و لا یترک 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حکی عن اللوزاعی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ان رجع حدّ للفریة علی نفسه و ان رجع عن السّرقة و الشّرب ضرب دون 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8/197</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3/444</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قطّاع الطّریق المسئلة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المالکیّة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یجب ان یدفع ما بأیدی المحاربین لمدّعیه الی و یسقط حدّ قاطع الطّریق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جاء المحارب الی الامام و نائبه طائعاً تائباً قبل القدرة علیه اذا کان لم یقتل احداً الی، و لا یسقط حدّ الزّنا و القذف و الشّراب و القتل اذا تاب بعدها بل یقام علیه الحدّ الخ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فعل المحارب ما یوجب حدّاً لا یختّص المحاربة کالزّنا و القذف و شرب الخمر و السّرقة، فذکر القاضی انّها تسقط بالتّوبة لانّها حدود لله تعالی فتسقط بالتّوبة کحدّ المحاربة الاّ حدّ القذف، فانّه لا یسقط لانّه حقّ أدمی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تاب من علیه حدّ من غیر المجاربین و اصلح ففیه روایتان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احدهما یسقط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و الرّوایة الثّانیة لا یسقط و هو قول مالک و ابی حنیفة واحد قولی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قطاع الطریق مسئله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الاربعة </w:t>
      </w:r>
      <w:r>
        <w:rPr>
          <w:rFonts w:eastAsia="IRNazanin" w:cs="IRNazanin"/>
          <w:b w:val="false"/>
          <w:bCs w:val="false"/>
          <w:i w:val="false"/>
          <w:iCs w:val="false"/>
          <w:color w:val="333333"/>
          <w:sz w:val="20"/>
          <w:szCs w:val="20"/>
        </w:rPr>
        <w:t>5/414</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بابا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مقدّمات الحدود</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مقدمات الحدود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مقدمات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مقدمات الحدود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المستدرک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مقدّمات الحدود</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قطّاع الطّریق المسئلة</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مقدّمات الحدود</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مقدّمات الحدود</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الابواب المذکورة</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مقدّمات الحدود</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النِساء الأیة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مقدّمات الحدود</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المشیخة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مقدّمات الحدود</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مقدّمات الحدود</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الحدود مسئلة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الحنفیّة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الإربعة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ظهر علی المرأة الحرّة حمل و لا زوج لها، او کانت امة لا زوج لها و لا سیّد یسئلونها، فاذا قالت استکرهت علی الزّنا او وطئت بشبهة یقبل قولها و لا یقام علیها الحدّ لأنّها بمنزلة من اقرّ ثمّ ادّعز الأستکراه، 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الشّافعیّة قالو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عندهم روایتان، اظهر هما انّه لا یجب علیها الحدّ و ان تأت فی دعوی الأستکراه بامارة تدلّ علی صدقها و لم تأت فی دعوی الزّوجیّة ببیّنة 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المالکیّة قالو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کانت المرأة مقطمة باحیّ و لیست طارئة فانّه یقام علیها الحدّ و لا یقبل قولها الاّ ان یظهر ذلک بان تأتی بامارة علی استکراهها او تقیم البیّنة علی زواجها ا شیء ممّا یظهر به صدقها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الحدّ ثبت بالحمل فلا یرفع الاّ ببیّنة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اذا کانت المرأة طارئة قبل قولها لوجود شبهة و عدم التوثّق فی ثبوت حدّها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اذا حبلت امرأظ لا زوج لها و لا سیّد لم یلزمها الحدّ بذلک و تسأل فان ادّعت انبها اکرهت او وطئت بشبهة او لم تعترف بالزّنا لم تحدّ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قول ابی حنیفة و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علیها الحدّ اذا کانت القیّمة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مقیمة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غریبة الاّ ان تظهر امارات الأکراه بأن تأتی مستغیثة او صارخة الخ</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الشبهادات الاحادیث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الشّهادات الاحادیث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الشّهادات الاحادیث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فوجدوها بکراً</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19/10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الشّهادات</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الشّهادات الاحادیث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الشّهادات و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3/430</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احدود مسئلة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الحدود مسئلة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التّعلیقات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الحدود مسئلة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8/207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کملت البیّنه ثم مات الشهود او غابوا جاز الحکم بها و اقامة الحدّ و به قال الشّافّعی، و قال ابو حنیفة لایجوز الحکم الجواز ان یکونوا رجعوا و هذه شبهة تدرأ 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الاربعة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العلماء علی انّه یسقط الحدّ باعتراض ما یخرج الشّاهد عن اهلیة الشّهادة کما لو ارتدّ عن الاسلام و العیاذ بالله او عمی احد الشّهود او خرس او فسق او اقیم علیه حدّ القذف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فرق فی ذلک بین کونه قبل القضاء او بعده قبل اقامة الحدّ و کذلک موت الشّهود او موت احدهم مسقط للحدّ</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مقدّمات الحدود، من لا یحضره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مقدّمات الحدود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قال الخ</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اللعان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اللّعان الحدیث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اللّعان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اللّعان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اللّعان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اللّعان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القذف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شرائط وجوب الرّجم</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النّور الأیة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الأیة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النّور الأیة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الحدود المسئلة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ـ </w:t>
      </w:r>
      <w:r>
        <w:rPr>
          <w:rFonts w:eastAsia="IRNazanin" w:cs="IRNazanin"/>
          <w:b w:val="false"/>
          <w:bCs w:val="false"/>
          <w:i w:val="false"/>
          <w:iCs w:val="false"/>
          <w:color w:val="333333"/>
          <w:sz w:val="20"/>
          <w:szCs w:val="20"/>
        </w:rPr>
        <w:t>3/435</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کملوا أربعة غیر مرضییّن أو واحد منهم کالعبید و الفسّاق و العمیان ففیهم ثلاث رواطات احدا هنّ علیهم الحدّ و هو قول مالک الخ و الثانیة لا حدّ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قول مالک الخ و الثانیة لا حدّ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قول الحسن و الشّعبی و ابی حفیفة و محمّد الخ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کانوا عمیانا او بعضهم جلدوا و ان کانو عبیدا او فسّاقا فلا حدّ علیهم و هو قول الثوری و اسحاق لان العمیان معلوم کذبهم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اصحاب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کان ردّ الشهادة لمعنی ظاهر کالعمی و الرّق و الفسق الظّاهر ففیهم قولان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کان لمعنی خفیّ فلا حدّ علیهم الخ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8/203</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النوّر الأیة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ایضاح الفوائد </w:t>
      </w:r>
      <w:r>
        <w:rPr>
          <w:rFonts w:eastAsia="IRNazanin" w:cs="IRNazanin"/>
          <w:b w:val="false"/>
          <w:bCs w:val="false"/>
          <w:i w:val="false"/>
          <w:iCs w:val="false"/>
          <w:color w:val="333333"/>
          <w:sz w:val="20"/>
          <w:szCs w:val="20"/>
        </w:rPr>
        <w:t>4/476</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یؤیّدها مسندة الجعفریّات عن جعفر بن محمّد عن ابیه عن جدّه ان علیًا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 عنده ثلاثة نفر علی رجل بالزّنا، فقال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الرّابع؟ قالوا الأن یحبیء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خذوهم فلیس فی الحدود نظرة 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القذف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النبور الآیة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المسّکر؛ 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المسکر ح 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المسکر ح 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المسکر ح 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8/206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مقدّمات الحدود</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مقدّمات الحدود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مقدّمات الحدود</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النّکاح المحرّم</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البابا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النّکاح المحرّم</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اللّواط، و البحار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النّکاح المحرّم</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انّکاح المحرّم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الّواط</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النّکاح المحرّم</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الحدود مسئلة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المالکیّة و الشّافعیّة و الحنابلة قالوا انّ البیّنة علی اللّواط مثل البیّنة علی اثبات الزّنا فلا یثبت الاّ بشهادة اربعة من الرّجال العدولف لیس فیهم امرأةً یرون المیل فی المکحلة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الحنیّة قالوا انّ بیّنة اللّواط غیر بیّنة الزّنا، لأن ضرره اخفّ منه و جنایته اقلّ من جنایته حیث لا یترّتب علی اللّواط اختلاط الأنساب و لا هتک الأعراض فتثبت البیّنة بشاهدین فقط، فلا بلحق الزّنا الاّ بدلیل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یوجد دلیل من الکتاب و لا من السّنّة فبقی الحکم علی الأصل مثل باقی الأحکام و الشّهادات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 علی المذاهب الاربعة</w:t>
      </w:r>
      <w:r>
        <w:rPr>
          <w:rFonts w:eastAsia="IRNazanin" w:cs="IRNazanin"/>
          <w:b w:val="false"/>
          <w:bCs w:val="false"/>
          <w:i w:val="false"/>
          <w:iCs w:val="false"/>
          <w:color w:val="333333"/>
          <w:sz w:val="20"/>
          <w:szCs w:val="20"/>
        </w:rPr>
        <w:t>5/139</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الشّهادات مسئلة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مسئلة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لا یقبل فیما سوی الأموال ممّا یطّلع علیه الرّجال اقلّ من رجلین ـ و هذا القسم نوعان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العقوبات و هی الحدود و القصاص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یقبل فیه الاّ شهادة رجلین الاّ ما روی عن عطاء و حمّاد انّهما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یقبل فیه رجل و امرئتان قیاساً علی الشّهادة فی الأموال و لنا انِ هذا ممّا یحتاط لدرئه ـ و اسقاطه و لهذا یندریء بالشّبهات ولا تدعو الحاجة الی اثباته وفی شهادة النّساء شبهة بدلیل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تضلّ احدیهما فتذکر احدیهما الأخری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 یقبل شهادتهنّ و ان کثرن مالم یکن منهنّ رجل فوجب ان لا تقبل شهادتهنّ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یصحّ قیاس هذا علی المال لما ذکرنا من الفرق و بهذا الذّی ذکرنا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سعید بن المسیّب و الشّعبی و النّخعی و حمّاد والزّهری و ربیعة و مالک و الشّافعی و ابو عبید و ابو ثور و اصحاب الرّأی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اتّفق هؤلاء و غیرهم علی انّها تثبت بشهادة رجلین ما خلا الزّنا الاّ الحسن فانّه قال الشهادة علی القتل کالشهادة علی الزّنا لأنّ یتعلّق به اتلاف النّفس فاشبه الزّنا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احد نوعی القصاص فاشبه القصاص فی الطّرف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ذکره من الوصف لا اثر له فأنّ الزّنا الموجب للحدّ لا یثبت الاّ باربعة و لأنّ حدّ الزّنا حقّ الله تعالی یقبل الرّجوع عن الأقرار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یعتبر فی شهداء هذا النّوع من الحرّیة و الذّکوریّة و الأسلام و العدالة ما یعتبر فی شهداء الزّنا علی ما سنذکره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اللّواط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 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اللّواط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الزّنا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اللّواط</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اللّواط</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الآیة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اللّواط</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اللّواط</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الحدود مسئلة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اختلف الأئمّة فی اللّواط هل یوجب الحدّ ام التّعزیر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المالکیّة و الحنابلة و الشّافعیّة قالو انّ اللّواط اذا ثبت یوجب الحدّ، لکنّهم اختلفو فی صفة الحدّ قیاساً علی حکم الزِنا بجامع ایلاج بالحجارة حتّی یموت الفاعل و المفعول به بکراً کان او ثیّباً و لا یعتدّ فیه بالحصان و شرایطه المذکورة فی حدّ الزّناف او یقتلان بالسّیف حدّاً، و احتجّوا علی رأیهم بانّ التلّوط نوع من انواع الزّنا الی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الشّافعیة فی روایة أخری قالو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حدّه مثل حدّ الزّنا فیعتبر فیه الأحصان هو مذهب سعید بن المسیّب و عطاء بن ابی رباح و الحسن البصری و قتادة و النّخعی و الثّوری و الاوزاعی و ابو طالب و الأمام یحیی رحمهم الله، قالو یجلد البکر و یغرّب و یرجم المحصن منهما حتّی یموت الأنِه نوع من الزّنا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الحنفیّة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حدّ فی اللّواط ولکن یجب التّعزیز حسب مایراه الأمام رادعا للمجرم فاذا تکررّ منه الفعل و لم یرتدع اعدم بالسّیف تعزیراً لا حدّاً حیث لم یرد فیه نصّ صریح الی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یوسف و الأمام محمّد من الحنفیّة، خالفوا الأمام الأعظم فی هذا لرّای، فقالوا انّ اللّواطة قضاء للشّهوة الی، لذلک یجب اقامة حدّ الزّنا علیهما فیجلد البکر و یرجم الثّیّب المحصن المستوفی لشروط الاحصان، الی آخره، همّ اورد آراء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ابوبکر الصّدیّق 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یقتلان بالسّیف حدّاً همّ یحرقان بالنّار زجراً لهما و تخویفاً بانّار زجراً لهما و تخویفاً لغیر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رأی الأمام علیّ کرّم الله وجهه و کثیر من الصّحابة رضی الله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الحافظ المنذری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حرق اللّوطیّة بالنّار، ابوبکر و علیّ و عبدالله بن الزّبیر رضی الله عنهم و هشام بن عبد الملک و ذلک بعد قتلهما بالسّیف او الرّجم باحجارة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الاربعة </w:t>
      </w:r>
      <w:r>
        <w:rPr>
          <w:rFonts w:eastAsia="IRNazanin" w:cs="IRNazanin"/>
          <w:b w:val="false"/>
          <w:bCs w:val="false"/>
          <w:i w:val="false"/>
          <w:iCs w:val="false"/>
          <w:color w:val="333333"/>
          <w:sz w:val="20"/>
          <w:szCs w:val="20"/>
        </w:rPr>
        <w:t>5/139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الأنتصار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مسئلة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تلوّط قتل بکراً کان او ثیّباً فی احدی الرّوایتین و الأخری حکمه حکم الزّانی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اجمع اهل العلم علی تحریم اللّواط الی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اختلفت الرّوایة عن احمد رحمه الله فی حدّه فروی عنه انّ حدّه الرّجم بکراً کان او ثیّباً و هذا قول علّی و ابن عبّاس و جابر بن زید و عبدالله بن معمبر و الزّهریّ و ابی حبیب و ربیعة و مالک و اسحاق و احد قولی الشّافعیّ و قتادة و الأوزاعیب و ابو یوسف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بن الحسن و ابو ثور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 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المشهور من قولی الشّافعیّ، الی قوله و روی عن ابی بکر الصّدیق رضی الله عنه انّه امر بتحریق الّوطی و هو قول ابن الزّبیر لمّا روی صفوان بن سلیم عن خالد بن الولید انّه وجد فی بعض ضواحی العرب رجلاً ینکح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فکتب الی ابی بکر فاستشار ابوبرک رضی الله عنه الصّحابة فیه فکان علیّ اشدّهم قولاً فیه،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فعل هذا الاّ امّة من الأمم واحدة و قد علمتم ما فعل الله بها، اری ان یحرق بالنّار فکتب ابوبکر الی خالد بذلک فحرقة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الحکم و ابو حنیفة لا حدّ علیه لانّه لیس بمحل، الوطء اشبه غیرالفرج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8/187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اللّواط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الجعفریّات</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اللّواط</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اللّواط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اللّواط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اللّواط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اللّواط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اللّواط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اللّواط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اللّواط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اللّواط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3/458</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الأنتصار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دعواه علی غیر الإحراق</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اللّواط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مرأة العقول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اللّواط</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الحدود مسئلة</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اللّواط</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اللّواط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اللّواط</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اللّواط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اللّواط</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اللّواط</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من ابواب حدّ اللّواط</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اللّواط</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النّکاح المحرّم</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اللّواط</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النّکاح المحرّم</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اللّواط</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اللّواط</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اللّواط</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اللّواط</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اللّواط</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السمترک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اللّواط</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اللّواط</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اللّواط</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اللّواط</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اللّواط</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اللّواط</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اللّواط</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اللّواط</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اللّواط</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السّحق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ـ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القتل فی الثّالة</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الزّنا،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مقدّمات الحدود</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الأنتصار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الجهاد، البحار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جهاد العدوّ</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الجهاد</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ـ البا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مقدّمات الحدود</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الزّنا، 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اللّواط</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مقدّمات الحدود</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مقدّمات الحدود</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مقدّمات الحدود</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مقدّمات الحدود</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ابوبا مقدّمات الحدود</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مقدّمات الحدود</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النّکاح المحرّم</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اخلاف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النّکاح المحرّ</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النّکاح المحرّم</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الأنتصار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 و ان تدالکت امرأتان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فهمازانیتان ملعونتان، لما روی عن النّبیّ صلی الله علیه آله انّه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اتت المرأة فهمازانیتان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حدّ علیهما لأنّه لایتضمّن ایلاجاً، فأشبه المباشرة دون الفرج، و علیهما التّعزیر، لأنّه زنا حدّ فیه، فأشبه مباشرة الرّجل المرأة من غیر 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نکح یده و تلذّذ بها، او اذا أتت المرأة المرأة و هو السّحاق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یقام حدّ فی هذه الصّور بأجماع العلماء، لأنّها لذّة ناقصة، و ان کانت 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الواجب التّعزیر علی الفاعل حسب ما یراه الأمام، زاجراً له عن المنکر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 علی المذاهب الأربعة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السّحق</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السّحق و القیادة</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السّحق</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السّحق و القیادة</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السّحق، 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السّحق و القیادة</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السّحق و القیادة</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المستدرک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السّحق و القیادة</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السّحق و القیادة</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السّحق القیادة</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3/465</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احکام الأولاد</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احکام الأولاد، البحار 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مع تفاوت یسیر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قب</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یذکر الاّ فی الوسائل المطبوعة اخیراً فی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جزءاً عن غیر المخطوط و المصدر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السّحق و القیادة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ضا</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السّحق و القیادة</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السّحق و القیادة</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السّحق و القیادة</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العدد، الأحتجاج ـ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السّحق و القیادة</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ـ البابا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مقدّمات الحدود</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الأنتصار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السّحق و القیادة</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السّحق و القیادة، 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الأنتصار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ما یحرم بالمصاهرة</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یحرم بامصاهرة، البحار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ما یحرم بالمصاهرة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المستدرک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 من ابواب ما یحرم بالکفر؛ المستدرک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حادیث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ما یحرم بالمصاهرة</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المستدرک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 من ابواب ما یحرم بالکفر؛ المستدرک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حادیث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ما یحرم بالمصاهرة</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حادیث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ما یحرم بالمصاهرة</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ما یحرم بالمصاهرة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ما یحرم بالکفر</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یحرم بالکفر و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ما یحرم بالمصاهرة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یحرم بالکفر، البحار 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یحرم بالکفر، و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یحرم بالمصاهرة، البحار 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نکاح العبید و الأماء</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ـ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الی 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النّکاح المحرّم</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الزّنا و البا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السّحق و القیادة</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النّکاح المحرّم</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النّکاح المحرّم</w:t>
      </w:r>
      <w:r>
        <w:rPr>
          <w:rFonts w:eastAsia="IRNazanin" w:cs="IRNazanin"/>
          <w:b w:val="false"/>
          <w:bCs w:val="false"/>
          <w:i w:val="false"/>
          <w:iCs w:val="false"/>
          <w:color w:val="333333"/>
          <w:sz w:val="20"/>
          <w:szCs w:val="20"/>
          <w:rtl w:val="true"/>
        </w:rPr>
        <w:t>. </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النّکاح المحرّم</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النّکاح المحرّم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اللّواط</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النّکاح المحرّم</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اللّواط</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ـ الاب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الزّنا</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النّورالآیة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النّورالآیة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الحدود</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الحدود</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فی المغنی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اختلفت الروایة عن احمد فی التّعریض بالقذف، مثل ان یقول لمن یخاصمه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انت بزان، ما یعرفک النّاس بالزّنا یاحلال ابن الحلال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انا بزان و لا امّی بزانیة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فروی عنه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حدّ علیه، و هو ظاهر کلام الخرقیّ و اختیار ابی بکر، و به قال عطاء و عمرو ابن دینار وقتاده و الثّورِّ و الشّافعیّ و ابو ثور و اصحاب الرّأی و ابن المنذر لما روی، الی 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الأثرم و غیره عن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علیه الحدّ، وروی ذلک عن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قال اسحق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الأثرم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عثمان جلد رجلاً قال 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 شامة الوذر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بعرّض له بزنا 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لوذر قدر 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یعرض له بکمر الرّجال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 علی المذاهب الأربعة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ان ادّعی اتّفاق الفقهاء علی انّ الحدّ یقام بالقذف باللّفظ الصّریح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الکنایات، فمثل ان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فاسقة طا فاجرة ـ الی ـ فهذا لا یکون قذفاً، فلا یحدّ الاّ ان یریده ـ الی ـ و امّا التّعریض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اختلف فیه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الحنفیّة و الشّافعیّة فی احد آرائهم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یجب الحدّ فی التّعریض و ان نوی به القذف ـ الی ـ المالکیّة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یجب اقامة الحدّ فی التّعریض مطلقاً، نوی به القذف او لم ینو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الی ـ الشّافعیّة فی الرّأی الثّانی و الحنابلة فی احدی روایتهم قالو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نوی بالتّعریض القذف و فسّره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وجب اقامة حدّ القذف علیه، و ان لم ینو لاحدّ علیه، و القول قوله مع یمینه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الحنابلة فی روایتهم الثّانیة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یجب الحدّ علی الأطلاق، نوی او لم ینو، خصوصاً اذا کان فی حالة غضب و ثورة الخ</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القذف، 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 القذف، 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من ابواب حدّ القذف</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من ابواب حدّ القذف</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من ابواب حدّ القذف؛ 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الببا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القذف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القذف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الحدود</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فی المغنی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اذا قال الرّجل یابن الزّانیین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قاذف لهما بکلمة واحدة فأن کانا میّتین ثبت الحقّ لولدهما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یجب الاّ حدّ واحد وجهاً واحداً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 علی المذاهب الأربعة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 انّ ابن الی لیلی سمع من یقول لشخص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 الزّانیین، فحدّه حدّین فی المسجد، فی وقت واحد، فبلغ الأمام ابا حنیفة،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للعجب لقاضی بلدنا، اخطاأ فی مسئلة واحدة فی خمسة 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اخذه بدون طلب المقذوف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لو خاصم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وجب حدّ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ان کان الواجب عنده حدّین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ینبغی ان یتربّص بینهما یوماً او اکثر، حتّی یخفّ اثر الضّرب الأوّل عن القاذف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 فی المسجد، و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ینبغی ان یتعرّف انّ والدیه فی الأحیاء او لا، فأن کانا حییّن فالخصومة لهما، و الاّ فالخصومة للأبن</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احلدود</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فی المغنی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قال لرجل زنیت بفلانة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فاذفاً لها ـ الی ـ و ان اقرّ انسان انّه زنی بامرأة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قاذف لها، سواء الزمه حدّ الزّنا باقراره لو لم یلزمه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قال ابن المنذر و ابو ثور و یشبه مذهب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ابو حنیفة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یلزمه حدّ القذف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طیّ کلامه عن اصحابه ذکر ان لو قال لأمرأته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یازانیة،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 زنیت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لا حدّ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علیه الحدّ، دونها، و لیس هذا بأقرار صحیح</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القذف، 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القذف، 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مقدّمات الحدود</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اسمتدرک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المسکر</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موجبات الضّمان</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موجبات الضّمان</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عقد النّکاح</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عقد النّکاح</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النّور الأیة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 ـ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ین</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من ابواب حدّ القذف</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القذف، 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ین</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الحدود مسئلة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اتّفق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الأربعة </w:t>
      </w:r>
      <w:r>
        <w:rPr>
          <w:rFonts w:eastAsia="IRNazanin" w:cs="IRNazanin"/>
          <w:b w:val="false"/>
          <w:bCs w:val="false"/>
          <w:i w:val="false"/>
          <w:iCs w:val="false"/>
          <w:color w:val="333333"/>
          <w:sz w:val="20"/>
          <w:szCs w:val="20"/>
        </w:rPr>
        <w:t>5/217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انّ العبد اذا قذف حرّاً یجلد اربعین جلدة، نصف حدّ الحرّ، ذکراً او انثی، و ذلک لما رواه الثّوریّ عن جعفر بن محمّد عن ابیه انّ علیّاً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یجلد العبد فی القذف اربعین، و عن عبدالله بن عمر رض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ادرکت ابابکر و عمر و عثمان و من بعدهم هم من الخفاء و کلّهم یضربون المملوک فی القذف اربعین، و الأنّ جمیع حدود الأحرار تنشطر بالرّقّ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استدلّ بالکتاب فأذا احصنّ الأیة، و بقیاس العبد علی الأمة و قیاس تنصیف حدّ قذف العبد علی تنثیف حدّ الزّنا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المغنی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8/218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مسئلة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 کان القاذف عبداً او 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اربعین بأدون من السّوط الّذی یجلد به 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اجمع اهل العلم علی وجوب الحدّ علی العبد اذا قذف الحرّ المحصن، لأنّه داخل فی عموم الأیة، وحدّه اربعون فی قول اکثر اهل العلم، روی عن عبدالله بن عامر بن ربعة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ادرکت ابابکر و عمر و عثمان و من بعدهم من الخلفاء، فلم ارهم یضربون المملوک اذا قذف الاّ اربعین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خلاس انّ علیّاً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عبد قذف حرّاً نصف الجل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جلد ابوبکر بن محمّد ابن عمرو بن حزم عبداً قذف حرّاً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ثمانین، و به قال قبیصة و عمر بن عبد العزیز الخ</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القذف، البحر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الحدود</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المغمنی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8/229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 لم یثبت واحد منهما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فیما اذا قال زنیت اذ کنت مشرکاً او رقیقاً ففیه روایتان احداهما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یجب الحدّ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استدلّ علیه بأصل العدم و اصل الحرّیّة و اسلام اهل درا الأسلام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قول القاذف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استدلّ باصل البرائة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قذف مجهولاً و ادّعی انّه رقیق او مشرک، فقال المقذوف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انا حرّ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فاقول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ابوبکر القول قول القاذف فی الرّقّ، لأن الأصل برائة ذمّته من الحدّ و هو یدرء بالشّبهات، و ما ادّعاه محمل، فیکون شبهة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الشّافعیّ کالوجهین</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مقدّمات الحدود</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القذف؛ 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باواب حدّ القذف</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ـ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 ـ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 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ـ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 ـ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القذف</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القذف</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القذف؛ 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 و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القذف</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القذف؛ 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 و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القذف، 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باواب حدّ القذف</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القذف، 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باواب حدّ القذف</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النّور الأیة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23/320</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المالکیّة قالوا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الأربعة </w:t>
      </w:r>
      <w:r>
        <w:rPr>
          <w:rFonts w:eastAsia="IRNazanin" w:cs="IRNazanin"/>
          <w:b w:val="false"/>
          <w:bCs w:val="false"/>
          <w:i w:val="false"/>
          <w:iCs w:val="false"/>
          <w:color w:val="333333"/>
          <w:sz w:val="20"/>
          <w:szCs w:val="20"/>
        </w:rPr>
        <w:t>5/216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یجب اقامة الحدّ علی القاذف سواء کانت امّ المقذوف حرّة او امة، مسلمة او کافرة، لعموم لفظ الأیة، او کان ابو المقذوف الحرّ المسلم عبداً او کافراً، علی الرّاجح من 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الحنفیّة و الشّافعیّة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یجب اقامة الحدّ علی القاذف اذا کانت امّ المقذوف امة او کانت کتابیّة، و یحدّ اذا کان ابو المقذوف الحرّ المسلم عبداً او کافرا، او کان القاذف کافراً</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مرأة العقول </w:t>
      </w:r>
      <w:r>
        <w:rPr>
          <w:rFonts w:eastAsia="IRNazanin" w:cs="IRNazanin"/>
          <w:b w:val="false"/>
          <w:bCs w:val="false"/>
          <w:i w:val="false"/>
          <w:iCs w:val="false"/>
          <w:color w:val="333333"/>
          <w:sz w:val="20"/>
          <w:szCs w:val="20"/>
        </w:rPr>
        <w:t>23/320</w:t>
      </w:r>
      <w:r>
        <w:rPr>
          <w:rFonts w:ascii="IRNazanin" w:hAnsi="IRNazanin" w:eastAsia="IRNazanin"/>
          <w:b w:val="false"/>
          <w:b w:val="false"/>
          <w:bCs w:val="false"/>
          <w:i w:val="false"/>
          <w:i w:val="false"/>
          <w:iCs w:val="false"/>
          <w:color w:val="333333"/>
          <w:sz w:val="20"/>
          <w:sz w:val="20"/>
          <w:szCs w:val="20"/>
          <w:rtl w:val="true"/>
        </w:rPr>
        <w:t xml:space="preserve">، روضة المتّقین </w:t>
      </w:r>
      <w:r>
        <w:rPr>
          <w:rFonts w:eastAsia="IRNazanin" w:cs="IRNazanin"/>
          <w:b w:val="false"/>
          <w:bCs w:val="false"/>
          <w:i w:val="false"/>
          <w:iCs w:val="false"/>
          <w:color w:val="333333"/>
          <w:sz w:val="20"/>
          <w:szCs w:val="20"/>
        </w:rPr>
        <w:t>10/1150</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ایضاح الفوائد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القذف؛ 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 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جهاد النّفس</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الأنفاق</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جهاد النّفس و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الأمر بالمعروف</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10/105</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قصاص النّفس</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القذف؛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اللّعان مسئلظ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من قال لأمرأته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الأربعة </w:t>
      </w:r>
      <w:r>
        <w:rPr>
          <w:rFonts w:eastAsia="IRNazanin" w:cs="IRNazanin"/>
          <w:b w:val="false"/>
          <w:bCs w:val="false"/>
          <w:i w:val="false"/>
          <w:iCs w:val="false"/>
          <w:color w:val="333333"/>
          <w:sz w:val="20"/>
          <w:szCs w:val="20"/>
        </w:rPr>
        <w:t>5/228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یازانیة،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بل 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حدّت المرأة خاصّة؛ اذا ترافعا و لا لعان، لأنّهما قاذفان، و قذف الرّجل زوجته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یوجب اللّعان، و قذفها ایّاه یوجب الحدّ علیها، و الأصل فی الحدّین اذا اجتمعا؛ و فی تقدیم احدهما اسقاط للأخر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وجب تقدیمه احتیالاً للدرّء</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اللّعان</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اللّعان؛ هکذا فی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یب و عن الصّدوق روایته باسناده عن ابن محبوب عن حمّاد بن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جامع الرّواة اسند عن ابن محبوب عن حمّاد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زیاد بن سلیمان و عن حدود یب عن ابن محبوب عن حمّاد عن زیاد عن سلیمان و استصوبه وفی جامع الرّواة ابن محبوب عن حمّادبن زیاد عنه</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اللّعان</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 و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اللّعان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اللّعان</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اللّعان</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اللّعان</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اللّعان مسئلة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هامش صفحة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البابا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باواب حدّ القذف؛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البابا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البا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القذف؛ روضی المتّقین </w:t>
      </w:r>
      <w:r>
        <w:rPr>
          <w:rFonts w:eastAsia="IRNazanin" w:cs="IRNazanin"/>
          <w:b w:val="false"/>
          <w:bCs w:val="false"/>
          <w:i w:val="false"/>
          <w:iCs w:val="false"/>
          <w:color w:val="333333"/>
          <w:sz w:val="20"/>
          <w:szCs w:val="20"/>
        </w:rPr>
        <w:t>10/214</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القذف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النبور 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القذف، البحار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القذف، البحار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الجزء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بقیّة الحدود</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الشّهادات</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الشّهادات</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الشّهادات</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اللّعان مسئلة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اذا قذف الجماعة بکلمة واحدة فحدّ واحد اذا طالبوا او واحد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قال طاوس و الشعبیّ و الزّهریّ و النّخفیّ و قتادة و حمّاد و مالک و الثّوریّ و ابو حنیفة و صاحباه و ابین ابی لیلی و اسحاق، و قال الحسن و ابو ثور و ابن المنذر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لکلّ واحد حدّ کامل، و عن احمد مثل ذلک، و للشّافعیّ قولان کالرّوایتین ـ الی ـ وروی عن احمد ره روایة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 ان طلبوه دفعة واحدة فحدّ واحد، و کذلک ان طلبوه واحداً بعد واحد؛ الاّ انّه لم یقم حتّی طلبه الکلّ، فحدّ واحد، و ان طلبه واحد فاقیم له ثمّ طلبه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اقیم له، و کذلک جمیعهم، و هذا قول عروة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8/233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الحنفیّة و المالکیّة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قذف جماعة فی مجلس او مجالس مختلفة، بکلمة او کلمات، مجتمعین او متفرّقین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فعلیه حدّ واحد، فأن قام بأحدهم و ضرب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ذلک بکلّ قذف کان علیه، و لا حدّ لمن قام منهم بعد ذلک، فأن قام بأحدهم و ضرب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ذلک بکلّ قذف کان علیه، ولا حدّ لمن قام منهم بعد ذلک، فأنّ الحدّ یجری فیه التّداخل ـ الی ـ الشّفعیّة فی احد آرائهم قالو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یحدّ لکلّ واحد حدّاً علیانفرادریال لأختلاف المقذوف ـ الی ـ هذا کلّه اذا قذف جماعة کلّ واحد منهم بکلمة علی حدة، امّا اذا قذفهم بکلمة واحدة،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انتم زناة او زنیتم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ففیه قولان، اصحّهما و هو قوله فی الجدید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یجب لکلّ واحد حدّ کامل ـ الی و فی القدیم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یجب للکلّ الاّ حدّ واحد 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الحنابلة؛ فی اظهر روایتهم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قذفهم بکلمة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یتمّ علیه حدّ واحد، و ان فذفهم بکمات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فیجعل لکلّ واحد 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 من روایتهم انّهم قالو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طلبوه متفرّقین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لکلّ واحد منهم حدّاً، و ان لم یطلبوه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فیجب حدّ واحد للجمیع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المالکیّة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قذف شخصاً کان هو المقذوف الأوّل او غیره فی اثناء 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 مامضی و ابتدء للمقذوفین حدّاً حدّاً، الاّ ان یبقی من الأوبل الیسیر و هو مادون النّصف، او خمسة عشر فیکمل الأول ثمّ یستأنف الثّانی فیستوی له 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فالحدّ یجری فیه التّداخل عندهم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الأربعة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الخلاف کتاب الحدود مسئلة</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اللّعان مسئلة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اللّعان مسئلة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الحنفیّة قالوا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 علی المذهب الأربعة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حدّ القذف لا یورث، بل یسقط بموت المقذوف قبل اقامة الحدّ علی قاذفه، و اذا مات بعد ما اقیم علیه بعض 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الباقی، لأنّه حقّ لله تعالی ـ الی ـ الشّافعیّة و الحنابلة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حدّ القذف یورث، فاذا مات المقذوف قبل استیفاء الحدّ فیقام الباقی، و العفو یثبت للوارث فی حدّ القذف، و کذلک اذا کان الواجب بحقّة التّعزیر فأنّه یورث عنه، و کذا لو انشأ القذف بعد موت المورّث ثبت لوارثه طلب الحدّ، و ذلک لأنّ حدّ القذف هو حقّ الآدمیّ، لأنّه یسقط بعفوه، و لا یستوفی الاّ بطلبه، و یحلف فیه المدّعی اذا انکر ـ الی ـ المالکیّة قالو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للمقذوف حقّ قاذفه ـ الی ـ و للوارث الحقّ بالقیام و المطالبة بحقّ مورّثه المقذوف، قبل الموت او بعده الخ ـ الی ـ الحنفیّة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علی المذهب الأربعة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الزّانیة و امّه میّتة محصنة فطالب الأبن بحدّه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القاذف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7/407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اذا مات المقذوف قبل المطالبة بالحدّ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و لم یکن لورثته الطّلب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اصحاب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یورث و ان لم یکن طالب به، لقول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ترک حقّاً فلورثته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فامّا ان طالب به ثمّ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فأنّه ترثه العصبات فلهم استیفاؤه، و ان طلب احدهم وحده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فله استیفاؤه، و ان عفی بعضهم لم یسقط، و کان للباقین استیفاؤه، و لو بفی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له استیفاء جمیعه ـ الی ـ و لا یسقط باسقاط البعض</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مقدّمات الحدود</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مقدّمات الحدود</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ل</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مقدّمات الحدود</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اللّعان مسئلة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الفصل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7/403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کلّ قذف للزّوجة یجب به اللّعان سواء قال لها زنیت او رأیتک تزنین، سواء کان القاذف اعمی او بصیراً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 علیه احمد، و بهذا قال الّوریِ و الشّافعیّ و ابو عبید و ابو ثور و هو قول 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یحیی الأنصاریّ و ابو الزّناد و 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یکون اللّعان الاّ باحد امرین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رؤیة و امّا انکار للحملـ الی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الرّبع انّه اذا قذف زوجته المحصنة وجب علیه الحدّ وحکم بفسقه وردّ شهادته؛ الاّ ان یأتی ببیّنة او یلاعن، فأن لم یأت باربعة شهداء، او امتنع من اللّعان لزمه ذلک کلّه، و بهذا قال مالک الشّفعیّ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ابو حنیفة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یجب اللبعان دون الحدّ، فأن ابی حبس حتیّ یلاغن، لأن الله تعالی قال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الشّافعیّة و امالکیّة والحنابلة قالوا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الأربعة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قذف الرّجل زوجته فالواجب هوالحدّ، ولکن المخلص منه باللّعان ـ 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امتنع الزّوج عن اللّعان یلزمه الحدّ للقذف ـ الی ـ فاذا لاعن الزّوج و امتنعت الزّوجة عن اللّعان یلزمها حدّ الزّنا واذا صدریالتة یقام علیها حدّ الزّنا ایضاً لأنّ الزّانی یحدّ عندهم بالأقرار مرّة واحدة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الحنفیّة قالوا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الأربعة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امتنع الرّجل عن اللّعان حبس حتّی یلاعن ـ الی ـ و اذا لا عن الرّجل وجب علی المرأة اللّعان و عن الأقرار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حبست حتّی تلاعنه او تصدّقه فلا حاجة الی اللّعان و لا یجب علیها حدّ الزّنا لأنّ من شرطه ان یقرّ الزّانی اربع مرّات مثل الشّهادة الخ</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اللّعان</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النّور الأیات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الی 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منابواب اللّعان</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اللّعان، 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اللّعان، 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منابواب اللّعان</w:t>
      </w:r>
      <w:r>
        <w:rPr>
          <w:rFonts w:eastAsia="IRNazanin" w:cs="IRNazanin"/>
          <w:b w:val="false"/>
          <w:bCs w:val="false"/>
          <w:i w:val="false"/>
          <w:iCs w:val="false"/>
          <w:color w:val="333333"/>
          <w:sz w:val="20"/>
          <w:szCs w:val="20"/>
          <w:rtl w:val="true"/>
        </w:rPr>
        <w:t>. </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اللّعان</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اللّعان</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اللّعان، البحار 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اللّعان</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اللّعان</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اللّعان</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الحدود مسئلة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التّعلیق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مسئلة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اذا قذفت المرأة لم یکن لولدها المطالبة اذا کانت الأمّ فی الحیاة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قذفت امّه و هی میّتة مسلمة کانت او کافرة حرّة او 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القاذف؛ اذا طالب الأبن و کان حرّاً مسلماً، امّا اذا قذفت و هی فی الحیاة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فلیس لولدها المطالبة، لأنّ الحقّ لها فلا یطالب به غیرها، و لا یقوم غیرها مقامها ـ الی ـ و امّا ان قذفت و هی میّتة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لولدها المطالبة ـ الی ـ و لا یستحقّ ذلک بطریق الأرث ـ الی ـ و قال ابوبکر لا یجب الحدّ بقذف میّتة بحال و هو قول اصحاب الرّأی ـ الی ـ و قال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کان المیّت محصناً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فلولیّة المطالبة، و ینقسم بانقسام المیراث ـ الی ـ و اکثر اهل العلم لا یرون الحدّ علی من یقذف محصناً حیّاً و لا میّتاً الخ</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اللّعان مسئلة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مایکتسب به</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المرتدّ</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فی المغنی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قذف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قذف 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ردّة عن الأسلام و خروج عن الملّة، و کذلک سبّه بغیر القذف؛ الاّ انّ سبّه بغیر القذف یسقط باأسلام، لآنّ سبّ الله تعالی یسقط بالأسلام فسبّ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الأربعة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یکفر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بجواز اکتساب النّبوّة و تحصیلها بسبب الرّیاضة، لأنّه یستلزم جواز و قوعها بعد النّبیّ، او سبّ نبیّ اجمعت الأمّة علی نبوّته، او سبّ ملکاً من الملائکة یجمع علی ملکیّته، و یکفر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عرض فی کلامه بسبّ نبیّ او ملک ـ الی ـ او الحق بنبیّ او ملک نقصاً ولو ببدنه، کعرج او شلل، او طعن فی وفور علمه، اذ کلّ نبیّ اعلم اهل زمانه و سیّدهم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الخلق اجمعین، او طعن فی اخلاق نبیّ او فی دینه ـ الی ـ او طعن فی وفور زهد نبیّ من الأنبیاء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ذکر عن المالکیّة والحنابلة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الأربعة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الّذی سبّ نبیّاً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اجمعت الأمّة علی نبوّته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فأنّه بدون استتابة و لا تقبل توبته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یقتل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الی ـ و لا یعذر السّبّ بجهل ـ 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یقتل، و السّابّ الکافر اصلاً؛ اذا اعتنق الأسالم؛ و لو کان اسلامه خوفاً من القتل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فأنّه لا یجبب قتله، لأنّ الأسلام یجبّب ما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امبا المسلم اذا ارتدّ بغیر السّبّ زمن الرّدّة ثمّ السلم 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یسقط عنه قتل السّبّ، لأنّه حدّ من حدود الله تعالی وجب علیه،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تقبل توبته اذا رجع الی الأسلام، کما هو مذهب الشّافعیّ حتّط فی سبّ الملائکة و الأنبیاء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ذکر عن الحنفیّة و الشّافعیّة او عن الأخیرة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القتل حدّاً لمن قذف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او سبّه او سبّ واحداً من الرّسل الکرام الّذین ورد ذکر هم فی القرآن الکریم، او کذّب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دعوته، و انّه لا یسقط عنه الحدّ باتّوبة، و ذکر عدم القتل بعدها عن قائل و انّه یجلد ثمانین جلدة، و عن الحنفیّة انّهم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من ابغض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مرتدّأ، فالسّبّ بطریق اولی، فیقتل حدّاض و لا یقبل توبته فی اسقاط التقل عنه</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باواب حدّ المرتدّ؛ 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القذف و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 ابواب حدّ المرتدّ</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باواب حدّ المرتدّ؛ 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القذف و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 ابواب حدّ المرتدّ</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المرتدّ</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کتاب الباغی مسئلة</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نسب فی الفقه علی المذاهب الأربعة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الأربعة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المالکیّة انّ من سبّ صحابیّاً من اصحاب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یعزّر و یحبس و لا یحدّ، و مثل السّبّ تکفیر بعضهم و لو کان من الخلفاء الأربعة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فأنّه لا یکفر و لکن یؤدّب، امّا من کفّر جمیع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فأنّه یکفر بالأتّفاق ـ الی ـ و اذا شهد علیه عدل فقط او جماعة من النّاس غیر مقبولین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سبّ نبیّاً مجمعاً علی نبوّته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فأنّه یعزّر بالضّرب، الخ</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ـ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ثو</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ثو؛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القذف؛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دیّات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دیّات النّفس</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الأمر بالمعروف والنّهی عن المنکر</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الأمر بالمعروف والنّهی عن المنکر</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الأمر بالمعروف والنّهی عن المنکر</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الأمر بالمعروف والنّهی عن المنکر</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الأمر بالمعروف والنّهی عن المنکر</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الأمر بالمعروف والنّهی عن المنکر</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الأمر بالمعروف والنّهی عن المنکر</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الأمر بالمعروف والنّهی عن المنکر</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دیّات النّفس</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7/108</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مسئلة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8/232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 قذف امّ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مسلماً کان او کافراً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انّ حدّه القتل، ولا تقبل توبته، نصّ علیه احمد، وحکی ابو الخطّاب روایة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توبته تقبل، وبه قال ابو حنیفة والشّافعیّ، مسلماً کان او کافراً، لأنّ هذا منه ردّة، والمرتدّ یستتاب وتصحّ توبته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ذکر اختلاف الرّوایة عن احمد فیما اذا کان القاذف کافراً فاسلم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سقوط الحدّ عنه وعدمه،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والحکم فی قذف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کالحکم فی قذف امّه لأنّ قذف امّه انّما اوجب القتل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لکونه قاذفاً للنّبیّ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وقدحاً فی نسبه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الهامش المتقدّم فی صفحة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المغنی </w:t>
      </w:r>
      <w:r>
        <w:rPr>
          <w:rFonts w:eastAsia="IRNazanin" w:cs="IRNazanin"/>
          <w:b w:val="false"/>
          <w:bCs w:val="false"/>
          <w:i w:val="false"/>
          <w:iCs w:val="false"/>
          <w:color w:val="333333"/>
          <w:sz w:val="20"/>
          <w:szCs w:val="20"/>
        </w:rPr>
        <w:t>8/233</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ـ فی 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المرتدّ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صاحب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ادّعی النبوّة او صدّق من ادّعاه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ادّها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ارتدّ، لأنّ مسیلمة لمّا ادّعی النّبوّة فصدّقه قومه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صاروا بذلک مرتدّین، وکذلک طلیحة الأسدیّ ومصدّقوه، وقال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تقوم السّاعة حتّی یخرج ثلاثون کذّاباً کلّهم یزعم انّه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8/150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الأربعة </w:t>
      </w:r>
      <w:r>
        <w:rPr>
          <w:rFonts w:eastAsia="IRNazanin" w:cs="IRNazanin"/>
          <w:b w:val="false"/>
          <w:bCs w:val="false"/>
          <w:i w:val="false"/>
          <w:iCs w:val="false"/>
          <w:color w:val="333333"/>
          <w:sz w:val="20"/>
          <w:szCs w:val="20"/>
        </w:rPr>
        <w:t>5/423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 من اسباب الرّدّة والکفر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بجواز اکتساب النّبوّة وتحصیلها بسبب الرّیاضة، لأنّه یستلزم جواز وقوعها بعد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 اتّفاق الأئمّة الأربعة علی انّ من ثبت ارتداده عن الأسلام والعیاذ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وجب قتله، واهدر دمه</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المرتدّ</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المرتدّ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المرتدّ</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المرتدّ</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المرتدّ</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المرتدّ</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المرتدّ</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المرتدّ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المرتدّ</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المرتدّ</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کفّارة القتل مسئلة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فی المغنی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کلام فی انّ السّحر له حقیقة ام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ثبت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تعلّم السّحر وتعلیمه حرام، لا تعلم فیه خلافاً بین اهل العلم من اصحابنا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ویکفر السّاحر بتعلّمه وفعله، سواء اعتقد تحریمه او اباحته، وروی عن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یدلّ علی انّه لا یکفر، فأنّ حنبلاً روی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عمّی فی العرّاف والکافر والسّاحر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اری ان یستتاب من هذه الأفاعیل کلّها، فأنّه عندی فی معنی المرتدّ، فان تاب وراجع، یعنی یخلّی سبیله، 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یقتل؟ قال لا، یحبس لعلّه یرجع، 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لا تقتله؟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کان یصلّی لعلّه یتوب ویرجع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اصحاب ابی حنیفة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اعتقد انّ الشّیاطین تفعل له ما یشاء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کفر، وان اعتقد انّه تخییل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اعتقد ما یوجب الکفر مثل التّقرّب الی الکواکب السّبعة، وانّها تفعل ما یلتمس، او اعتقد حلّ السّحر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کفر، لأنّ القرآن نطق بتحریمه، وثبت بالنّقل المتواتر والأجمال علیه، والاّ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فسق ولم یکفر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فی موضع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وحدّ السّاحر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القتل، روی ذلک عن عمر وعثمان بن عفّان وابن عمر وحفصة وجندب بن عبد الله وجندب کعب وقیس بن سعد وعمر بن عبد العزیز، وهو قول ابی حنیفة ومالک، ولم یر الشّافعیّ علیه القتل بمجرّد السّحر، وهو قول ابن المنذر وروایة عن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فی المغنی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السّاحر والکاهن حکمهما القتل او الحبس؛ حتّی یتوبا، لأنّهما یلبسان امرهما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فصل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فأمّا ساحر اهل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یقتل لسحره؛ الاّ ان یقتل به وهو ممّا یقتل غالباً، فیقتل قصاصاً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ابو حنیفة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فی هامش 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الفقه علی المذهب الأربعة </w:t>
      </w:r>
      <w:r>
        <w:rPr>
          <w:rFonts w:eastAsia="IRNazanin" w:cs="IRNazanin"/>
          <w:b w:val="false"/>
          <w:bCs w:val="false"/>
          <w:i w:val="false"/>
          <w:iCs w:val="false"/>
          <w:color w:val="333333"/>
          <w:sz w:val="20"/>
          <w:szCs w:val="20"/>
        </w:rPr>
        <w:t>5/461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الی ـ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وتعلیم السّحر حرام بلا خلاف عندهم، واعتقاد اباحته 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الحنفیّة والمالکیّة والحنابلة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یکفر السّاحر بتعلّمه السّحر وفعله، سواء اعتقد تحریمه، او لا، ویجب علی الحاکم قتله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ذکر عن عدّة ممّن تقدّم فی کلام المغنی انّ حکمه القتل، وعن آخرین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 قتلوا السّاحرین بدون استتابة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الشّافعیّة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الفقه علی المذهب الأربعة </w:t>
      </w:r>
      <w:r>
        <w:rPr>
          <w:rFonts w:eastAsia="IRNazanin" w:cs="IRNazanin"/>
          <w:b w:val="false"/>
          <w:bCs w:val="false"/>
          <w:i w:val="false"/>
          <w:iCs w:val="false"/>
          <w:color w:val="333333"/>
          <w:sz w:val="20"/>
          <w:szCs w:val="20"/>
        </w:rPr>
        <w:t>5/461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الی ـ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یقتل السّاحر ولا یکفر؛ الاّ اذا اعتقد اباحته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اسند ما تقدّم فی المغنی عن ابی حنیفة الی الحنفیّة، انّهم قالوه فی الکاهن، وما عن الشّافعیّ الی الشّافعیّة والی الحنابلة انّهم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الکاهن حکمه حکم السّاحر، فیقتل لقول سیدنا عمر 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اقتلوا کلّ ساحر وکاهن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بعد کلام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الفقه علی المذهب الأربعة </w:t>
      </w:r>
      <w:r>
        <w:rPr>
          <w:rFonts w:eastAsia="IRNazanin" w:cs="IRNazanin"/>
          <w:b w:val="false"/>
          <w:bCs w:val="false"/>
          <w:i w:val="false"/>
          <w:iCs w:val="false"/>
          <w:color w:val="333333"/>
          <w:sz w:val="20"/>
          <w:szCs w:val="20"/>
        </w:rPr>
        <w:t>5/461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الی ـ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المالکیّة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السّاحر کافر، یقتل بالسّحر ولا یستتاب بل یتحتّم قتله کالزّندیق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ویقول 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احمد وجماعة من الصّحابة والتّابعین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وذلک فیمن عمل به للباطل والشّرّ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ذکر عن احمد انّه نفی البأس عمّن یطلق السّحر عن المسحور</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کفّارة القتل مسئلة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7/260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بقیّة الحدود والتّعزیرات، البحار </w:t>
      </w:r>
      <w:r>
        <w:rPr>
          <w:rFonts w:eastAsia="IRNazanin" w:cs="IRNazanin"/>
          <w:b w:val="false"/>
          <w:bCs w:val="false"/>
          <w:i w:val="false"/>
          <w:iCs w:val="false"/>
          <w:color w:val="333333"/>
          <w:sz w:val="20"/>
          <w:szCs w:val="20"/>
        </w:rPr>
        <w:t>79/212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بقیّة الحدود والتّعزیرات</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بقیّة الحدود والتّعزیرات</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فی الأزد جنادبة اربعة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جندب الخیر ابن عبد الله وجندب بن زهیر وجندب بن کعب ترجموا لهم فی الصّحابة، ونسبوا الی احدهم قتل السّاحر، والرّابع جندب بن عفیف، والمشهور عندهم انّ قاتل السّاحر هو جندب بن کعب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الأثیر بترجمته فی 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فضربه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ضربة فقتله ـ الی ـ ان اورد الرّوایة کما یأتی فی التّعلیق الآتی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المسعودیّ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مروج الذّهب ایضاً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اجده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القتل الی ابن کعب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ویستفاد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عبارة البلاذری انّه جندب الخیر او جندب بن عبد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احادیث امّ المؤمنین عایشة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وکذلک فی تاریخ الیعقوبی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ذکر فی تنقیح المقال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جندب بن کعب بن عبد الله الأزدیّ الغامدیّ عن 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قاتل السّاحر، واسند ذلک الی غیر هذا الکتاب ایضاً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عن الفضل بن شاذان من وصف جندب بن زهیر بقاتل السّاحر الی الأشتباه، واورد فی ترجمة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الرّوایة عن جندب بلا نسبة الی ابیه،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السّاحر ضربة بالسّیف</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بقیّة الحدود والتّعزیرات</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بقیّة الحدود</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بقیّة الحدود والتّعزیرات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بقیّة الحدود والتّعزیرات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image" Target="media/image2.jpeg"/><Relationship Id="rId439" Type="http://schemas.openxmlformats.org/officeDocument/2006/relationships/image" Target="media/image2.jpeg"/><Relationship Id="rId440" Type="http://schemas.openxmlformats.org/officeDocument/2006/relationships/footer" Target="footer433.xml"/><Relationship Id="rId441" Type="http://schemas.openxmlformats.org/officeDocument/2006/relationships/footnotes" Target="footnotes.xml"/><Relationship Id="rId442" Type="http://schemas.openxmlformats.org/officeDocument/2006/relationships/numbering" Target="numbering.xml"/><Relationship Id="rId443" Type="http://schemas.openxmlformats.org/officeDocument/2006/relationships/fontTable" Target="fontTable.xml"/><Relationship Id="rId444" Type="http://schemas.openxmlformats.org/officeDocument/2006/relationships/settings" Target="settings.xml"/><Relationship Id="rId4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440</Pages>
  <Words>45739</Words>
  <Characters>191347</Characters>
  <CharactersWithSpaces>235734</CharactersWithSpaces>
  <Paragraphs>1481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2026-08-17T19:29:05Z</dcterms:created>
  <dc:creator>ghaemiyeh.com</dc:creator>
  <dc:description/>
  <dc:language>en-US</dc:language>
  <cp:lastModifiedBy/>
  <dcterms:modified xsi:type="dcterms:W3CDTF">2026-08-17T22:59:19Z</dcterms:modified>
  <cp:revision>1</cp:revision>
  <dc:subject/>
  <dc:title>کتاب الحدود و التعزیرات</dc:title>
</cp:coreProperties>
</file>

<file path=docProps/custom.xml><?xml version="1.0" encoding="utf-8"?>
<Properties xmlns="http://schemas.openxmlformats.org/officeDocument/2006/custom-properties" xmlns:vt="http://schemas.openxmlformats.org/officeDocument/2006/docPropsVTypes"/>
</file>