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المحاسن النفسانیة فی أجوبة المسائل الخراسانیة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4806_380464308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264808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64810_3804643083">
            <w:r>
              <w:rPr>
                <w:webHidden/>
                <w:rStyle w:val="IndexLink"/>
                <w:rtl w:val="true"/>
              </w:rPr>
              <w:t>مقدمة التحقيق</w:t>
            </w:r>
            <w:r>
              <w:rPr>
                <w:rStyle w:val="IndexLink"/>
                <w:rtl w:val="true"/>
              </w:rPr>
              <w:tab/>
            </w:r>
            <w:r>
              <w:rPr>
                <w:rStyle w:val="IndexLink"/>
              </w:rPr>
              <w:t>10</w:t>
            </w:r>
          </w:hyperlink>
        </w:p>
        <w:p>
          <w:pPr>
            <w:pStyle w:val="Contents2"/>
            <w:tabs>
              <w:tab w:val="clear" w:pos="8743"/>
              <w:tab w:val="right" w:pos="9026" w:leader="dot"/>
            </w:tabs>
            <w:rPr/>
          </w:pPr>
          <w:hyperlink w:anchor="__RefHeading___Toc4264812_3804643083">
            <w:r>
              <w:rPr>
                <w:webHidden/>
                <w:rStyle w:val="IndexLink"/>
                <w:rtl w:val="true"/>
              </w:rPr>
              <w:t>حول الرسالة</w:t>
            </w:r>
            <w:r>
              <w:rPr>
                <w:rStyle w:val="IndexLink"/>
                <w:rtl w:val="true"/>
              </w:rPr>
              <w:tab/>
            </w:r>
            <w:r>
              <w:rPr>
                <w:rStyle w:val="IndexLink"/>
              </w:rPr>
              <w:t>12</w:t>
            </w:r>
          </w:hyperlink>
        </w:p>
        <w:p>
          <w:pPr>
            <w:pStyle w:val="Contents2"/>
            <w:tabs>
              <w:tab w:val="clear" w:pos="8743"/>
              <w:tab w:val="right" w:pos="9026" w:leader="dot"/>
            </w:tabs>
            <w:rPr/>
          </w:pPr>
          <w:hyperlink w:anchor="__RefHeading___Toc4264814_3804643083">
            <w:r>
              <w:rPr>
                <w:webHidden/>
                <w:rStyle w:val="IndexLink"/>
                <w:rtl w:val="true"/>
              </w:rPr>
              <w:t>[</w:t>
            </w:r>
            <w:r>
              <w:rPr>
                <w:rStyle w:val="IndexLink"/>
                <w:rtl w:val="true"/>
              </w:rPr>
              <w:t>مقدمة المصنف</w:t>
            </w:r>
            <w:r>
              <w:rPr>
                <w:rStyle w:val="IndexLink"/>
                <w:rtl w:val="true"/>
              </w:rPr>
              <w:t>]</w:t>
              <w:tab/>
            </w:r>
            <w:r>
              <w:rPr>
                <w:rStyle w:val="IndexLink"/>
              </w:rPr>
              <w:t>26</w:t>
            </w:r>
          </w:hyperlink>
        </w:p>
        <w:p>
          <w:pPr>
            <w:pStyle w:val="Contents2"/>
            <w:tabs>
              <w:tab w:val="clear" w:pos="8743"/>
              <w:tab w:val="right" w:pos="9026" w:leader="dot"/>
            </w:tabs>
            <w:rPr/>
          </w:pPr>
          <w:hyperlink w:anchor="__RefHeading___Toc4264816_3804643083">
            <w:r>
              <w:rPr>
                <w:webHidden/>
                <w:rStyle w:val="IndexLink"/>
                <w:rtl w:val="true"/>
              </w:rPr>
              <w:t xml:space="preserve">المسألة الأولى </w:t>
            </w:r>
            <w:r>
              <w:rPr>
                <w:rStyle w:val="IndexLink"/>
                <w:rtl w:val="true"/>
              </w:rPr>
              <w:t>: [</w:t>
            </w:r>
            <w:r>
              <w:rPr>
                <w:rStyle w:val="IndexLink"/>
                <w:rtl w:val="true"/>
              </w:rPr>
              <w:t>الاعتقاد في الأصوليين، وجواز الاختلاف في الفروع</w:t>
            </w:r>
            <w:r>
              <w:rPr>
                <w:rStyle w:val="IndexLink"/>
                <w:rtl w:val="true"/>
              </w:rPr>
              <w:t>]</w:t>
              <w:tab/>
            </w:r>
            <w:r>
              <w:rPr>
                <w:rStyle w:val="IndexLink"/>
              </w:rPr>
              <w:t>28</w:t>
            </w:r>
          </w:hyperlink>
        </w:p>
        <w:p>
          <w:pPr>
            <w:pStyle w:val="Contents3"/>
            <w:tabs>
              <w:tab w:val="clear" w:pos="8459"/>
              <w:tab w:val="right" w:pos="9026" w:leader="dot"/>
            </w:tabs>
            <w:rPr/>
          </w:pPr>
          <w:hyperlink w:anchor="__RefHeading___Toc4264818_380464308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264820_3804643083">
            <w:r>
              <w:rPr>
                <w:webHidden/>
                <w:rStyle w:val="IndexLink"/>
                <w:rtl w:val="true"/>
              </w:rPr>
              <w:t>[</w:t>
            </w:r>
            <w:r>
              <w:rPr>
                <w:rStyle w:val="IndexLink"/>
                <w:rtl w:val="true"/>
              </w:rPr>
              <w:t xml:space="preserve">طريقة المخالفين وباعث الانحراف عن الجادة </w:t>
            </w:r>
            <w:r>
              <w:rPr>
                <w:rStyle w:val="IndexLink"/>
                <w:rtl w:val="true"/>
              </w:rPr>
              <w:t>]</w:t>
              <w:tab/>
            </w:r>
            <w:r>
              <w:rPr>
                <w:rStyle w:val="IndexLink"/>
              </w:rPr>
              <w:t>39</w:t>
            </w:r>
          </w:hyperlink>
        </w:p>
        <w:p>
          <w:pPr>
            <w:pStyle w:val="Contents3"/>
            <w:tabs>
              <w:tab w:val="clear" w:pos="8459"/>
              <w:tab w:val="right" w:pos="9026" w:leader="dot"/>
            </w:tabs>
            <w:rPr/>
          </w:pPr>
          <w:hyperlink w:anchor="__RefHeading___Toc4264822_3804643083">
            <w:r>
              <w:rPr>
                <w:webHidden/>
                <w:rStyle w:val="IndexLink"/>
                <w:rtl w:val="true"/>
              </w:rPr>
              <w:t>[</w:t>
            </w:r>
            <w:r>
              <w:rPr>
                <w:rStyle w:val="IndexLink"/>
                <w:rtl w:val="true"/>
              </w:rPr>
              <w:t>طريقة الفرقة المحقة من الصدر الأول حتى نهاية الغيبة الكبرى</w:t>
            </w:r>
            <w:r>
              <w:rPr>
                <w:rStyle w:val="IndexLink"/>
                <w:rtl w:val="true"/>
              </w:rPr>
              <w:t>]</w:t>
              <w:tab/>
            </w:r>
            <w:r>
              <w:rPr>
                <w:rStyle w:val="IndexLink"/>
              </w:rPr>
              <w:t>45</w:t>
            </w:r>
          </w:hyperlink>
        </w:p>
        <w:p>
          <w:pPr>
            <w:pStyle w:val="Contents3"/>
            <w:tabs>
              <w:tab w:val="clear" w:pos="8459"/>
              <w:tab w:val="right" w:pos="9026" w:leader="dot"/>
            </w:tabs>
            <w:rPr/>
          </w:pPr>
          <w:hyperlink w:anchor="__RefHeading___Toc4264824_3804643083">
            <w:r>
              <w:rPr>
                <w:webHidden/>
                <w:rStyle w:val="IndexLink"/>
                <w:rtl w:val="true"/>
              </w:rPr>
              <w:t>[</w:t>
            </w:r>
            <w:r>
              <w:rPr>
                <w:rStyle w:val="IndexLink"/>
                <w:rtl w:val="true"/>
              </w:rPr>
              <w:t>الحال من بداية الغيبة الكبرى حتى نهاية القرن السادس الهجري</w:t>
            </w:r>
            <w:r>
              <w:rPr>
                <w:rStyle w:val="IndexLink"/>
                <w:rtl w:val="true"/>
              </w:rPr>
              <w:t>]</w:t>
              <w:tab/>
            </w:r>
            <w:r>
              <w:rPr>
                <w:rStyle w:val="IndexLink"/>
              </w:rPr>
              <w:t>49</w:t>
            </w:r>
          </w:hyperlink>
        </w:p>
        <w:p>
          <w:pPr>
            <w:pStyle w:val="Contents3"/>
            <w:tabs>
              <w:tab w:val="clear" w:pos="8459"/>
              <w:tab w:val="right" w:pos="9026" w:leader="dot"/>
            </w:tabs>
            <w:rPr/>
          </w:pPr>
          <w:hyperlink w:anchor="__RefHeading___Toc4264826_3804643083">
            <w:r>
              <w:rPr>
                <w:webHidden/>
                <w:rStyle w:val="IndexLink"/>
                <w:rtl w:val="true"/>
              </w:rPr>
              <w:t xml:space="preserve">[ </w:t>
            </w:r>
            <w:r>
              <w:rPr>
                <w:rStyle w:val="IndexLink"/>
                <w:rtl w:val="true"/>
              </w:rPr>
              <w:t>عصر العلامة الحلي</w:t>
            </w:r>
            <w:r>
              <w:rPr>
                <w:rStyle w:val="IndexLink"/>
                <w:rtl w:val="true"/>
              </w:rPr>
              <w:t>]</w:t>
              <w:tab/>
            </w:r>
            <w:r>
              <w:rPr>
                <w:rStyle w:val="IndexLink"/>
              </w:rPr>
              <w:t>54</w:t>
            </w:r>
          </w:hyperlink>
        </w:p>
        <w:p>
          <w:pPr>
            <w:pStyle w:val="Contents3"/>
            <w:tabs>
              <w:tab w:val="clear" w:pos="8459"/>
              <w:tab w:val="right" w:pos="9026" w:leader="dot"/>
            </w:tabs>
            <w:rPr/>
          </w:pPr>
          <w:hyperlink w:anchor="__RefHeading___Toc4264828_3804643083">
            <w:r>
              <w:rPr>
                <w:webHidden/>
                <w:rStyle w:val="IndexLink"/>
                <w:rtl w:val="true"/>
              </w:rPr>
              <w:t>[</w:t>
            </w:r>
            <w:r>
              <w:rPr>
                <w:rStyle w:val="IndexLink"/>
                <w:rtl w:val="true"/>
              </w:rPr>
              <w:t>عصر الشيخ حسن ابن الشهيد الثاني والعودة للطريقة الأولى</w:t>
            </w:r>
            <w:r>
              <w:rPr>
                <w:rStyle w:val="IndexLink"/>
                <w:rtl w:val="true"/>
              </w:rPr>
              <w:t>]</w:t>
              <w:tab/>
            </w:r>
            <w:r>
              <w:rPr>
                <w:rStyle w:val="IndexLink"/>
              </w:rPr>
              <w:t>56</w:t>
            </w:r>
          </w:hyperlink>
        </w:p>
        <w:p>
          <w:pPr>
            <w:pStyle w:val="Contents3"/>
            <w:tabs>
              <w:tab w:val="clear" w:pos="8459"/>
              <w:tab w:val="right" w:pos="9026" w:leader="dot"/>
            </w:tabs>
            <w:rPr/>
          </w:pPr>
          <w:hyperlink w:anchor="__RefHeading___Toc4264830_3804643083">
            <w:r>
              <w:rPr>
                <w:webHidden/>
                <w:rStyle w:val="IndexLink"/>
                <w:rtl w:val="true"/>
              </w:rPr>
              <w:t>[</w:t>
            </w:r>
            <w:r>
              <w:rPr>
                <w:rStyle w:val="IndexLink"/>
                <w:rtl w:val="true"/>
              </w:rPr>
              <w:t>النصوص الدالة على أحقية مذهب أهل الصدر الأول</w:t>
            </w:r>
            <w:r>
              <w:rPr>
                <w:rStyle w:val="IndexLink"/>
                <w:rtl w:val="true"/>
              </w:rPr>
              <w:t>]</w:t>
              <w:tab/>
            </w:r>
            <w:r>
              <w:rPr>
                <w:rStyle w:val="IndexLink"/>
              </w:rPr>
              <w:t>58</w:t>
            </w:r>
          </w:hyperlink>
        </w:p>
        <w:p>
          <w:pPr>
            <w:pStyle w:val="Contents3"/>
            <w:tabs>
              <w:tab w:val="clear" w:pos="8459"/>
              <w:tab w:val="right" w:pos="9026" w:leader="dot"/>
            </w:tabs>
            <w:rPr/>
          </w:pPr>
          <w:hyperlink w:anchor="__RefHeading___Toc4264832_3804643083">
            <w:r>
              <w:rPr>
                <w:webHidden/>
                <w:rStyle w:val="IndexLink"/>
                <w:rtl w:val="true"/>
              </w:rPr>
              <w:t>[</w:t>
            </w:r>
            <w:r>
              <w:rPr>
                <w:rStyle w:val="IndexLink"/>
                <w:rtl w:val="true"/>
              </w:rPr>
              <w:t>ما يؤيد القول بعدم صحة مذهب الاجتهاد</w:t>
            </w:r>
            <w:r>
              <w:rPr>
                <w:rStyle w:val="IndexLink"/>
                <w:rtl w:val="true"/>
              </w:rPr>
              <w:t>]</w:t>
              <w:tab/>
            </w:r>
            <w:r>
              <w:rPr>
                <w:rStyle w:val="IndexLink"/>
              </w:rPr>
              <w:t>74</w:t>
            </w:r>
          </w:hyperlink>
        </w:p>
        <w:p>
          <w:pPr>
            <w:pStyle w:val="Contents3"/>
            <w:tabs>
              <w:tab w:val="clear" w:pos="8459"/>
              <w:tab w:val="right" w:pos="9026" w:leader="dot"/>
            </w:tabs>
            <w:rPr/>
          </w:pPr>
          <w:hyperlink w:anchor="__RefHeading___Toc4264834_3804643083">
            <w:r>
              <w:rPr>
                <w:webHidden/>
                <w:rStyle w:val="IndexLink"/>
                <w:rtl w:val="true"/>
              </w:rPr>
              <w:t>[</w:t>
            </w:r>
            <w:r>
              <w:rPr>
                <w:rStyle w:val="IndexLink"/>
                <w:rtl w:val="true"/>
              </w:rPr>
              <w:t xml:space="preserve">كلام في قطعية الأخبار و دلالتها </w:t>
            </w:r>
            <w:r>
              <w:rPr>
                <w:rStyle w:val="IndexLink"/>
                <w:rtl w:val="true"/>
              </w:rPr>
              <w:t>]</w:t>
              <w:tab/>
            </w:r>
            <w:r>
              <w:rPr>
                <w:rStyle w:val="IndexLink"/>
              </w:rPr>
              <w:t>83</w:t>
            </w:r>
          </w:hyperlink>
        </w:p>
        <w:p>
          <w:pPr>
            <w:pStyle w:val="Contents3"/>
            <w:tabs>
              <w:tab w:val="clear" w:pos="8459"/>
              <w:tab w:val="right" w:pos="9026" w:leader="dot"/>
            </w:tabs>
            <w:rPr/>
          </w:pPr>
          <w:hyperlink w:anchor="__RefHeading___Toc4264836_3804643083">
            <w:r>
              <w:rPr>
                <w:webHidden/>
                <w:rStyle w:val="IndexLink"/>
                <w:rtl w:val="true"/>
              </w:rPr>
              <w:t>[</w:t>
            </w:r>
            <w:r>
              <w:rPr>
                <w:rStyle w:val="IndexLink"/>
                <w:rtl w:val="true"/>
              </w:rPr>
              <w:t>في توجيه ما وقع من ذم الأخباريين للمجتهدين</w:t>
            </w:r>
            <w:r>
              <w:rPr>
                <w:rStyle w:val="IndexLink"/>
                <w:rtl w:val="true"/>
              </w:rPr>
              <w:t>]</w:t>
              <w:tab/>
            </w:r>
            <w:r>
              <w:rPr>
                <w:rStyle w:val="IndexLink"/>
              </w:rPr>
              <w:t>94</w:t>
            </w:r>
          </w:hyperlink>
        </w:p>
        <w:p>
          <w:pPr>
            <w:pStyle w:val="Contents3"/>
            <w:tabs>
              <w:tab w:val="clear" w:pos="8459"/>
              <w:tab w:val="right" w:pos="9026" w:leader="dot"/>
            </w:tabs>
            <w:rPr/>
          </w:pPr>
          <w:hyperlink w:anchor="__RefHeading___Toc4264838_3804643083">
            <w:r>
              <w:rPr>
                <w:webHidden/>
                <w:rStyle w:val="IndexLink"/>
                <w:rtl w:val="true"/>
              </w:rPr>
              <w:t>[</w:t>
            </w:r>
            <w:r>
              <w:rPr>
                <w:rStyle w:val="IndexLink"/>
                <w:rtl w:val="true"/>
              </w:rPr>
              <w:t>في الاختلاف في الفروع</w:t>
            </w:r>
            <w:r>
              <w:rPr>
                <w:rStyle w:val="IndexLink"/>
                <w:rtl w:val="true"/>
              </w:rPr>
              <w:t>]</w:t>
              <w:tab/>
            </w:r>
            <w:r>
              <w:rPr>
                <w:rStyle w:val="IndexLink"/>
              </w:rPr>
              <w:t>103</w:t>
            </w:r>
          </w:hyperlink>
        </w:p>
        <w:p>
          <w:pPr>
            <w:pStyle w:val="Contents2"/>
            <w:tabs>
              <w:tab w:val="clear" w:pos="8743"/>
              <w:tab w:val="right" w:pos="9026" w:leader="dot"/>
            </w:tabs>
            <w:rPr/>
          </w:pPr>
          <w:hyperlink w:anchor="__RefHeading___Toc4264840_3804643083">
            <w:r>
              <w:rPr>
                <w:webHidden/>
                <w:rStyle w:val="IndexLink"/>
                <w:rtl w:val="true"/>
              </w:rPr>
              <w:t xml:space="preserve">المسألة الثانية </w:t>
            </w:r>
            <w:r>
              <w:rPr>
                <w:rStyle w:val="IndexLink"/>
                <w:rtl w:val="true"/>
              </w:rPr>
              <w:t>: [</w:t>
            </w:r>
            <w:r>
              <w:rPr>
                <w:rStyle w:val="IndexLink"/>
                <w:rtl w:val="true"/>
              </w:rPr>
              <w:t xml:space="preserve">حول أمور متصلة بمقام الفقاهة </w:t>
            </w:r>
            <w:r>
              <w:rPr>
                <w:rStyle w:val="IndexLink"/>
                <w:rtl w:val="true"/>
              </w:rPr>
              <w:t>]</w:t>
              <w:tab/>
            </w:r>
            <w:r>
              <w:rPr>
                <w:rStyle w:val="IndexLink"/>
              </w:rPr>
              <w:t>116</w:t>
            </w:r>
          </w:hyperlink>
        </w:p>
        <w:p>
          <w:pPr>
            <w:pStyle w:val="Contents3"/>
            <w:tabs>
              <w:tab w:val="clear" w:pos="8459"/>
              <w:tab w:val="right" w:pos="9026" w:leader="dot"/>
            </w:tabs>
            <w:rPr/>
          </w:pPr>
          <w:hyperlink w:anchor="__RefHeading___Toc4264842_380464308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4264844_3804643083">
            <w:r>
              <w:rPr>
                <w:webHidden/>
                <w:rStyle w:val="IndexLink"/>
                <w:rtl w:val="true"/>
              </w:rPr>
              <w:t>الجواب، و منه سبحانه استفاضة الصواب</w:t>
            </w:r>
            <w:r>
              <w:rPr>
                <w:rStyle w:val="IndexLink"/>
                <w:rtl w:val="true"/>
              </w:rPr>
              <w:tab/>
            </w:r>
            <w:r>
              <w:rPr>
                <w:rStyle w:val="IndexLink"/>
              </w:rPr>
              <w:t>119</w:t>
            </w:r>
          </w:hyperlink>
        </w:p>
        <w:p>
          <w:pPr>
            <w:pStyle w:val="Contents3"/>
            <w:tabs>
              <w:tab w:val="clear" w:pos="8459"/>
              <w:tab w:val="right" w:pos="9026" w:leader="dot"/>
            </w:tabs>
            <w:rPr/>
          </w:pPr>
          <w:hyperlink w:anchor="__RefHeading___Toc4264846_3804643083">
            <w:r>
              <w:rPr>
                <w:webHidden/>
                <w:rStyle w:val="IndexLink"/>
                <w:rtl w:val="true"/>
              </w:rPr>
              <w:t xml:space="preserve">[ </w:t>
            </w:r>
            <w:r>
              <w:rPr>
                <w:rStyle w:val="IndexLink"/>
                <w:rtl w:val="true"/>
              </w:rPr>
              <w:t xml:space="preserve">تحقيق شرائط الفقيه </w:t>
            </w:r>
            <w:r>
              <w:rPr>
                <w:rStyle w:val="IndexLink"/>
                <w:rtl w:val="true"/>
              </w:rPr>
              <w:t>]</w:t>
              <w:tab/>
            </w:r>
            <w:r>
              <w:rPr>
                <w:rStyle w:val="IndexLink"/>
              </w:rPr>
              <w:t>135</w:t>
            </w:r>
          </w:hyperlink>
        </w:p>
        <w:p>
          <w:pPr>
            <w:pStyle w:val="Contents4"/>
            <w:tabs>
              <w:tab w:val="clear" w:pos="8176"/>
              <w:tab w:val="right" w:pos="9026" w:leader="dot"/>
            </w:tabs>
            <w:rPr/>
          </w:pPr>
          <w:hyperlink w:anchor="__RefHeading___Toc4264848_380464308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4264850_3804643083">
            <w:r>
              <w:rPr>
                <w:webHidden/>
                <w:rStyle w:val="IndexLink"/>
                <w:rtl w:val="true"/>
              </w:rPr>
              <w:t>المقام الأول</w:t>
            </w:r>
            <w:r>
              <w:rPr>
                <w:rStyle w:val="IndexLink"/>
                <w:rtl w:val="true"/>
              </w:rPr>
              <w:t>:</w:t>
              <w:tab/>
            </w:r>
            <w:r>
              <w:rPr>
                <w:rStyle w:val="IndexLink"/>
              </w:rPr>
              <w:t>136</w:t>
            </w:r>
          </w:hyperlink>
        </w:p>
        <w:p>
          <w:pPr>
            <w:pStyle w:val="Contents4"/>
            <w:tabs>
              <w:tab w:val="clear" w:pos="8176"/>
              <w:tab w:val="right" w:pos="9026" w:leader="dot"/>
            </w:tabs>
            <w:rPr/>
          </w:pPr>
          <w:hyperlink w:anchor="__RefHeading___Toc4264852_3804643083">
            <w:r>
              <w:rPr>
                <w:webHidden/>
                <w:rStyle w:val="IndexLink"/>
                <w:rtl w:val="true"/>
              </w:rPr>
              <w:t>المقام الثاني</w:t>
            </w:r>
            <w:r>
              <w:rPr>
                <w:rStyle w:val="IndexLink"/>
                <w:rtl w:val="true"/>
              </w:rPr>
              <w:t>:</w:t>
              <w:tab/>
            </w:r>
            <w:r>
              <w:rPr>
                <w:rStyle w:val="IndexLink"/>
              </w:rPr>
              <w:t>141</w:t>
            </w:r>
          </w:hyperlink>
        </w:p>
        <w:p>
          <w:pPr>
            <w:pStyle w:val="Contents4"/>
            <w:tabs>
              <w:tab w:val="clear" w:pos="8176"/>
              <w:tab w:val="right" w:pos="9026" w:leader="dot"/>
            </w:tabs>
            <w:rPr/>
          </w:pPr>
          <w:hyperlink w:anchor="__RefHeading___Toc4264854_3804643083">
            <w:r>
              <w:rPr>
                <w:webHidden/>
                <w:rStyle w:val="IndexLink"/>
                <w:rtl w:val="true"/>
              </w:rPr>
              <w:t>المقام الثالث</w:t>
            </w:r>
            <w:r>
              <w:rPr>
                <w:rStyle w:val="IndexLink"/>
                <w:rtl w:val="true"/>
              </w:rPr>
              <w:tab/>
            </w:r>
            <w:r>
              <w:rPr>
                <w:rStyle w:val="IndexLink"/>
              </w:rPr>
              <w:t>146</w:t>
            </w:r>
          </w:hyperlink>
        </w:p>
        <w:p>
          <w:pPr>
            <w:pStyle w:val="Contents3"/>
            <w:tabs>
              <w:tab w:val="clear" w:pos="8459"/>
              <w:tab w:val="right" w:pos="9026" w:leader="dot"/>
            </w:tabs>
            <w:rPr/>
          </w:pPr>
          <w:hyperlink w:anchor="__RefHeading___Toc4264856_3804643083">
            <w:r>
              <w:rPr>
                <w:webHidden/>
                <w:rStyle w:val="IndexLink"/>
                <w:rtl w:val="true"/>
              </w:rPr>
              <w:t>[</w:t>
            </w:r>
            <w:r>
              <w:rPr>
                <w:rStyle w:val="IndexLink"/>
                <w:rtl w:val="true"/>
              </w:rPr>
              <w:t>بيان حال التفقه في هذا الزمان</w:t>
            </w:r>
            <w:r>
              <w:rPr>
                <w:rStyle w:val="IndexLink"/>
                <w:rtl w:val="true"/>
              </w:rPr>
              <w:t>]</w:t>
              <w:tab/>
            </w:r>
            <w:r>
              <w:rPr>
                <w:rStyle w:val="IndexLink"/>
              </w:rPr>
              <w:t>153</w:t>
            </w:r>
          </w:hyperlink>
        </w:p>
        <w:p>
          <w:pPr>
            <w:pStyle w:val="Contents4"/>
            <w:tabs>
              <w:tab w:val="clear" w:pos="8176"/>
              <w:tab w:val="right" w:pos="9026" w:leader="dot"/>
            </w:tabs>
            <w:rPr/>
          </w:pPr>
          <w:hyperlink w:anchor="__RefHeading___Toc4264858_3804643083">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4264860_3804643083">
            <w:r>
              <w:rPr>
                <w:webHidden/>
                <w:rStyle w:val="IndexLink"/>
                <w:rtl w:val="true"/>
              </w:rPr>
              <w:t>[</w:t>
            </w:r>
            <w:r>
              <w:rPr>
                <w:rStyle w:val="IndexLink"/>
                <w:rtl w:val="true"/>
              </w:rPr>
              <w:t>في طريق استعلام الفقاهة</w:t>
            </w:r>
            <w:r>
              <w:rPr>
                <w:rStyle w:val="IndexLink"/>
                <w:rtl w:val="true"/>
              </w:rPr>
              <w:t>]</w:t>
              <w:tab/>
            </w:r>
            <w:r>
              <w:rPr>
                <w:rStyle w:val="IndexLink"/>
              </w:rPr>
              <w:t>160</w:t>
            </w:r>
          </w:hyperlink>
        </w:p>
        <w:p>
          <w:pPr>
            <w:pStyle w:val="Contents2"/>
            <w:tabs>
              <w:tab w:val="clear" w:pos="8743"/>
              <w:tab w:val="right" w:pos="9026" w:leader="dot"/>
            </w:tabs>
            <w:rPr/>
          </w:pPr>
          <w:hyperlink w:anchor="__RefHeading___Toc4264862_3804643083">
            <w:r>
              <w:rPr>
                <w:webHidden/>
                <w:rStyle w:val="IndexLink"/>
                <w:rtl w:val="true"/>
              </w:rPr>
              <w:t xml:space="preserve">المسألة الثالثة </w:t>
            </w:r>
            <w:r>
              <w:rPr>
                <w:rStyle w:val="IndexLink"/>
                <w:rtl w:val="true"/>
              </w:rPr>
              <w:t>: [</w:t>
            </w:r>
            <w:r>
              <w:rPr>
                <w:rStyle w:val="IndexLink"/>
                <w:rtl w:val="true"/>
              </w:rPr>
              <w:t>في بعض أحكام من يصلي خلف من لا يقتدي به</w:t>
            </w:r>
            <w:r>
              <w:rPr>
                <w:rStyle w:val="IndexLink"/>
                <w:rtl w:val="true"/>
              </w:rPr>
              <w:t>]</w:t>
              <w:tab/>
            </w:r>
            <w:r>
              <w:rPr>
                <w:rStyle w:val="IndexLink"/>
              </w:rPr>
              <w:t>168</w:t>
            </w:r>
          </w:hyperlink>
        </w:p>
        <w:p>
          <w:pPr>
            <w:pStyle w:val="Contents3"/>
            <w:tabs>
              <w:tab w:val="clear" w:pos="8459"/>
              <w:tab w:val="right" w:pos="9026" w:leader="dot"/>
            </w:tabs>
            <w:rPr/>
          </w:pPr>
          <w:hyperlink w:anchor="__RefHeading___Toc4264864_380464308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4264866_3804643083">
            <w:r>
              <w:rPr>
                <w:webHidden/>
                <w:rStyle w:val="IndexLink"/>
                <w:rtl w:val="true"/>
              </w:rPr>
              <w:t>[</w:t>
            </w:r>
            <w:r>
              <w:rPr>
                <w:rStyle w:val="IndexLink"/>
                <w:rtl w:val="true"/>
              </w:rPr>
              <w:t>عموم روايات الاقتداء للفاسق والناصب وشبههما</w:t>
            </w:r>
            <w:r>
              <w:rPr>
                <w:rStyle w:val="IndexLink"/>
                <w:rtl w:val="true"/>
              </w:rPr>
              <w:t>]</w:t>
              <w:tab/>
            </w:r>
            <w:r>
              <w:rPr>
                <w:rStyle w:val="IndexLink"/>
              </w:rPr>
              <w:t>168</w:t>
            </w:r>
          </w:hyperlink>
        </w:p>
        <w:p>
          <w:pPr>
            <w:pStyle w:val="Contents3"/>
            <w:tabs>
              <w:tab w:val="clear" w:pos="8459"/>
              <w:tab w:val="right" w:pos="9026" w:leader="dot"/>
            </w:tabs>
            <w:rPr/>
          </w:pPr>
          <w:hyperlink w:anchor="__RefHeading___Toc4264868_3804643083">
            <w:r>
              <w:rPr>
                <w:webHidden/>
                <w:rStyle w:val="IndexLink"/>
                <w:rtl w:val="true"/>
              </w:rPr>
              <w:t>[</w:t>
            </w:r>
            <w:r>
              <w:rPr>
                <w:rStyle w:val="IndexLink"/>
                <w:rtl w:val="true"/>
              </w:rPr>
              <w:t>أخبار المنع من القدوة ووجه الجمع بينها وبين ما تقدم</w:t>
            </w:r>
            <w:r>
              <w:rPr>
                <w:rStyle w:val="IndexLink"/>
                <w:rtl w:val="true"/>
              </w:rPr>
              <w:t>]</w:t>
              <w:tab/>
            </w:r>
            <w:r>
              <w:rPr>
                <w:rStyle w:val="IndexLink"/>
              </w:rPr>
              <w:t>175</w:t>
            </w:r>
          </w:hyperlink>
        </w:p>
        <w:p>
          <w:pPr>
            <w:pStyle w:val="Contents3"/>
            <w:tabs>
              <w:tab w:val="clear" w:pos="8459"/>
              <w:tab w:val="right" w:pos="9026" w:leader="dot"/>
            </w:tabs>
            <w:rPr/>
          </w:pPr>
          <w:hyperlink w:anchor="__RefHeading___Toc4264870_3804643083">
            <w:r>
              <w:rPr>
                <w:webHidden/>
                <w:rStyle w:val="IndexLink"/>
                <w:rtl w:val="true"/>
              </w:rPr>
              <w:t>[</w:t>
            </w:r>
            <w:r>
              <w:rPr>
                <w:rStyle w:val="IndexLink"/>
                <w:rtl w:val="true"/>
              </w:rPr>
              <w:t>رفع التعارض بين هذه الأخبار وما يعارضها</w:t>
            </w:r>
            <w:r>
              <w:rPr>
                <w:rStyle w:val="IndexLink"/>
                <w:rtl w:val="true"/>
              </w:rPr>
              <w:t>]</w:t>
              <w:tab/>
            </w:r>
            <w:r>
              <w:rPr>
                <w:rStyle w:val="IndexLink"/>
              </w:rPr>
              <w:t>179</w:t>
            </w:r>
          </w:hyperlink>
        </w:p>
        <w:p>
          <w:pPr>
            <w:pStyle w:val="Contents2"/>
            <w:tabs>
              <w:tab w:val="clear" w:pos="8743"/>
              <w:tab w:val="right" w:pos="9026" w:leader="dot"/>
            </w:tabs>
            <w:rPr/>
          </w:pPr>
          <w:hyperlink w:anchor="__RefHeading___Toc4264872_3804643083">
            <w:r>
              <w:rPr>
                <w:webHidden/>
                <w:rStyle w:val="IndexLink"/>
                <w:rtl w:val="true"/>
              </w:rPr>
              <w:t xml:space="preserve">المسألة الرابعة </w:t>
            </w:r>
            <w:r>
              <w:rPr>
                <w:rStyle w:val="IndexLink"/>
                <w:rtl w:val="true"/>
              </w:rPr>
              <w:t>: [</w:t>
            </w:r>
            <w:r>
              <w:rPr>
                <w:rStyle w:val="IndexLink"/>
                <w:rtl w:val="true"/>
              </w:rPr>
              <w:t>في تحقيق معنى العصير المحرم عند غليانه</w:t>
            </w:r>
            <w:r>
              <w:rPr>
                <w:rStyle w:val="IndexLink"/>
                <w:rtl w:val="true"/>
              </w:rPr>
              <w:t>]</w:t>
              <w:tab/>
            </w:r>
            <w:r>
              <w:rPr>
                <w:rStyle w:val="IndexLink"/>
              </w:rPr>
              <w:t>186</w:t>
            </w:r>
          </w:hyperlink>
        </w:p>
        <w:p>
          <w:pPr>
            <w:pStyle w:val="Contents3"/>
            <w:tabs>
              <w:tab w:val="clear" w:pos="8459"/>
              <w:tab w:val="right" w:pos="9026" w:leader="dot"/>
            </w:tabs>
            <w:rPr/>
          </w:pPr>
          <w:hyperlink w:anchor="__RefHeading___Toc4264874_3804643083">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4264876_3804643083">
            <w:r>
              <w:rPr>
                <w:webHidden/>
                <w:rStyle w:val="IndexLink"/>
                <w:rtl w:val="true"/>
              </w:rPr>
              <w:t>[</w:t>
            </w:r>
            <w:r>
              <w:rPr>
                <w:rStyle w:val="IndexLink"/>
                <w:rtl w:val="true"/>
              </w:rPr>
              <w:t>ذكر الأدلة الواردة في المسألة</w:t>
            </w:r>
            <w:r>
              <w:rPr>
                <w:rStyle w:val="IndexLink"/>
                <w:rtl w:val="true"/>
              </w:rPr>
              <w:t>]</w:t>
              <w:tab/>
            </w:r>
            <w:r>
              <w:rPr>
                <w:rStyle w:val="IndexLink"/>
              </w:rPr>
              <w:t>187</w:t>
            </w:r>
          </w:hyperlink>
        </w:p>
        <w:p>
          <w:pPr>
            <w:pStyle w:val="Contents3"/>
            <w:tabs>
              <w:tab w:val="clear" w:pos="8459"/>
              <w:tab w:val="right" w:pos="9026" w:leader="dot"/>
            </w:tabs>
            <w:rPr/>
          </w:pPr>
          <w:hyperlink w:anchor="__RefHeading___Toc4264878_3804643083">
            <w:r>
              <w:rPr>
                <w:webHidden/>
                <w:rStyle w:val="IndexLink"/>
                <w:rtl w:val="true"/>
              </w:rPr>
              <w:t>[</w:t>
            </w:r>
            <w:r>
              <w:rPr>
                <w:rStyle w:val="IndexLink"/>
                <w:rtl w:val="true"/>
              </w:rPr>
              <w:t>دعوى الوضع الشرعي في لفظ العصير</w:t>
            </w:r>
            <w:r>
              <w:rPr>
                <w:rStyle w:val="IndexLink"/>
                <w:rtl w:val="true"/>
              </w:rPr>
              <w:t>]</w:t>
              <w:tab/>
            </w:r>
            <w:r>
              <w:rPr>
                <w:rStyle w:val="IndexLink"/>
              </w:rPr>
              <w:t>196</w:t>
            </w:r>
          </w:hyperlink>
        </w:p>
        <w:p>
          <w:pPr>
            <w:pStyle w:val="Contents3"/>
            <w:tabs>
              <w:tab w:val="clear" w:pos="8459"/>
              <w:tab w:val="right" w:pos="9026" w:leader="dot"/>
            </w:tabs>
            <w:rPr/>
          </w:pPr>
          <w:hyperlink w:anchor="__RefHeading___Toc4264880_3804643083">
            <w:r>
              <w:rPr>
                <w:webHidden/>
                <w:rStyle w:val="IndexLink"/>
                <w:rtl w:val="true"/>
              </w:rPr>
              <w:t>[</w:t>
            </w:r>
            <w:r>
              <w:rPr>
                <w:rStyle w:val="IndexLink"/>
                <w:rtl w:val="true"/>
              </w:rPr>
              <w:t>المذهب المختار فى حقيقة العصير</w:t>
            </w:r>
            <w:r>
              <w:rPr>
                <w:rStyle w:val="IndexLink"/>
                <w:rtl w:val="true"/>
              </w:rPr>
              <w:t>]</w:t>
              <w:tab/>
            </w:r>
            <w:r>
              <w:rPr>
                <w:rStyle w:val="IndexLink"/>
              </w:rPr>
              <w:t>200</w:t>
            </w:r>
          </w:hyperlink>
        </w:p>
        <w:p>
          <w:pPr>
            <w:pStyle w:val="Contents3"/>
            <w:tabs>
              <w:tab w:val="clear" w:pos="8459"/>
              <w:tab w:val="right" w:pos="9026" w:leader="dot"/>
            </w:tabs>
            <w:rPr/>
          </w:pPr>
          <w:hyperlink w:anchor="__RefHeading___Toc4264882_3804643083">
            <w:r>
              <w:rPr>
                <w:webHidden/>
                <w:rStyle w:val="IndexLink"/>
                <w:rtl w:val="true"/>
              </w:rPr>
              <w:t>[</w:t>
            </w:r>
            <w:r>
              <w:rPr>
                <w:rStyle w:val="IndexLink"/>
                <w:rtl w:val="true"/>
              </w:rPr>
              <w:t xml:space="preserve">حكم العصير الزبيبي وأدلته </w:t>
            </w:r>
            <w:r>
              <w:rPr>
                <w:rStyle w:val="IndexLink"/>
                <w:rtl w:val="true"/>
              </w:rPr>
              <w:t>]</w:t>
              <w:tab/>
            </w:r>
            <w:r>
              <w:rPr>
                <w:rStyle w:val="IndexLink"/>
              </w:rPr>
              <w:t>204</w:t>
            </w:r>
          </w:hyperlink>
        </w:p>
        <w:p>
          <w:pPr>
            <w:pStyle w:val="Contents3"/>
            <w:tabs>
              <w:tab w:val="clear" w:pos="8459"/>
              <w:tab w:val="right" w:pos="9026" w:leader="dot"/>
            </w:tabs>
            <w:rPr/>
          </w:pPr>
          <w:hyperlink w:anchor="__RefHeading___Toc4264884_3804643083">
            <w:r>
              <w:rPr>
                <w:webHidden/>
                <w:rStyle w:val="IndexLink"/>
                <w:rtl w:val="true"/>
              </w:rPr>
              <w:t>[</w:t>
            </w:r>
            <w:r>
              <w:rPr>
                <w:rStyle w:val="IndexLink"/>
                <w:rtl w:val="true"/>
              </w:rPr>
              <w:t>المختار فى المسألة</w:t>
            </w:r>
            <w:r>
              <w:rPr>
                <w:rStyle w:val="IndexLink"/>
                <w:rtl w:val="true"/>
              </w:rPr>
              <w:t>]</w:t>
              <w:tab/>
            </w:r>
            <w:r>
              <w:rPr>
                <w:rStyle w:val="IndexLink"/>
              </w:rPr>
              <w:t>207</w:t>
            </w:r>
          </w:hyperlink>
        </w:p>
        <w:p>
          <w:pPr>
            <w:pStyle w:val="Contents3"/>
            <w:tabs>
              <w:tab w:val="clear" w:pos="8459"/>
              <w:tab w:val="right" w:pos="9026" w:leader="dot"/>
            </w:tabs>
            <w:rPr/>
          </w:pPr>
          <w:hyperlink w:anchor="__RefHeading___Toc4264886_3804643083">
            <w:r>
              <w:rPr>
                <w:webHidden/>
                <w:rStyle w:val="IndexLink"/>
                <w:rtl w:val="true"/>
              </w:rPr>
              <w:t>[</w:t>
            </w:r>
            <w:r>
              <w:rPr>
                <w:rStyle w:val="IndexLink"/>
                <w:rtl w:val="true"/>
              </w:rPr>
              <w:t>حكم العصير التمري و أدلته</w:t>
            </w:r>
            <w:r>
              <w:rPr>
                <w:rStyle w:val="IndexLink"/>
                <w:rtl w:val="true"/>
              </w:rPr>
              <w:t>]</w:t>
              <w:tab/>
            </w:r>
            <w:r>
              <w:rPr>
                <w:rStyle w:val="IndexLink"/>
              </w:rPr>
              <w:t>211</w:t>
            </w:r>
          </w:hyperlink>
        </w:p>
        <w:p>
          <w:pPr>
            <w:pStyle w:val="Contents3"/>
            <w:tabs>
              <w:tab w:val="clear" w:pos="8459"/>
              <w:tab w:val="right" w:pos="9026" w:leader="dot"/>
            </w:tabs>
            <w:rPr/>
          </w:pPr>
          <w:hyperlink w:anchor="__RefHeading___Toc4264888_3804643083">
            <w:r>
              <w:rPr>
                <w:webHidden/>
                <w:rStyle w:val="IndexLink"/>
                <w:rtl w:val="true"/>
              </w:rPr>
              <w:t>[</w:t>
            </w:r>
            <w:r>
              <w:rPr>
                <w:rStyle w:val="IndexLink"/>
                <w:rtl w:val="true"/>
              </w:rPr>
              <w:t>معنى الغليان و النشيش و ما يرتب الحرمة</w:t>
            </w:r>
            <w:r>
              <w:rPr>
                <w:rStyle w:val="IndexLink"/>
                <w:rtl w:val="true"/>
              </w:rPr>
              <w:t>]</w:t>
              <w:tab/>
            </w:r>
            <w:r>
              <w:rPr>
                <w:rStyle w:val="IndexLink"/>
              </w:rPr>
              <w:t>217</w:t>
            </w:r>
          </w:hyperlink>
        </w:p>
        <w:p>
          <w:pPr>
            <w:pStyle w:val="Contents3"/>
            <w:tabs>
              <w:tab w:val="clear" w:pos="8459"/>
              <w:tab w:val="right" w:pos="9026" w:leader="dot"/>
            </w:tabs>
            <w:rPr/>
          </w:pPr>
          <w:hyperlink w:anchor="__RefHeading___Toc4264890_3804643083">
            <w:r>
              <w:rPr>
                <w:webHidden/>
                <w:rStyle w:val="IndexLink"/>
                <w:rtl w:val="true"/>
              </w:rPr>
              <w:t>[</w:t>
            </w:r>
            <w:r>
              <w:rPr>
                <w:rStyle w:val="IndexLink"/>
                <w:rtl w:val="true"/>
              </w:rPr>
              <w:t>هل يعتبر في ذهاب الثلثين الوزن أو الكيل؟</w:t>
            </w:r>
            <w:r>
              <w:rPr>
                <w:rStyle w:val="IndexLink"/>
                <w:rtl w:val="true"/>
              </w:rPr>
              <w:t>]</w:t>
              <w:tab/>
            </w:r>
            <w:r>
              <w:rPr>
                <w:rStyle w:val="IndexLink"/>
              </w:rPr>
              <w:t>220</w:t>
            </w:r>
          </w:hyperlink>
        </w:p>
        <w:p>
          <w:pPr>
            <w:pStyle w:val="Contents2"/>
            <w:tabs>
              <w:tab w:val="clear" w:pos="8743"/>
              <w:tab w:val="right" w:pos="9026" w:leader="dot"/>
            </w:tabs>
            <w:rPr/>
          </w:pPr>
          <w:hyperlink w:anchor="__RefHeading___Toc4264892_3804643083">
            <w:r>
              <w:rPr>
                <w:webHidden/>
                <w:rStyle w:val="IndexLink"/>
                <w:rtl w:val="true"/>
              </w:rPr>
              <w:t xml:space="preserve">المسألة الخامسة </w:t>
            </w:r>
            <w:r>
              <w:rPr>
                <w:rStyle w:val="IndexLink"/>
                <w:rtl w:val="true"/>
              </w:rPr>
              <w:t>: [</w:t>
            </w:r>
            <w:r>
              <w:rPr>
                <w:rStyle w:val="IndexLink"/>
                <w:rtl w:val="true"/>
              </w:rPr>
              <w:t>حكم ممازجة العصير المحرم بغيره</w:t>
            </w:r>
            <w:r>
              <w:rPr>
                <w:rStyle w:val="IndexLink"/>
                <w:rtl w:val="true"/>
              </w:rPr>
              <w:t>]</w:t>
              <w:tab/>
            </w:r>
            <w:r>
              <w:rPr>
                <w:rStyle w:val="IndexLink"/>
              </w:rPr>
              <w:t>228</w:t>
            </w:r>
          </w:hyperlink>
        </w:p>
        <w:p>
          <w:pPr>
            <w:pStyle w:val="Contents2"/>
            <w:tabs>
              <w:tab w:val="clear" w:pos="8743"/>
              <w:tab w:val="right" w:pos="9026" w:leader="dot"/>
            </w:tabs>
            <w:rPr/>
          </w:pPr>
          <w:hyperlink w:anchor="__RefHeading___Toc4264894_3804643083">
            <w:r>
              <w:rPr>
                <w:webHidden/>
                <w:rStyle w:val="IndexLink"/>
                <w:rtl w:val="true"/>
              </w:rPr>
              <w:t xml:space="preserve">المسألة السادسة </w:t>
            </w:r>
            <w:r>
              <w:rPr>
                <w:rStyle w:val="IndexLink"/>
                <w:rtl w:val="true"/>
              </w:rPr>
              <w:t>: [</w:t>
            </w:r>
            <w:r>
              <w:rPr>
                <w:rStyle w:val="IndexLink"/>
                <w:rtl w:val="true"/>
              </w:rPr>
              <w:t>المخالفون</w:t>
            </w:r>
            <w:r>
              <w:rPr>
                <w:rStyle w:val="IndexLink"/>
                <w:rtl w:val="true"/>
              </w:rPr>
              <w:t xml:space="preserve">: </w:t>
            </w:r>
            <w:r>
              <w:rPr>
                <w:rStyle w:val="IndexLink"/>
                <w:rtl w:val="true"/>
              </w:rPr>
              <w:t>حكمهم ، و حكم معاملاتهم، و التمتع ببناتهم و نسائهم</w:t>
            </w:r>
            <w:r>
              <w:rPr>
                <w:rStyle w:val="IndexLink"/>
                <w:rtl w:val="true"/>
              </w:rPr>
              <w:t>]</w:t>
              <w:tab/>
            </w:r>
            <w:r>
              <w:rPr>
                <w:rStyle w:val="IndexLink"/>
              </w:rPr>
              <w:t>244</w:t>
            </w:r>
          </w:hyperlink>
        </w:p>
        <w:p>
          <w:pPr>
            <w:pStyle w:val="Contents3"/>
            <w:tabs>
              <w:tab w:val="clear" w:pos="8459"/>
              <w:tab w:val="right" w:pos="9026" w:leader="dot"/>
            </w:tabs>
            <w:rPr/>
          </w:pPr>
          <w:hyperlink w:anchor="__RefHeading___Toc4264896_380464308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4264898_3804643083">
            <w:r>
              <w:rPr>
                <w:webHidden/>
                <w:rStyle w:val="IndexLink"/>
                <w:rtl w:val="true"/>
              </w:rPr>
              <w:t>[</w:t>
            </w:r>
            <w:r>
              <w:rPr>
                <w:rStyle w:val="IndexLink"/>
                <w:rtl w:val="true"/>
              </w:rPr>
              <w:t>ظهور الأخبار المتواترة في كفر المخالف و شركه</w:t>
            </w:r>
            <w:r>
              <w:rPr>
                <w:rStyle w:val="IndexLink"/>
                <w:rtl w:val="true"/>
              </w:rPr>
              <w:t>]</w:t>
              <w:tab/>
            </w:r>
            <w:r>
              <w:rPr>
                <w:rStyle w:val="IndexLink"/>
              </w:rPr>
              <w:t>245</w:t>
            </w:r>
          </w:hyperlink>
        </w:p>
        <w:p>
          <w:pPr>
            <w:pStyle w:val="Contents3"/>
            <w:tabs>
              <w:tab w:val="clear" w:pos="8459"/>
              <w:tab w:val="right" w:pos="9026" w:leader="dot"/>
            </w:tabs>
            <w:rPr/>
          </w:pPr>
          <w:hyperlink w:anchor="__RefHeading___Toc4264900_3804643083">
            <w:r>
              <w:rPr>
                <w:webHidden/>
                <w:rStyle w:val="IndexLink"/>
                <w:rtl w:val="true"/>
              </w:rPr>
              <w:t>[</w:t>
            </w:r>
            <w:r>
              <w:rPr>
                <w:rStyle w:val="IndexLink"/>
                <w:rtl w:val="true"/>
              </w:rPr>
              <w:t>معنى الناصب</w:t>
            </w:r>
            <w:r>
              <w:rPr>
                <w:rStyle w:val="IndexLink"/>
                <w:rtl w:val="true"/>
              </w:rPr>
              <w:t>]</w:t>
              <w:tab/>
            </w:r>
            <w:r>
              <w:rPr>
                <w:rStyle w:val="IndexLink"/>
              </w:rPr>
              <w:t>256</w:t>
            </w:r>
          </w:hyperlink>
        </w:p>
        <w:p>
          <w:pPr>
            <w:pStyle w:val="Contents3"/>
            <w:tabs>
              <w:tab w:val="clear" w:pos="8459"/>
              <w:tab w:val="right" w:pos="9026" w:leader="dot"/>
            </w:tabs>
            <w:rPr/>
          </w:pPr>
          <w:hyperlink w:anchor="__RefHeading___Toc4264902_380464308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حكم عقود المخالفين و طلاقهم و سائر إيقاعاتهم</w:t>
            </w:r>
            <w:r>
              <w:rPr>
                <w:rStyle w:val="IndexLink"/>
                <w:rtl w:val="true"/>
              </w:rPr>
              <w:t>]</w:t>
              <w:tab/>
            </w:r>
            <w:r>
              <w:rPr>
                <w:rStyle w:val="IndexLink"/>
              </w:rPr>
              <w:t>260</w:t>
            </w:r>
          </w:hyperlink>
        </w:p>
        <w:p>
          <w:pPr>
            <w:pStyle w:val="Contents3"/>
            <w:tabs>
              <w:tab w:val="clear" w:pos="8459"/>
              <w:tab w:val="right" w:pos="9026" w:leader="dot"/>
            </w:tabs>
            <w:rPr/>
          </w:pPr>
          <w:hyperlink w:anchor="__RefHeading___Toc4264904_380464308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حكم التمتع بنسائهن على القول بكفرهم و نجاستهم</w:t>
            </w:r>
            <w:r>
              <w:rPr>
                <w:rStyle w:val="IndexLink"/>
                <w:rtl w:val="true"/>
              </w:rPr>
              <w:t>]</w:t>
              <w:tab/>
            </w:r>
            <w:r>
              <w:rPr>
                <w:rStyle w:val="IndexLink"/>
              </w:rPr>
              <w:t>271</w:t>
            </w:r>
          </w:hyperlink>
        </w:p>
        <w:p>
          <w:pPr>
            <w:pStyle w:val="Contents3"/>
            <w:tabs>
              <w:tab w:val="clear" w:pos="8459"/>
              <w:tab w:val="right" w:pos="9026" w:leader="dot"/>
            </w:tabs>
            <w:rPr/>
          </w:pPr>
          <w:hyperlink w:anchor="__RefHeading___Toc4264906_3804643083">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هل حكم نسائهم حكم الإماء أم لا؟</w:t>
            </w:r>
            <w:r>
              <w:rPr>
                <w:rStyle w:val="IndexLink"/>
                <w:rtl w:val="true"/>
              </w:rPr>
              <w:t>]</w:t>
              <w:tab/>
            </w:r>
            <w:r>
              <w:rPr>
                <w:rStyle w:val="IndexLink"/>
              </w:rPr>
              <w:t>284</w:t>
            </w:r>
          </w:hyperlink>
        </w:p>
        <w:p>
          <w:pPr>
            <w:pStyle w:val="Contents3"/>
            <w:tabs>
              <w:tab w:val="clear" w:pos="8459"/>
              <w:tab w:val="right" w:pos="9026" w:leader="dot"/>
            </w:tabs>
            <w:rPr/>
          </w:pPr>
          <w:hyperlink w:anchor="__RefHeading___Toc4264908_3804643083">
            <w:r>
              <w:rPr>
                <w:webHidden/>
                <w:rStyle w:val="IndexLink"/>
                <w:rtl w:val="true"/>
              </w:rPr>
              <w:t>[</w:t>
            </w:r>
            <w:r>
              <w:rPr>
                <w:rStyle w:val="IndexLink"/>
                <w:rtl w:val="true"/>
              </w:rPr>
              <w:t>تحقيق الإذن في أموالهم وقتالهم</w:t>
            </w:r>
            <w:r>
              <w:rPr>
                <w:rStyle w:val="IndexLink"/>
                <w:rtl w:val="true"/>
              </w:rPr>
              <w:t>]</w:t>
              <w:tab/>
            </w:r>
            <w:r>
              <w:rPr>
                <w:rStyle w:val="IndexLink"/>
              </w:rPr>
              <w:t>291</w:t>
            </w:r>
          </w:hyperlink>
        </w:p>
        <w:p>
          <w:pPr>
            <w:pStyle w:val="Contents2"/>
            <w:tabs>
              <w:tab w:val="clear" w:pos="8743"/>
              <w:tab w:val="right" w:pos="9026" w:leader="dot"/>
            </w:tabs>
            <w:rPr/>
          </w:pPr>
          <w:hyperlink w:anchor="__RefHeading___Toc4264910_3804643083">
            <w:r>
              <w:rPr>
                <w:webHidden/>
                <w:rStyle w:val="IndexLink"/>
                <w:rtl w:val="true"/>
              </w:rPr>
              <w:t xml:space="preserve">المسألة السابعة </w:t>
            </w:r>
            <w:r>
              <w:rPr>
                <w:rStyle w:val="IndexLink"/>
                <w:rtl w:val="true"/>
              </w:rPr>
              <w:t>: [</w:t>
            </w:r>
            <w:r>
              <w:rPr>
                <w:rStyle w:val="IndexLink"/>
                <w:rtl w:val="true"/>
              </w:rPr>
              <w:t>حكم الوضوء قبل الأغسال</w:t>
            </w:r>
            <w:r>
              <w:rPr>
                <w:rStyle w:val="IndexLink"/>
                <w:rtl w:val="true"/>
              </w:rPr>
              <w:t>]</w:t>
              <w:tab/>
            </w:r>
            <w:r>
              <w:rPr>
                <w:rStyle w:val="IndexLink"/>
              </w:rPr>
              <w:t>296</w:t>
            </w:r>
          </w:hyperlink>
        </w:p>
        <w:p>
          <w:pPr>
            <w:pStyle w:val="Contents3"/>
            <w:tabs>
              <w:tab w:val="clear" w:pos="8459"/>
              <w:tab w:val="right" w:pos="9026" w:leader="dot"/>
            </w:tabs>
            <w:rPr/>
          </w:pPr>
          <w:hyperlink w:anchor="__RefHeading___Toc4264912_380464308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4264914_3804643083">
            <w:r>
              <w:rPr>
                <w:webHidden/>
                <w:rStyle w:val="IndexLink"/>
                <w:rtl w:val="true"/>
              </w:rPr>
              <w:t>[</w:t>
            </w:r>
            <w:r>
              <w:rPr>
                <w:rStyle w:val="IndexLink"/>
                <w:rtl w:val="true"/>
              </w:rPr>
              <w:t>القول بالوجوب فيها سوى الجنابة و أدلته و مناقشته</w:t>
            </w:r>
            <w:r>
              <w:rPr>
                <w:rStyle w:val="IndexLink"/>
                <w:rtl w:val="true"/>
              </w:rPr>
              <w:t>]</w:t>
              <w:tab/>
            </w:r>
            <w:r>
              <w:rPr>
                <w:rStyle w:val="IndexLink"/>
              </w:rPr>
              <w:t>297</w:t>
            </w:r>
          </w:hyperlink>
        </w:p>
        <w:p>
          <w:pPr>
            <w:pStyle w:val="Contents3"/>
            <w:tabs>
              <w:tab w:val="clear" w:pos="8459"/>
              <w:tab w:val="right" w:pos="9026" w:leader="dot"/>
            </w:tabs>
            <w:rPr/>
          </w:pPr>
          <w:hyperlink w:anchor="__RefHeading___Toc4264916_3804643083">
            <w:r>
              <w:rPr>
                <w:webHidden/>
                <w:rStyle w:val="IndexLink"/>
                <w:rtl w:val="true"/>
              </w:rPr>
              <w:t>[</w:t>
            </w:r>
            <w:r>
              <w:rPr>
                <w:rStyle w:val="IndexLink"/>
                <w:rtl w:val="true"/>
              </w:rPr>
              <w:t>القول بنفي الوجوب مطلقا و أدلته و مناقشتها</w:t>
            </w:r>
            <w:r>
              <w:rPr>
                <w:rStyle w:val="IndexLink"/>
                <w:rtl w:val="true"/>
              </w:rPr>
              <w:t>]</w:t>
              <w:tab/>
            </w:r>
            <w:r>
              <w:rPr>
                <w:rStyle w:val="IndexLink"/>
              </w:rPr>
              <w:t>304</w:t>
            </w:r>
          </w:hyperlink>
        </w:p>
        <w:p>
          <w:pPr>
            <w:pStyle w:val="Contents2"/>
            <w:tabs>
              <w:tab w:val="clear" w:pos="8743"/>
              <w:tab w:val="right" w:pos="9026" w:leader="dot"/>
            </w:tabs>
            <w:rPr/>
          </w:pPr>
          <w:hyperlink w:anchor="__RefHeading___Toc4264918_3804643083">
            <w:r>
              <w:rPr>
                <w:webHidden/>
                <w:rStyle w:val="IndexLink"/>
                <w:rtl w:val="true"/>
              </w:rPr>
              <w:t xml:space="preserve">المسألة الثامنة </w:t>
            </w:r>
            <w:r>
              <w:rPr>
                <w:rStyle w:val="IndexLink"/>
                <w:rtl w:val="true"/>
              </w:rPr>
              <w:t>: [</w:t>
            </w:r>
            <w:r>
              <w:rPr>
                <w:rStyle w:val="IndexLink"/>
                <w:rtl w:val="true"/>
              </w:rPr>
              <w:t>ميراث الزوجة من الدور والعقار والأشجار</w:t>
            </w:r>
            <w:r>
              <w:rPr>
                <w:rStyle w:val="IndexLink"/>
                <w:rtl w:val="true"/>
              </w:rPr>
              <w:t>]</w:t>
              <w:tab/>
            </w:r>
            <w:r>
              <w:rPr>
                <w:rStyle w:val="IndexLink"/>
              </w:rPr>
              <w:t>316</w:t>
            </w:r>
          </w:hyperlink>
        </w:p>
        <w:p>
          <w:pPr>
            <w:pStyle w:val="Contents3"/>
            <w:tabs>
              <w:tab w:val="clear" w:pos="8459"/>
              <w:tab w:val="right" w:pos="9026" w:leader="dot"/>
            </w:tabs>
            <w:rPr/>
          </w:pPr>
          <w:hyperlink w:anchor="__RefHeading___Toc4264920_3804643083">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4264922_3804643083">
            <w:r>
              <w:rPr>
                <w:webHidden/>
                <w:rStyle w:val="IndexLink"/>
                <w:rtl w:val="true"/>
              </w:rPr>
              <w:t>[</w:t>
            </w:r>
            <w:r>
              <w:rPr>
                <w:rStyle w:val="IndexLink"/>
                <w:rtl w:val="true"/>
              </w:rPr>
              <w:t>ميراث الزوجة من الدور والعقار والأشجار</w:t>
            </w:r>
            <w:r>
              <w:rPr>
                <w:rStyle w:val="IndexLink"/>
                <w:rtl w:val="true"/>
              </w:rPr>
              <w:t>]</w:t>
              <w:tab/>
            </w:r>
            <w:r>
              <w:rPr>
                <w:rStyle w:val="IndexLink"/>
              </w:rPr>
              <w:t>318</w:t>
            </w:r>
          </w:hyperlink>
        </w:p>
        <w:p>
          <w:pPr>
            <w:pStyle w:val="Contents3"/>
            <w:tabs>
              <w:tab w:val="clear" w:pos="8459"/>
              <w:tab w:val="right" w:pos="9026" w:leader="dot"/>
            </w:tabs>
            <w:rPr/>
          </w:pPr>
          <w:hyperlink w:anchor="__RefHeading___Toc4264924_3804643083">
            <w:r>
              <w:rPr>
                <w:webHidden/>
                <w:rStyle w:val="IndexLink"/>
                <w:rtl w:val="true"/>
              </w:rPr>
              <w:t>المقام الأول</w:t>
            </w:r>
            <w:r>
              <w:rPr>
                <w:rStyle w:val="IndexLink"/>
                <w:rtl w:val="true"/>
              </w:rPr>
              <w:tab/>
            </w:r>
            <w:r>
              <w:rPr>
                <w:rStyle w:val="IndexLink"/>
              </w:rPr>
              <w:t>318</w:t>
            </w:r>
          </w:hyperlink>
        </w:p>
        <w:p>
          <w:pPr>
            <w:pStyle w:val="Contents4"/>
            <w:tabs>
              <w:tab w:val="clear" w:pos="8176"/>
              <w:tab w:val="right" w:pos="9026" w:leader="dot"/>
            </w:tabs>
            <w:rPr/>
          </w:pPr>
          <w:hyperlink w:anchor="__RefHeading___Toc4264926_380464308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4264928_3804643083">
            <w:r>
              <w:rPr>
                <w:webHidden/>
                <w:rStyle w:val="IndexLink"/>
                <w:rtl w:val="true"/>
              </w:rPr>
              <w:t>[</w:t>
            </w:r>
            <w:r>
              <w:rPr>
                <w:rStyle w:val="IndexLink"/>
                <w:rtl w:val="true"/>
              </w:rPr>
              <w:t>القول الأول</w:t>
            </w:r>
            <w:r>
              <w:rPr>
                <w:rStyle w:val="IndexLink"/>
                <w:rtl w:val="true"/>
              </w:rPr>
              <w:t xml:space="preserve">: </w:t>
            </w:r>
            <w:r>
              <w:rPr>
                <w:rStyle w:val="IndexLink"/>
                <w:rtl w:val="true"/>
              </w:rPr>
              <w:t>المنع لمطلق الزوجة</w:t>
            </w:r>
            <w:r>
              <w:rPr>
                <w:rStyle w:val="IndexLink"/>
                <w:rtl w:val="true"/>
              </w:rPr>
              <w:t>]</w:t>
              <w:tab/>
            </w:r>
            <w:r>
              <w:rPr>
                <w:rStyle w:val="IndexLink"/>
              </w:rPr>
              <w:t>318</w:t>
            </w:r>
          </w:hyperlink>
        </w:p>
        <w:p>
          <w:pPr>
            <w:pStyle w:val="Contents4"/>
            <w:tabs>
              <w:tab w:val="clear" w:pos="8176"/>
              <w:tab w:val="right" w:pos="9026" w:leader="dot"/>
            </w:tabs>
            <w:rPr/>
          </w:pPr>
          <w:hyperlink w:anchor="__RefHeading___Toc4264930_3804643083">
            <w:r>
              <w:rPr>
                <w:webHidden/>
                <w:rStyle w:val="IndexLink"/>
                <w:rtl w:val="true"/>
              </w:rPr>
              <w:t>و أمَّا الثاني</w:t>
            </w:r>
            <w:r>
              <w:rPr>
                <w:rStyle w:val="IndexLink"/>
                <w:rtl w:val="true"/>
              </w:rPr>
              <w:tab/>
            </w:r>
            <w:r>
              <w:rPr>
                <w:rStyle w:val="IndexLink"/>
              </w:rPr>
              <w:t>333</w:t>
            </w:r>
          </w:hyperlink>
        </w:p>
        <w:p>
          <w:pPr>
            <w:pStyle w:val="Contents3"/>
            <w:tabs>
              <w:tab w:val="clear" w:pos="8459"/>
              <w:tab w:val="right" w:pos="9026" w:leader="dot"/>
            </w:tabs>
            <w:rPr/>
          </w:pPr>
          <w:hyperlink w:anchor="__RefHeading___Toc4264932_3804643083">
            <w:r>
              <w:rPr>
                <w:webHidden/>
                <w:rStyle w:val="IndexLink"/>
                <w:rtl w:val="true"/>
              </w:rPr>
              <w:t>المقام الثاني</w:t>
            </w:r>
            <w:r>
              <w:rPr>
                <w:rStyle w:val="IndexLink"/>
                <w:rtl w:val="true"/>
              </w:rPr>
              <w:t xml:space="preserve">: </w:t>
            </w:r>
            <w:r>
              <w:rPr>
                <w:rStyle w:val="IndexLink"/>
                <w:rtl w:val="true"/>
              </w:rPr>
              <w:t>في بيان ما تُحرم منه ذات الحرمان</w:t>
            </w:r>
            <w:r>
              <w:rPr>
                <w:rStyle w:val="IndexLink"/>
                <w:rtl w:val="true"/>
              </w:rPr>
              <w:t>.</w:t>
              <w:tab/>
            </w:r>
            <w:r>
              <w:rPr>
                <w:rStyle w:val="IndexLink"/>
              </w:rPr>
              <w:t>337</w:t>
            </w:r>
          </w:hyperlink>
        </w:p>
        <w:p>
          <w:pPr>
            <w:pStyle w:val="Contents3"/>
            <w:tabs>
              <w:tab w:val="clear" w:pos="8459"/>
              <w:tab w:val="right" w:pos="9026" w:leader="dot"/>
            </w:tabs>
            <w:rPr/>
          </w:pPr>
          <w:hyperlink w:anchor="__RefHeading___Toc4264934_3804643083">
            <w:r>
              <w:rPr>
                <w:webHidden/>
                <w:rStyle w:val="IndexLink"/>
                <w:rtl w:val="true"/>
              </w:rPr>
              <w:t>بقي هنا أمور</w:t>
            </w:r>
            <w:r>
              <w:rPr>
                <w:rStyle w:val="IndexLink"/>
                <w:rtl w:val="true"/>
              </w:rPr>
              <w:t>:</w:t>
              <w:tab/>
            </w:r>
            <w:r>
              <w:rPr>
                <w:rStyle w:val="IndexLink"/>
              </w:rPr>
              <w:t>353</w:t>
            </w:r>
          </w:hyperlink>
        </w:p>
        <w:p>
          <w:pPr>
            <w:pStyle w:val="Contents4"/>
            <w:tabs>
              <w:tab w:val="clear" w:pos="8176"/>
              <w:tab w:val="right" w:pos="9026" w:leader="dot"/>
            </w:tabs>
            <w:rPr/>
          </w:pPr>
          <w:hyperlink w:anchor="__RefHeading___Toc4264936_3804643083">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4264938_3804643083">
            <w:r>
              <w:rPr>
                <w:webHidden/>
                <w:rStyle w:val="IndexLink"/>
                <w:rtl w:val="true"/>
              </w:rPr>
              <w:t>الأوَّلُ</w:t>
            </w:r>
            <w:r>
              <w:rPr>
                <w:rStyle w:val="IndexLink"/>
                <w:rtl w:val="true"/>
              </w:rPr>
              <w:t>:</w:t>
              <w:tab/>
            </w:r>
            <w:r>
              <w:rPr>
                <w:rStyle w:val="IndexLink"/>
              </w:rPr>
              <w:t>353</w:t>
            </w:r>
          </w:hyperlink>
        </w:p>
        <w:p>
          <w:pPr>
            <w:pStyle w:val="Contents4"/>
            <w:tabs>
              <w:tab w:val="clear" w:pos="8176"/>
              <w:tab w:val="right" w:pos="9026" w:leader="dot"/>
            </w:tabs>
            <w:rPr/>
          </w:pPr>
          <w:hyperlink w:anchor="__RefHeading___Toc4264940_3804643083">
            <w:r>
              <w:rPr>
                <w:webHidden/>
                <w:rStyle w:val="IndexLink"/>
                <w:rtl w:val="true"/>
              </w:rPr>
              <w:t>الثاني</w:t>
            </w:r>
            <w:r>
              <w:rPr>
                <w:rStyle w:val="IndexLink"/>
                <w:rtl w:val="true"/>
              </w:rPr>
              <w:t>:</w:t>
              <w:tab/>
            </w:r>
            <w:r>
              <w:rPr>
                <w:rStyle w:val="IndexLink"/>
              </w:rPr>
              <w:t>354</w:t>
            </w:r>
          </w:hyperlink>
        </w:p>
        <w:p>
          <w:pPr>
            <w:pStyle w:val="Contents4"/>
            <w:tabs>
              <w:tab w:val="clear" w:pos="8176"/>
              <w:tab w:val="right" w:pos="9026" w:leader="dot"/>
            </w:tabs>
            <w:rPr/>
          </w:pPr>
          <w:hyperlink w:anchor="__RefHeading___Toc4264942_3804643083">
            <w:r>
              <w:rPr>
                <w:webHidden/>
                <w:rStyle w:val="IndexLink"/>
                <w:rtl w:val="true"/>
              </w:rPr>
              <w:t>الثالث</w:t>
            </w:r>
            <w:r>
              <w:rPr>
                <w:rStyle w:val="IndexLink"/>
                <w:rtl w:val="true"/>
              </w:rPr>
              <w:t>:</w:t>
              <w:tab/>
            </w:r>
            <w:r>
              <w:rPr>
                <w:rStyle w:val="IndexLink"/>
              </w:rPr>
              <w:t>355</w:t>
            </w:r>
          </w:hyperlink>
        </w:p>
        <w:p>
          <w:pPr>
            <w:pStyle w:val="Contents4"/>
            <w:tabs>
              <w:tab w:val="clear" w:pos="8176"/>
              <w:tab w:val="right" w:pos="9026" w:leader="dot"/>
            </w:tabs>
            <w:rPr/>
          </w:pPr>
          <w:hyperlink w:anchor="__RefHeading___Toc4264944_3804643083">
            <w:r>
              <w:rPr>
                <w:webHidden/>
                <w:rStyle w:val="IndexLink"/>
                <w:rtl w:val="true"/>
              </w:rPr>
              <w:t>الرابع</w:t>
            </w:r>
            <w:r>
              <w:rPr>
                <w:rStyle w:val="IndexLink"/>
                <w:rtl w:val="true"/>
              </w:rPr>
              <w:t>:</w:t>
              <w:tab/>
            </w:r>
            <w:r>
              <w:rPr>
                <w:rStyle w:val="IndexLink"/>
              </w:rPr>
              <w:t>357</w:t>
            </w:r>
          </w:hyperlink>
        </w:p>
        <w:p>
          <w:pPr>
            <w:pStyle w:val="Contents4"/>
            <w:tabs>
              <w:tab w:val="clear" w:pos="8176"/>
              <w:tab w:val="right" w:pos="9026" w:leader="dot"/>
            </w:tabs>
            <w:rPr/>
          </w:pPr>
          <w:hyperlink w:anchor="__RefHeading___Toc4264946_3804643083">
            <w:r>
              <w:rPr>
                <w:webHidden/>
                <w:rStyle w:val="IndexLink"/>
                <w:rtl w:val="true"/>
              </w:rPr>
              <w:t>الخامس</w:t>
            </w:r>
            <w:r>
              <w:rPr>
                <w:rStyle w:val="IndexLink"/>
                <w:rtl w:val="true"/>
              </w:rPr>
              <w:t>:</w:t>
              <w:tab/>
            </w:r>
            <w:r>
              <w:rPr>
                <w:rStyle w:val="IndexLink"/>
              </w:rPr>
              <w:t>357</w:t>
            </w:r>
          </w:hyperlink>
        </w:p>
        <w:p>
          <w:pPr>
            <w:pStyle w:val="Contents4"/>
            <w:tabs>
              <w:tab w:val="clear" w:pos="8176"/>
              <w:tab w:val="right" w:pos="9026" w:leader="dot"/>
            </w:tabs>
            <w:rPr/>
          </w:pPr>
          <w:hyperlink w:anchor="__RefHeading___Toc4264948_3804643083">
            <w:r>
              <w:rPr>
                <w:webHidden/>
                <w:rStyle w:val="IndexLink"/>
                <w:rtl w:val="true"/>
              </w:rPr>
              <w:t>السادس</w:t>
            </w:r>
            <w:r>
              <w:rPr>
                <w:rStyle w:val="IndexLink"/>
                <w:rtl w:val="true"/>
              </w:rPr>
              <w:t>:</w:t>
              <w:tab/>
            </w:r>
            <w:r>
              <w:rPr>
                <w:rStyle w:val="IndexLink"/>
              </w:rPr>
              <w:t>359</w:t>
            </w:r>
          </w:hyperlink>
        </w:p>
        <w:p>
          <w:pPr>
            <w:pStyle w:val="Contents2"/>
            <w:tabs>
              <w:tab w:val="clear" w:pos="8743"/>
              <w:tab w:val="right" w:pos="9026" w:leader="dot"/>
            </w:tabs>
            <w:rPr/>
          </w:pPr>
          <w:hyperlink w:anchor="__RefHeading___Toc4264950_3804643083">
            <w:r>
              <w:rPr>
                <w:webHidden/>
                <w:rStyle w:val="IndexLink"/>
                <w:rtl w:val="true"/>
              </w:rPr>
              <w:t xml:space="preserve">المسألة التاسعة </w:t>
            </w:r>
            <w:r>
              <w:rPr>
                <w:rStyle w:val="IndexLink"/>
                <w:rtl w:val="true"/>
              </w:rPr>
              <w:t>: [</w:t>
            </w:r>
            <w:r>
              <w:rPr>
                <w:rStyle w:val="IndexLink"/>
                <w:rtl w:val="true"/>
              </w:rPr>
              <w:t>نصيب الزوجة من الميراث عند انحصار الوارث بها</w:t>
            </w:r>
            <w:r>
              <w:rPr>
                <w:rStyle w:val="IndexLink"/>
                <w:rtl w:val="true"/>
              </w:rPr>
              <w:t>]</w:t>
              <w:tab/>
            </w:r>
            <w:r>
              <w:rPr>
                <w:rStyle w:val="IndexLink"/>
              </w:rPr>
              <w:t>362</w:t>
            </w:r>
          </w:hyperlink>
        </w:p>
        <w:p>
          <w:pPr>
            <w:pStyle w:val="Contents3"/>
            <w:tabs>
              <w:tab w:val="clear" w:pos="8459"/>
              <w:tab w:val="right" w:pos="9026" w:leader="dot"/>
            </w:tabs>
            <w:rPr/>
          </w:pPr>
          <w:hyperlink w:anchor="__RefHeading___Toc4264952_3804643083">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4264954_3804643083">
            <w:r>
              <w:rPr>
                <w:webHidden/>
                <w:rStyle w:val="IndexLink"/>
                <w:rtl w:val="true"/>
              </w:rPr>
              <w:t>[</w:t>
            </w:r>
            <w:r>
              <w:rPr>
                <w:rStyle w:val="IndexLink"/>
                <w:rtl w:val="true"/>
              </w:rPr>
              <w:t>مناقشة القول بالتفصيل</w:t>
            </w:r>
            <w:r>
              <w:rPr>
                <w:rStyle w:val="IndexLink"/>
                <w:rtl w:val="true"/>
              </w:rPr>
              <w:t>]</w:t>
              <w:tab/>
            </w:r>
            <w:r>
              <w:rPr>
                <w:rStyle w:val="IndexLink"/>
              </w:rPr>
              <w:t>370</w:t>
            </w:r>
          </w:hyperlink>
        </w:p>
        <w:p>
          <w:pPr>
            <w:pStyle w:val="Contents3"/>
            <w:tabs>
              <w:tab w:val="clear" w:pos="8459"/>
              <w:tab w:val="right" w:pos="9026" w:leader="dot"/>
            </w:tabs>
            <w:rPr/>
          </w:pPr>
          <w:hyperlink w:anchor="__RefHeading___Toc4264956_3804643083">
            <w:r>
              <w:rPr>
                <w:webHidden/>
                <w:rStyle w:val="IndexLink"/>
                <w:rtl w:val="true"/>
              </w:rPr>
              <w:t>[</w:t>
            </w:r>
            <w:r>
              <w:rPr>
                <w:rStyle w:val="IndexLink"/>
                <w:rtl w:val="true"/>
              </w:rPr>
              <w:t>الجمع بين أخبار المذهبين</w:t>
            </w:r>
            <w:r>
              <w:rPr>
                <w:rStyle w:val="IndexLink"/>
                <w:rtl w:val="true"/>
              </w:rPr>
              <w:t>]</w:t>
              <w:tab/>
            </w:r>
            <w:r>
              <w:rPr>
                <w:rStyle w:val="IndexLink"/>
              </w:rPr>
              <w:t>373</w:t>
            </w:r>
          </w:hyperlink>
        </w:p>
        <w:p>
          <w:pPr>
            <w:pStyle w:val="Contents2"/>
            <w:tabs>
              <w:tab w:val="clear" w:pos="8743"/>
              <w:tab w:val="right" w:pos="9026" w:leader="dot"/>
            </w:tabs>
            <w:rPr/>
          </w:pPr>
          <w:hyperlink w:anchor="__RefHeading___Toc4264958_3804643083">
            <w:r>
              <w:rPr>
                <w:webHidden/>
                <w:rStyle w:val="IndexLink"/>
                <w:rtl w:val="true"/>
              </w:rPr>
              <w:t xml:space="preserve">المسألة العاشرة </w:t>
            </w:r>
            <w:r>
              <w:rPr>
                <w:rStyle w:val="IndexLink"/>
                <w:rtl w:val="true"/>
              </w:rPr>
              <w:t>: [</w:t>
            </w:r>
            <w:r>
              <w:rPr>
                <w:rStyle w:val="IndexLink"/>
                <w:rtl w:val="true"/>
              </w:rPr>
              <w:t>حكم ما عند الزوجة من منقولات من مال الزوج بعد موته</w:t>
            </w:r>
            <w:r>
              <w:rPr>
                <w:rStyle w:val="IndexLink"/>
                <w:rtl w:val="true"/>
              </w:rPr>
              <w:t>]</w:t>
              <w:tab/>
            </w:r>
            <w:r>
              <w:rPr>
                <w:rStyle w:val="IndexLink"/>
              </w:rPr>
              <w:t>380</w:t>
            </w:r>
          </w:hyperlink>
        </w:p>
        <w:p>
          <w:pPr>
            <w:pStyle w:val="Contents3"/>
            <w:tabs>
              <w:tab w:val="clear" w:pos="8459"/>
              <w:tab w:val="right" w:pos="9026" w:leader="dot"/>
            </w:tabs>
            <w:rPr/>
          </w:pPr>
          <w:hyperlink w:anchor="__RefHeading___Toc4264960_380464308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4264962_3804643083">
            <w:r>
              <w:rPr>
                <w:webHidden/>
                <w:rStyle w:val="IndexLink"/>
                <w:rtl w:val="true"/>
              </w:rPr>
              <w:t>[</w:t>
            </w:r>
            <w:r>
              <w:rPr>
                <w:rStyle w:val="IndexLink"/>
                <w:rtl w:val="true"/>
              </w:rPr>
              <w:t>رجوع المسألة لدليل ملك ذي اليد</w:t>
            </w:r>
            <w:r>
              <w:rPr>
                <w:rStyle w:val="IndexLink"/>
                <w:rtl w:val="true"/>
              </w:rPr>
              <w:t>]</w:t>
              <w:tab/>
            </w:r>
            <w:r>
              <w:rPr>
                <w:rStyle w:val="IndexLink"/>
              </w:rPr>
              <w:t>381</w:t>
            </w:r>
          </w:hyperlink>
        </w:p>
        <w:p>
          <w:pPr>
            <w:pStyle w:val="Contents3"/>
            <w:tabs>
              <w:tab w:val="clear" w:pos="8459"/>
              <w:tab w:val="right" w:pos="9026" w:leader="dot"/>
            </w:tabs>
            <w:rPr/>
          </w:pPr>
          <w:hyperlink w:anchor="__RefHeading___Toc4264964_3804643083">
            <w:r>
              <w:rPr>
                <w:webHidden/>
                <w:rStyle w:val="IndexLink"/>
                <w:rtl w:val="true"/>
              </w:rPr>
              <w:t>[</w:t>
            </w:r>
            <w:r>
              <w:rPr>
                <w:rStyle w:val="IndexLink"/>
                <w:rtl w:val="true"/>
              </w:rPr>
              <w:t xml:space="preserve">اليد المنفردة عن التصرف وأدلة مساواتها للمؤكدة </w:t>
            </w:r>
            <w:r>
              <w:rPr>
                <w:rStyle w:val="IndexLink"/>
                <w:rtl w:val="true"/>
              </w:rPr>
              <w:t>]</w:t>
              <w:tab/>
            </w:r>
            <w:r>
              <w:rPr>
                <w:rStyle w:val="IndexLink"/>
              </w:rPr>
              <w:t>383</w:t>
            </w:r>
          </w:hyperlink>
        </w:p>
        <w:p>
          <w:pPr>
            <w:pStyle w:val="Contents3"/>
            <w:tabs>
              <w:tab w:val="clear" w:pos="8459"/>
              <w:tab w:val="right" w:pos="9026" w:leader="dot"/>
            </w:tabs>
            <w:rPr/>
          </w:pPr>
          <w:hyperlink w:anchor="__RefHeading___Toc4264966_3804643083">
            <w:r>
              <w:rPr>
                <w:webHidden/>
                <w:rStyle w:val="IndexLink"/>
                <w:rtl w:val="true"/>
              </w:rPr>
              <w:t>[</w:t>
            </w:r>
            <w:r>
              <w:rPr>
                <w:rStyle w:val="IndexLink"/>
                <w:rtl w:val="true"/>
              </w:rPr>
              <w:t>دفع إيراد</w:t>
            </w:r>
            <w:r>
              <w:rPr>
                <w:rStyle w:val="IndexLink"/>
                <w:rtl w:val="true"/>
              </w:rPr>
              <w:t>]</w:t>
              <w:tab/>
            </w:r>
            <w:r>
              <w:rPr>
                <w:rStyle w:val="IndexLink"/>
              </w:rPr>
              <w:t>394</w:t>
            </w:r>
          </w:hyperlink>
        </w:p>
        <w:p>
          <w:pPr>
            <w:pStyle w:val="Contents3"/>
            <w:tabs>
              <w:tab w:val="clear" w:pos="8459"/>
              <w:tab w:val="right" w:pos="9026" w:leader="dot"/>
            </w:tabs>
            <w:rPr/>
          </w:pPr>
          <w:hyperlink w:anchor="__RefHeading___Toc4264968_3804643083">
            <w:r>
              <w:rPr>
                <w:webHidden/>
                <w:rStyle w:val="IndexLink"/>
                <w:rtl w:val="true"/>
              </w:rPr>
              <w:t>[</w:t>
            </w:r>
            <w:r>
              <w:rPr>
                <w:rStyle w:val="IndexLink"/>
                <w:rtl w:val="true"/>
              </w:rPr>
              <w:t>في تقديم البينة على اليد عند تعارضهما</w:t>
            </w:r>
            <w:r>
              <w:rPr>
                <w:rStyle w:val="IndexLink"/>
                <w:rtl w:val="true"/>
              </w:rPr>
              <w:t>]</w:t>
              <w:tab/>
            </w:r>
            <w:r>
              <w:rPr>
                <w:rStyle w:val="IndexLink"/>
              </w:rPr>
              <w:t>396</w:t>
            </w:r>
          </w:hyperlink>
        </w:p>
        <w:p>
          <w:pPr>
            <w:pStyle w:val="Contents3"/>
            <w:tabs>
              <w:tab w:val="clear" w:pos="8459"/>
              <w:tab w:val="right" w:pos="9026" w:leader="dot"/>
            </w:tabs>
            <w:rPr/>
          </w:pPr>
          <w:hyperlink w:anchor="__RefHeading___Toc4264970_3804643083">
            <w:r>
              <w:rPr>
                <w:webHidden/>
                <w:rStyle w:val="IndexLink"/>
                <w:rtl w:val="true"/>
              </w:rPr>
              <w:t>[</w:t>
            </w:r>
            <w:r>
              <w:rPr>
                <w:rStyle w:val="IndexLink"/>
                <w:rtl w:val="true"/>
              </w:rPr>
              <w:t>أدلة القول بتقديم البينة ونقاشها</w:t>
            </w:r>
            <w:r>
              <w:rPr>
                <w:rStyle w:val="IndexLink"/>
                <w:rtl w:val="true"/>
              </w:rPr>
              <w:t>]</w:t>
              <w:tab/>
            </w:r>
            <w:r>
              <w:rPr>
                <w:rStyle w:val="IndexLink"/>
              </w:rPr>
              <w:t>400</w:t>
            </w:r>
          </w:hyperlink>
        </w:p>
        <w:p>
          <w:pPr>
            <w:pStyle w:val="Contents3"/>
            <w:tabs>
              <w:tab w:val="clear" w:pos="8459"/>
              <w:tab w:val="right" w:pos="9026" w:leader="dot"/>
            </w:tabs>
            <w:rPr/>
          </w:pPr>
          <w:hyperlink w:anchor="__RefHeading___Toc4264972_3804643083">
            <w:r>
              <w:rPr>
                <w:webHidden/>
                <w:rStyle w:val="IndexLink"/>
                <w:rtl w:val="true"/>
              </w:rPr>
              <w:t>[</w:t>
            </w:r>
            <w:r>
              <w:rPr>
                <w:rStyle w:val="IndexLink"/>
                <w:rtl w:val="true"/>
              </w:rPr>
              <w:t>دفع إيراد على عدم اعتبار ثمرة الاستصحاب</w:t>
            </w:r>
            <w:r>
              <w:rPr>
                <w:rStyle w:val="IndexLink"/>
                <w:rtl w:val="true"/>
              </w:rPr>
              <w:t>]</w:t>
              <w:tab/>
            </w:r>
            <w:r>
              <w:rPr>
                <w:rStyle w:val="IndexLink"/>
              </w:rPr>
              <w:t>407</w:t>
            </w:r>
          </w:hyperlink>
        </w:p>
        <w:p>
          <w:pPr>
            <w:pStyle w:val="Contents3"/>
            <w:tabs>
              <w:tab w:val="clear" w:pos="8459"/>
              <w:tab w:val="right" w:pos="9026" w:leader="dot"/>
            </w:tabs>
            <w:rPr/>
          </w:pPr>
          <w:hyperlink w:anchor="__RefHeading___Toc4264974_3804643083">
            <w:r>
              <w:rPr>
                <w:webHidden/>
                <w:rStyle w:val="IndexLink"/>
                <w:rtl w:val="true"/>
              </w:rPr>
              <w:t>[</w:t>
            </w:r>
            <w:r>
              <w:rPr>
                <w:rStyle w:val="IndexLink"/>
                <w:rtl w:val="true"/>
              </w:rPr>
              <w:t>عود على جواب السؤال</w:t>
            </w:r>
            <w:r>
              <w:rPr>
                <w:rStyle w:val="IndexLink"/>
                <w:rtl w:val="true"/>
              </w:rPr>
              <w:t>]</w:t>
              <w:tab/>
            </w:r>
            <w:r>
              <w:rPr>
                <w:rStyle w:val="IndexLink"/>
              </w:rPr>
              <w:t>417</w:t>
            </w:r>
          </w:hyperlink>
        </w:p>
        <w:p>
          <w:pPr>
            <w:pStyle w:val="Contents3"/>
            <w:tabs>
              <w:tab w:val="clear" w:pos="8459"/>
              <w:tab w:val="right" w:pos="9026" w:leader="dot"/>
            </w:tabs>
            <w:rPr/>
          </w:pPr>
          <w:hyperlink w:anchor="__RefHeading___Toc4264976_3804643083">
            <w:r>
              <w:rPr>
                <w:webHidden/>
                <w:rStyle w:val="IndexLink"/>
                <w:rtl w:val="true"/>
              </w:rPr>
              <w:t>[</w:t>
            </w:r>
            <w:r>
              <w:rPr>
                <w:rStyle w:val="IndexLink"/>
                <w:rtl w:val="true"/>
              </w:rPr>
              <w:t>الأخبار المؤيدة لما ذكرناه</w:t>
            </w:r>
            <w:r>
              <w:rPr>
                <w:rStyle w:val="IndexLink"/>
                <w:rtl w:val="true"/>
              </w:rPr>
              <w:t>]</w:t>
              <w:tab/>
            </w:r>
            <w:r>
              <w:rPr>
                <w:rStyle w:val="IndexLink"/>
              </w:rPr>
              <w:t>418</w:t>
            </w:r>
          </w:hyperlink>
        </w:p>
        <w:p>
          <w:pPr>
            <w:pStyle w:val="Contents2"/>
            <w:tabs>
              <w:tab w:val="clear" w:pos="8743"/>
              <w:tab w:val="right" w:pos="9026" w:leader="dot"/>
            </w:tabs>
            <w:rPr/>
          </w:pPr>
          <w:hyperlink w:anchor="__RefHeading___Toc4264978_3804643083">
            <w:r>
              <w:rPr>
                <w:webHidden/>
                <w:rStyle w:val="IndexLink"/>
                <w:rtl w:val="true"/>
              </w:rPr>
              <w:t xml:space="preserve">المسألة الحادية عشرة </w:t>
            </w:r>
            <w:r>
              <w:rPr>
                <w:rStyle w:val="IndexLink"/>
                <w:rtl w:val="true"/>
              </w:rPr>
              <w:t>: [</w:t>
            </w:r>
            <w:r>
              <w:rPr>
                <w:rStyle w:val="IndexLink"/>
                <w:rtl w:val="true"/>
              </w:rPr>
              <w:t>في حرمة المزني بها في العدة، واعتدادها من الزاني، و نوع عدتها</w:t>
            </w:r>
            <w:r>
              <w:rPr>
                <w:rStyle w:val="IndexLink"/>
                <w:rtl w:val="true"/>
              </w:rPr>
              <w:t>]</w:t>
              <w:tab/>
            </w:r>
            <w:r>
              <w:rPr>
                <w:rStyle w:val="IndexLink"/>
              </w:rPr>
              <w:t>430</w:t>
            </w:r>
          </w:hyperlink>
        </w:p>
        <w:p>
          <w:pPr>
            <w:pStyle w:val="Contents3"/>
            <w:tabs>
              <w:tab w:val="clear" w:pos="8459"/>
              <w:tab w:val="right" w:pos="9026" w:leader="dot"/>
            </w:tabs>
            <w:rPr/>
          </w:pPr>
          <w:hyperlink w:anchor="__RefHeading___Toc4264980_3804643083">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4264982_3804643083">
            <w:r>
              <w:rPr>
                <w:webHidden/>
                <w:rStyle w:val="IndexLink"/>
                <w:rtl w:val="true"/>
              </w:rPr>
              <w:t>أما المسألة الأولى</w:t>
            </w:r>
            <w:r>
              <w:rPr>
                <w:rStyle w:val="IndexLink"/>
                <w:rtl w:val="true"/>
              </w:rPr>
              <w:t>:</w:t>
              <w:tab/>
            </w:r>
            <w:r>
              <w:rPr>
                <w:rStyle w:val="IndexLink"/>
              </w:rPr>
              <w:t>431</w:t>
            </w:r>
          </w:hyperlink>
        </w:p>
        <w:p>
          <w:pPr>
            <w:pStyle w:val="Contents3"/>
            <w:tabs>
              <w:tab w:val="clear" w:pos="8459"/>
              <w:tab w:val="right" w:pos="9026" w:leader="dot"/>
            </w:tabs>
            <w:rPr/>
          </w:pPr>
          <w:hyperlink w:anchor="__RefHeading___Toc4264984_3804643083">
            <w:r>
              <w:rPr>
                <w:webHidden/>
                <w:rStyle w:val="IndexLink"/>
                <w:rtl w:val="true"/>
              </w:rPr>
              <w:t>و أما المسألة الثانية</w:t>
            </w:r>
            <w:r>
              <w:rPr>
                <w:rStyle w:val="IndexLink"/>
                <w:rtl w:val="true"/>
              </w:rPr>
              <w:t>:</w:t>
              <w:tab/>
            </w:r>
            <w:r>
              <w:rPr>
                <w:rStyle w:val="IndexLink"/>
              </w:rPr>
              <w:t>446</w:t>
            </w:r>
          </w:hyperlink>
        </w:p>
        <w:p>
          <w:pPr>
            <w:pStyle w:val="Contents3"/>
            <w:tabs>
              <w:tab w:val="clear" w:pos="8459"/>
              <w:tab w:val="right" w:pos="9026" w:leader="dot"/>
            </w:tabs>
            <w:rPr/>
          </w:pPr>
          <w:hyperlink w:anchor="__RefHeading___Toc4264986_3804643083">
            <w:r>
              <w:rPr>
                <w:webHidden/>
                <w:rStyle w:val="IndexLink"/>
                <w:rtl w:val="true"/>
              </w:rPr>
              <w:t>و أما المسألة الثالثة</w:t>
            </w:r>
            <w:r>
              <w:rPr>
                <w:rStyle w:val="IndexLink"/>
                <w:rtl w:val="true"/>
              </w:rPr>
              <w:tab/>
            </w:r>
            <w:r>
              <w:rPr>
                <w:rStyle w:val="IndexLink"/>
              </w:rPr>
              <w:t>450</w:t>
            </w:r>
          </w:hyperlink>
        </w:p>
        <w:p>
          <w:pPr>
            <w:pStyle w:val="Contents2"/>
            <w:tabs>
              <w:tab w:val="clear" w:pos="8743"/>
              <w:tab w:val="right" w:pos="9026" w:leader="dot"/>
            </w:tabs>
            <w:rPr/>
          </w:pPr>
          <w:hyperlink w:anchor="__RefHeading___Toc4264988_3804643083">
            <w:r>
              <w:rPr>
                <w:webHidden/>
                <w:rStyle w:val="IndexLink"/>
                <w:rtl w:val="true"/>
              </w:rPr>
              <w:t xml:space="preserve">المسألة الثانية عشرة </w:t>
            </w:r>
            <w:r>
              <w:rPr>
                <w:rStyle w:val="IndexLink"/>
                <w:rtl w:val="true"/>
              </w:rPr>
              <w:t>: [</w:t>
            </w:r>
            <w:r>
              <w:rPr>
                <w:rStyle w:val="IndexLink"/>
                <w:rtl w:val="true"/>
              </w:rPr>
              <w:t>الاختلاف في الدين المرخص فيه و المحظور</w:t>
            </w:r>
            <w:r>
              <w:rPr>
                <w:rStyle w:val="IndexLink"/>
                <w:rtl w:val="true"/>
              </w:rPr>
              <w:t>]</w:t>
              <w:tab/>
            </w:r>
            <w:r>
              <w:rPr>
                <w:rStyle w:val="IndexLink"/>
              </w:rPr>
              <w:t>454</w:t>
            </w:r>
          </w:hyperlink>
        </w:p>
        <w:p>
          <w:pPr>
            <w:pStyle w:val="Contents3"/>
            <w:tabs>
              <w:tab w:val="clear" w:pos="8459"/>
              <w:tab w:val="right" w:pos="9026" w:leader="dot"/>
            </w:tabs>
            <w:rPr/>
          </w:pPr>
          <w:hyperlink w:anchor="__RefHeading___Toc4264990_3804643083">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4264992_3804643083">
            <w:r>
              <w:rPr>
                <w:webHidden/>
                <w:rStyle w:val="IndexLink"/>
                <w:rtl w:val="true"/>
              </w:rPr>
              <w:t>[</w:t>
            </w:r>
            <w:r>
              <w:rPr>
                <w:rStyle w:val="IndexLink"/>
                <w:rtl w:val="true"/>
              </w:rPr>
              <w:t>الاختلاف المرخص فيه</w:t>
            </w:r>
            <w:r>
              <w:rPr>
                <w:rStyle w:val="IndexLink"/>
                <w:rtl w:val="true"/>
              </w:rPr>
              <w:t>]</w:t>
              <w:tab/>
            </w:r>
            <w:r>
              <w:rPr>
                <w:rStyle w:val="IndexLink"/>
              </w:rPr>
              <w:t>455</w:t>
            </w:r>
          </w:hyperlink>
        </w:p>
        <w:p>
          <w:pPr>
            <w:pStyle w:val="Contents3"/>
            <w:tabs>
              <w:tab w:val="clear" w:pos="8459"/>
              <w:tab w:val="right" w:pos="9026" w:leader="dot"/>
            </w:tabs>
            <w:rPr/>
          </w:pPr>
          <w:hyperlink w:anchor="__RefHeading___Toc4264994_3804643083">
            <w:r>
              <w:rPr>
                <w:webHidden/>
                <w:rStyle w:val="IndexLink"/>
                <w:rtl w:val="true"/>
              </w:rPr>
              <w:t>[</w:t>
            </w:r>
            <w:r>
              <w:rPr>
                <w:rStyle w:val="IndexLink"/>
                <w:rtl w:val="true"/>
              </w:rPr>
              <w:t>الاختلاف الممنوع منه</w:t>
            </w:r>
            <w:r>
              <w:rPr>
                <w:rStyle w:val="IndexLink"/>
                <w:rtl w:val="true"/>
              </w:rPr>
              <w:t>]</w:t>
              <w:tab/>
            </w:r>
            <w:r>
              <w:rPr>
                <w:rStyle w:val="IndexLink"/>
              </w:rPr>
              <w:t>466</w:t>
            </w:r>
          </w:hyperlink>
        </w:p>
        <w:p>
          <w:pPr>
            <w:pStyle w:val="Contents3"/>
            <w:tabs>
              <w:tab w:val="clear" w:pos="8459"/>
              <w:tab w:val="right" w:pos="9026" w:leader="dot"/>
            </w:tabs>
            <w:rPr/>
          </w:pPr>
          <w:hyperlink w:anchor="__RefHeading___Toc4264996_3804643083">
            <w:r>
              <w:rPr>
                <w:webHidden/>
                <w:rStyle w:val="IndexLink"/>
                <w:rtl w:val="true"/>
              </w:rPr>
              <w:t>و تلخيص الاحتجاج من خمسة أوجه</w:t>
            </w:r>
            <w:r>
              <w:rPr>
                <w:rStyle w:val="IndexLink"/>
                <w:rtl w:val="true"/>
              </w:rPr>
              <w:t>:</w:t>
              <w:tab/>
            </w:r>
            <w:r>
              <w:rPr>
                <w:rStyle w:val="IndexLink"/>
              </w:rPr>
              <w:t>468</w:t>
            </w:r>
          </w:hyperlink>
        </w:p>
        <w:p>
          <w:pPr>
            <w:pStyle w:val="Contents3"/>
            <w:tabs>
              <w:tab w:val="clear" w:pos="8459"/>
              <w:tab w:val="right" w:pos="9026" w:leader="dot"/>
            </w:tabs>
            <w:rPr/>
          </w:pPr>
          <w:hyperlink w:anchor="__RefHeading___Toc4264998_3804643083">
            <w:r>
              <w:rPr>
                <w:webHidden/>
                <w:rStyle w:val="IndexLink"/>
                <w:rtl w:val="true"/>
              </w:rPr>
              <w:t>[</w:t>
            </w:r>
            <w:r>
              <w:rPr>
                <w:rStyle w:val="IndexLink"/>
                <w:rtl w:val="true"/>
              </w:rPr>
              <w:t>إلى هنا انقطع النص من جميع النسخ التي بين أيدينا</w:t>
            </w:r>
            <w:r>
              <w:rPr>
                <w:rStyle w:val="IndexLink"/>
                <w:rtl w:val="true"/>
              </w:rPr>
              <w:t>]</w:t>
              <w:tab/>
            </w:r>
            <w:r>
              <w:rPr>
                <w:rStyle w:val="IndexLink"/>
              </w:rPr>
              <w:t>475</w:t>
            </w:r>
          </w:hyperlink>
        </w:p>
        <w:p>
          <w:pPr>
            <w:pStyle w:val="Contents3"/>
            <w:tabs>
              <w:tab w:val="clear" w:pos="8459"/>
              <w:tab w:val="right" w:pos="9026" w:leader="dot"/>
            </w:tabs>
            <w:rPr/>
          </w:pPr>
          <w:hyperlink w:anchor="__RefHeading___Toc4265000_3804643083">
            <w:r>
              <w:rPr>
                <w:webHidden/>
                <w:rStyle w:val="IndexLink"/>
                <w:rtl w:val="true"/>
              </w:rPr>
              <w:t>[</w:t>
            </w:r>
            <w:r>
              <w:rPr>
                <w:rStyle w:val="IndexLink"/>
                <w:rtl w:val="true"/>
              </w:rPr>
              <w:t xml:space="preserve">تذنيب الناسخ لنسخة </w:t>
            </w:r>
            <w:r>
              <w:rPr>
                <w:rStyle w:val="IndexLink"/>
                <w:rtl w:val="true"/>
              </w:rPr>
              <w:t>(</w:t>
            </w:r>
            <w:r>
              <w:rPr>
                <w:rStyle w:val="IndexLink"/>
                <w:rtl w:val="true"/>
              </w:rPr>
              <w:t>ت</w:t>
            </w:r>
            <w:r>
              <w:rPr>
                <w:rStyle w:val="IndexLink"/>
                <w:rtl w:val="true"/>
              </w:rPr>
              <w:t>):]</w:t>
              <w:tab/>
            </w:r>
            <w:r>
              <w:rPr>
                <w:rStyle w:val="IndexLink"/>
              </w:rPr>
              <w:t>476</w:t>
            </w:r>
          </w:hyperlink>
        </w:p>
        <w:p>
          <w:pPr>
            <w:pStyle w:val="Contents2"/>
            <w:tabs>
              <w:tab w:val="clear" w:pos="8743"/>
              <w:tab w:val="right" w:pos="9026" w:leader="dot"/>
            </w:tabs>
            <w:rPr/>
          </w:pPr>
          <w:hyperlink w:anchor="__RefHeading___Toc4265002_3804643083">
            <w:r>
              <w:rPr>
                <w:webHidden/>
                <w:rStyle w:val="IndexLink"/>
                <w:rtl w:val="true"/>
              </w:rPr>
              <w:t>مصادر التحقيق و مراجعه</w:t>
            </w:r>
            <w:r>
              <w:rPr>
                <w:rStyle w:val="IndexLink"/>
                <w:rtl w:val="true"/>
              </w:rPr>
              <w:tab/>
            </w:r>
            <w:r>
              <w:rPr>
                <w:rStyle w:val="IndexLink"/>
              </w:rPr>
              <w:t>478</w:t>
            </w:r>
          </w:hyperlink>
        </w:p>
        <w:p>
          <w:pPr>
            <w:pStyle w:val="Contents2"/>
            <w:tabs>
              <w:tab w:val="clear" w:pos="8743"/>
              <w:tab w:val="right" w:pos="9026" w:leader="dot"/>
            </w:tabs>
            <w:rPr/>
          </w:pPr>
          <w:hyperlink w:anchor="__RefHeading___Toc4265004_3804643083">
            <w:r>
              <w:rPr>
                <w:webHidden/>
                <w:rStyle w:val="IndexLink"/>
                <w:rtl w:val="true"/>
              </w:rPr>
              <w:t>الفهرس</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23_39579"/>
      <w:bookmarkStart w:id="1" w:name="pg2523_39579"/>
      <w:bookmarkEnd w:id="1"/>
    </w:p>
    <w:p>
      <w:pPr>
        <w:pStyle w:val="Heading2"/>
        <w:numPr>
          <w:ilvl w:val="1"/>
          <w:numId w:val="1"/>
        </w:numPr>
        <w:rPr/>
      </w:pPr>
      <w:bookmarkStart w:id="2" w:name="pg2523_39579"/>
      <w:bookmarkStart w:id="3" w:name="__RefHeading___Toc4264806_380464308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حقوق الطبع محفوظة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 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النفسانية في أجوبة المسائل الخراسانية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البحراني الشيخ حسين آل عصفور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بدار اللوامع للتحقيق والنشر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اللوامع للتحقيق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مؤمن زاده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64808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حقوق الطبع محفوظة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 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النفسانية في أجوبة المسائل الخراسانية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البحراني الشيخ حسين آل عصفور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بدار اللوامع للتحقيق والنشر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اللوامع للتحقيق والنشر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مؤمن زاده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23_39586"/>
      <w:bookmarkStart w:id="8" w:name="pg2523_39586"/>
      <w:bookmarkEnd w:id="8"/>
    </w:p>
    <w:p>
      <w:pPr>
        <w:pStyle w:val="Heading2"/>
        <w:numPr>
          <w:ilvl w:val="1"/>
          <w:numId w:val="1"/>
        </w:numPr>
        <w:rPr/>
      </w:pPr>
      <w:bookmarkStart w:id="9" w:name="pg2523_39586"/>
      <w:bookmarkStart w:id="10" w:name="__RefHeading___Toc4264810_3804643083"/>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مجيب سؤال السائلين، وشارح صدور عباده المؤمنين، ومزيل حيرتهم ولو بعد حين، وأكمل الصلوات وأتمها على صاحب المحاسن النفسانية، وآله الأنوار العدنانية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رسالة لطيفة وألوكة شريفة، من مصنفات شيخنا علامة البحرين، الشيخ حسين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رسائل أجوبة المسائل، قد اشتملت على عدة مسائل متنوعة، فعكفنا على إخراجها للعيان، ونسأله سبحانه القبول والرضوان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لجنة التحقيق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523_39589"/>
      <w:bookmarkStart w:id="13" w:name="pg2523_39589"/>
      <w:bookmarkEnd w:id="13"/>
    </w:p>
    <w:p>
      <w:pPr>
        <w:pStyle w:val="Heading2"/>
        <w:numPr>
          <w:ilvl w:val="1"/>
          <w:numId w:val="1"/>
        </w:numPr>
        <w:rPr/>
      </w:pPr>
      <w:bookmarkStart w:id="14" w:name="pg2523_39589"/>
      <w:bookmarkStart w:id="15" w:name="__RefHeading___Toc4264812_3804643083"/>
      <w:bookmarkStart w:id="16" w:name="_Toc4"/>
      <w:bookmarkEnd w:id="14"/>
      <w:bookmarkEnd w:id="15"/>
      <w:r>
        <w:rPr>
          <w:rtl w:val="true"/>
        </w:rPr>
        <w:t>حول الرسالة</w:t>
      </w:r>
      <w:bookmarkEnd w:id="16"/>
    </w:p>
    <w:p>
      <w:pPr>
        <w:pStyle w:val="BookText"/>
        <w:rPr/>
      </w:pPr>
      <w:r>
        <w:rPr>
          <w:rFonts w:ascii="Amiri" w:hAnsi="Amiri" w:eastAsia="Amiri" w:cs="Amiri"/>
          <w:color w:val="111111"/>
          <w:sz w:val="28"/>
          <w:sz w:val="28"/>
          <w:szCs w:val="28"/>
          <w:rtl w:val="true"/>
          <w:lang w:bidi="ar-SA"/>
        </w:rPr>
        <w:t xml:space="preserve">هذه الرسالة هي أجوبة مسائل متنوعة في الفقه والأصول، سألها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الفضلاء المحققين والعلماء المدققين، الجامع بين رتبتي العلم والعمل، والمتجافي عن طريقة أهل الزيغ والخطل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تعبير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بها للعلامة البحراني الشيخ حسين ابن عصفور، فأجاب عليها الأخير بما تيسر 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المصنف رسالته هذه في إجازته للشيخ أحمد بن زين الدين الإحسائي،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المحاسن النفسانية في أجوبة المسائل الخراسانية، وهو كتاب مشتمل على مسائل لأهل خراسان قد أجبنا عنها بأجوبة قد اشتملت على التحقيق والبرهان، واحتوت على أكمل تبيان وبيان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وذكرها الطهراني في ذريعته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وحكى لي الشيخ محمد صالح البحراني آل طعان أنه موجود عنده ، وأنه عشرون مسألة في فنون شتى</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وصل إلينا من مجموع النسخ الخطية التي بأيدينا اثنا عشر مسألة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وقت الفراغ من تصنيف هذه الرسالة لنقصان ما وصل إلينا من نسخ خطية، إلا أنها كُتبت قبل الإجازة للأحسائي، يعني قبل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قاسم الواعظ الخراساني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المصنف اسم السائل في كلامه، ولم نعثر عليه في حواشي النسخ الخطية، إلا أن الطهراني في الذريعة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نسخة منه كتبت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الرضوي في موقوفة مدرسة السبزواري،أوله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نحمدك يا من جعل فتح مغلقات المسائل بمفاتيح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 هو الشيخ قاسم الواعظ الخراساني ومسائله من العامة البلوى</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ولم نعثر له على ترجمة تُذكر، عدا ما وصفه به المصنف في ديباجة رسالته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الفضلاء المحققين والعلماء المدققين، الجامع بين رتبتي العلم والعمل، والمتجافي عن طريقة أهل الزيغ والخَطَلِ، مَنْ قَصَر همته على استنباط الأحكام الشرعية من أخبار أهل الرسالة، وتنكب جادّة الأهواء والآراء والجهالة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اعتمدنا في تحقيق هذه الرسالة على ثلاث نسخ منها، ونسخة رابعة هي مختصر المحاسن النفسانية، وهي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من مصورات مكتبة الشيخ إسماعيل الگلداري، وهي غير مؤرخة، ولا عليها اسم ناسخها، إلا أنها أصح النسخ من ناحية بنية الكلام واللغة، مع شذوذ في بعض الموارد، وهي واضحة الخط إلا فيما شذ، وهي ذاتها النسخة التي اعتمدت عليها الطبعة السابقة للرسالة، ورمزنا لهذه النسخة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 مصورات مكتبة مجلس الشورى الإسلامي الإيراني، وهي منسوخة بيد السيد محمد هاشم علي، في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وهي لا تحوي إلا على المسألتين الأولى والسادسة – التي عبر عنها هو بالخامسة، لنكتة تأتي – مع المقدمة، وهي واضحة الخط، وجعلنا في المرتبة الثانية بعد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أخطائها مقارنة بالنسخة الثالثة، ويظهر أن الناسخ كتب هذه النسخة انتقاء لغاية ما؛ إذ أنه اقتصر على مسألتين هي الأولى والسادسة، وقدر رمزنا لهذه النسخة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من مقتنيات المقدس السيد جواد الوداعي، وهي منسوخة بيد جده السيد علي بن السيد يوسف بن السيد محمد بن السيد يوسف الوداعي الموسوي البحراني البارباري أصلا الرأس الرماني مسكنا،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w:t>
      </w:r>
    </w:p>
    <w:p>
      <w:pPr>
        <w:pStyle w:val="BookText"/>
        <w:rPr/>
      </w:pPr>
      <w:r>
        <w:rPr>
          <w:rFonts w:ascii="Amiri" w:hAnsi="Amiri" w:eastAsia="Amiri" w:cs="Amiri"/>
          <w:color w:val="111111"/>
          <w:sz w:val="28"/>
          <w:sz w:val="28"/>
          <w:szCs w:val="28"/>
          <w:rtl w:val="true"/>
          <w:lang w:bidi="ar-SA"/>
        </w:rPr>
        <w:t xml:space="preserve">الثانية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وفيها أخطاء عديدة في كلام المصنف، لكنّها ما تكون أقرب للمصادر المنقول عنها، متعددة الخطوط، لكنها غالبا ما تكون أقرب للمصادر المنقول عنها، متعددة الخطوط، وكأن أكثر من شخص توارد على نسخها، وعليها تعليقات طفيفة أقرب ما تكون إلى التصحيحات والمقابلات مع المصادر وزيادة التوضيح، 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مصورة من مختصر المحاسن النفسانية، كتبها الشيخ محمد أمين زين الدين، وهي بخطه، وقد استعنا بها في المقاربات بين النسخ والمقارنات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النسخ كلها أخذت عن نسخة واحدة، وقد اعتمدنا منهج التلفيق بين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عمدنا بعد إعادة تدوين نص الرسالة وتنقيحه إلى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كلام المصنف، وتصحيح ما نرى فيه خللا، أو إثبات ما نراه نقصا، مع مراعاة الاعتذار للنص قدر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أضفناه منا أثبتناه بين قوسين معقوفين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تخريج الأخبار والأقوال، فإن كان ما في المصدر مغايرا لما هو في النسخ تغايرا طفيفا وغير مخل بالمعنى أثبتنا ما في النسخ؛ وإن كانت النسخ </w:t>
      </w:r>
    </w:p>
    <w:p>
      <w:pPr>
        <w:pStyle w:val="BookText"/>
        <w:rPr/>
      </w:pPr>
      <w:r>
        <w:rPr>
          <w:rFonts w:ascii="Amiri" w:hAnsi="Amiri" w:eastAsia="Amiri" w:cs="Amiri"/>
          <w:color w:val="111111"/>
          <w:sz w:val="28"/>
          <w:sz w:val="28"/>
          <w:szCs w:val="28"/>
          <w:rtl w:val="true"/>
          <w:lang w:bidi="ar-SA"/>
        </w:rPr>
        <w:t>أنفسها مختلفة أثبتنا ما وافق المصدر ؛ وإن كان ما في المصدر مغايرا لما هو في النسخ تغايرا مؤثرا في المعنى أثبتنا ما في المصدر وأشرنا لما في النسخ؛ وفي كل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الحاشية إلى موضع الخلاف بين ما أثبتنا وبين غيره من مصدر أو 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علقنا على بعض الموارد تعاليق طفيفة بما يتناسب والمقام و 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 o:detectmouseclick="t"/>
                <v:stroke color="#3465a4" joinstyle="round" endcap="flat"/>
                <w10:wrap type="none"/>
              </v:shape>
            </w:pict>
          </mc:Fallback>
        </mc:AlternateConten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w:t>
      </w: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 o:detectmouseclick="t"/>
                <v:stroke color="#3465a4" joinstyle="round" endcap="flat"/>
                <w10:wrap type="none"/>
              </v:shape>
            </w:pict>
          </mc:Fallback>
        </mc:AlternateContent>
      </w:r>
      <w:r>
        <w:rPr>
          <w:rFonts w:ascii="Amiri" w:hAnsi="Amiri" w:eastAsia="Amiri" w:cs="Amiri"/>
          <w:color w:val="111111"/>
          <w:sz w:val="28"/>
          <w:sz w:val="28"/>
          <w:szCs w:val="28"/>
          <w:rtl w:val="true"/>
          <w:lang w:bidi="ar-SA"/>
        </w:rPr>
        <w:t xml:space="preserve"> 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قبل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مختصر المحاسن النفسانية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مختصر المحاسن النفسانية </w:t>
      </w:r>
      <w:bookmarkStart w:id="17" w:name="pg2523_39612"/>
    </w:p>
    <w:p>
      <w:pPr>
        <w:pStyle w:val="Heading2"/>
        <w:numPr>
          <w:ilvl w:val="1"/>
          <w:numId w:val="1"/>
        </w:numPr>
        <w:rPr/>
      </w:pPr>
      <w:bookmarkStart w:id="18" w:name="__RefHeading___Toc4264814_3804643083"/>
      <w:bookmarkStart w:id="19" w:name="_Toc5"/>
      <w:bookmarkEnd w:id="17"/>
      <w:bookmarkEnd w:id="18"/>
      <w:r>
        <w:rPr>
          <w:rtl w:val="true"/>
        </w:rPr>
        <w:t>[</w:t>
      </w:r>
      <w:r>
        <w:rPr>
          <w:rtl w:val="true"/>
        </w:rPr>
        <w:t>مقدمة المصنف</w:t>
      </w:r>
      <w:r>
        <w:rPr>
          <w:rtl w:val="true"/>
        </w:rPr>
        <w:t>]</w:t>
      </w:r>
      <w:bookmarkEnd w:id="19"/>
    </w:p>
    <w:p>
      <w:pPr>
        <w:pStyle w:val="BookText"/>
        <w:rPr/>
      </w:pPr>
      <w:r>
        <w:rPr>
          <w:rFonts w:ascii="Amiri" w:hAnsi="Amiri" w:eastAsia="Amiri" w:cs="Amiri"/>
          <w:color w:val="111111"/>
          <w:sz w:val="28"/>
          <w:sz w:val="28"/>
          <w:szCs w:val="28"/>
          <w:rtl w:val="true"/>
          <w:lang w:bidi="ar-SA"/>
        </w:rPr>
        <w:t>نحمدك اللهم</w:t>
      </w:r>
      <w:r>
        <w:rPr>
          <w:rStyle w:val="FootnoteAnchor"/>
          <w:rtl w:val="true"/>
        </w:rPr>
        <w:footnoteReference w:id="5"/>
      </w:r>
      <w:r>
        <w:rPr>
          <w:rFonts w:ascii="Amiri" w:hAnsi="Amiri" w:eastAsia="Amiri" w:cs="Amiri"/>
          <w:color w:val="111111"/>
          <w:sz w:val="28"/>
          <w:sz w:val="28"/>
          <w:szCs w:val="28"/>
          <w:rtl w:val="true"/>
          <w:lang w:bidi="ar-SA"/>
        </w:rPr>
        <w:t>يا من جعل فتح منغلقات</w:t>
      </w:r>
      <w:r>
        <w:rPr>
          <w:rStyle w:val="FootnoteAnchor"/>
          <w:rtl w:val="true"/>
        </w:rPr>
        <w:footnoteReference w:id="6"/>
      </w:r>
      <w:r>
        <w:rPr>
          <w:rFonts w:ascii="Amiri" w:hAnsi="Amiri" w:eastAsia="Amiri" w:cs="Amiri"/>
          <w:color w:val="111111"/>
          <w:sz w:val="28"/>
          <w:sz w:val="28"/>
          <w:szCs w:val="28"/>
          <w:rtl w:val="true"/>
          <w:lang w:bidi="ar-SA"/>
        </w:rPr>
        <w:t>المسائل بمفاتيح السؤال، وأخذ على العلماء أن يعلموا الجهال قبل أن يأخذ عليهم ميثاق التعليم في الآزال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ونصلي على مرجع العباد في الحرام والحلال، محمد وآله أشرف نبي وآل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فيقول راجي جود ربه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أحمد بن إبراهيم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سألني بعض الفضلاء المحققين والعلماء المدققين، الجامع بين رتبتي العلم والعمل، والمتجافي عن طريقة أهل الزيغ والخُطَلِ، مَنْ قَصَرَ همته على</w:t>
      </w:r>
      <w:r>
        <w:rPr>
          <w:rStyle w:val="FootnoteAnchor"/>
          <w:rtl w:val="true"/>
        </w:rPr>
        <w:footnoteReference w:id="7"/>
      </w:r>
      <w:r>
        <w:rPr>
          <w:rFonts w:ascii="Amiri" w:hAnsi="Amiri" w:eastAsia="Amiri" w:cs="Amiri"/>
          <w:color w:val="111111"/>
          <w:sz w:val="28"/>
          <w:sz w:val="28"/>
          <w:szCs w:val="28"/>
          <w:rtl w:val="true"/>
          <w:lang w:bidi="ar-SA"/>
        </w:rPr>
        <w:t xml:space="preserve">استنباط الأحكام الشرعية من أخبار أهل الرسالة، وتنكب جادّة الأهواء والآراء والجهالة ، عن </w:t>
      </w:r>
      <w:r>
        <w:rPr>
          <w:rStyle w:val="FootnoteAnchor"/>
          <w:rtl w:val="true"/>
        </w:rPr>
        <w:footnoteReference w:id="8"/>
      </w:r>
      <w:r>
        <w:rPr>
          <w:rFonts w:ascii="IRNazanin" w:hAnsi="IRNazanin" w:eastAsia="IRNazanin"/>
          <w:color w:val="111111"/>
          <w:sz w:val="28"/>
          <w:sz w:val="28"/>
          <w:szCs w:val="28"/>
          <w:rtl w:val="true"/>
          <w:lang w:bidi="fa-IR"/>
        </w:rPr>
        <w:t xml:space="preserve">مسائل قد عم بها البلوى، وعجز </w:t>
      </w:r>
    </w:p>
    <w:p>
      <w:pPr>
        <w:pStyle w:val="BookText"/>
        <w:rPr/>
      </w:pPr>
      <w:r>
        <w:rPr>
          <w:rFonts w:ascii="Amiri" w:hAnsi="Amiri" w:eastAsia="Amiri" w:cs="Amiri"/>
          <w:color w:val="111111"/>
          <w:sz w:val="28"/>
          <w:sz w:val="28"/>
          <w:szCs w:val="28"/>
          <w:rtl w:val="true"/>
          <w:lang w:bidi="ar-SA"/>
        </w:rPr>
        <w:t>الفضلاء عن طالعي</w:t>
      </w:r>
      <w:r>
        <w:rPr>
          <w:rStyle w:val="FootnoteAnchor"/>
          <w:rtl w:val="true"/>
        </w:rPr>
        <w:footnoteReference w:id="9"/>
      </w:r>
      <w:r>
        <w:rPr>
          <w:rFonts w:ascii="Amiri" w:hAnsi="Amiri" w:eastAsia="Amiri" w:cs="Amiri"/>
          <w:color w:val="111111"/>
          <w:sz w:val="28"/>
          <w:sz w:val="28"/>
          <w:szCs w:val="28"/>
          <w:rtl w:val="true"/>
          <w:lang w:bidi="ar-SA"/>
        </w:rPr>
        <w:t>يكبو عن الجري في مضمار بيانها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السائل إجابته لدي من الفروض</w:t>
      </w:r>
      <w:r>
        <w:rPr>
          <w:rStyle w:val="FootnoteAnchor"/>
          <w:rtl w:val="true"/>
        </w:rPr>
        <w:footnoteReference w:id="10"/>
      </w:r>
      <w:r>
        <w:rPr>
          <w:rFonts w:ascii="Amiri" w:hAnsi="Amiri" w:eastAsia="Amiri" w:cs="Amiri"/>
          <w:color w:val="111111"/>
          <w:sz w:val="28"/>
          <w:sz w:val="28"/>
          <w:szCs w:val="28"/>
          <w:rtl w:val="true"/>
          <w:lang w:bidi="ar-SA"/>
        </w:rPr>
        <w:t>اللازبة</w:t>
      </w:r>
      <w:r>
        <w:rPr>
          <w:rStyle w:val="FootnoteAnchor"/>
          <w:rtl w:val="true"/>
        </w:rPr>
        <w:footnoteReference w:id="11"/>
      </w:r>
      <w:r>
        <w:rPr>
          <w:rFonts w:ascii="IRNazanin" w:hAnsi="IRNazanin" w:eastAsia="IRNazanin"/>
          <w:color w:val="111111"/>
          <w:sz w:val="28"/>
          <w:sz w:val="28"/>
          <w:szCs w:val="28"/>
          <w:rtl w:val="true"/>
          <w:lang w:bidi="fa-IR"/>
        </w:rPr>
        <w:t>وامتثال أمره</w:t>
      </w:r>
      <w:r>
        <w:rPr>
          <w:rStyle w:val="FootnoteAnchor"/>
          <w:rtl w:val="true"/>
        </w:rPr>
        <w:footnoteReference w:id="12"/>
      </w:r>
      <w:r>
        <w:rPr>
          <w:rFonts w:ascii="IRNazanin" w:hAnsi="IRNazanin" w:eastAsia="IRNazanin"/>
          <w:color w:val="111111"/>
          <w:sz w:val="28"/>
          <w:sz w:val="28"/>
          <w:szCs w:val="28"/>
          <w:rtl w:val="true"/>
          <w:lang w:bidi="fa-IR"/>
        </w:rPr>
        <w:t>من الحقوق</w:t>
      </w:r>
      <w:r>
        <w:rPr>
          <w:rStyle w:val="FootnoteAnchor"/>
          <w:rtl w:val="true"/>
        </w:rPr>
        <w:footnoteReference w:id="13"/>
      </w: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w:t>
      </w:r>
      <w:r>
        <w:rPr>
          <w:rStyle w:val="FootnoteAnchor"/>
          <w:rtl w:val="true"/>
        </w:rPr>
        <w:footnoteReference w:id="14"/>
      </w:r>
      <w:r>
        <w:rPr>
          <w:rFonts w:ascii="Amiri" w:hAnsi="Amiri" w:eastAsia="Amiri" w:cs="Amiri"/>
          <w:color w:val="111111"/>
          <w:sz w:val="28"/>
          <w:sz w:val="28"/>
          <w:szCs w:val="28"/>
          <w:rtl w:val="true"/>
          <w:lang w:bidi="ar-SA"/>
        </w:rPr>
        <w:t>، وإن لم أكن أهلا لذلك ولا حريًّا سلوك</w:t>
      </w:r>
      <w:r>
        <w:rPr>
          <w:rStyle w:val="FootnoteAnchor"/>
          <w:rtl w:val="true"/>
        </w:rPr>
        <w:footnoteReference w:id="15"/>
      </w:r>
      <w:r>
        <w:rPr>
          <w:rFonts w:ascii="Amiri" w:hAnsi="Amiri" w:eastAsia="Amiri" w:cs="Amiri"/>
          <w:color w:val="111111"/>
          <w:sz w:val="28"/>
          <w:sz w:val="28"/>
          <w:szCs w:val="28"/>
          <w:rtl w:val="true"/>
          <w:lang w:bidi="ar-SA"/>
        </w:rPr>
        <w:t>هذه المسالك؛ إخلادًا للمثل المشهور والقول الشائع على ممر الأعصار والدهور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رتبت</w:t>
      </w:r>
      <w:r>
        <w:rPr>
          <w:rStyle w:val="FootnoteAnchor"/>
          <w:rtl w:val="true"/>
        </w:rPr>
        <w:footnoteReference w:id="17"/>
      </w:r>
      <w:r>
        <w:rPr>
          <w:rFonts w:ascii="Amiri" w:hAnsi="Amiri" w:eastAsia="Amiri" w:cs="Amiri"/>
          <w:color w:val="111111"/>
          <w:sz w:val="28"/>
          <w:sz w:val="28"/>
          <w:szCs w:val="28"/>
          <w:rtl w:val="true"/>
          <w:lang w:bidi="ar-SA"/>
        </w:rPr>
        <w:t>على النحو الذي رتبه في السؤال، وقرنت كل مسألة مسألة بما سنح لديّ من الجواب والمقال، وسميتها بعد بروزها إلى عالم الوجدان وظهورها من بين الأقلام والبنان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بالمحاسن النفسانية في أجوبة المسائل الخراسانية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وبالله أستعين في نيل ذلك التوضيح والتبيين، إنه خير موفق ومعين</w:t>
      </w:r>
      <w:r>
        <w:rPr>
          <w:rFonts w:eastAsia="Amiri" w:cs="Amiri" w:ascii="Amiri" w:hAnsi="Amiri"/>
          <w:color w:val="111111"/>
          <w:sz w:val="28"/>
          <w:szCs w:val="28"/>
          <w:rtl w:val="true"/>
          <w:lang w:bidi="ar-SA"/>
        </w:rPr>
        <w:t xml:space="preserve">. </w:t>
      </w:r>
      <w:bookmarkStart w:id="20" w:name="pg2523_39615"/>
    </w:p>
    <w:p>
      <w:pPr>
        <w:pStyle w:val="Heading2"/>
        <w:numPr>
          <w:ilvl w:val="1"/>
          <w:numId w:val="1"/>
        </w:numPr>
        <w:rPr/>
      </w:pPr>
      <w:bookmarkStart w:id="21" w:name="__RefHeading___Toc4264816_3804643083"/>
      <w:bookmarkStart w:id="22" w:name="_Toc6"/>
      <w:bookmarkEnd w:id="20"/>
      <w:bookmarkEnd w:id="21"/>
      <w:r>
        <w:rPr>
          <w:rtl w:val="true"/>
        </w:rPr>
        <w:t xml:space="preserve">المسألة الأولى </w:t>
      </w:r>
      <w:r>
        <w:rPr>
          <w:rtl w:val="true"/>
        </w:rPr>
        <w:t>: [</w:t>
      </w:r>
      <w:r>
        <w:rPr>
          <w:rtl w:val="true"/>
        </w:rPr>
        <w:t>الاعتقاد في الأصوليين، وجواز الاختلاف في الفروع</w:t>
      </w:r>
      <w:r>
        <w:rPr>
          <w:rtl w:val="true"/>
        </w:rPr>
        <w:t>]</w:t>
      </w:r>
      <w:bookmarkEnd w:id="22"/>
    </w:p>
    <w:p>
      <w:pPr>
        <w:pStyle w:val="Heading3"/>
        <w:numPr>
          <w:ilvl w:val="2"/>
          <w:numId w:val="1"/>
        </w:numPr>
        <w:rPr/>
      </w:pPr>
      <w:bookmarkStart w:id="23" w:name="__RefHeading___Toc4264818_3804643083"/>
      <w:bookmarkStart w:id="24" w:name="_Toc7"/>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المسألة الأولى</w:t>
      </w:r>
      <w:r>
        <w:rPr>
          <w:rStyle w:val="FootnoteAnchor"/>
          <w:rtl w:val="true"/>
        </w:rPr>
        <w:footnoteReference w:id="18"/>
      </w:r>
      <w:r>
        <w:rPr>
          <w:rFonts w:ascii="IRNazanin" w:hAnsi="IRNazanin" w:eastAsia="IRNazanin"/>
          <w:color w:val="111111"/>
          <w:sz w:val="28"/>
          <w:sz w:val="28"/>
          <w:szCs w:val="28"/>
          <w:rtl w:val="true"/>
          <w:lang w:bidi="fa-IR"/>
        </w:rPr>
        <w:t>قال رفع الله مقامه، وشرف مبدأه وختامه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العالم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اللوذعي</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أطال الله بقاك، ومتعنا بلقاك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اعتقادكم في علمائنا الأصولية – مثل مولانا العلامة الحلي، والشيخ زين الدين</w:t>
      </w:r>
      <w:r>
        <w:rPr>
          <w:rStyle w:val="FootnoteAnchor"/>
          <w:rtl w:val="true"/>
        </w:rPr>
        <w:footnoteReference w:id="20"/>
      </w:r>
      <w:r>
        <w:rPr>
          <w:rFonts w:ascii="Amiri" w:hAnsi="Amiri" w:eastAsia="Amiri" w:cs="Amiri"/>
          <w:color w:val="111111"/>
          <w:sz w:val="28"/>
          <w:sz w:val="28"/>
          <w:szCs w:val="28"/>
          <w:rtl w:val="true"/>
          <w:lang w:bidi="ar-SA"/>
        </w:rPr>
        <w:t xml:space="preserve">، والشيخ بهاء الدين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بالاجتهاد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استفراغ الوسع في طلب الظن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والعلم الشرعي الذي يحصل من الأحاديث سموه</w:t>
      </w:r>
      <w:r>
        <w:rPr>
          <w:rStyle w:val="FootnoteAnchor"/>
          <w:rtl w:val="true"/>
        </w:rPr>
        <w:footnoteReference w:id="23"/>
      </w:r>
      <w:r>
        <w:rPr>
          <w:rFonts w:ascii="Amiri" w:hAnsi="Amiri" w:eastAsia="Amiri" w:cs="Amiri"/>
          <w:color w:val="111111"/>
          <w:sz w:val="28"/>
          <w:sz w:val="28"/>
          <w:szCs w:val="28"/>
          <w:rtl w:val="true"/>
          <w:lang w:bidi="ar-SA"/>
        </w:rPr>
        <w:t>ظنا، والقواعد المحدثة جعلوها مدركًا ومرجعاً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أنهم صنفوا في الأصول أصولا، وفي الفروع أبوابًا وفصولا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منهم في التوحيد وحيد، وفي العدل ليس لهم عدول ولا كلام فضول، وفي النبوة والإمامة كالردم المشيد، بل هدموا جدران شكوك المخالفين، ونقضوا دلائلهم الركيكة، وحججهم السخيفة بتأليف الكتب والرسائل، و درجوا فيها من الدلائل القاطعة والبراهين الساطعة ما يشفي العليل ويروي الغليل، ويزيل الشك والارتياب عن قلوب أولي الألباب، ككتاب الألفين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سعوا رضی الله عنهم في إعلاء الدين غاية السعي، وجهدوا فيه غاية الجهد في كل عصر و أوان،فالدين باق ببركتهم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وبذلوا ما لهم وعرضهم ومهجهم في ذلك</w:t>
      </w:r>
      <w:r>
        <w:rPr>
          <w:rStyle w:val="FootnoteAnchor"/>
          <w:rtl w:val="true"/>
        </w:rPr>
        <w:footnoteReference w:id="24"/>
      </w:r>
      <w:r>
        <w:rPr>
          <w:rFonts w:ascii="IRNazanin" w:hAnsi="IRNazanin" w:eastAsia="IRNazanin"/>
          <w:color w:val="111111"/>
          <w:sz w:val="28"/>
          <w:sz w:val="28"/>
          <w:szCs w:val="28"/>
          <w:rtl w:val="true"/>
          <w:lang w:bidi="fa-IR"/>
        </w:rPr>
        <w:t>حتى أبعدوا</w:t>
      </w:r>
      <w:r>
        <w:rPr>
          <w:rStyle w:val="FootnoteAnchor"/>
          <w:rtl w:val="true"/>
        </w:rPr>
        <w:footnoteReference w:id="25"/>
      </w:r>
      <w:r>
        <w:rPr>
          <w:rFonts w:ascii="IRNazanin" w:hAnsi="IRNazanin" w:eastAsia="IRNazanin"/>
          <w:color w:val="111111"/>
          <w:sz w:val="28"/>
          <w:sz w:val="28"/>
          <w:szCs w:val="28"/>
          <w:rtl w:val="true"/>
          <w:lang w:bidi="fa-IR"/>
        </w:rPr>
        <w:t>وشردوا وقتلوا</w:t>
      </w:r>
      <w:r>
        <w:rPr>
          <w:rStyle w:val="FootnoteAnchor"/>
          <w:rtl w:val="true"/>
        </w:rPr>
        <w:footnoteReference w:id="26"/>
      </w:r>
      <w:r>
        <w:rPr>
          <w:rFonts w:ascii="Amiri" w:hAnsi="Amiri" w:eastAsia="Amiri" w:cs="Amiri"/>
          <w:color w:val="111111"/>
          <w:sz w:val="28"/>
          <w:sz w:val="28"/>
          <w:szCs w:val="28"/>
          <w:rtl w:val="true"/>
          <w:lang w:bidi="ar-SA"/>
        </w:rPr>
        <w:t>، كالشهيدين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بالتخطئة في الأصحاب باعتقاد الأخباريين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المخطئ باعتقادكم معذور أم لا؟ ففي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 عد منها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كانوا في غاية الورع والاحتياط في الدين، ونهاية المحبة والارتباط بموالاة السادات والأئمة الهداة، علماء فضلاء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يكونوا معذورين فأمرهم موكول إلى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نرجو النجاة للجهال والعوام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عارون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نرجوها للعلماء الأعلام والفضلاء الأبدال </w:t>
      </w:r>
      <w:r>
        <w:rPr>
          <w:rStyle w:val="FootnoteAnchor"/>
          <w:rtl w:val="true"/>
        </w:rPr>
        <w:footnoteReference w:id="29"/>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قوما من الأخباريين يذمونهم غاية الذم، ويحذرون عن مجالستهم كالحية والأرقم </w:t>
      </w:r>
      <w:r>
        <w:rPr>
          <w:rStyle w:val="FootnoteAnchor"/>
          <w:rtl w:val="true"/>
        </w:rPr>
        <w:footnoteReference w:id="30"/>
      </w:r>
      <w:r>
        <w:rPr>
          <w:rFonts w:ascii="Amiri" w:hAnsi="Amiri" w:eastAsia="Amiri" w:cs="Amiri"/>
          <w:color w:val="111111"/>
          <w:sz w:val="28"/>
          <w:sz w:val="28"/>
          <w:szCs w:val="28"/>
          <w:rtl w:val="true"/>
          <w:lang w:bidi="ar-SA"/>
        </w:rPr>
        <w:t>والعدو الأعجم، ويعدونهم من المخالفين، بل من النواصب المضلين، نعوذ بالله من سوء هذا الاعتقاد الذي تقشعر منه الجوانح والفؤاد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الفروع عندكم ممنوع أو مشروع؟ بينوا لنا الجواب بطريق الصواب، ليزول عنا الشك والاضطراب ونفوز بالثواب الجزيل من الرب الجليل</w:t>
      </w:r>
      <w:r>
        <w:rPr>
          <w:rStyle w:val="FootnoteAnchor"/>
          <w:rtl w:val="true"/>
        </w:rPr>
        <w:footnoteReference w:id="31"/>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قبل الخوض في بيان هذا السؤال،</w:t>
      </w:r>
      <w:r>
        <w:rPr>
          <w:rStyle w:val="FootnoteAnchor"/>
          <w:rtl w:val="true"/>
        </w:rPr>
        <w:footnoteReference w:id="32"/>
      </w:r>
      <w:r>
        <w:rPr>
          <w:rFonts w:ascii="Amiri" w:hAnsi="Amiri" w:eastAsia="Amiri" w:cs="Amiri"/>
          <w:color w:val="111111"/>
          <w:sz w:val="28"/>
          <w:sz w:val="28"/>
          <w:szCs w:val="28"/>
          <w:rtl w:val="true"/>
          <w:lang w:bidi="ar-SA"/>
        </w:rPr>
        <w:t xml:space="preserve">لا بد من الكلام على طريقتي علمائنا الأخباريين والمجتهدين، وبيان حدوث هذه الطرائق في الدين، والسبب الباعث على ذلك اليقين، فنقول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سبب حدوث هذه الطرائق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ذلك هو أن الله تعالى لم يقبض نبيه صلی الله علیه وآله و سلم حتى أكمل دينه و أتم نعمته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ومن هنا جاء في الخطب والأدعية المأثورة في ذلك اليوم عند ذلك القول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قالوا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إِكْمَالِ الدِّيْنِ، وَإِتمام النّعْمَةِ ، وَ رِضَى الرَّبِّ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يَدَع شيئا تحتاج إليه الأمة إلا </w:t>
      </w:r>
      <w:r>
        <w:rPr>
          <w:rStyle w:val="FootnoteAnchor"/>
          <w:rtl w:val="true"/>
        </w:rPr>
        <w:footnoteReference w:id="37"/>
      </w:r>
      <w:r>
        <w:rPr>
          <w:rFonts w:ascii="IRNazanin" w:hAnsi="IRNazanin" w:eastAsia="IRNazanin"/>
          <w:color w:val="111111"/>
          <w:sz w:val="28"/>
          <w:sz w:val="28"/>
          <w:szCs w:val="28"/>
          <w:rtl w:val="true"/>
          <w:lang w:bidi="fa-IR"/>
        </w:rPr>
        <w:t>بينه بإنزاله في كتابه أو بإبدائه في سنة نبيه صلی الله علیه وآله و سلم، حتى أرش الخدش والجلدة ونصف 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استغنى عن البرهان أتى به مجردا عنه، وما احتاج إلى الحجة والبيان أتى بهما معه </w:t>
      </w:r>
      <w:r>
        <w:rPr>
          <w:rStyle w:val="FootnoteAnchor"/>
          <w:rtl w:val="true"/>
        </w:rPr>
        <w:footnoteReference w:id="38"/>
      </w:r>
      <w:r>
        <w:rPr>
          <w:rFonts w:ascii="Amiri" w:hAnsi="Amiri" w:eastAsia="Amiri" w:cs="Amiri"/>
          <w:color w:val="111111"/>
          <w:sz w:val="28"/>
          <w:sz w:val="28"/>
          <w:szCs w:val="28"/>
          <w:rtl w:val="true"/>
          <w:lang w:bidi="ar-SA"/>
        </w:rPr>
        <w:t>على أتم وجه وأبلغه، بما كان معه من بينة وبرهان وخطابة وجدال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تقتضيه الحكمة الأحديّة والعناية الصمدية، بأن جعل لكل طائفة منهم ما يناسب عقولهم الجليلة والمضيئة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w:t>
      </w:r>
    </w:p>
    <w:p>
      <w:pPr>
        <w:pStyle w:val="BookText"/>
        <w:rPr/>
      </w:pPr>
      <w:r>
        <w:rPr>
          <w:rFonts w:ascii="Amiri" w:hAnsi="Amiri" w:eastAsia="Amiri" w:cs="Amiri"/>
          <w:color w:val="111111"/>
          <w:sz w:val="28"/>
          <w:sz w:val="28"/>
          <w:szCs w:val="28"/>
          <w:rtl w:val="true"/>
          <w:lang w:bidi="ar-SA"/>
        </w:rPr>
        <w:t xml:space="preserve">هَلَكَ عَنْ بَيِّنَةٍ وَيَحْيَى مَنْ حَيَّ عَنْ بَيِّنَةٍ </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ولئلا تحتاج أمته صلی الله علیه وآله و سلم إلى سالف الشرائع إلى شيء يهمهم</w:t>
      </w:r>
      <w:r>
        <w:rPr>
          <w:rStyle w:val="FootnoteAnchor"/>
          <w:rtl w:val="true"/>
        </w:rPr>
        <w:footnoteReference w:id="41"/>
      </w:r>
      <w:r>
        <w:rPr>
          <w:rFonts w:ascii="Amiri" w:hAnsi="Amiri" w:eastAsia="Amiri" w:cs="Amiri"/>
          <w:color w:val="111111"/>
          <w:sz w:val="28"/>
          <w:sz w:val="28"/>
          <w:szCs w:val="28"/>
          <w:rtl w:val="true"/>
          <w:lang w:bidi="ar-SA"/>
        </w:rPr>
        <w:t>من القضايا والوقائع،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43"/>
      </w:r>
      <w:r>
        <w:rPr>
          <w:rFonts w:ascii="Amiri" w:hAnsi="Amiri" w:eastAsia="Amiri" w:cs="Amiri"/>
          <w:color w:val="111111"/>
          <w:sz w:val="28"/>
          <w:sz w:val="28"/>
          <w:szCs w:val="28"/>
          <w:rtl w:val="true"/>
          <w:lang w:bidi="ar-SA"/>
        </w:rPr>
        <w:t>، وقال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وكم في آيات الكتاب من مثل هذا الخطاب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نهج البلاغة عن أمير المؤمنين علیه السلام في كلام له ذم فيه أهل الفتيا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أَنْزَلَ اللهُ سُبْحَانَه دِيْنًا نَاقِصًا فَاسْتَعَانَ بِهِمْ</w:t>
      </w:r>
      <w:r>
        <w:rPr>
          <w:rStyle w:val="FootnoteAnchor"/>
          <w:rtl w:val="true"/>
        </w:rPr>
        <w:footnoteReference w:id="47"/>
      </w:r>
      <w:r>
        <w:rPr>
          <w:rFonts w:ascii="Amiri" w:hAnsi="Amiri" w:eastAsia="Amiri" w:cs="Amiri"/>
          <w:color w:val="111111"/>
          <w:sz w:val="28"/>
          <w:sz w:val="28"/>
          <w:szCs w:val="28"/>
          <w:rtl w:val="true"/>
          <w:lang w:bidi="ar-SA"/>
        </w:rPr>
        <w:t>عَلَى إِثْمَامِهِ ؟ أَمْ كَانُوا</w:t>
      </w:r>
      <w:r>
        <w:rPr>
          <w:rStyle w:val="FootnoteAnchor"/>
          <w:rtl w:val="true"/>
        </w:rPr>
        <w:footnoteReference w:id="48"/>
      </w:r>
      <w:r>
        <w:rPr>
          <w:rFonts w:ascii="Amiri" w:hAnsi="Amiri" w:eastAsia="Amiri" w:cs="Amiri"/>
          <w:color w:val="111111"/>
          <w:sz w:val="28"/>
          <w:sz w:val="28"/>
          <w:szCs w:val="28"/>
          <w:rtl w:val="true"/>
          <w:lang w:bidi="ar-SA"/>
        </w:rPr>
        <w:t xml:space="preserve">شُرَكَاءَ لَهُ فَلَهُمْ أَنْ يَقُولُوا وَعَلَيْهِ أَنْ يَرْضَى أَمْ أَنْزَلَ اللَّهِ سُبْحَانَهُ </w:t>
      </w:r>
      <w:r>
        <w:rPr>
          <w:rStyle w:val="FootnoteAnchor"/>
          <w:rtl w:val="true"/>
        </w:rPr>
        <w:footnoteReference w:id="49"/>
      </w:r>
      <w:r>
        <w:rPr>
          <w:rFonts w:ascii="Amiri" w:hAnsi="Amiri" w:eastAsia="Amiri" w:cs="Amiri"/>
          <w:color w:val="111111"/>
          <w:sz w:val="28"/>
          <w:sz w:val="28"/>
          <w:szCs w:val="28"/>
          <w:rtl w:val="true"/>
          <w:lang w:bidi="ar-SA"/>
        </w:rPr>
        <w:t>دِيناً تَامّاً فَقَصَّرَ الرَّسُولُ الله صلی الله علیه وآله و سلم عَنْ تَبْلِيغِهِ وَأَدَائِهِ ؟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استفاض في روايات الفريقين، بل تواتر في أحاديث المذهبين عنه صلی الله علیه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وَعِتْرَنِي أَهْلَ بَيْتِي</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بصائر الدرجات بسند صحيح </w:t>
      </w:r>
      <w:r>
        <w:rPr>
          <w:rStyle w:val="FootnoteAnchor"/>
          <w:rtl w:val="true"/>
        </w:rPr>
        <w:footnoteReference w:id="52"/>
      </w:r>
      <w:r>
        <w:rPr>
          <w:rFonts w:ascii="Amiri" w:hAnsi="Amiri" w:eastAsia="Amiri" w:cs="Amiri"/>
          <w:color w:val="111111"/>
          <w:sz w:val="28"/>
          <w:sz w:val="28"/>
          <w:szCs w:val="28"/>
          <w:rtl w:val="true"/>
          <w:lang w:bidi="ar-SA"/>
        </w:rPr>
        <w:t>عن أبي الحسن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لَمْ يَقْبِضُ نَبِيَّهُ حَتَّى أَكْمَلَ لَهُ جَمِيعَ دِينِهِ فِي حَلَالِهِ وَحَرَامِهِ، فَجَاءَكُمْ بمَا </w:t>
      </w:r>
      <w:r>
        <w:rPr>
          <w:rStyle w:val="FootnoteAnchor"/>
          <w:rtl w:val="true"/>
        </w:rPr>
        <w:footnoteReference w:id="53"/>
      </w:r>
      <w:r>
        <w:rPr>
          <w:rFonts w:ascii="Amiri" w:hAnsi="Amiri" w:eastAsia="Amiri" w:cs="Amiri"/>
          <w:color w:val="111111"/>
          <w:sz w:val="28"/>
          <w:sz w:val="28"/>
          <w:szCs w:val="28"/>
          <w:rtl w:val="true"/>
          <w:lang w:bidi="ar-SA"/>
        </w:rPr>
        <w:t xml:space="preserve">تَحْتَاجُونَ إِلَيْهِ فِي حَيَاتِهِ وَتَسْتَغْنُونَ </w:t>
      </w:r>
      <w:r>
        <w:rPr>
          <w:rStyle w:val="FootnoteAnchor"/>
          <w:rtl w:val="true"/>
        </w:rPr>
        <w:footnoteReference w:id="54"/>
      </w:r>
      <w:r>
        <w:rPr>
          <w:rFonts w:ascii="Amiri" w:hAnsi="Amiri" w:eastAsia="Amiri" w:cs="Amiri"/>
          <w:color w:val="111111"/>
          <w:sz w:val="28"/>
          <w:sz w:val="28"/>
          <w:szCs w:val="28"/>
          <w:rtl w:val="true"/>
          <w:lang w:bidi="ar-SA"/>
        </w:rPr>
        <w:t xml:space="preserve">بِهِ وَبِأَهْلِ بَيْتِهِ بَعْدَ مَوْتِهِ </w:t>
      </w:r>
      <w:r>
        <w:rPr>
          <w:rStyle w:val="FootnoteAnchor"/>
          <w:rtl w:val="true"/>
        </w:rPr>
        <w:footnoteReference w:id="55"/>
      </w:r>
      <w:r>
        <w:rPr>
          <w:rFonts w:ascii="Amiri" w:hAnsi="Amiri" w:eastAsia="Amiri" w:cs="Amiri"/>
          <w:color w:val="111111"/>
          <w:sz w:val="28"/>
          <w:sz w:val="28"/>
          <w:szCs w:val="28"/>
          <w:rtl w:val="true"/>
          <w:lang w:bidi="ar-SA"/>
        </w:rPr>
        <w:t xml:space="preserve">، وَإِنَّهُ عِنْدَ أَهْلِ بَيْتِهِ حَتَّى أَرْشُ </w:t>
      </w:r>
      <w:r>
        <w:rPr>
          <w:rStyle w:val="FootnoteAnchor"/>
          <w:rtl w:val="true"/>
        </w:rPr>
        <w:footnoteReference w:id="56"/>
      </w: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الكتاب المذكور والكافي، بإسنادهما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w:t>
      </w:r>
      <w:r>
        <w:rPr>
          <w:rStyle w:val="FootnoteAnchor"/>
          <w:rtl w:val="true"/>
        </w:rPr>
        <w:footnoteReference w:id="58"/>
      </w:r>
      <w:r>
        <w:rPr>
          <w:rFonts w:ascii="Amiri" w:hAnsi="Amiri" w:eastAsia="Amiri" w:cs="Amiri"/>
          <w:color w:val="111111"/>
          <w:sz w:val="28"/>
          <w:sz w:val="28"/>
          <w:szCs w:val="28"/>
          <w:rtl w:val="true"/>
          <w:lang w:bidi="ar-SA"/>
        </w:rPr>
        <w:t xml:space="preserve">لم يَدَعْ شَيْئًا تَحْتَاجُ إِلَيْهِ الأُمْةُ إِلَّا أَنْزَلَهُ فِي كِتَابِهِ، وَبَيْنَهُ لِرَسُولِهِ صلی الله علیه وآله و سلم ، وَجَعَلَ لِكُلِّ شَيْءٍ حَدًا، وَجَعَلَ عَلَيْهِ دَلِيْلًا، وَجَعَلَ عَلَى مَنْ تَعَدِّى ذَلِكَ الحَدَّ حَدًا </w:t>
      </w:r>
      <w:r>
        <w:rPr>
          <w:rStyle w:val="FootnoteAnchor"/>
          <w:rtl w:val="true"/>
        </w:rPr>
        <w:footnoteReference w:id="59"/>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بإسنادهما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بإسناده 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أَمْرٍ يَخْتَلِفُ فِيْهِ اثْنَانِ إِلَّا وَلَهُ أَصْلٌ فِي كِتَابِ اللهِ عَزَّ وَجَلَّ، وَلَكِنْ لَا تَبْلُغُهُ عُقُولُ الرِّجَالِ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بإسنادهما عن سماعة عن الحسن بن موسى قال </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w:t>
      </w:r>
      <w:r>
        <w:rPr>
          <w:rStyle w:val="FootnoteAnchor"/>
          <w:rtl w:val="true"/>
        </w:rPr>
        <w:footnoteReference w:id="63"/>
      </w:r>
      <w:r>
        <w:rPr>
          <w:rFonts w:ascii="Amiri" w:hAnsi="Amiri" w:eastAsia="Amiri" w:cs="Amiri"/>
          <w:color w:val="111111"/>
          <w:sz w:val="28"/>
          <w:sz w:val="28"/>
          <w:szCs w:val="28"/>
          <w:rtl w:val="true"/>
          <w:lang w:bidi="ar-SA"/>
        </w:rPr>
        <w:t>شَيءٍ</w:t>
      </w:r>
      <w:r>
        <w:rPr>
          <w:rStyle w:val="FootnoteAnchor"/>
          <w:rtl w:val="true"/>
        </w:rPr>
        <w:footnoteReference w:id="64"/>
      </w:r>
      <w:r>
        <w:rPr>
          <w:rFonts w:ascii="Amiri" w:hAnsi="Amiri" w:eastAsia="Amiri" w:cs="Amiri"/>
          <w:color w:val="111111"/>
          <w:sz w:val="28"/>
          <w:sz w:val="28"/>
          <w:szCs w:val="28"/>
          <w:rtl w:val="true"/>
          <w:lang w:bidi="ar-SA"/>
        </w:rPr>
        <w:t xml:space="preserve">في كِتَابِ اللهِ وَسُنَّةِ نَبِيِّهِ صلی الله علیه وآله و سلم أَوْ يَقُوْلُوْنَ </w:t>
      </w:r>
      <w:r>
        <w:rPr>
          <w:rStyle w:val="FootnoteAnchor"/>
          <w:rtl w:val="true"/>
        </w:rPr>
        <w:footnoteReference w:id="65"/>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شَيءٍ </w:t>
      </w:r>
      <w:r>
        <w:rPr>
          <w:rStyle w:val="FootnoteAnchor"/>
          <w:rtl w:val="true"/>
        </w:rPr>
        <w:footnoteReference w:id="67"/>
      </w:r>
      <w:r>
        <w:rPr>
          <w:rFonts w:ascii="Amiri" w:hAnsi="Amiri" w:eastAsia="Amiri" w:cs="Amiri"/>
          <w:color w:val="111111"/>
          <w:sz w:val="28"/>
          <w:sz w:val="28"/>
          <w:szCs w:val="28"/>
          <w:rtl w:val="true"/>
          <w:lang w:bidi="ar-SA"/>
        </w:rPr>
        <w:t xml:space="preserve">فِي كِتَابِ اللهِ وَسُنّةِ نَبِيِّهِ صلی الله علیه وآله و سلم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وفي كتاب البصائر بإسناده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أَتَى رَسُولُ اللهِ صلی الله علیه وآله و سلم بِمَا يَكْتَفُونَ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مَاَیحْتَاجُوْنَ إِلَيْهِ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 مِنْ ذَلِكَ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وفي الكافي بإسناده عن أبي عبدالله </w:t>
      </w:r>
      <w:r>
        <w:rPr>
          <w:rStyle w:val="FootnoteAnchor"/>
          <w:rtl w:val="true"/>
        </w:rPr>
        <w:footnoteReference w:id="70"/>
      </w:r>
      <w:r>
        <w:rPr>
          <w:rFonts w:ascii="Amiri" w:hAnsi="Amiri" w:eastAsia="Amiri" w:cs="Amiri"/>
          <w:color w:val="111111"/>
          <w:sz w:val="28"/>
          <w:sz w:val="28"/>
          <w:szCs w:val="28"/>
          <w:rtl w:val="true"/>
          <w:lang w:bidi="ar-SA"/>
        </w:rPr>
        <w:t>علیه السلام عن أمير المؤمنين علیه السلام في كلام له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فَجَاءَهُمْ بِنُسْخَةِ مَا فِي الصُّحُفِ الأُولَى</w:t>
      </w:r>
      <w:r>
        <w:rPr>
          <w:rStyle w:val="FootnoteAnchor"/>
          <w:rtl w:val="true"/>
        </w:rPr>
        <w:footnoteReference w:id="71"/>
      </w:r>
      <w:r>
        <w:rPr>
          <w:rFonts w:ascii="Amiri" w:hAnsi="Amiri" w:eastAsia="Amiri" w:cs="Amiri"/>
          <w:color w:val="111111"/>
          <w:sz w:val="28"/>
          <w:sz w:val="28"/>
          <w:szCs w:val="28"/>
          <w:rtl w:val="true"/>
          <w:lang w:bidi="ar-SA"/>
        </w:rPr>
        <w:t>، تصْدِيقَ الذِي بَيْنَ يَدَيْهِ، وَتَفْصِيلَ الحَلَالِ مِنْ رَيْبِ الْحَرَامِ، ذَلِكَ القُرْآنُ فَاسْتَنْطِقُوْهُ وَ لَنْ يَنطَقَ لَكُمْ، أَخْبَرْتُكُمْ</w:t>
      </w:r>
      <w:r>
        <w:rPr>
          <w:rStyle w:val="FootnoteAnchor"/>
          <w:rtl w:val="true"/>
        </w:rPr>
        <w:footnoteReference w:id="7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عِلْمَ مَا مَضى، وَعِلْمَ مَا يَأْتِي إِلَى يَوْمِ القِيَامَةِ، وَحُكْمَ مَا بَيْنَكُمْ، وَبَيَانَ مَا أَصْبَحْتُمْ فِيْهِ تَخْتَلِفُوْنَ</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وفي كتاب الأمالي للصدوق بإسناده إلى الرّضَا علیه السلام أنه قال في كلام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Style w:val="FootnoteAnchor"/>
          <w:rtl w:val="true"/>
        </w:rPr>
        <w:footnoteReference w:id="74"/>
      </w:r>
      <w:r>
        <w:rPr>
          <w:rFonts w:ascii="Amiri" w:hAnsi="Amiri" w:eastAsia="Amiri" w:cs="Amiri"/>
          <w:color w:val="111111"/>
          <w:sz w:val="28"/>
          <w:sz w:val="28"/>
          <w:szCs w:val="28"/>
          <w:rtl w:val="true"/>
          <w:lang w:bidi="ar-SA"/>
        </w:rPr>
        <w:t xml:space="preserve">لَمْ يَقْبِضُ نَبِيَّهُ صَلَّى اللهُ عَلَيْهِ وَآلِهِ حَتَّى أَكْمَلَ فِيْهِ </w:t>
      </w:r>
      <w:r>
        <w:rPr>
          <w:rStyle w:val="FootnoteAnchor"/>
          <w:rtl w:val="true"/>
        </w:rPr>
        <w:footnoteReference w:id="75"/>
      </w:r>
      <w:r>
        <w:rPr>
          <w:rFonts w:ascii="Amiri" w:hAnsi="Amiri" w:eastAsia="Amiri" w:cs="Amiri"/>
          <w:color w:val="111111"/>
          <w:sz w:val="28"/>
          <w:sz w:val="28"/>
          <w:szCs w:val="28"/>
          <w:rtl w:val="true"/>
          <w:lang w:bidi="ar-SA"/>
        </w:rPr>
        <w:t xml:space="preserve">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القُرْآنَ فِيهِ تَفْصِيلُ كُلّ شَيْءٍ</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بَيَّنَ فِيهِ الحَلَالَ وَالحَرَامَ، وَالحُدُوْدَ وَالأَحْكَامَ، وَجَميعَ مَا تَحْتَاجُ إِلَيْهِ </w:t>
      </w:r>
      <w:r>
        <w:rPr>
          <w:rStyle w:val="FootnoteAnchor"/>
          <w:rtl w:val="true"/>
        </w:rPr>
        <w:footnoteReference w:id="77"/>
      </w:r>
      <w:r>
        <w:rPr>
          <w:rFonts w:ascii="Amiri" w:hAnsi="Amiri" w:eastAsia="Amiri" w:cs="Amiri"/>
          <w:color w:val="111111"/>
          <w:sz w:val="28"/>
          <w:sz w:val="28"/>
          <w:szCs w:val="28"/>
          <w:rtl w:val="true"/>
          <w:lang w:bidi="ar-SA"/>
        </w:rPr>
        <w:t xml:space="preserve">النَّاسُ كَمْلاً، فَقَالَ عَزّ وَجَلّ </w:t>
      </w:r>
      <w:r>
        <w:rPr>
          <w:rStyle w:val="FootnoteAnchor"/>
          <w:rtl w:val="true"/>
        </w:rPr>
        <w:footnoteReference w:id="78"/>
      </w:r>
      <w:r>
        <w:rPr>
          <w:rFonts w:ascii="Amiri" w:hAnsi="Amiri" w:eastAsia="Amiri" w:cs="Amiri"/>
          <w:color w:val="111111"/>
          <w:sz w:val="28"/>
          <w:sz w:val="28"/>
          <w:szCs w:val="28"/>
          <w:rtl w:val="true"/>
          <w:lang w:bidi="ar-SA"/>
        </w:rPr>
        <w:t>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r>
        <w:rPr>
          <w:rStyle w:val="FootnoteAnchor"/>
          <w:rtl w:val="true"/>
        </w:rPr>
        <w:footnoteReference w:id="79"/>
      </w:r>
      <w:r>
        <w:rPr>
          <w:rFonts w:ascii="Amiri" w:hAnsi="Amiri" w:eastAsia="Amiri" w:cs="Amiri"/>
          <w:color w:val="111111"/>
          <w:sz w:val="28"/>
          <w:sz w:val="28"/>
          <w:szCs w:val="28"/>
          <w:rtl w:val="true"/>
          <w:lang w:bidi="ar-SA"/>
        </w:rPr>
        <w:t xml:space="preserve">أَخِرِ عُمْرِهِ صلی الله علیه و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الإِمَامَةِ مِنْ تَمَامِ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یمْضِ صلی الله علیه و آله وسلم </w:t>
      </w:r>
      <w:r>
        <w:rPr>
          <w:rStyle w:val="FootnoteAnchor"/>
          <w:rtl w:val="true"/>
        </w:rPr>
        <w:footnoteReference w:id="80"/>
      </w:r>
      <w:r>
        <w:rPr>
          <w:rFonts w:ascii="Amiri" w:hAnsi="Amiri" w:eastAsia="Amiri" w:cs="Amiri"/>
          <w:color w:val="111111"/>
          <w:sz w:val="28"/>
          <w:sz w:val="28"/>
          <w:szCs w:val="28"/>
          <w:rtl w:val="true"/>
          <w:lang w:bidi="ar-SA"/>
        </w:rPr>
        <w:t xml:space="preserve">حَتَّى بَيَّنَ لِأُمِّتِهِ مَعَالَم دِينِهِمْ وَأَوْضَحَ هُمْ 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وَتَرَكَهُمْ عَلَى قصْدِ الحَقِّ، وَأَقَامَ لَهُمْ عَلِيًّا علیه السلام عَلَما وَإِمَامًا، وَمَا تَرَكَ شَيْئاً تَحْتَاجُ لَهُ </w:t>
      </w:r>
      <w:r>
        <w:rPr>
          <w:rStyle w:val="FootnoteAnchor"/>
          <w:rtl w:val="true"/>
        </w:rPr>
        <w:footnoteReference w:id="81"/>
      </w:r>
      <w:r>
        <w:rPr>
          <w:rFonts w:ascii="Amiri" w:hAnsi="Amiri" w:eastAsia="Amiri" w:cs="Amiri"/>
          <w:color w:val="111111"/>
          <w:sz w:val="28"/>
          <w:sz w:val="28"/>
          <w:szCs w:val="28"/>
          <w:rtl w:val="true"/>
          <w:lang w:bidi="ar-SA"/>
        </w:rPr>
        <w:t xml:space="preserve">الأُمّه </w:t>
      </w:r>
      <w:r>
        <w:rPr>
          <w:rStyle w:val="FootnoteAnchor"/>
          <w:rtl w:val="true"/>
        </w:rPr>
        <w:footnoteReference w:id="82"/>
      </w:r>
      <w:r>
        <w:rPr>
          <w:rFonts w:ascii="Amiri" w:hAnsi="Amiri" w:eastAsia="Amiri" w:cs="Amiri"/>
          <w:color w:val="111111"/>
          <w:sz w:val="28"/>
          <w:sz w:val="28"/>
          <w:szCs w:val="28"/>
          <w:rtl w:val="true"/>
          <w:lang w:bidi="ar-SA"/>
        </w:rPr>
        <w:t xml:space="preserve">إِلا بَيْنَهُ، فَمَنْ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يُكْمِلْ دِيْنَهُ فَقَدْ رَدّ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رَدَّ كِتَابَ اللهِ عَزَّ وَجَلَّ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فَهُوَ كَافِرٌ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بَصَائِرِ الدرجات بإسناده عن اليقطيني يرفعه إلى 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أَنْ يُجْرِيَ الأَشْيَاءَ إِلا بِالأَسْبَابِ،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لِكُلِّ شَيْءٍ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سببا </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وَجَعَلَ لِكُلِّ سَبَبٍ شَرْحًا،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لِكُلِّ شَرْحِ مِفْتَاحًا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وَجَعَلَ لِكُلّ مِفْتَاحٍ عِلْمًا، وَجَعَلَ لِكُلّ عِلْمٍ بَابًا نَاطِقًا، مَنْ عَرَفَهُ عَرَفَ اللَّهَ وَمَنْ أَنْكَرَهُ أَنْكَرَ اللهَ، ذَلِكَ رَسُوْلُ اللهِ صلى الله عليه و آله سلم وَنَحْنُ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في الصحيح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مِيرَاث العِلْمِ مَا بَلَغَ أَجَوَامِعُ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أَمْ يُفَسِّرُ </w:t>
      </w:r>
      <w:r>
        <w:rPr>
          <w:rStyle w:val="FootnoteAnchor"/>
          <w:rtl w:val="true"/>
        </w:rPr>
        <w:footnoteReference w:id="89"/>
      </w:r>
      <w:r>
        <w:rPr>
          <w:rFonts w:ascii="Amiri" w:hAnsi="Amiri" w:eastAsia="Amiri" w:cs="Amiri"/>
          <w:color w:val="111111"/>
          <w:sz w:val="28"/>
          <w:sz w:val="28"/>
          <w:szCs w:val="28"/>
          <w:rtl w:val="true"/>
          <w:lang w:bidi="ar-SA"/>
        </w:rPr>
        <w:t xml:space="preserve">كُلَّ شَيْءٍ مِنْ هَذِهِ الأُمُورِ التِي تَتَكَلَّمُ </w:t>
      </w:r>
      <w:r>
        <w:rPr>
          <w:rStyle w:val="FootnoteAnchor"/>
          <w:rtl w:val="true"/>
        </w:rPr>
        <w:footnoteReference w:id="90"/>
      </w:r>
      <w:r>
        <w:rPr>
          <w:rFonts w:ascii="Amiri" w:hAnsi="Amiri" w:eastAsia="Amiri" w:cs="Amiri"/>
          <w:color w:val="111111"/>
          <w:sz w:val="28"/>
          <w:sz w:val="28"/>
          <w:szCs w:val="28"/>
          <w:rtl w:val="true"/>
          <w:lang w:bidi="ar-SA"/>
        </w:rPr>
        <w:t>فِيْهِ النَّاسُ مِنَ الطَّلَاقِ</w:t>
      </w:r>
      <w:r>
        <w:rPr>
          <w:rStyle w:val="FootnoteAnchor"/>
          <w:rtl w:val="true"/>
        </w:rPr>
        <w:footnoteReference w:id="91"/>
      </w:r>
      <w:r>
        <w:rPr>
          <w:rFonts w:ascii="Amiri" w:hAnsi="Amiri" w:eastAsia="Amiri" w:cs="Amiri"/>
          <w:color w:val="111111"/>
          <w:sz w:val="28"/>
          <w:sz w:val="28"/>
          <w:szCs w:val="28"/>
          <w:rtl w:val="true"/>
          <w:lang w:bidi="ar-SA"/>
        </w:rPr>
        <w:t>وَالفَرَائِضِ؟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كَتَبَ العِلْمَ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وَالْفَرَائِضَ، فَلَوْ ظَهَرَ أَمْرُنَا لم يَكُنْ مِنْ شَيْءٍ</w:t>
      </w:r>
      <w:r>
        <w:rPr>
          <w:rStyle w:val="FootnoteAnchor"/>
          <w:rtl w:val="true"/>
        </w:rPr>
        <w:footnoteReference w:id="93"/>
      </w:r>
      <w:r>
        <w:rPr>
          <w:rFonts w:ascii="Amiri" w:hAnsi="Amiri" w:eastAsia="Amiri" w:cs="Amiri"/>
          <w:color w:val="111111"/>
          <w:sz w:val="28"/>
          <w:sz w:val="28"/>
          <w:szCs w:val="28"/>
          <w:rtl w:val="true"/>
          <w:lang w:bidi="ar-SA"/>
        </w:rPr>
        <w:t>إِلَّا وَفِيهِ سُنَّةٌ یمْضِيهَا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في الصحيح عن أبي </w:t>
      </w:r>
      <w:r>
        <w:rPr>
          <w:rStyle w:val="FootnoteAnchor"/>
          <w:rtl w:val="true"/>
        </w:rPr>
        <w:footnoteReference w:id="96"/>
      </w:r>
      <w:r>
        <w:rPr>
          <w:rFonts w:ascii="Amiri" w:hAnsi="Amiri" w:eastAsia="Amiri" w:cs="Amiri"/>
          <w:color w:val="111111"/>
          <w:sz w:val="28"/>
          <w:sz w:val="28"/>
          <w:szCs w:val="28"/>
          <w:rtl w:val="true"/>
          <w:lang w:bidi="ar-SA"/>
        </w:rPr>
        <w:t>أسامة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علیه السلام وَعِنْدَهُ رَجُلٌ مِنَ الْمُغِيْرِيَّةِ،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شَيْءٍ مِنَ السُّنَنِ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يَحْتَاجُ إِلَيْهِ وُلْدُ أَدَمَ إِلا وَقَدْ خَرَجَتْ فِيهِ السُّنَّةُ مِنَ اللهِ وَرَسُوْلِهِ، وَلَوْلَا ذَلِكَ لَما احتُجَّ عَلَيْنَا بِمَا احتج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w:t>
      </w:r>
      <w:r>
        <w:rPr>
          <w:rStyle w:val="FootnoteAnchor"/>
          <w:rtl w:val="true"/>
        </w:rPr>
        <w:footnoteReference w:id="98"/>
      </w:r>
      <w:r>
        <w:rPr>
          <w:rFonts w:ascii="Amiri" w:hAnsi="Amiri" w:eastAsia="Amiri" w:cs="Amiri"/>
          <w:color w:val="111111"/>
          <w:sz w:val="28"/>
          <w:sz w:val="28"/>
          <w:szCs w:val="28"/>
          <w:rtl w:val="true"/>
          <w:lang w:bidi="ar-SA"/>
        </w:rPr>
        <w:t>احتجَّ ؟</w:t>
      </w:r>
      <w:r>
        <w:rPr>
          <w:rStyle w:val="FootnoteAnchor"/>
          <w:rtl w:val="true"/>
        </w:rPr>
        <w:footnoteReference w:id="99"/>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الآيَةِ، فَلَوْ لَمْ يُكْمِل سُننه</w:t>
      </w:r>
      <w:r>
        <w:rPr>
          <w:rStyle w:val="FootnoteAnchor"/>
          <w:rtl w:val="true"/>
        </w:rPr>
        <w:footnoteReference w:id="101"/>
      </w:r>
      <w:r>
        <w:rPr>
          <w:rFonts w:ascii="Amiri" w:hAnsi="Amiri" w:eastAsia="Amiri" w:cs="Amiri"/>
          <w:color w:val="111111"/>
          <w:sz w:val="28"/>
          <w:sz w:val="28"/>
          <w:szCs w:val="28"/>
          <w:rtl w:val="true"/>
          <w:lang w:bidi="ar-SA"/>
        </w:rPr>
        <w:t>وَفَرَائِضَهُ وَمَا يَحْتَاجُ إِلَيْهِ النَّاسُ مَا</w:t>
      </w:r>
      <w:r>
        <w:rPr>
          <w:rStyle w:val="FootnoteAnchor"/>
          <w:rtl w:val="true"/>
        </w:rPr>
        <w:footnoteReference w:id="102"/>
      </w:r>
      <w:r>
        <w:rPr>
          <w:rFonts w:ascii="Amiri" w:hAnsi="Amiri" w:eastAsia="Amiri" w:cs="Amiri"/>
          <w:color w:val="111111"/>
          <w:sz w:val="28"/>
          <w:sz w:val="28"/>
          <w:szCs w:val="28"/>
          <w:rtl w:val="true"/>
          <w:lang w:bidi="ar-SA"/>
        </w:rPr>
        <w:t xml:space="preserve">احْتَجَّ بِهِ </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والأخبار في هذا المعنى لا يأتي عليها أقلام البيان، وهي شاهدة على أن الطريق في أخذ الأحكام مقصورة على الكتاب وسنة أهل بيت محمد صلی الله علیه و آله وسلم </w:t>
      </w:r>
      <w:r>
        <w:rPr>
          <w:rStyle w:val="FootnoteAnchor"/>
          <w:rtl w:val="true"/>
        </w:rPr>
        <w:footnoteReference w:id="104"/>
      </w:r>
      <w:r>
        <w:rPr>
          <w:rFonts w:ascii="Amiri" w:hAnsi="Amiri" w:eastAsia="Amiri" w:cs="Amiri"/>
          <w:color w:val="111111"/>
          <w:sz w:val="28"/>
          <w:sz w:val="28"/>
          <w:szCs w:val="28"/>
          <w:rtl w:val="true"/>
          <w:lang w:bidi="ar-SA"/>
        </w:rPr>
        <w:t>وأنه ليس حكم على الخصوص إلا وجاءت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سنة ونص من هذه </w:t>
      </w:r>
      <w:r>
        <w:rPr>
          <w:rStyle w:val="FootnoteAnchor"/>
          <w:rtl w:val="true"/>
        </w:rPr>
        <w:footnoteReference w:id="105"/>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الطريق هي المعكوف عليها في الصدر الأول، وعليها بني الاستنباط الشرعي، وعليها فيما بينهم المعوّل، وقد اعترف بعض علماء ه</w:t>
      </w:r>
      <w:r>
        <w:rPr>
          <w:rFonts w:eastAsia="Amiri" w:cs="Amiri" w:ascii="Amiri" w:hAnsi="Amiri"/>
          <w:color w:val="111111"/>
          <w:sz w:val="28"/>
          <w:szCs w:val="28"/>
          <w:rtl w:val="true"/>
          <w:lang w:bidi="ar-SA"/>
        </w:rPr>
        <w:t xml:space="preserve">. </w:t>
      </w:r>
      <w:bookmarkStart w:id="25" w:name="pg2523_39627"/>
    </w:p>
    <w:p>
      <w:pPr>
        <w:pStyle w:val="BookText"/>
        <w:rPr/>
      </w:pPr>
      <w:bookmarkEnd w:id="25"/>
      <w:r>
        <w:rPr>
          <w:rFonts w:ascii="Amiri" w:hAnsi="Amiri" w:eastAsia="Amiri" w:cs="Amiri"/>
          <w:color w:val="111111"/>
          <w:sz w:val="28"/>
          <w:sz w:val="28"/>
          <w:szCs w:val="28"/>
          <w:rtl w:val="true"/>
          <w:lang w:bidi="ar-SA"/>
        </w:rPr>
        <w:t xml:space="preserve">العامة بذلك، مع إخلاده إلى الرأي والقياس، وعدم مبالاته بالدخول في الشبه ومواضع الالتباس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4264820_3804643083"/>
      <w:bookmarkStart w:id="27" w:name="_Toc8"/>
      <w:bookmarkEnd w:id="26"/>
      <w:r>
        <w:rPr>
          <w:rtl w:val="true"/>
        </w:rPr>
        <w:t>[</w:t>
      </w:r>
      <w:r>
        <w:rPr>
          <w:rtl w:val="true"/>
        </w:rPr>
        <w:t xml:space="preserve">طريقة المخالفين وباعث الانحراف عن الجادة </w:t>
      </w:r>
      <w:r>
        <w:rPr>
          <w:rtl w:val="true"/>
        </w:rPr>
        <w:t>]</w:t>
      </w:r>
      <w:bookmarkEnd w:id="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الباعث على الانحراف عن تلك الجادة القويمة والطريقة المستقيمة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قبض نبيه وتولى الأمر غير أهله، فكان الخليفة منهم</w:t>
      </w:r>
      <w:r>
        <w:rPr>
          <w:rStyle w:val="FootnoteAnchor"/>
          <w:rtl w:val="true"/>
        </w:rPr>
        <w:footnoteReference w:id="107"/>
      </w:r>
      <w:r>
        <w:rPr>
          <w:rFonts w:ascii="Amiri" w:hAnsi="Amiri" w:eastAsia="Amiri" w:cs="Amiri"/>
          <w:color w:val="111111"/>
          <w:sz w:val="28"/>
          <w:sz w:val="28"/>
          <w:szCs w:val="28"/>
          <w:rtl w:val="true"/>
          <w:lang w:bidi="ar-SA"/>
        </w:rPr>
        <w:t>يقضي بما اقتضاه الحال من الكتاب والسنة، وربما سأل</w:t>
      </w:r>
      <w:r>
        <w:rPr>
          <w:rStyle w:val="FootnoteAnchor"/>
          <w:rtl w:val="true"/>
        </w:rPr>
        <w:footnoteReference w:id="108"/>
      </w:r>
      <w:r>
        <w:rPr>
          <w:rFonts w:ascii="Amiri" w:hAnsi="Amiri" w:eastAsia="Amiri" w:cs="Amiri"/>
          <w:color w:val="111111"/>
          <w:sz w:val="28"/>
          <w:sz w:val="28"/>
          <w:szCs w:val="28"/>
          <w:rtl w:val="true"/>
          <w:lang w:bidi="ar-SA"/>
        </w:rPr>
        <w:t>من حضر من الصحابة، فإن لم يجد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بما يرى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الملوك والأمراء في القضايا الكلية والجزئية يراعون ما ينتظم به أمر الدولة، ويصلح حال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وافق الشرع </w:t>
      </w:r>
      <w:r>
        <w:rPr>
          <w:rStyle w:val="FootnoteAnchor"/>
          <w:rtl w:val="true"/>
        </w:rPr>
        <w:footnoteReference w:id="109"/>
      </w:r>
      <w:r>
        <w:rPr>
          <w:rFonts w:ascii="Amiri" w:hAnsi="Amiri" w:eastAsia="Amiri" w:cs="Amiri"/>
          <w:color w:val="111111"/>
          <w:sz w:val="28"/>
          <w:sz w:val="28"/>
          <w:szCs w:val="28"/>
          <w:rtl w:val="true"/>
          <w:lang w:bidi="ar-SA"/>
        </w:rPr>
        <w:t>أو خالفه، ولا يبالون هناك</w:t>
      </w:r>
      <w:r>
        <w:rPr>
          <w:rStyle w:val="FootnoteAnchor"/>
          <w:rtl w:val="true"/>
        </w:rPr>
        <w:footnoteReference w:id="110"/>
      </w:r>
      <w:r>
        <w:rPr>
          <w:rFonts w:ascii="Amiri" w:hAnsi="Amiri" w:eastAsia="Amiri" w:cs="Amiri"/>
          <w:color w:val="111111"/>
          <w:sz w:val="28"/>
          <w:sz w:val="28"/>
          <w:szCs w:val="28"/>
          <w:rtl w:val="true"/>
          <w:lang w:bidi="ar-SA"/>
        </w:rPr>
        <w:t>بالمباينة لنبيهم والمخالفة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وكانوا يسمون ما لا</w:t>
      </w:r>
      <w:r>
        <w:rPr>
          <w:rStyle w:val="FootnoteAnchor"/>
          <w:rtl w:val="true"/>
        </w:rPr>
        <w:footnoteReference w:id="111"/>
      </w:r>
      <w:r>
        <w:rPr>
          <w:rFonts w:ascii="Amiri" w:hAnsi="Amiri" w:eastAsia="Amiri" w:cs="Amiri"/>
          <w:color w:val="111111"/>
          <w:sz w:val="28"/>
          <w:sz w:val="28"/>
          <w:szCs w:val="28"/>
          <w:rtl w:val="true"/>
          <w:lang w:bidi="ar-SA"/>
        </w:rPr>
        <w:t>يستند إلى النص اجتهادًا، والعامل به مجتهدا</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المعتزلي عز الدين عبد الحميد ابن أبي الحديد في شرحه على النهج لعلی</w:t>
      </w:r>
      <w:r>
        <w:rPr>
          <w:rStyle w:val="FootnoteAnchor"/>
          <w:rtl w:val="true"/>
        </w:rPr>
        <w:footnoteReference w:id="113"/>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عمر مجتهدا يعمل بالقياس والاستحسان والمصالح المرسلة، ويرى تخصيص عموم النص بالرأي والاستنباط من أصول تقتضى خلاف ما يقتضيه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يأمر أمراءه</w:t>
      </w:r>
      <w:r>
        <w:rPr>
          <w:rStyle w:val="FootnoteAnchor"/>
          <w:rtl w:val="true"/>
        </w:rPr>
        <w:footnoteReference w:id="114"/>
      </w:r>
      <w:r>
        <w:rPr>
          <w:rFonts w:ascii="Amiri" w:hAnsi="Amiri" w:eastAsia="Amiri" w:cs="Amiri"/>
          <w:color w:val="111111"/>
          <w:sz w:val="28"/>
          <w:sz w:val="28"/>
          <w:szCs w:val="28"/>
          <w:rtl w:val="true"/>
          <w:lang w:bidi="ar-SA"/>
        </w:rPr>
        <w:t>بالكيد والحيلة، ويؤدب قومًا ويعفو عن آخرين استحقوا العقوبة بحسب ما يراه من المصلحة</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دام الأمر على ذلك في الخلفاء المتلصصين</w:t>
      </w:r>
      <w:r>
        <w:rPr>
          <w:rStyle w:val="FootnoteAnchor"/>
          <w:rtl w:val="true"/>
        </w:rPr>
        <w:footnoteReference w:id="116"/>
      </w:r>
      <w:r>
        <w:rPr>
          <w:rFonts w:ascii="Amiri" w:hAnsi="Amiri" w:eastAsia="Amiri" w:cs="Amiri"/>
          <w:color w:val="111111"/>
          <w:sz w:val="28"/>
          <w:sz w:val="28"/>
          <w:szCs w:val="28"/>
          <w:rtl w:val="true"/>
          <w:lang w:bidi="ar-SA"/>
        </w:rPr>
        <w:t xml:space="preserve">بعده إلى أن انتهت النوبة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فهدم بعض قواعدهم المبدعة </w:t>
      </w:r>
      <w:r>
        <w:rPr>
          <w:rStyle w:val="FootnoteAnchor"/>
          <w:rtl w:val="true"/>
        </w:rPr>
        <w:footnoteReference w:id="117"/>
      </w:r>
      <w:r>
        <w:rPr>
          <w:rFonts w:ascii="Amiri" w:hAnsi="Amiri" w:eastAsia="Amiri" w:cs="Amiri"/>
          <w:color w:val="111111"/>
          <w:sz w:val="28"/>
          <w:sz w:val="28"/>
          <w:szCs w:val="28"/>
          <w:rtl w:val="true"/>
          <w:lang w:bidi="ar-SA"/>
        </w:rPr>
        <w:t>في الدين، وبقي كثير لم يقدر على إزالته؛ لكثرة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ظهرت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فأججوا نيران البدع الشنيعة، وأظهروا الباطل والأحوال الفظيعة، فزادوا على تلك القواعد وهلم جرا، فشادوا ما أسس أولئك وزادوا في الطنبور نغمةً أخرى، فارتبك </w:t>
      </w:r>
      <w:r>
        <w:rPr>
          <w:rStyle w:val="FootnoteAnchor"/>
          <w:rtl w:val="true"/>
        </w:rPr>
        <w:footnoteReference w:id="118"/>
      </w:r>
      <w:r>
        <w:rPr>
          <w:rFonts w:ascii="IRNazanin" w:hAnsi="IRNazanin" w:eastAsia="IRNazanin"/>
          <w:color w:val="111111"/>
          <w:sz w:val="28"/>
          <w:sz w:val="28"/>
          <w:szCs w:val="28"/>
          <w:rtl w:val="true"/>
          <w:lang w:bidi="fa-IR"/>
        </w:rPr>
        <w:t xml:space="preserve">الأمر على الناس، ولا </w:t>
      </w:r>
      <w:r>
        <w:rPr>
          <w:rStyle w:val="FootnoteAnchor"/>
          <w:rtl w:val="true"/>
        </w:rPr>
        <w:footnoteReference w:id="119"/>
      </w:r>
      <w:r>
        <w:rPr>
          <w:rFonts w:ascii="Amiri" w:hAnsi="Amiri" w:eastAsia="Amiri" w:cs="Amiri"/>
          <w:color w:val="111111"/>
          <w:sz w:val="28"/>
          <w:sz w:val="28"/>
          <w:szCs w:val="28"/>
          <w:rtl w:val="true"/>
          <w:lang w:bidi="ar-SA"/>
        </w:rPr>
        <w:t xml:space="preserve">برحوا مشتملين على هذا اللباس، حتى انتهت الرياسة إلى أرجاس بني العباس، أهل القيان والمزامر والكاس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وأكثر الفقهاء من العامة في أيامهم، فرفعوا مكانهم، وأمروا الناس بالأخذ بفتياهم، وكان أقرب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إليهم أشدهم عداوة لآل الرسول، وأظهرهم لهم خلافًا في الفروع والأصول، كمالك وأبي حنيفة والشافعي وابن حنبل، ومن حدا حدوهم في تلك المذاهب السخيفة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زمانهم من الفقهاء من هو أعلم، ولكن اشتهر هؤلاء؛ لأنهم لآل محمد صلی الله علیه و آله وسلم أبغض و أظلم، ولما فيهم من التلبيس الذي حملهم عليه إبليس، فأظهروا الزهد والبعد عن الملوك؛ طلبا لدنيا لا تُنال إلا بتركها ظاهرا، ومراءاة لهم في السلوك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فمالت إليهم قلوب العوام</w:t>
      </w:r>
      <w:r>
        <w:rPr>
          <w:rStyle w:val="FootnoteAnchor"/>
          <w:rtl w:val="true"/>
        </w:rPr>
        <w:footnoteReference w:id="121"/>
      </w:r>
      <w:r>
        <w:rPr>
          <w:rFonts w:ascii="Amiri" w:hAnsi="Amiri" w:eastAsia="Amiri" w:cs="Amiri"/>
          <w:color w:val="111111"/>
          <w:sz w:val="28"/>
          <w:sz w:val="28"/>
          <w:szCs w:val="28"/>
          <w:rtl w:val="true"/>
          <w:lang w:bidi="ar-SA"/>
        </w:rPr>
        <w:t>، ودانت لهم عقول من هم في الضلالة كالأنعام، و روَّجَتْ أسواقهم الكاسدة أقوام و أي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فستروا ما أبدعوا في الدين بإصلاح مموّه، وتأويل غير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إليهم الحكام، و قلدوهم أمر الحلال والحرام و ولوهم المدارس والمناصب، وما هو بحالهم من القضاء والفتيا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فكثرت عليهم القضايا والمسائل، و ضاق عليهم فسيح </w:t>
      </w:r>
      <w:r>
        <w:rPr>
          <w:rStyle w:val="FootnoteAnchor"/>
          <w:rtl w:val="true"/>
        </w:rPr>
        <w:footnoteReference w:id="122"/>
      </w:r>
      <w:r>
        <w:rPr>
          <w:rFonts w:ascii="Amiri" w:hAnsi="Amiri" w:eastAsia="Amiri" w:cs="Amiri"/>
          <w:color w:val="111111"/>
          <w:sz w:val="28"/>
          <w:sz w:val="28"/>
          <w:szCs w:val="28"/>
          <w:rtl w:val="true"/>
          <w:lang w:bidi="ar-SA"/>
        </w:rPr>
        <w:t>البراهين و الدلائل، فعدلوا إلى العمل بالإجماع والقياس والرأي والاستحسان، وما يليق بحال الناس، وغير ذلك من القواعد العقلية والسوفسطائية</w:t>
      </w:r>
      <w:r>
        <w:rPr>
          <w:rStyle w:val="FootnoteAnchor"/>
          <w:rtl w:val="true"/>
        </w:rPr>
        <w:footnoteReference w:id="123"/>
      </w:r>
      <w:r>
        <w:rPr>
          <w:rFonts w:ascii="Amiri" w:hAnsi="Amiri" w:eastAsia="Amiri" w:cs="Amiri"/>
          <w:color w:val="111111"/>
          <w:sz w:val="28"/>
          <w:sz w:val="28"/>
          <w:szCs w:val="28"/>
          <w:rtl w:val="true"/>
          <w:lang w:bidi="ar-SA"/>
        </w:rPr>
        <w:t>، وما حضر لهم من القوانين الشيطانية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فأسسوا تلك الطرق، فأضافوا إليها ما يمكن النظر بها والاعتماد عليها من مسائل الكلام والمنطق والعربية، وعلوم لم يأت مستندها عن الفرقة المعصومية، ورتبوا ذلك على أبواب وفصول، وسموا ذلك فيما بينهم بعلم الأصول، وجعلوا أقوى مباحثه الاجتهاد، بعد أن خصوا مسائله بالفقهيات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الظنيات</w:t>
      </w:r>
      <w:r>
        <w:rPr>
          <w:rStyle w:val="FootnoteAnchor"/>
          <w:rtl w:val="true"/>
        </w:rPr>
        <w:footnoteReference w:id="124"/>
      </w:r>
      <w:r>
        <w:rPr>
          <w:rFonts w:ascii="Amiri" w:hAnsi="Amiri" w:eastAsia="Amiri" w:cs="Amiri"/>
          <w:color w:val="111111"/>
          <w:sz w:val="28"/>
          <w:sz w:val="28"/>
          <w:szCs w:val="28"/>
          <w:rtl w:val="true"/>
          <w:lang w:bidi="ar-SA"/>
        </w:rPr>
        <w:t>، وقالوا إن المجتهد هو العالم بتلك الأصول في مسائل الفقهيات</w:t>
      </w:r>
      <w:r>
        <w:rPr>
          <w:rStyle w:val="FootnoteAnchor"/>
          <w:rtl w:val="true"/>
        </w:rPr>
        <w:footnoteReference w:id="125"/>
      </w:r>
      <w:r>
        <w:rPr>
          <w:rFonts w:ascii="Amiri" w:hAnsi="Amiri" w:eastAsia="Amiri" w:cs="Amiri"/>
          <w:color w:val="111111"/>
          <w:sz w:val="28"/>
          <w:sz w:val="28"/>
          <w:szCs w:val="28"/>
          <w:rtl w:val="true"/>
          <w:lang w:bidi="ar-SA"/>
        </w:rPr>
        <w:t>، والقادر على استنباط ذلك المجهول من ذلك المعلوم</w:t>
      </w:r>
      <w:r>
        <w:rPr>
          <w:rStyle w:val="FootnoteAnchor"/>
          <w:rtl w:val="true"/>
        </w:rPr>
        <w:footnoteReference w:id="126"/>
      </w:r>
      <w:r>
        <w:rPr>
          <w:rFonts w:ascii="IRNazanin" w:hAnsi="IRNazanin" w:eastAsia="IRNazanin"/>
          <w:color w:val="111111"/>
          <w:sz w:val="28"/>
          <w:sz w:val="28"/>
          <w:szCs w:val="28"/>
          <w:rtl w:val="true"/>
          <w:lang w:bidi="fa-IR"/>
        </w:rPr>
        <w:t xml:space="preserve">، وإن خالف ما جاء عن الرسول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w:t>
      </w:r>
      <w:r>
        <w:rPr>
          <w:rStyle w:val="FootnoteAnchor"/>
          <w:rtl w:val="true"/>
        </w:rPr>
        <w:footnoteReference w:id="128"/>
      </w:r>
      <w:r>
        <w:rPr>
          <w:rFonts w:ascii="Amiri" w:hAnsi="Amiri" w:eastAsia="Amiri" w:cs="Amiri"/>
          <w:color w:val="111111"/>
          <w:sz w:val="28"/>
          <w:sz w:val="28"/>
          <w:szCs w:val="28"/>
          <w:rtl w:val="true"/>
          <w:lang w:bidi="ar-SA"/>
        </w:rPr>
        <w:t xml:space="preserve">أخذ كثيرهم سلوك </w:t>
      </w:r>
      <w:r>
        <w:rPr>
          <w:rStyle w:val="FootnoteAnchor"/>
          <w:rtl w:val="true"/>
        </w:rPr>
        <w:footnoteReference w:id="129"/>
      </w:r>
      <w:r>
        <w:rPr>
          <w:rFonts w:ascii="Amiri" w:hAnsi="Amiri" w:eastAsia="Amiri" w:cs="Amiri"/>
          <w:color w:val="111111"/>
          <w:sz w:val="28"/>
          <w:sz w:val="28"/>
          <w:szCs w:val="28"/>
          <w:rtl w:val="true"/>
          <w:lang w:bidi="ar-SA"/>
        </w:rPr>
        <w:t xml:space="preserve">جادة طريق </w:t>
      </w:r>
      <w:r>
        <w:rPr>
          <w:rStyle w:val="FootnoteAnchor"/>
          <w:rtl w:val="true"/>
        </w:rPr>
        <w:footnoteReference w:id="130"/>
      </w:r>
      <w:r>
        <w:rPr>
          <w:rFonts w:ascii="Amiri" w:hAnsi="Amiri" w:eastAsia="Amiri" w:cs="Amiri"/>
          <w:color w:val="111111"/>
          <w:sz w:val="28"/>
          <w:sz w:val="28"/>
          <w:szCs w:val="28"/>
          <w:rtl w:val="true"/>
          <w:lang w:bidi="ar-SA"/>
        </w:rPr>
        <w:t xml:space="preserve">التصويب، فحكم بأن كلّ مُجتَهِد مصيب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راجع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للآمدي،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وشرح التنقيح للقرافي،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والمحصول لأبي بكر العربي،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ومنتهى الوصول والأمل لابن الحاجب،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والقليل من ذلك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خالفوهم في ذلك 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القيل</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قالوا إن للمصيب أجرين وللمخطئ واحد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حديثاً قد صاغوه من الكذب والمين </w:t>
      </w:r>
      <w:r>
        <w:rPr>
          <w:rStyle w:val="FootnoteAnchor"/>
          <w:rtl w:val="true"/>
        </w:rPr>
        <w:footnoteReference w:id="133"/>
      </w:r>
      <w:r>
        <w:rPr>
          <w:rFonts w:ascii="Amiri" w:hAnsi="Amiri" w:eastAsia="Amiri" w:cs="Amiri"/>
          <w:color w:val="111111"/>
          <w:sz w:val="28"/>
          <w:sz w:val="28"/>
          <w:szCs w:val="28"/>
          <w:rtl w:val="true"/>
          <w:lang w:bidi="ar-SA"/>
        </w:rPr>
        <w:t xml:space="preserve">، وزعموا أن الصحابة </w:t>
      </w:r>
      <w:r>
        <w:rPr>
          <w:rStyle w:val="FootnoteAnchor"/>
          <w:rtl w:val="true"/>
        </w:rPr>
        <w:footnoteReference w:id="134"/>
      </w:r>
      <w:r>
        <w:rPr>
          <w:rFonts w:ascii="Amiri" w:hAnsi="Amiri" w:eastAsia="Amiri" w:cs="Amiri"/>
          <w:color w:val="111111"/>
          <w:sz w:val="28"/>
          <w:sz w:val="28"/>
          <w:szCs w:val="28"/>
          <w:rtl w:val="true"/>
          <w:lang w:bidi="ar-SA"/>
        </w:rPr>
        <w:t xml:space="preserve">كان طريقهم الاجتهاد وناهيك بها من طريقة، وكانوا يعرفون ذلك فيما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السليقة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تمادى الزمان وكثر المجتهدون، فظهر التعصب وغار الإنصاف، وكثر الجور واشتد الاعتساف، وتفرقت الآراء وكثر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راموا هنالك حسم مادة هذه الفتنة، و إطفاء نائرة ما لحقهم من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هناك على قصر العمل على المذاهب الأربعة، وبدعية ما سواها</w:t>
      </w:r>
      <w:r>
        <w:rPr>
          <w:rStyle w:val="FootnoteAnchor"/>
          <w:rtl w:val="true"/>
        </w:rPr>
        <w:footnoteReference w:id="135"/>
      </w:r>
      <w:r>
        <w:rPr>
          <w:rFonts w:ascii="Amiri" w:hAnsi="Amiri" w:eastAsia="Amiri" w:cs="Amiri"/>
          <w:color w:val="111111"/>
          <w:sz w:val="28"/>
          <w:sz w:val="28"/>
          <w:szCs w:val="28"/>
          <w:rtl w:val="true"/>
          <w:lang w:bidi="ar-SA"/>
        </w:rPr>
        <w:t xml:space="preserve">من المذاهب المتوزعة </w:t>
      </w:r>
      <w:r>
        <w:rPr>
          <w:rStyle w:val="FootnoteAnchor"/>
          <w:rtl w:val="true"/>
        </w:rPr>
        <w:footnoteReference w:id="136"/>
      </w:r>
      <w:r>
        <w:rPr>
          <w:rFonts w:ascii="Amiri" w:hAnsi="Amiri" w:eastAsia="Amiri" w:cs="Amiri"/>
          <w:color w:val="111111"/>
          <w:sz w:val="28"/>
          <w:sz w:val="28"/>
          <w:szCs w:val="28"/>
          <w:rtl w:val="true"/>
          <w:lang w:bidi="ar-SA"/>
        </w:rPr>
        <w:t xml:space="preserve">، فأحلوا إراقة دم من سلك غيرها من المذاهب، وإباحة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8" w:name="pg2523_39633"/>
    </w:p>
    <w:p>
      <w:pPr>
        <w:pStyle w:val="BookText"/>
        <w:rPr/>
      </w:pPr>
      <w:bookmarkEnd w:id="28"/>
      <w:r>
        <w:rPr>
          <w:rFonts w:ascii="Amiri" w:hAnsi="Amiri" w:eastAsia="Amiri" w:cs="Amiri"/>
          <w:color w:val="111111"/>
          <w:sz w:val="28"/>
          <w:sz w:val="28"/>
          <w:szCs w:val="28"/>
          <w:rtl w:val="true"/>
          <w:lang w:bidi="ar-SA"/>
        </w:rPr>
        <w:t>مال من تعلق بأذيال غيرها في شيء من المطالب</w:t>
      </w:r>
      <w:r>
        <w:rPr>
          <w:rStyle w:val="FootnoteAnchor"/>
          <w:rtl w:val="true"/>
        </w:rPr>
        <w:footnoteReference w:id="137"/>
      </w:r>
      <w:r>
        <w:rPr>
          <w:rFonts w:ascii="Amiri" w:hAnsi="Amiri" w:eastAsia="Amiri" w:cs="Amiri"/>
          <w:color w:val="111111"/>
          <w:sz w:val="28"/>
          <w:sz w:val="28"/>
          <w:szCs w:val="28"/>
          <w:rtl w:val="true"/>
          <w:lang w:bidi="ar-SA"/>
        </w:rPr>
        <w:t>، فهذه طريقة المخذولين من النواصب</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264822_3804643083"/>
      <w:bookmarkStart w:id="30" w:name="_Toc9"/>
      <w:bookmarkEnd w:id="29"/>
      <w:r>
        <w:rPr>
          <w:rtl w:val="true"/>
        </w:rPr>
        <w:t>[</w:t>
      </w:r>
      <w:r>
        <w:rPr>
          <w:rtl w:val="true"/>
        </w:rPr>
        <w:t>طريقة الفرقة المحقة من الصدر الأول حتى نهاية الغيبة الكبرى</w:t>
      </w:r>
      <w:r>
        <w:rPr>
          <w:rtl w:val="true"/>
        </w:rPr>
        <w:t>]</w:t>
      </w:r>
      <w:bookmarkEnd w:id="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الصدر الأول لم يقولوا في أصول الدين ولا </w:t>
      </w:r>
      <w:r>
        <w:rPr>
          <w:rStyle w:val="FootnoteAnchor"/>
          <w:rtl w:val="true"/>
        </w:rPr>
        <w:footnoteReference w:id="138"/>
      </w:r>
      <w:r>
        <w:rPr>
          <w:rFonts w:ascii="IRNazanin" w:hAnsi="IRNazanin" w:eastAsia="IRNazanin"/>
          <w:color w:val="111111"/>
          <w:sz w:val="28"/>
          <w:sz w:val="28"/>
          <w:szCs w:val="28"/>
          <w:rtl w:val="true"/>
          <w:lang w:bidi="fa-IR"/>
        </w:rPr>
        <w:t xml:space="preserve">فروعه إلا بما </w:t>
      </w:r>
      <w:r>
        <w:rPr>
          <w:rStyle w:val="FootnoteAnchor"/>
          <w:rtl w:val="true"/>
        </w:rPr>
        <w:footnoteReference w:id="139"/>
      </w:r>
      <w:r>
        <w:rPr>
          <w:rFonts w:ascii="Amiri" w:hAnsi="Amiri" w:eastAsia="Amiri" w:cs="Amiri"/>
          <w:color w:val="111111"/>
          <w:sz w:val="28"/>
          <w:sz w:val="28"/>
          <w:szCs w:val="28"/>
          <w:rtl w:val="true"/>
          <w:lang w:bidi="ar-SA"/>
        </w:rPr>
        <w:t>جاء عن أئمتهم الأبرار ، كما دل عليه ما قدمنا من الكتاب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جماعة من العلماء المدققين، و الفضلاء المحققين، مثل الهشامين </w:t>
      </w:r>
      <w:r>
        <w:rPr>
          <w:rStyle w:val="FootnoteAnchor"/>
          <w:rtl w:val="true"/>
        </w:rPr>
        <w:footnoteReference w:id="140"/>
      </w:r>
      <w:r>
        <w:rPr>
          <w:rFonts w:ascii="IRNazanin" w:hAnsi="IRNazanin" w:eastAsia="IRNazanin"/>
          <w:color w:val="111111"/>
          <w:sz w:val="28"/>
          <w:sz w:val="28"/>
          <w:szCs w:val="28"/>
          <w:rtl w:val="true"/>
          <w:lang w:bidi="fa-IR"/>
        </w:rPr>
        <w:t xml:space="preserve">ومؤمن الطاق </w:t>
      </w:r>
      <w:r>
        <w:rPr>
          <w:rStyle w:val="FootnoteAnchor"/>
          <w:rtl w:val="true"/>
        </w:rPr>
        <w:footnoteReference w:id="141"/>
      </w:r>
      <w:r>
        <w:rPr>
          <w:rFonts w:ascii="Amiri" w:hAnsi="Amiri" w:eastAsia="Amiri" w:cs="Amiri"/>
          <w:color w:val="111111"/>
          <w:sz w:val="28"/>
          <w:sz w:val="28"/>
          <w:szCs w:val="28"/>
          <w:rtl w:val="true"/>
          <w:lang w:bidi="ar-SA"/>
        </w:rPr>
        <w:t xml:space="preserve">والطيار </w:t>
      </w:r>
      <w:r>
        <w:rPr>
          <w:rStyle w:val="FootnoteAnchor"/>
          <w:rtl w:val="true"/>
        </w:rPr>
        <w:footnoteReference w:id="142"/>
      </w:r>
      <w:r>
        <w:rPr>
          <w:rFonts w:ascii="Amiri" w:hAnsi="Amiri" w:eastAsia="Amiri" w:cs="Amiri"/>
          <w:color w:val="111111"/>
          <w:sz w:val="28"/>
          <w:sz w:val="28"/>
          <w:szCs w:val="28"/>
          <w:rtl w:val="true"/>
          <w:lang w:bidi="ar-SA"/>
        </w:rPr>
        <w:t xml:space="preserve">، فأيدوا ما جاء عن أئمتهم في أصول </w:t>
      </w:r>
    </w:p>
    <w:p>
      <w:pPr>
        <w:pStyle w:val="BookText"/>
        <w:rPr/>
      </w:pPr>
      <w:r>
        <w:rPr>
          <w:rFonts w:ascii="Amiri" w:hAnsi="Amiri" w:eastAsia="Amiri" w:cs="Amiri"/>
          <w:color w:val="111111"/>
          <w:sz w:val="28"/>
          <w:sz w:val="28"/>
          <w:szCs w:val="28"/>
          <w:rtl w:val="true"/>
          <w:lang w:bidi="ar-SA"/>
        </w:rPr>
        <w:t>الدين بالبراهين القطعية العقلية والحجج الواضحة الجلية</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عن أمر أئمتهم في مقام الاحتجاج، والقطع لشبه أهل الزيغ واللجاج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مسائل الفروع، فسلكوا طريق التسليم لأربابها، وأتوا البيوت من أبوابها، من غير بحث عن عللها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أغلب أحوالهم يتأتى لهم اللقاء بالإمام، فيأخذون عنه في كل مسألة حكمها من الأحكام؛ لعدم انتشارهم في البلاد </w:t>
      </w:r>
      <w:r>
        <w:rPr>
          <w:rStyle w:val="FootnoteAnchor"/>
          <w:rtl w:val="true"/>
        </w:rPr>
        <w:footnoteReference w:id="144"/>
      </w:r>
      <w:r>
        <w:rPr>
          <w:rFonts w:ascii="IRNazanin" w:hAnsi="IRNazanin" w:eastAsia="IRNazanin"/>
          <w:color w:val="111111"/>
          <w:sz w:val="28"/>
          <w:sz w:val="28"/>
          <w:szCs w:val="28"/>
          <w:rtl w:val="true"/>
          <w:lang w:bidi="fa-IR"/>
        </w:rPr>
        <w:t>والآفاق، ولانحصار الشيعة من زمن أمير المؤمنين علیه السلام في أطراف الحجاز والعراق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فدام </w:t>
      </w:r>
      <w:r>
        <w:rPr>
          <w:rStyle w:val="FootnoteAnchor"/>
          <w:rtl w:val="true"/>
        </w:rPr>
        <w:footnoteReference w:id="145"/>
      </w:r>
      <w:r>
        <w:rPr>
          <w:rFonts w:ascii="IRNazanin" w:hAnsi="IRNazanin" w:eastAsia="IRNazanin"/>
          <w:color w:val="111111"/>
          <w:sz w:val="28"/>
          <w:sz w:val="28"/>
          <w:szCs w:val="28"/>
          <w:rtl w:val="true"/>
          <w:lang w:bidi="fa-IR"/>
        </w:rPr>
        <w:t>الأمر إلى زمن الإمام</w:t>
      </w:r>
      <w:r>
        <w:rPr>
          <w:rStyle w:val="FootnoteAnchor"/>
          <w:rtl w:val="true"/>
        </w:rPr>
        <w:footnoteReference w:id="146"/>
      </w:r>
      <w:r>
        <w:rPr>
          <w:rFonts w:ascii="IRNazanin" w:hAnsi="IRNazanin" w:eastAsia="IRNazanin"/>
          <w:color w:val="111111"/>
          <w:sz w:val="28"/>
          <w:sz w:val="28"/>
          <w:szCs w:val="28"/>
          <w:rtl w:val="true"/>
          <w:lang w:bidi="fa-IR"/>
        </w:rPr>
        <w:t xml:space="preserve">الصادق </w:t>
      </w:r>
      <w:r>
        <w:rPr>
          <w:rStyle w:val="FootnoteAnchor"/>
          <w:rtl w:val="true"/>
        </w:rPr>
        <w:footnoteReference w:id="147"/>
      </w:r>
      <w:r>
        <w:rPr>
          <w:rFonts w:ascii="IRNazanin" w:hAnsi="IRNazanin" w:eastAsia="IRNazanin"/>
          <w:color w:val="111111"/>
          <w:sz w:val="28"/>
          <w:sz w:val="28"/>
          <w:szCs w:val="28"/>
          <w:rtl w:val="true"/>
          <w:lang w:bidi="fa-IR"/>
        </w:rPr>
        <w:t>علیه السلام، فأدركت العناية من الملك الخالق أقوامًا من العجم، فاهتدوا إلى الطريق الأقوم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أكثرهم من أهل قم المشهورة </w:t>
      </w:r>
      <w:r>
        <w:rPr>
          <w:rStyle w:val="FootnoteAnchor"/>
          <w:rtl w:val="true"/>
        </w:rPr>
        <w:footnoteReference w:id="148"/>
      </w:r>
      <w:r>
        <w:rPr>
          <w:rFonts w:ascii="Amiri" w:hAnsi="Amiri" w:eastAsia="Amiri" w:cs="Amiri"/>
          <w:color w:val="111111"/>
          <w:sz w:val="28"/>
          <w:sz w:val="28"/>
          <w:szCs w:val="28"/>
          <w:rtl w:val="true"/>
          <w:lang w:bidi="ar-SA"/>
        </w:rPr>
        <w:t>، وكانت بخواص شيعتهم 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في هذه الأماكن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النادر منهم قد انقلب إلى بلاد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سكن في زاوية التقية؛ خوفًا من الدولة الأموية والعباسية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السر في كون أصحاب الأئمة في الحجاز والعراق كثيرة جمة، فلا </w:t>
      </w:r>
      <w:r>
        <w:rPr>
          <w:rStyle w:val="FootnoteAnchor"/>
          <w:rtl w:val="true"/>
        </w:rPr>
        <w:footnoteReference w:id="149"/>
      </w:r>
      <w:r>
        <w:rPr>
          <w:rFonts w:ascii="Amiri" w:hAnsi="Amiri" w:eastAsia="Amiri" w:cs="Amiri"/>
          <w:color w:val="111111"/>
          <w:sz w:val="28"/>
          <w:sz w:val="28"/>
          <w:szCs w:val="28"/>
          <w:rtl w:val="true"/>
          <w:lang w:bidi="ar-SA"/>
        </w:rPr>
        <w:t xml:space="preserve">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يحدثونهم</w:t>
      </w:r>
      <w:r>
        <w:rPr>
          <w:rStyle w:val="FootnoteAnchor"/>
          <w:rtl w:val="true"/>
        </w:rPr>
        <w:footnoteReference w:id="150"/>
      </w:r>
      <w:r>
        <w:rPr>
          <w:rFonts w:ascii="Amiri" w:hAnsi="Amiri" w:eastAsia="Amiri" w:cs="Amiri"/>
          <w:color w:val="111111"/>
          <w:sz w:val="28"/>
          <w:sz w:val="28"/>
          <w:szCs w:val="28"/>
          <w:rtl w:val="true"/>
          <w:lang w:bidi="ar-SA"/>
        </w:rPr>
        <w:t>بما يحتاجون إليه من المسائل والأحكام، ويوقفونهم على كل فرع من فروع الحلال والحرام، ويسلكون بهم مسالك الطريقة النوراء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وقعت الغيبة </w:t>
      </w:r>
      <w:r>
        <w:rPr>
          <w:rStyle w:val="FootnoteAnchor"/>
          <w:rtl w:val="true"/>
        </w:rPr>
        <w:footnoteReference w:id="151"/>
      </w:r>
      <w:r>
        <w:rPr>
          <w:rFonts w:ascii="Amiri" w:hAnsi="Amiri" w:eastAsia="Amiri" w:cs="Amiri"/>
          <w:color w:val="111111"/>
          <w:sz w:val="28"/>
          <w:sz w:val="28"/>
          <w:szCs w:val="28"/>
          <w:rtl w:val="true"/>
          <w:lang w:bidi="ar-SA"/>
        </w:rPr>
        <w:t>الصغرى والرزية الكبرى</w:t>
      </w:r>
      <w:r>
        <w:rPr>
          <w:rStyle w:val="FootnoteAnchor"/>
          <w:rtl w:val="true"/>
        </w:rPr>
        <w:footnoteReference w:id="152"/>
      </w:r>
      <w:r>
        <w:rPr>
          <w:rFonts w:ascii="Amiri" w:hAnsi="Amiri" w:eastAsia="Amiri" w:cs="Amiri"/>
          <w:color w:val="111111"/>
          <w:sz w:val="28"/>
          <w:sz w:val="28"/>
          <w:szCs w:val="28"/>
          <w:rtl w:val="true"/>
          <w:lang w:bidi="ar-SA"/>
        </w:rPr>
        <w:t>، فحيل بينهم وبين النقل واللقاء إلا من القليل، فخرجت لهم توقيعات على يد السفراء في القليل والجليل، وأُمرت الشيعة بالرجوع لهم</w:t>
      </w:r>
      <w:r>
        <w:rPr>
          <w:rStyle w:val="FootnoteAnchor"/>
          <w:rtl w:val="true"/>
        </w:rPr>
        <w:footnoteReference w:id="153"/>
      </w:r>
      <w:r>
        <w:rPr>
          <w:rFonts w:ascii="Amiri" w:hAnsi="Amiri" w:eastAsia="Amiri" w:cs="Amiri"/>
          <w:color w:val="111111"/>
          <w:sz w:val="28"/>
          <w:sz w:val="28"/>
          <w:szCs w:val="28"/>
          <w:rtl w:val="true"/>
          <w:lang w:bidi="ar-SA"/>
        </w:rPr>
        <w:t xml:space="preserve">والطاعة، والانقياد لما يلقونه؛ خوفًا من الخفاء </w:t>
      </w:r>
      <w:r>
        <w:rPr>
          <w:rStyle w:val="FootnoteAnchor"/>
          <w:rtl w:val="true"/>
        </w:rPr>
        <w:footnoteReference w:id="154"/>
      </w:r>
      <w:r>
        <w:rPr>
          <w:rFonts w:ascii="Amiri" w:hAnsi="Amiri" w:eastAsia="Amiri" w:cs="Amiri"/>
          <w:color w:val="111111"/>
          <w:sz w:val="28"/>
          <w:sz w:val="28"/>
          <w:szCs w:val="28"/>
          <w:rtl w:val="true"/>
          <w:lang w:bidi="ar-SA"/>
        </w:rPr>
        <w:t>والإضاعة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اجتمع لهم من الكتب والأصول المشتملة على بيان المسائل من</w:t>
      </w:r>
      <w:r>
        <w:rPr>
          <w:rStyle w:val="FootnoteAnchor"/>
          <w:rtl w:val="true"/>
        </w:rPr>
        <w:footnoteReference w:id="155"/>
      </w:r>
      <w:r>
        <w:rPr>
          <w:rFonts w:ascii="Amiri" w:hAnsi="Amiri" w:eastAsia="Amiri" w:cs="Amiri"/>
          <w:color w:val="111111"/>
          <w:sz w:val="28"/>
          <w:sz w:val="28"/>
          <w:szCs w:val="28"/>
          <w:rtl w:val="true"/>
          <w:lang w:bidi="ar-SA"/>
        </w:rPr>
        <w:t xml:space="preserve">المعقول والمنقول ما شاء الله، فكانت مرجعهم في أحكامهم، ومستمسكهم في حلالهم وحرامهم؛ لاشتمالها على تلك القواعد المعتمدة والفروع المهذبة </w:t>
      </w:r>
      <w:r>
        <w:rPr>
          <w:rStyle w:val="FootnoteAnchor"/>
          <w:rtl w:val="true"/>
        </w:rPr>
        <w:footnoteReference w:id="156"/>
      </w:r>
      <w:r>
        <w:rPr>
          <w:rFonts w:ascii="Amiri" w:hAnsi="Amiri" w:eastAsia="Amiri" w:cs="Amiri"/>
          <w:color w:val="111111"/>
          <w:sz w:val="28"/>
          <w:sz w:val="28"/>
          <w:szCs w:val="28"/>
          <w:rtl w:val="true"/>
          <w:lang w:bidi="ar-SA"/>
        </w:rPr>
        <w:t>الممهدة، واحتوائها على قواعد الجمع بين الأخبار عند اختلافها، لأسباب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هناك جارية بين أسلافها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تلك الأسباب التقية التي هي أوسع أبواب المحامل و التأويلات المعصومية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يسمون الحامل </w:t>
      </w:r>
      <w:r>
        <w:rPr>
          <w:rStyle w:val="FootnoteAnchor"/>
          <w:rtl w:val="true"/>
        </w:rPr>
        <w:footnoteReference w:id="158"/>
      </w:r>
      <w:r>
        <w:rPr>
          <w:rFonts w:ascii="Amiri" w:hAnsi="Amiri" w:eastAsia="Amiri" w:cs="Amiri"/>
          <w:color w:val="111111"/>
          <w:sz w:val="28"/>
          <w:sz w:val="28"/>
          <w:szCs w:val="28"/>
          <w:rtl w:val="true"/>
          <w:lang w:bidi="ar-SA"/>
        </w:rPr>
        <w:t xml:space="preserve">لتلك القواعد في </w:t>
      </w:r>
      <w:r>
        <w:rPr>
          <w:rStyle w:val="FootnoteAnchor"/>
          <w:rtl w:val="true"/>
        </w:rPr>
        <w:footnoteReference w:id="159"/>
      </w:r>
      <w:r>
        <w:rPr>
          <w:rFonts w:ascii="Amiri" w:hAnsi="Amiri" w:eastAsia="Amiri" w:cs="Amiri"/>
          <w:color w:val="111111"/>
          <w:sz w:val="28"/>
          <w:sz w:val="28"/>
          <w:szCs w:val="28"/>
          <w:rtl w:val="true"/>
          <w:lang w:bidi="ar-SA"/>
        </w:rPr>
        <w:t xml:space="preserve">الأصول في الشريعة وما احتوت عليها تلك </w:t>
      </w:r>
      <w:r>
        <w:rPr>
          <w:rStyle w:val="FootnoteAnchor"/>
          <w:rtl w:val="true"/>
        </w:rPr>
        <w:footnoteReference w:id="160"/>
      </w:r>
      <w:r>
        <w:rPr>
          <w:rFonts w:ascii="Amiri" w:hAnsi="Amiri" w:eastAsia="Amiri" w:cs="Amiri"/>
          <w:color w:val="111111"/>
          <w:sz w:val="28"/>
          <w:sz w:val="28"/>
          <w:szCs w:val="28"/>
          <w:rtl w:val="true"/>
          <w:lang w:bidi="ar-SA"/>
        </w:rPr>
        <w:t xml:space="preserve">الكتب من أصول الشيعة </w:t>
      </w:r>
      <w:r>
        <w:rPr>
          <w:rStyle w:val="FootnoteAnchor"/>
          <w:rtl w:val="true"/>
        </w:rPr>
        <w:footnoteReference w:id="161"/>
      </w:r>
      <w:r>
        <w:rPr>
          <w:rFonts w:ascii="Amiri" w:hAnsi="Amiri" w:eastAsia="Amiri" w:cs="Amiri"/>
          <w:color w:val="111111"/>
          <w:sz w:val="28"/>
          <w:sz w:val="28"/>
          <w:szCs w:val="28"/>
          <w:rtl w:val="true"/>
          <w:lang w:bidi="ar-SA"/>
        </w:rPr>
        <w:t>فقيها وعالماً ومحدثًا وراويًا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للاجتهاد ذكر و لا أثر ولا خبر ، بل كانوا يذمون الأخذ به، وينزلونه من </w:t>
      </w:r>
      <w:r>
        <w:rPr>
          <w:rStyle w:val="FootnoteAnchor"/>
          <w:rtl w:val="true"/>
        </w:rPr>
        <w:footnoteReference w:id="162"/>
      </w:r>
      <w:r>
        <w:rPr>
          <w:rFonts w:ascii="Amiri" w:hAnsi="Amiri" w:eastAsia="Amiri" w:cs="Amiri"/>
          <w:color w:val="111111"/>
          <w:sz w:val="28"/>
          <w:sz w:val="28"/>
          <w:szCs w:val="28"/>
          <w:rtl w:val="true"/>
          <w:lang w:bidi="ar-SA"/>
        </w:rPr>
        <w:t xml:space="preserve">مرتبة </w:t>
      </w:r>
      <w:r>
        <w:rPr>
          <w:rStyle w:val="FootnoteAnchor"/>
          <w:rtl w:val="true"/>
        </w:rPr>
        <w:footnoteReference w:id="163"/>
      </w:r>
      <w:r>
        <w:rPr>
          <w:rFonts w:ascii="Amiri" w:hAnsi="Amiri" w:eastAsia="Amiri" w:cs="Amiri"/>
          <w:color w:val="111111"/>
          <w:sz w:val="28"/>
          <w:sz w:val="28"/>
          <w:szCs w:val="28"/>
          <w:rtl w:val="true"/>
          <w:lang w:bidi="ar-SA"/>
        </w:rPr>
        <w:t xml:space="preserve">الفتوى، ويحكمون عليه بأنه لم يستمسك بالعروة الوثقى، ويخلعونه من مرتبة </w:t>
      </w:r>
      <w:r>
        <w:rPr>
          <w:rStyle w:val="FootnoteAnchor"/>
          <w:rtl w:val="true"/>
        </w:rPr>
        <w:footnoteReference w:id="164"/>
      </w:r>
      <w:r>
        <w:rPr>
          <w:rFonts w:ascii="Amiri" w:hAnsi="Amiri" w:eastAsia="Amiri" w:cs="Amiri"/>
          <w:color w:val="111111"/>
          <w:sz w:val="28"/>
          <w:sz w:val="28"/>
          <w:szCs w:val="28"/>
          <w:rtl w:val="true"/>
          <w:lang w:bidi="ar-SA"/>
        </w:rPr>
        <w:t>أهل الصلاح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خلت عن ذكره أخبار أئمتنا الأمجاد </w:t>
      </w:r>
      <w:r>
        <w:rPr>
          <w:rStyle w:val="FootnoteAnchor"/>
          <w:rtl w:val="true"/>
        </w:rPr>
        <w:footnoteReference w:id="165"/>
      </w:r>
      <w:r>
        <w:rPr>
          <w:rFonts w:ascii="Amiri" w:hAnsi="Amiri" w:eastAsia="Amiri" w:cs="Amiri"/>
          <w:color w:val="111111"/>
          <w:sz w:val="28"/>
          <w:sz w:val="28"/>
          <w:szCs w:val="28"/>
          <w:rtl w:val="true"/>
          <w:lang w:bidi="ar-SA"/>
        </w:rPr>
        <w:t xml:space="preserve">، فألفت جماعة كتباً في ذم أصحابه، وبالغ جماعة في إطفاء نائرته و ردم أبوابه، ألا ترى إلى أبي إسحاق ابن نوبخت </w:t>
      </w:r>
      <w:r>
        <w:rPr>
          <w:rStyle w:val="FootnoteAnchor"/>
          <w:rtl w:val="true"/>
        </w:rPr>
        <w:footnoteReference w:id="166"/>
      </w:r>
      <w:r>
        <w:rPr>
          <w:rFonts w:ascii="Amiri" w:hAnsi="Amiri" w:eastAsia="Amiri" w:cs="Amiri"/>
          <w:color w:val="111111"/>
          <w:sz w:val="28"/>
          <w:sz w:val="28"/>
          <w:szCs w:val="28"/>
          <w:rtl w:val="true"/>
          <w:lang w:bidi="ar-SA"/>
        </w:rPr>
        <w:t>كيف ألف مقالة ي</w:t>
      </w:r>
      <w:r>
        <w:rPr>
          <w:rFonts w:eastAsia="Amiri" w:cs="Amiri" w:ascii="Amiri" w:hAnsi="Amiri"/>
          <w:color w:val="111111"/>
          <w:sz w:val="28"/>
          <w:szCs w:val="28"/>
          <w:rtl w:val="true"/>
          <w:lang w:bidi="ar-SA"/>
        </w:rPr>
        <w:t xml:space="preserve">. </w:t>
      </w:r>
      <w:bookmarkStart w:id="31" w:name="pg2523_39637"/>
    </w:p>
    <w:p>
      <w:pPr>
        <w:pStyle w:val="BookText"/>
        <w:rPr/>
      </w:pPr>
      <w:bookmarkEnd w:id="31"/>
      <w:r>
        <w:rPr>
          <w:rFonts w:ascii="Amiri" w:hAnsi="Amiri" w:eastAsia="Amiri" w:cs="Amiri"/>
          <w:color w:val="111111"/>
          <w:sz w:val="28"/>
          <w:sz w:val="28"/>
          <w:szCs w:val="28"/>
          <w:rtl w:val="true"/>
          <w:lang w:bidi="ar-SA"/>
        </w:rPr>
        <w:t xml:space="preserve">في إبطاله والرد على من دان بمذهبه وأقواله </w:t>
      </w:r>
      <w:r>
        <w:rPr>
          <w:rStyle w:val="FootnoteAnchor"/>
          <w:rtl w:val="true"/>
        </w:rPr>
        <w:footnoteReference w:id="1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أكابر الإمامية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264824_3804643083"/>
      <w:bookmarkStart w:id="33" w:name="_Toc10"/>
      <w:bookmarkEnd w:id="32"/>
      <w:r>
        <w:rPr>
          <w:rtl w:val="true"/>
        </w:rPr>
        <w:t>[</w:t>
      </w:r>
      <w:r>
        <w:rPr>
          <w:rtl w:val="true"/>
        </w:rPr>
        <w:t>الحال من بداية الغيبة الكبرى حتى نهاية القرن السادس الهجري</w:t>
      </w:r>
      <w:r>
        <w:rPr>
          <w:rtl w:val="true"/>
        </w:rPr>
        <w:t>]</w:t>
      </w:r>
      <w:bookmarkEnd w:id="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ودام الأمر هناك على ذلك، إلى أن وقعت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وتراكمت ظلم الحيرة النكراء، فهناك ارتفع معظم التقية؛ لإعراض الخلفاء عن الشيعة بالكلية، حيث لم يكن لهم إمام </w:t>
      </w:r>
      <w:r>
        <w:rPr>
          <w:rStyle w:val="FootnoteAnchor"/>
          <w:rtl w:val="true"/>
        </w:rPr>
        <w:footnoteReference w:id="168"/>
      </w:r>
      <w:r>
        <w:rPr>
          <w:rFonts w:ascii="Amiri" w:hAnsi="Amiri" w:eastAsia="Amiri" w:cs="Amiri"/>
          <w:color w:val="111111"/>
          <w:sz w:val="28"/>
          <w:sz w:val="28"/>
          <w:szCs w:val="28"/>
          <w:rtl w:val="true"/>
          <w:lang w:bidi="ar-SA"/>
        </w:rPr>
        <w:t>ظاهر فيخافون على ملكهم منه الاجتراء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انضم إلى ذلك ظهور </w:t>
      </w:r>
      <w:r>
        <w:rPr>
          <w:rStyle w:val="FootnoteAnchor"/>
          <w:rtl w:val="true"/>
        </w:rPr>
        <w:footnoteReference w:id="169"/>
      </w:r>
      <w:r>
        <w:rPr>
          <w:rFonts w:ascii="Amiri" w:hAnsi="Amiri" w:eastAsia="Amiri" w:cs="Amiri"/>
          <w:color w:val="111111"/>
          <w:sz w:val="28"/>
          <w:sz w:val="28"/>
          <w:szCs w:val="28"/>
          <w:rtl w:val="true"/>
          <w:lang w:bidi="ar-SA"/>
        </w:rPr>
        <w:t xml:space="preserve">أقوام من ملوك الشيعة، فانتهت الدولة إليهم، فأقاموا أود تلك الشريعة </w:t>
      </w:r>
      <w:r>
        <w:rPr>
          <w:rStyle w:val="FootnoteAnchor"/>
          <w:rtl w:val="true"/>
        </w:rPr>
        <w:footnoteReference w:id="170"/>
      </w:r>
      <w:r>
        <w:rPr>
          <w:rFonts w:ascii="Amiri" w:hAnsi="Amiri" w:eastAsia="Amiri" w:cs="Amiri"/>
          <w:color w:val="111111"/>
          <w:sz w:val="28"/>
          <w:sz w:val="28"/>
          <w:szCs w:val="28"/>
          <w:rtl w:val="true"/>
          <w:lang w:bidi="ar-SA"/>
        </w:rPr>
        <w:t xml:space="preserve">، كما جرى لأمراء بني حمدان </w:t>
      </w:r>
      <w:r>
        <w:rPr>
          <w:rStyle w:val="FootnoteAnchor"/>
          <w:rtl w:val="true"/>
        </w:rPr>
        <w:footnoteReference w:id="171"/>
      </w:r>
      <w:r>
        <w:rPr>
          <w:rFonts w:ascii="Amiri" w:hAnsi="Amiri" w:eastAsia="Amiri" w:cs="Amiri"/>
          <w:color w:val="111111"/>
          <w:sz w:val="28"/>
          <w:sz w:val="28"/>
          <w:szCs w:val="28"/>
          <w:rtl w:val="true"/>
          <w:lang w:bidi="ar-SA"/>
        </w:rPr>
        <w:t xml:space="preserve">وآل بويه </w:t>
      </w:r>
      <w:r>
        <w:rPr>
          <w:rStyle w:val="FootnoteAnchor"/>
          <w:rtl w:val="true"/>
        </w:rPr>
        <w:footnoteReference w:id="172"/>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الرؤوساء والأعيان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دين الإمامية في نواحي الحجاز والعراق </w:t>
      </w:r>
      <w:r>
        <w:rPr>
          <w:rStyle w:val="FootnoteAnchor"/>
          <w:rtl w:val="true"/>
        </w:rPr>
        <w:footnoteReference w:id="173"/>
      </w:r>
      <w:r>
        <w:rPr>
          <w:rFonts w:ascii="Amiri" w:hAnsi="Amiri" w:eastAsia="Amiri" w:cs="Amiri"/>
          <w:color w:val="111111"/>
          <w:sz w:val="28"/>
          <w:sz w:val="28"/>
          <w:szCs w:val="28"/>
          <w:rtl w:val="true"/>
          <w:lang w:bidi="ar-SA"/>
        </w:rPr>
        <w:t xml:space="preserve">غاية الظهور؛ لأمنهم هنالك من وقوع المحذور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فنشأ فيهم علماء في المعقول والمنقول، وفضلاء حرروا مسائل الفروع والأصول، مثل العلامة السديد الشيخ المفيد، وشيخ الطائفة، والسيد المرتضى، وغيرهم ممن فاز بأقداح التوفيق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في كتب العامة، وبحثوا معهم في المسائل عامة، وحيث إن مدار أولئك المخذولين على الاعتبارات العقلية من الاجتهاد والتخمين والرأي، والقياسات الوهمية والظواهر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يسمون الملكة القادرة على ذلك بالاجتهاد، وصاحبها مجتهد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واستمرت </w:t>
      </w:r>
      <w:r>
        <w:rPr>
          <w:rStyle w:val="FootnoteAnchor"/>
          <w:rtl w:val="true"/>
        </w:rPr>
        <w:footnoteReference w:id="175"/>
      </w:r>
      <w:r>
        <w:rPr>
          <w:rFonts w:ascii="Amiri" w:hAnsi="Amiri" w:eastAsia="Amiri" w:cs="Amiri"/>
          <w:color w:val="111111"/>
          <w:sz w:val="28"/>
          <w:sz w:val="28"/>
          <w:szCs w:val="28"/>
          <w:rtl w:val="true"/>
          <w:lang w:bidi="ar-SA"/>
        </w:rPr>
        <w:t xml:space="preserve">الشيعة على البحث معهم لهدم تلك القواعد، والمجاراة معهم في تلك الفروع والزوائد، فسموا تلك الأبحاث </w:t>
      </w:r>
      <w:r>
        <w:rPr>
          <w:rStyle w:val="FootnoteAnchor"/>
          <w:rtl w:val="true"/>
        </w:rPr>
        <w:footnoteReference w:id="176"/>
      </w:r>
      <w:r>
        <w:rPr>
          <w:rFonts w:ascii="Amiri" w:hAnsi="Amiri" w:eastAsia="Amiri" w:cs="Amiri"/>
          <w:color w:val="111111"/>
          <w:sz w:val="28"/>
          <w:sz w:val="28"/>
          <w:szCs w:val="28"/>
          <w:rtl w:val="true"/>
          <w:lang w:bidi="ar-SA"/>
        </w:rPr>
        <w:t xml:space="preserve">والنقض عليهم اجتهادًا في مقابلتهم، والغرض من ذلك إطفاء نائرتهم، وهم –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يتجاوزون تلك الطريقة القديمة، ولم يتنكبوا جادة الصدر الأول المستقيمة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عُثِر لهم على استدلال في فرع من الفروع بغير نص الإمام، فذلك على سبيل الإلزام في مقام الاحتجاج والاختصام بل 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مؤلفاتهم وأعلنوا في صحفهم ومصنفاتهم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تعلق المفتي بأهداب الاجتهاد، وأعلنوا بتخطئة من سلك تلك الطريقة من أرباب السداد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زالت تلك الطريقة جارية فيهم من أعصار أئمتهم إلى أن مضى من هجرته صلی الله علیه و آله وسلم خمسمائة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صرح بذلك أبو المكارم ابن زهرة في أصول كتاب الغنية، حيث نقل عن بعض العامة أنه </w:t>
      </w:r>
      <w:r>
        <w:rPr>
          <w:rStyle w:val="FootnoteAnchor"/>
          <w:rtl w:val="true"/>
        </w:rPr>
        <w:footnoteReference w:id="177"/>
      </w:r>
      <w:r>
        <w:rPr>
          <w:rFonts w:ascii="IRNazanin" w:hAnsi="IRNazanin" w:eastAsia="IRNazanin"/>
          <w:color w:val="111111"/>
          <w:sz w:val="28"/>
          <w:sz w:val="28"/>
          <w:szCs w:val="28"/>
          <w:rtl w:val="true"/>
          <w:lang w:bidi="fa-IR"/>
        </w:rPr>
        <w:t xml:space="preserve">قد </w:t>
      </w:r>
      <w:r>
        <w:rPr>
          <w:rStyle w:val="FootnoteAnchor"/>
          <w:rtl w:val="true"/>
        </w:rPr>
        <w:footnoteReference w:id="178"/>
      </w:r>
      <w:r>
        <w:rPr>
          <w:rFonts w:ascii="Amiri" w:hAnsi="Amiri" w:eastAsia="Amiri" w:cs="Amiri"/>
          <w:color w:val="111111"/>
          <w:sz w:val="28"/>
          <w:sz w:val="28"/>
          <w:szCs w:val="28"/>
          <w:rtl w:val="true"/>
          <w:lang w:bidi="ar-SA"/>
        </w:rPr>
        <w:t xml:space="preserve">بسط لسان التشنيع على الإمامية بأنهم لا معرفة لهم بشيء من القواعد الأصولية، بل اعتمادهم على نقل الأخبار المعصومية، فكلامهم </w:t>
      </w:r>
      <w:r>
        <w:rPr>
          <w:rStyle w:val="FootnoteAnchor"/>
          <w:rtl w:val="true"/>
        </w:rPr>
        <w:footnoteReference w:id="179"/>
      </w:r>
      <w:r>
        <w:rPr>
          <w:rFonts w:ascii="Amiri" w:hAnsi="Amiri" w:eastAsia="Amiri" w:cs="Amiri"/>
          <w:color w:val="111111"/>
          <w:sz w:val="28"/>
          <w:sz w:val="28"/>
          <w:szCs w:val="28"/>
          <w:rtl w:val="true"/>
          <w:lang w:bidi="ar-SA"/>
        </w:rPr>
        <w:t xml:space="preserve">في الأصول عبث لا فائدة فيه بالكلية، فأجاب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نعمل إلا بأصول الشريعة التي هي الأحاديث وإنما كلامنا في الأصول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لتفيهم </w:t>
      </w:r>
      <w:r>
        <w:rPr>
          <w:rStyle w:val="FootnoteAnchor"/>
          <w:rtl w:val="true"/>
        </w:rPr>
        <w:footnoteReference w:id="180"/>
      </w:r>
      <w:r>
        <w:rPr>
          <w:rFonts w:ascii="IRNazanin" w:hAnsi="IRNazanin" w:eastAsia="IRNazanin"/>
          <w:color w:val="111111"/>
          <w:sz w:val="28"/>
          <w:sz w:val="28"/>
          <w:szCs w:val="28"/>
          <w:rtl w:val="true"/>
          <w:lang w:bidi="fa-IR"/>
        </w:rPr>
        <w:t>ما في كلام الأئمة علیهم السلام من معنى الأمر والنهي وغير ذلك مما يتعلق باللغة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ثابتة عندنا من طريق النقل، ونريد أن نؤيدها </w:t>
      </w:r>
      <w:r>
        <w:rPr>
          <w:rStyle w:val="FootnoteAnchor"/>
          <w:rtl w:val="true"/>
        </w:rPr>
        <w:footnoteReference w:id="181"/>
      </w:r>
      <w:r>
        <w:rPr>
          <w:rFonts w:ascii="Amiri" w:hAnsi="Amiri" w:eastAsia="Amiri" w:cs="Amiri"/>
          <w:color w:val="111111"/>
          <w:sz w:val="28"/>
          <w:sz w:val="28"/>
          <w:szCs w:val="28"/>
          <w:rtl w:val="true"/>
          <w:lang w:bidi="ar-SA"/>
        </w:rPr>
        <w:t xml:space="preserve">بطريق العقل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هي العلة في إطلاق المجتهد على العالم الإمامي في تلك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يكونوا يذكرونه في مقام المدح والجلالة، بل يمدحون بالوثاقة والعلم وكثرة الرواية والعدالة</w:t>
      </w:r>
      <w:r>
        <w:rPr>
          <w:rStyle w:val="FootnoteAnchor"/>
          <w:rtl w:val="true"/>
        </w:rPr>
        <w:footnoteReference w:id="183"/>
      </w:r>
      <w:r>
        <w:rPr>
          <w:rFonts w:ascii="Amiri" w:hAnsi="Amiri" w:eastAsia="Amiri" w:cs="Amiri"/>
          <w:color w:val="111111"/>
          <w:sz w:val="28"/>
          <w:sz w:val="28"/>
          <w:szCs w:val="28"/>
          <w:rtl w:val="true"/>
          <w:lang w:bidi="ar-SA"/>
        </w:rPr>
        <w:t>، ونحو ذلك مما</w:t>
      </w:r>
      <w:r>
        <w:rPr>
          <w:rStyle w:val="FootnoteAnchor"/>
          <w:rtl w:val="true"/>
        </w:rPr>
        <w:footnoteReference w:id="184"/>
      </w:r>
      <w:r>
        <w:rPr>
          <w:rFonts w:ascii="Amiri" w:hAnsi="Amiri" w:eastAsia="Amiri" w:cs="Amiri"/>
          <w:color w:val="111111"/>
          <w:sz w:val="28"/>
          <w:sz w:val="28"/>
          <w:szCs w:val="28"/>
          <w:rtl w:val="true"/>
          <w:lang w:bidi="ar-SA"/>
        </w:rPr>
        <w:t>في فهرست الشيخ وكتاب الكشي والنجاشي وغيرهما من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زال الأمر </w:t>
      </w:r>
      <w:r>
        <w:rPr>
          <w:rStyle w:val="FootnoteAnchor"/>
          <w:rtl w:val="true"/>
        </w:rPr>
        <w:footnoteReference w:id="185"/>
      </w:r>
      <w:r>
        <w:rPr>
          <w:rFonts w:ascii="IRNazanin" w:hAnsi="IRNazanin" w:eastAsia="IRNazanin"/>
          <w:color w:val="111111"/>
          <w:sz w:val="28"/>
          <w:sz w:val="28"/>
          <w:szCs w:val="28"/>
          <w:rtl w:val="true"/>
          <w:lang w:bidi="fa-IR"/>
        </w:rPr>
        <w:t xml:space="preserve">على هذا </w:t>
      </w:r>
      <w:r>
        <w:rPr>
          <w:rStyle w:val="FootnoteAnchor"/>
          <w:rtl w:val="true"/>
        </w:rPr>
        <w:footnoteReference w:id="186"/>
      </w:r>
      <w:r>
        <w:rPr>
          <w:rFonts w:ascii="Amiri" w:hAnsi="Amiri" w:eastAsia="Amiri" w:cs="Amiri"/>
          <w:color w:val="111111"/>
          <w:sz w:val="28"/>
          <w:sz w:val="28"/>
          <w:szCs w:val="28"/>
          <w:rtl w:val="true"/>
          <w:lang w:bidi="ar-SA"/>
        </w:rPr>
        <w:t>الحال حتى تمادى الزمان، ولم يسمح بعد الشيخين والمرتضى في العلم والعمل لهم</w:t>
      </w:r>
      <w:r>
        <w:rPr>
          <w:rStyle w:val="FootnoteAnchor"/>
          <w:rtl w:val="true"/>
        </w:rPr>
        <w:footnoteReference w:id="187"/>
      </w:r>
      <w:r>
        <w:rPr>
          <w:rFonts w:ascii="Amiri" w:hAnsi="Amiri" w:eastAsia="Amiri" w:cs="Amiri"/>
          <w:color w:val="111111"/>
          <w:sz w:val="28"/>
          <w:sz w:val="28"/>
          <w:szCs w:val="28"/>
          <w:rtl w:val="true"/>
          <w:lang w:bidi="ar-SA"/>
        </w:rPr>
        <w:t>بأقران، وذلك في أواخر الستمائة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لم يبق للإمامية في أواخرها كثرة ولا شهرة، و لانقراض دولة آل بويه، وآل حمدان، واستيلاء آل عثمان </w:t>
      </w:r>
      <w:r>
        <w:rPr>
          <w:rStyle w:val="FootnoteAnchor"/>
          <w:rtl w:val="true"/>
        </w:rPr>
        <w:footnoteReference w:id="188"/>
      </w:r>
      <w:r>
        <w:rPr>
          <w:rFonts w:ascii="Amiri" w:hAnsi="Amiri" w:eastAsia="Amiri" w:cs="Amiri"/>
          <w:color w:val="111111"/>
          <w:sz w:val="28"/>
          <w:sz w:val="28"/>
          <w:szCs w:val="28"/>
          <w:rtl w:val="true"/>
          <w:lang w:bidi="ar-SA"/>
        </w:rPr>
        <w:t>على ذلك المكان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ظهر الناصر </w:t>
      </w:r>
      <w:r>
        <w:rPr>
          <w:rStyle w:val="FootnoteAnchor"/>
          <w:rtl w:val="true"/>
        </w:rPr>
        <w:footnoteReference w:id="189"/>
      </w:r>
      <w:r>
        <w:rPr>
          <w:rFonts w:ascii="Amiri" w:hAnsi="Amiri" w:eastAsia="Amiri" w:cs="Amiri"/>
          <w:color w:val="111111"/>
          <w:sz w:val="28"/>
          <w:sz w:val="28"/>
          <w:szCs w:val="28"/>
          <w:rtl w:val="true"/>
          <w:lang w:bidi="ar-SA"/>
        </w:rPr>
        <w:t xml:space="preserve">العباسي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طبعه الميل إلى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فانكشف هناك جماعة من حملة الشريعة يقاربون القدماء في العمل والفضل، فشاع هناك أمرهم، وكان في بغداد مستقرهم؛ إذ هي </w:t>
      </w:r>
      <w:r>
        <w:rPr>
          <w:rStyle w:val="FootnoteAnchor"/>
          <w:rtl w:val="true"/>
        </w:rPr>
        <w:footnoteReference w:id="191"/>
      </w:r>
      <w:r>
        <w:rPr>
          <w:rFonts w:ascii="Amiri" w:hAnsi="Amiri" w:eastAsia="Amiri" w:cs="Amiri"/>
          <w:color w:val="111111"/>
          <w:sz w:val="28"/>
          <w:sz w:val="28"/>
          <w:szCs w:val="28"/>
          <w:rtl w:val="true"/>
          <w:lang w:bidi="ar-SA"/>
        </w:rPr>
        <w:t xml:space="preserve">كانت مجمع الفضلاء من العامة؛ إذ الدولة دولتهم، فالمدارس </w:t>
      </w:r>
      <w:r>
        <w:rPr>
          <w:rStyle w:val="FootnoteAnchor"/>
          <w:rtl w:val="true"/>
        </w:rPr>
        <w:footnoteReference w:id="192"/>
      </w:r>
      <w:r>
        <w:rPr>
          <w:rFonts w:ascii="Amiri" w:hAnsi="Amiri" w:eastAsia="Amiri" w:cs="Amiri"/>
          <w:color w:val="111111"/>
          <w:sz w:val="28"/>
          <w:sz w:val="28"/>
          <w:szCs w:val="28"/>
          <w:rtl w:val="true"/>
          <w:lang w:bidi="ar-SA"/>
        </w:rPr>
        <w:t>مملوءة بدرسهم، ومتصدر التدريس منهم، والكتب الشائعة بينهم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لأصحابنا بد من مخالطتهم، فمالت طباعهم للنظر إلى ما في مؤلفاتهم، والتدارس لمصنفاتهم؛ لما فيها من الدقة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نظروا إلى من تقدمهم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كالشيخين و المرتضى</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سلكوا في الاستدلال على بعض المسائل مسالكهم، وذكروا في مقام الاحتجاج مداركهم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ليس الغرض من ذلك إلا هدم ما قعدوه من القواعد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هؤلاء أنه منهم على سبيل الاعتقاد، غفلة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طريقتهم </w:t>
      </w:r>
      <w:r>
        <w:rPr>
          <w:rStyle w:val="FootnoteAnchor"/>
          <w:rtl w:val="true"/>
        </w:rPr>
        <w:footnoteReference w:id="194"/>
      </w:r>
      <w:r>
        <w:rPr>
          <w:rFonts w:ascii="Amiri" w:hAnsi="Amiri" w:eastAsia="Amiri" w:cs="Amiri"/>
          <w:color w:val="111111"/>
          <w:sz w:val="28"/>
          <w:sz w:val="28"/>
          <w:szCs w:val="28"/>
          <w:rtl w:val="true"/>
          <w:lang w:bidi="ar-SA"/>
        </w:rPr>
        <w:t>التي كان عليها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4" w:name="pg2523_39642"/>
    </w:p>
    <w:p>
      <w:pPr>
        <w:pStyle w:val="BookText"/>
        <w:rPr/>
      </w:pPr>
      <w:bookmarkEnd w:id="34"/>
      <w:r>
        <w:rPr>
          <w:rFonts w:ascii="Amiri" w:hAnsi="Amiri" w:eastAsia="Amiri" w:cs="Amiri"/>
          <w:color w:val="111111"/>
          <w:sz w:val="28"/>
          <w:sz w:val="28"/>
          <w:szCs w:val="28"/>
          <w:rtl w:val="true"/>
          <w:lang w:bidi="ar-SA"/>
        </w:rPr>
        <w:t xml:space="preserve">فحصل بهذه الغفلة والاختلاط التام لأولئك العوام اعتقاد بعض الأصول، كما هو مشاهد في هذا الزمان، من العكوف على قراءة شرح العضدي لتحصيل القواعد الأصولية </w:t>
      </w:r>
      <w:r>
        <w:rPr>
          <w:rStyle w:val="FootnoteAnchor"/>
          <w:rtl w:val="true"/>
        </w:rPr>
        <w:footnoteReference w:id="195"/>
      </w:r>
      <w:r>
        <w:rPr>
          <w:rFonts w:ascii="Amiri" w:hAnsi="Amiri" w:eastAsia="Amiri" w:cs="Amiri"/>
          <w:color w:val="111111"/>
          <w:sz w:val="28"/>
          <w:sz w:val="28"/>
          <w:szCs w:val="28"/>
          <w:rtl w:val="true"/>
          <w:lang w:bidi="ar-SA"/>
        </w:rPr>
        <w:t xml:space="preserve">، وأنه لا يكون العالم أصوليا حتى يمعن نظره في تلك العبارات، ولا يكون حكيما حتى يشتغل بحاشية القديم </w:t>
      </w:r>
      <w:r>
        <w:rPr>
          <w:rStyle w:val="FootnoteAnchor"/>
          <w:rtl w:val="true"/>
        </w:rPr>
        <w:footnoteReference w:id="196"/>
      </w:r>
      <w:r>
        <w:rPr>
          <w:rFonts w:ascii="IRNazanin" w:hAnsi="IRNazanin" w:eastAsia="IRNazanin"/>
          <w:color w:val="111111"/>
          <w:sz w:val="28"/>
          <w:sz w:val="28"/>
          <w:szCs w:val="28"/>
          <w:rtl w:val="true"/>
          <w:lang w:bidi="fa-IR"/>
        </w:rPr>
        <w:t xml:space="preserve">والشفاء </w:t>
      </w:r>
      <w:r>
        <w:rPr>
          <w:rStyle w:val="FootnoteAnchor"/>
          <w:rtl w:val="true"/>
        </w:rPr>
        <w:footnoteReference w:id="197"/>
      </w:r>
      <w:r>
        <w:rPr>
          <w:rFonts w:ascii="IRNazanin" w:hAnsi="IRNazanin" w:eastAsia="IRNazanin"/>
          <w:color w:val="111111"/>
          <w:sz w:val="28"/>
          <w:sz w:val="28"/>
          <w:szCs w:val="28"/>
          <w:rtl w:val="true"/>
          <w:lang w:bidi="fa-IR"/>
        </w:rPr>
        <w:t xml:space="preserve">والإشارات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4264826_3804643083"/>
      <w:bookmarkStart w:id="36" w:name="_Toc11"/>
      <w:bookmarkEnd w:id="35"/>
      <w:r>
        <w:rPr>
          <w:rtl w:val="true"/>
        </w:rPr>
        <w:t xml:space="preserve">[ </w:t>
      </w:r>
      <w:r>
        <w:rPr>
          <w:rtl w:val="true"/>
        </w:rPr>
        <w:t>عصر العلامة الحلي</w:t>
      </w:r>
      <w:r>
        <w:rPr>
          <w:rtl w:val="true"/>
        </w:rPr>
        <w:t>]</w:t>
      </w:r>
      <w:bookmarkEnd w:id="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الأمر كذلك حتى انتهت النوبة إلى العلامة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بين الشيعة المقام </w:t>
      </w:r>
      <w:r>
        <w:rPr>
          <w:rStyle w:val="FootnoteAnchor"/>
          <w:rtl w:val="true"/>
        </w:rPr>
        <w:footnoteReference w:id="199"/>
      </w:r>
      <w:r>
        <w:rPr>
          <w:rFonts w:ascii="Amiri" w:hAnsi="Amiri" w:eastAsia="Amiri" w:cs="Amiri"/>
          <w:color w:val="111111"/>
          <w:sz w:val="28"/>
          <w:sz w:val="28"/>
          <w:szCs w:val="28"/>
          <w:rtl w:val="true"/>
          <w:lang w:bidi="ar-SA"/>
        </w:rPr>
        <w:t xml:space="preserve">العالي </w:t>
      </w:r>
      <w:r>
        <w:rPr>
          <w:rStyle w:val="FootnoteAnchor"/>
          <w:rtl w:val="true"/>
        </w:rPr>
        <w:footnoteReference w:id="200"/>
      </w:r>
      <w:r>
        <w:rPr>
          <w:rFonts w:ascii="Amiri" w:hAnsi="Amiri" w:eastAsia="Amiri" w:cs="Amiri"/>
          <w:color w:val="111111"/>
          <w:sz w:val="28"/>
          <w:sz w:val="28"/>
          <w:szCs w:val="28"/>
          <w:rtl w:val="true"/>
          <w:lang w:bidi="ar-SA"/>
        </w:rPr>
        <w:t>، وكان عليه مدارهم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فأخلد إلى العلوم العامية الشنيعة، واشتغل بقواعدهم الأصولية، وباحثهم في المسائل الخفية والجلية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ذكي الفهم شديد الحفظ، واسع الدائرة في العلوم العقلية؛ فصار طبعه مشغوفا بالنظر إلى مؤلفاتهم الأصولية، فألف في تلك القواعد وصنف، وقرَّط مسامع من أخذ عنه وشنّف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فمالت نفوسهم إلى تلك الطريقة، بل قد جعل طريقتهم في الحقيقة، حتى أن كتابه الموسوم بقواعد الأحكام الفقهية ملخص من كتاب العزيز </w:t>
      </w:r>
      <w:r>
        <w:rPr>
          <w:rStyle w:val="FootnoteAnchor"/>
          <w:rtl w:val="true"/>
        </w:rPr>
        <w:footnoteReference w:id="201"/>
      </w:r>
      <w:r>
        <w:rPr>
          <w:rFonts w:ascii="Amiri" w:hAnsi="Amiri" w:eastAsia="Amiri" w:cs="Amiri"/>
          <w:color w:val="111111"/>
          <w:sz w:val="28"/>
          <w:sz w:val="28"/>
          <w:szCs w:val="28"/>
          <w:rtl w:val="true"/>
          <w:lang w:bidi="ar-SA"/>
        </w:rPr>
        <w:t xml:space="preserve">للرافعي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الشافعية، وربما علق عليه بعض العامة حواشي </w:t>
      </w:r>
      <w:r>
        <w:rPr>
          <w:rStyle w:val="FootnoteAnchor"/>
          <w:rtl w:val="true"/>
        </w:rPr>
        <w:footnoteReference w:id="202"/>
      </w:r>
      <w:r>
        <w:rPr>
          <w:rFonts w:ascii="Amiri" w:hAnsi="Amiri" w:eastAsia="Amiri" w:cs="Amiri"/>
          <w:color w:val="111111"/>
          <w:sz w:val="28"/>
          <w:sz w:val="28"/>
          <w:szCs w:val="28"/>
          <w:rtl w:val="true"/>
          <w:lang w:bidi="ar-SA"/>
        </w:rPr>
        <w:t xml:space="preserve">وقيودًا كما وقع للبيضاوي </w:t>
      </w:r>
      <w:r>
        <w:rPr>
          <w:rStyle w:val="FootnoteAnchor"/>
          <w:rtl w:val="true"/>
        </w:rPr>
        <w:footnoteReference w:id="203"/>
      </w:r>
      <w:r>
        <w:rPr>
          <w:rFonts w:ascii="Amiri" w:hAnsi="Amiri" w:eastAsia="Amiri" w:cs="Amiri"/>
          <w:color w:val="111111"/>
          <w:sz w:val="28"/>
          <w:sz w:val="28"/>
          <w:szCs w:val="28"/>
          <w:rtl w:val="true"/>
          <w:lang w:bidi="ar-SA"/>
        </w:rPr>
        <w:t>، وقد شاهدته في كثير من نسخها موجودًا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جاء بعد العلامة </w:t>
      </w:r>
      <w:r>
        <w:rPr>
          <w:rStyle w:val="FootnoteAnchor"/>
          <w:rtl w:val="true"/>
        </w:rPr>
        <w:footnoteReference w:id="204"/>
      </w:r>
      <w:r>
        <w:rPr>
          <w:rFonts w:ascii="Amiri" w:hAnsi="Amiri" w:eastAsia="Amiri" w:cs="Amiri"/>
          <w:color w:val="111111"/>
          <w:sz w:val="28"/>
          <w:sz w:val="28"/>
          <w:szCs w:val="28"/>
          <w:rtl w:val="true"/>
          <w:lang w:bidi="ar-SA"/>
        </w:rPr>
        <w:t xml:space="preserve">تبعه في هذه السجيّة؛ وذلك لحصول تلك العلة الباعثة للعلامة على ذلك السلوك، حتى أنك إذا تأملت كتاب تمهيد القواعد للشهيد الثاني، رأيته </w:t>
      </w:r>
      <w:r>
        <w:rPr>
          <w:rStyle w:val="FootnoteAnchor"/>
          <w:rtl w:val="true"/>
        </w:rPr>
        <w:footnoteReference w:id="205"/>
      </w:r>
      <w:r>
        <w:rPr>
          <w:rFonts w:ascii="Amiri" w:hAnsi="Amiri" w:eastAsia="Amiri" w:cs="Amiri"/>
          <w:color w:val="111111"/>
          <w:sz w:val="28"/>
          <w:sz w:val="28"/>
          <w:szCs w:val="28"/>
          <w:rtl w:val="true"/>
          <w:lang w:bidi="ar-SA"/>
        </w:rPr>
        <w:t xml:space="preserve">قد سلك فيها مسلك عبد الرحيم الإسنوي الشافعي </w:t>
      </w:r>
      <w:r>
        <w:rPr>
          <w:rStyle w:val="FootnoteAnchor"/>
          <w:rtl w:val="true"/>
        </w:rPr>
        <w:footnoteReference w:id="206"/>
      </w:r>
      <w:r>
        <w:rPr>
          <w:rFonts w:ascii="Amiri" w:hAnsi="Amiri" w:eastAsia="Amiri" w:cs="Amiri"/>
          <w:color w:val="111111"/>
          <w:sz w:val="28"/>
          <w:sz w:val="28"/>
          <w:szCs w:val="28"/>
          <w:rtl w:val="true"/>
          <w:lang w:bidi="ar-SA"/>
        </w:rPr>
        <w:t>في كتابه 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في علم الدراية، قد سلك فيه م</w:t>
      </w:r>
      <w:r>
        <w:rPr>
          <w:rFonts w:eastAsia="Amiri" w:cs="Amiri" w:ascii="Amiri" w:hAnsi="Amiri"/>
          <w:color w:val="111111"/>
          <w:sz w:val="28"/>
          <w:szCs w:val="28"/>
          <w:rtl w:val="true"/>
          <w:lang w:bidi="ar-SA"/>
        </w:rPr>
        <w:t xml:space="preserve">. </w:t>
      </w:r>
      <w:bookmarkStart w:id="37" w:name="pg2523_39644"/>
    </w:p>
    <w:p>
      <w:pPr>
        <w:pStyle w:val="BookText"/>
        <w:rPr/>
      </w:pPr>
      <w:bookmarkEnd w:id="37"/>
      <w:r>
        <w:rPr>
          <w:rFonts w:ascii="Amiri" w:hAnsi="Amiri" w:eastAsia="Amiri" w:cs="Amiri"/>
          <w:color w:val="111111"/>
          <w:sz w:val="28"/>
          <w:sz w:val="28"/>
          <w:szCs w:val="28"/>
          <w:rtl w:val="true"/>
          <w:lang w:bidi="ar-SA"/>
        </w:rPr>
        <w:t xml:space="preserve">طريقة ابن الصلاح </w:t>
      </w:r>
      <w:r>
        <w:rPr>
          <w:rStyle w:val="FootnoteAnchor"/>
          <w:rtl w:val="true"/>
        </w:rPr>
        <w:footnoteReference w:id="207"/>
      </w:r>
      <w:r>
        <w:rPr>
          <w:rFonts w:ascii="Amiri" w:hAnsi="Amiri" w:eastAsia="Amiri" w:cs="Amiri"/>
          <w:color w:val="111111"/>
          <w:sz w:val="28"/>
          <w:sz w:val="28"/>
          <w:szCs w:val="28"/>
          <w:rtl w:val="true"/>
          <w:lang w:bidi="ar-SA"/>
        </w:rPr>
        <w:t>من العامة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تأملت زبدة الأصول لشيخنا البهائي رحمه الله، رأيت مباحثها كمختصر الحاجبي</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إلا لما</w:t>
      </w:r>
      <w:r>
        <w:rPr>
          <w:rStyle w:val="FootnoteAnchor"/>
          <w:rtl w:val="true"/>
        </w:rPr>
        <w:footnoteReference w:id="209"/>
      </w:r>
      <w:r>
        <w:rPr>
          <w:rFonts w:ascii="Amiri" w:hAnsi="Amiri" w:eastAsia="Amiri" w:cs="Amiri"/>
          <w:color w:val="111111"/>
          <w:sz w:val="28"/>
          <w:sz w:val="28"/>
          <w:szCs w:val="28"/>
          <w:rtl w:val="true"/>
          <w:lang w:bidi="ar-SA"/>
        </w:rPr>
        <w:t>سرى في نفوسهم من الغفلة عن الطريقة الأولى</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264828_3804643083"/>
      <w:bookmarkStart w:id="39" w:name="_Toc12"/>
      <w:bookmarkEnd w:id="38"/>
      <w:r>
        <w:rPr>
          <w:rtl w:val="true"/>
        </w:rPr>
        <w:t>[</w:t>
      </w:r>
      <w:r>
        <w:rPr>
          <w:rtl w:val="true"/>
        </w:rPr>
        <w:t>عصر الشيخ حسن ابن الشهيد الثاني والعودة للطريقة الأولى</w:t>
      </w:r>
      <w:r>
        <w:rPr>
          <w:rtl w:val="true"/>
        </w:rPr>
        <w:t>]</w:t>
      </w:r>
      <w:bookmarkEnd w:id="39"/>
    </w:p>
    <w:p>
      <w:pPr>
        <w:pStyle w:val="BookText"/>
        <w:rPr/>
      </w:pPr>
      <w:r>
        <w:rPr>
          <w:rFonts w:ascii="Amiri" w:hAnsi="Amiri" w:eastAsia="Amiri" w:cs="Amiri"/>
          <w:color w:val="111111"/>
          <w:sz w:val="28"/>
          <w:sz w:val="28"/>
          <w:szCs w:val="28"/>
          <w:rtl w:val="true"/>
          <w:lang w:bidi="ar-SA"/>
        </w:rPr>
        <w:t>وما زال الأمر كذلك حتى انتهت النوبة إلى المحقق الشيخ حسن ابن الشهيد الثاني، فاطلع على رسالة المحقق في علم الأصول، وعرف مذهب الشيخ و</w:t>
      </w:r>
      <w:r>
        <w:rPr>
          <w:rStyle w:val="FootnoteAnchor"/>
          <w:rtl w:val="true"/>
        </w:rPr>
        <w:footnoteReference w:id="210"/>
      </w:r>
      <w:r>
        <w:rPr>
          <w:rFonts w:ascii="Amiri" w:hAnsi="Amiri" w:eastAsia="Amiri" w:cs="Amiri"/>
          <w:color w:val="111111"/>
          <w:sz w:val="28"/>
          <w:sz w:val="28"/>
          <w:szCs w:val="28"/>
          <w:rtl w:val="true"/>
          <w:lang w:bidi="ar-SA"/>
        </w:rPr>
        <w:t xml:space="preserve">المتقدمين في أخبار آل الرسول، واستبان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الصواب، وقال إنه الطريق الذي ينبغي أن يسلك في كل باب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مع </w:t>
      </w:r>
      <w:r>
        <w:rPr>
          <w:rStyle w:val="FootnoteAnchor"/>
          <w:rtl w:val="true"/>
        </w:rPr>
        <w:footnoteReference w:id="211"/>
      </w:r>
      <w:r>
        <w:rPr>
          <w:rFonts w:ascii="Amiri" w:hAnsi="Amiri" w:eastAsia="Amiri" w:cs="Amiri"/>
          <w:color w:val="111111"/>
          <w:sz w:val="28"/>
          <w:sz w:val="28"/>
          <w:szCs w:val="28"/>
          <w:rtl w:val="true"/>
          <w:lang w:bidi="ar-SA"/>
        </w:rPr>
        <w:t xml:space="preserve">والده في تلك المدارك </w:t>
      </w:r>
      <w:r>
        <w:rPr>
          <w:rStyle w:val="FootnoteAnchor"/>
          <w:rtl w:val="true"/>
        </w:rPr>
        <w:footnoteReference w:id="212"/>
      </w:r>
      <w:r>
        <w:rPr>
          <w:rFonts w:ascii="Amiri" w:hAnsi="Amiri" w:eastAsia="Amiri" w:cs="Amiri"/>
          <w:color w:val="111111"/>
          <w:sz w:val="28"/>
          <w:sz w:val="28"/>
          <w:szCs w:val="28"/>
          <w:rtl w:val="true"/>
          <w:lang w:bidi="ar-SA"/>
        </w:rPr>
        <w:t xml:space="preserve">، ومال إلى العمل بالأخبار في أكثر المسالك، حتى أنه اعتمد مراسيل الصدوق في كتاب من لا يحضره الفقيه </w:t>
      </w:r>
    </w:p>
    <w:p>
      <w:pPr>
        <w:pStyle w:val="BookText"/>
        <w:rPr/>
      </w:pPr>
      <w:r>
        <w:rPr>
          <w:rFonts w:ascii="Amiri" w:hAnsi="Amiri" w:eastAsia="Amiri" w:cs="Amiri"/>
          <w:color w:val="111111"/>
          <w:sz w:val="28"/>
          <w:sz w:val="28"/>
          <w:szCs w:val="28"/>
          <w:rtl w:val="true"/>
          <w:lang w:bidi="ar-SA"/>
        </w:rPr>
        <w:t xml:space="preserve">اعتمادًا على شهادة مؤلفه الفاضل النبيه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Style w:val="FootnoteAnchor"/>
          <w:rtl w:val="true"/>
        </w:rPr>
        <w:footnoteReference w:id="214"/>
      </w:r>
      <w:r>
        <w:rPr>
          <w:rFonts w:ascii="Amiri" w:hAnsi="Amiri" w:eastAsia="Amiri" w:cs="Amiri"/>
          <w:color w:val="111111"/>
          <w:sz w:val="28"/>
          <w:sz w:val="28"/>
          <w:szCs w:val="28"/>
          <w:rtl w:val="true"/>
          <w:lang w:bidi="ar-SA"/>
        </w:rPr>
        <w:t>لم يجسر على المخالفة كمال الجسور؛ لصيرورة طريقته هذه غريبة الصدور في تلك الأزمنة والدهور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فقارنه جماعة في ذلك، كشيخه الأردبيلي و معاصره سيد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Style w:val="FootnoteAnchor"/>
          <w:rtl w:val="true"/>
        </w:rPr>
        <w:footnoteReference w:id="215"/>
      </w:r>
      <w:r>
        <w:rPr>
          <w:rFonts w:ascii="Amiri" w:hAnsi="Amiri" w:eastAsia="Amiri" w:cs="Amiri"/>
          <w:color w:val="111111"/>
          <w:sz w:val="28"/>
          <w:sz w:val="28"/>
          <w:szCs w:val="28"/>
          <w:rtl w:val="true"/>
          <w:lang w:bidi="ar-SA"/>
        </w:rPr>
        <w:t xml:space="preserve">كانا في الدرس كفرسي رهان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زال ذلك الأمر شائعًا في تلك الأزمان، حتى صغى إليهم من بعدهم جماعة من الفضلاء الذين تعلقوا بأهداب </w:t>
      </w:r>
      <w:r>
        <w:rPr>
          <w:rStyle w:val="FootnoteAnchor"/>
          <w:rtl w:val="true"/>
        </w:rPr>
        <w:footnoteReference w:id="217"/>
      </w:r>
      <w:r>
        <w:rPr>
          <w:rFonts w:ascii="Amiri" w:hAnsi="Amiri" w:eastAsia="Amiri" w:cs="Amiri"/>
          <w:color w:val="111111"/>
          <w:sz w:val="28"/>
          <w:sz w:val="28"/>
          <w:szCs w:val="28"/>
          <w:rtl w:val="true"/>
          <w:lang w:bidi="ar-SA"/>
        </w:rPr>
        <w:t xml:space="preserve">الأخبار، ونشروا علم الأحاديث في تلك الأصقاع والديار، كمولانا الأمين </w:t>
      </w:r>
      <w:r>
        <w:rPr>
          <w:rStyle w:val="FootnoteAnchor"/>
          <w:rtl w:val="true"/>
        </w:rPr>
        <w:footnoteReference w:id="218"/>
      </w:r>
      <w:r>
        <w:rPr>
          <w:rFonts w:ascii="Amiri" w:hAnsi="Amiri" w:eastAsia="Amiri" w:cs="Amiri"/>
          <w:color w:val="111111"/>
          <w:sz w:val="28"/>
          <w:sz w:val="28"/>
          <w:szCs w:val="28"/>
          <w:rtl w:val="true"/>
          <w:lang w:bidi="ar-SA"/>
        </w:rPr>
        <w:t>محمد أمين الأسترابادي، والفاضل ملا خليل القزويني، والفاضل ملا محسن الكاشاني، والشيخ محمد الحرفوشي</w:t>
      </w:r>
      <w:r>
        <w:rPr>
          <w:rStyle w:val="FootnoteAnchor"/>
          <w:rtl w:val="true"/>
        </w:rPr>
        <w:footnoteReference w:id="219"/>
      </w:r>
      <w:r>
        <w:rPr>
          <w:rFonts w:ascii="IRNazanin" w:hAnsi="IRNazanin" w:eastAsia="IRNazanin"/>
          <w:color w:val="111111"/>
          <w:sz w:val="28"/>
          <w:sz w:val="28"/>
          <w:szCs w:val="28"/>
          <w:rtl w:val="true"/>
          <w:lang w:bidi="fa-IR"/>
        </w:rPr>
        <w:t>، والمحقق الشيخ حسين ابن شهاب الدين العاملي 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فصرحوا بما لوّح به غيرهم من الأعاظم، ولم تأخذهم في الله لومة لائم؛ لأنهم عرفوا الحق، فلم يسعهم إلا القبول و التسليم لما جاء عن آل الرسول صلی الله علیه و آله وسلم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حققوا ذينك المسلكين </w:t>
      </w:r>
      <w:r>
        <w:rPr>
          <w:rStyle w:val="FootnoteAnchor"/>
          <w:rtl w:val="true"/>
        </w:rPr>
        <w:footnoteReference w:id="220"/>
      </w:r>
      <w:r>
        <w:rPr>
          <w:rFonts w:ascii="Amiri" w:hAnsi="Amiri" w:eastAsia="Amiri" w:cs="Amiri"/>
          <w:color w:val="111111"/>
          <w:sz w:val="28"/>
          <w:sz w:val="28"/>
          <w:szCs w:val="28"/>
          <w:rtl w:val="true"/>
          <w:lang w:bidi="ar-SA"/>
        </w:rPr>
        <w:t>، وانكشف لهم حال الفريقين، ن</w:t>
      </w:r>
      <w:r>
        <w:rPr>
          <w:rFonts w:eastAsia="Amiri" w:cs="Amiri" w:ascii="Amiri" w:hAnsi="Amiri"/>
          <w:color w:val="111111"/>
          <w:sz w:val="28"/>
          <w:szCs w:val="28"/>
          <w:rtl w:val="true"/>
          <w:lang w:bidi="ar-SA"/>
        </w:rPr>
        <w:t xml:space="preserve">. </w:t>
      </w:r>
      <w:bookmarkStart w:id="40" w:name="pg2523_39646"/>
    </w:p>
    <w:p>
      <w:pPr>
        <w:pStyle w:val="BookText"/>
        <w:rPr/>
      </w:pPr>
      <w:bookmarkEnd w:id="40"/>
      <w:r>
        <w:rPr>
          <w:rFonts w:ascii="Amiri" w:hAnsi="Amiri" w:eastAsia="Amiri" w:cs="Amiri"/>
          <w:color w:val="111111"/>
          <w:sz w:val="28"/>
          <w:sz w:val="28"/>
          <w:szCs w:val="28"/>
          <w:rtl w:val="true"/>
          <w:lang w:bidi="ar-SA"/>
        </w:rPr>
        <w:t xml:space="preserve">فهناك تنكبوا طريقة الاجتهاد بالمرة، وطعنوا هناك فيما يتعلقون به </w:t>
      </w:r>
      <w:r>
        <w:rPr>
          <w:rStyle w:val="FootnoteAnchor"/>
          <w:rtl w:val="true"/>
        </w:rPr>
        <w:footnoteReference w:id="221"/>
      </w:r>
      <w:r>
        <w:rPr>
          <w:rFonts w:ascii="Amiri" w:hAnsi="Amiri" w:eastAsia="Amiri" w:cs="Amiri"/>
          <w:color w:val="111111"/>
          <w:sz w:val="28"/>
          <w:sz w:val="28"/>
          <w:szCs w:val="28"/>
          <w:rtl w:val="true"/>
          <w:lang w:bidi="ar-SA"/>
        </w:rPr>
        <w:t xml:space="preserve">من إجماع أو شهرة،فصغت آذانهم إلى قواعد الأخبار، و فرشوا حجورهم </w:t>
      </w:r>
      <w:r>
        <w:rPr>
          <w:rStyle w:val="FootnoteAnchor"/>
          <w:rtl w:val="true"/>
        </w:rPr>
        <w:footnoteReference w:id="222"/>
      </w:r>
      <w:r>
        <w:rPr>
          <w:rFonts w:ascii="Amiri" w:hAnsi="Amiri" w:eastAsia="Amiri" w:cs="Amiri"/>
          <w:color w:val="111111"/>
          <w:sz w:val="28"/>
          <w:sz w:val="28"/>
          <w:szCs w:val="28"/>
          <w:rtl w:val="true"/>
          <w:lang w:bidi="ar-SA"/>
        </w:rPr>
        <w:t xml:space="preserve">إلى ما جاء فيها من الأسرار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264830_3804643083"/>
      <w:bookmarkStart w:id="42" w:name="_Toc13"/>
      <w:bookmarkEnd w:id="41"/>
      <w:r>
        <w:rPr>
          <w:rtl w:val="true"/>
        </w:rPr>
        <w:t>[</w:t>
      </w:r>
      <w:r>
        <w:rPr>
          <w:rtl w:val="true"/>
        </w:rPr>
        <w:t>النصوص الدالة على أحقية مذهب أهل الصدر الأول</w:t>
      </w:r>
      <w:r>
        <w:rPr>
          <w:rtl w:val="true"/>
        </w:rPr>
        <w:t>]</w:t>
      </w:r>
      <w:bookmarkEnd w:id="4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أظهر لهم ذلك الحق المبين، و أبعدهم عن مساحة أولئك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 الأوامر القرآنية وتواتر الأخبار المعصومية بسلوك الطريقة القديمة، والذم لارتكاب الأهواء الذميمة، قال الله </w:t>
      </w:r>
      <w:r>
        <w:rPr>
          <w:rStyle w:val="FootnoteAnchor"/>
          <w:rtl w:val="true"/>
        </w:rPr>
        <w:footnoteReference w:id="223"/>
      </w:r>
      <w:r>
        <w:rPr>
          <w:rFonts w:ascii="IRNazanin" w:hAnsi="IRNazanin" w:eastAsia="IRNazanin"/>
          <w:color w:val="111111"/>
          <w:sz w:val="28"/>
          <w:sz w:val="28"/>
          <w:szCs w:val="28"/>
          <w:rtl w:val="true"/>
          <w:lang w:bidi="fa-IR"/>
        </w:rPr>
        <w:t xml:space="preserve">تعالى </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مَا أَنْزَلَ</w:t>
      </w:r>
      <w:r>
        <w:rPr>
          <w:rStyle w:val="FootnoteAnchor"/>
          <w:rtl w:val="true"/>
        </w:rPr>
        <w:footnoteReference w:id="229"/>
      </w:r>
      <w:r>
        <w:rPr>
          <w:rFonts w:ascii="Amiri" w:hAnsi="Amiri" w:eastAsia="Amiri" w:cs="Amiri"/>
          <w:color w:val="111111"/>
          <w:sz w:val="28"/>
          <w:sz w:val="28"/>
          <w:szCs w:val="28"/>
          <w:rtl w:val="true"/>
          <w:lang w:bidi="ar-SA"/>
        </w:rPr>
        <w:t xml:space="preserve">اللهُ لَكُمْ مِنْ رِزْقٍ فَجَعَلْتُمْ مِنْهُ حَرَامًا وَحَلَالًا قُلْ ءاللَّهُ أَذِنَ لَكُمْ أَمْ عَلَى </w:t>
      </w:r>
    </w:p>
    <w:p>
      <w:pPr>
        <w:pStyle w:val="BookText"/>
        <w:rPr/>
      </w:pPr>
      <w:r>
        <w:rPr>
          <w:rFonts w:ascii="Amiri" w:hAnsi="Amiri" w:eastAsia="Amiri" w:cs="Amiri"/>
          <w:color w:val="111111"/>
          <w:sz w:val="28"/>
          <w:sz w:val="28"/>
          <w:szCs w:val="28"/>
          <w:rtl w:val="true"/>
          <w:lang w:bidi="ar-SA"/>
        </w:rPr>
        <w:t xml:space="preserve">اللهِ تَفْتَرُوْنَ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و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وَتَقُوْلُوْنَ بِأَفْوَاهِكُمْ مَا لَيْسَ لَكُمْ بِهِ عِلْمٌ </w:t>
      </w:r>
      <w:r>
        <w:rPr>
          <w:rStyle w:val="FootnoteAnchor"/>
          <w:rtl w:val="true"/>
        </w:rPr>
        <w:footnoteReference w:id="232"/>
      </w:r>
      <w:r>
        <w:rPr>
          <w:rFonts w:ascii="Amiri" w:hAnsi="Amiri" w:eastAsia="Amiri" w:cs="Amiri"/>
          <w:color w:val="111111"/>
          <w:sz w:val="28"/>
          <w:sz w:val="28"/>
          <w:szCs w:val="28"/>
          <w:rtl w:val="true"/>
          <w:lang w:bidi="ar-SA"/>
        </w:rPr>
        <w:t xml:space="preserve">وَ تُحَسَبُونَهُ هَيِّنًا وَهُوَ عِنْدَ اللهِ عَظِيمٌ </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 وقال تعالى </w:t>
      </w:r>
      <w:r>
        <w:rPr>
          <w:rStyle w:val="FootnoteAnchor"/>
          <w:rtl w:val="true"/>
        </w:rPr>
        <w:footnoteReference w:id="2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w:t>
      </w:r>
      <w:r>
        <w:rPr>
          <w:rStyle w:val="FootnoteAnchor"/>
          <w:rtl w:val="true"/>
        </w:rPr>
        <w:footnoteReference w:id="235"/>
      </w:r>
      <w:r>
        <w:rPr>
          <w:rFonts w:ascii="Amiri" w:hAnsi="Amiri" w:eastAsia="Amiri" w:cs="Amiri"/>
          <w:color w:val="111111"/>
          <w:sz w:val="28"/>
          <w:sz w:val="28"/>
          <w:szCs w:val="28"/>
          <w:rtl w:val="true"/>
          <w:lang w:bidi="ar-SA"/>
        </w:rPr>
        <w:t>لَهُمْ بِذَلِكَ مِنْ عِلْمٍ إنْ هُمْ إِلّا يَظُنُّونَ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والآيات في هذا المعنى كثيرة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أئمتنا الأنجاب فهي مستفيضة في هذا الباب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كتاب الأمالي للصدوق، بإسناده إلى إسحاق بن عبدالله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عَيَّرَ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حَتَّى يَعْلَمُوْا، وَأَنْ</w:t>
      </w:r>
      <w:r>
        <w:rPr>
          <w:rStyle w:val="FootnoteAnchor"/>
          <w:rtl w:val="true"/>
        </w:rPr>
        <w:footnoteReference w:id="236"/>
      </w:r>
      <w:r>
        <w:rPr>
          <w:rFonts w:ascii="Amiri" w:hAnsi="Amiri" w:eastAsia="Amiri" w:cs="Amiri"/>
          <w:color w:val="111111"/>
          <w:sz w:val="28"/>
          <w:sz w:val="28"/>
          <w:szCs w:val="28"/>
          <w:rtl w:val="true"/>
          <w:lang w:bidi="ar-SA"/>
        </w:rPr>
        <w:t>لَا يَرْوُوْا</w:t>
      </w:r>
      <w:r>
        <w:rPr>
          <w:rStyle w:val="FootnoteAnchor"/>
          <w:rtl w:val="true"/>
        </w:rPr>
        <w:footnoteReference w:id="237"/>
      </w:r>
      <w:r>
        <w:rPr>
          <w:rFonts w:ascii="Amiri" w:hAnsi="Amiri" w:eastAsia="Amiri" w:cs="Amiri"/>
          <w:color w:val="111111"/>
          <w:sz w:val="28"/>
          <w:sz w:val="28"/>
          <w:szCs w:val="28"/>
          <w:rtl w:val="true"/>
          <w:lang w:bidi="ar-SA"/>
        </w:rPr>
        <w:t>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Style w:val="FootnoteAnchor"/>
          <w:rtl w:val="true"/>
        </w:rPr>
        <w:footnoteReference w:id="2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یُؤْخَذْ عَلَيْهِمْ مِيْثَاقُ الْكِتَابِ أَنْ لَا يَقُوْلُوْا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 .</w:t>
      </w:r>
      <w:r>
        <w:rPr>
          <w:rStyle w:val="FootnoteAnchor"/>
          <w:rtl w:val="true"/>
        </w:rPr>
        <w:footnoteReference w:id="239"/>
      </w:r>
      <w:r>
        <w:rPr>
          <w:rFonts w:ascii="Amiri" w:hAnsi="Amiri" w:eastAsia="Amiri" w:cs="Amiri"/>
          <w:color w:val="111111"/>
          <w:sz w:val="28"/>
          <w:sz w:val="28"/>
          <w:szCs w:val="28"/>
          <w:rtl w:val="true"/>
          <w:lang w:bidi="ar-SA"/>
        </w:rPr>
        <w:t xml:space="preserve">ورواه العياشي </w:t>
      </w:r>
      <w:r>
        <w:rPr>
          <w:rStyle w:val="FootnoteAnchor"/>
          <w:rtl w:val="true"/>
        </w:rPr>
        <w:footnoteReference w:id="240"/>
      </w:r>
      <w:r>
        <w:rPr>
          <w:rFonts w:ascii="Amiri" w:hAnsi="Amiri" w:eastAsia="Amiri" w:cs="Amiri"/>
          <w:color w:val="111111"/>
          <w:sz w:val="28"/>
          <w:sz w:val="28"/>
          <w:szCs w:val="28"/>
          <w:rtl w:val="true"/>
          <w:lang w:bidi="ar-SA"/>
        </w:rPr>
        <w:t>في تفسيره بطريقتين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عبدالعزيز عن أبي عبد الله </w:t>
      </w:r>
      <w:r>
        <w:rPr>
          <w:rStyle w:val="FootnoteAnchor"/>
          <w:rtl w:val="true"/>
        </w:rPr>
        <w:footnoteReference w:id="241"/>
      </w:r>
      <w:r>
        <w:rPr>
          <w:rFonts w:ascii="IRNazanin" w:hAnsi="IRNazanin" w:eastAsia="IRNazanin"/>
          <w:color w:val="111111"/>
          <w:sz w:val="28"/>
          <w:sz w:val="28"/>
          <w:szCs w:val="28"/>
          <w:rtl w:val="true"/>
          <w:lang w:bidi="fa-IR"/>
        </w:rPr>
        <w:t xml:space="preserve">علیه السلام والأخرى عن أبي السفاتج </w:t>
      </w:r>
      <w:r>
        <w:rPr>
          <w:rStyle w:val="FootnoteAnchor"/>
          <w:rtl w:val="true"/>
        </w:rPr>
        <w:footnoteReference w:id="242"/>
      </w:r>
      <w:r>
        <w:rPr>
          <w:rFonts w:ascii="IRNazanin" w:hAnsi="IRNazanin" w:eastAsia="IRNazanin"/>
          <w:color w:val="111111"/>
          <w:sz w:val="28"/>
          <w:sz w:val="28"/>
          <w:szCs w:val="28"/>
          <w:rtl w:val="true"/>
          <w:lang w:bidi="fa-IR"/>
        </w:rPr>
        <w:t xml:space="preserve">عنه </w:t>
      </w:r>
      <w:r>
        <w:rPr>
          <w:rStyle w:val="FootnoteAnchor"/>
          <w:rtl w:val="true"/>
        </w:rPr>
        <w:footnoteReference w:id="243"/>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الخصال بإسناده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عَنْ خَصْلَتَيْنِ فِيْهِمَا هَلَكَ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 وَتُفْتِي النَّاسَ بِمَا لَا تَعْلَمْ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 في الأمالي في الصحيح عن عبد الرحمن بن الحجاج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وَخَصْلَتَيْنِ فِيهِمَا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تُفْتِي النَّاسَ بِرَأْيِكَ، أَوْ تَدِيْنَ بِمَا لَا تَعْلَم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وفي الكافي بسنده </w:t>
      </w:r>
      <w:r>
        <w:rPr>
          <w:rStyle w:val="FootnoteAnchor"/>
          <w:rtl w:val="true"/>
        </w:rPr>
        <w:footnoteReference w:id="246"/>
      </w:r>
      <w:r>
        <w:rPr>
          <w:rFonts w:ascii="Amiri" w:hAnsi="Amiri" w:eastAsia="Amiri" w:cs="Amiri"/>
          <w:color w:val="111111"/>
          <w:sz w:val="28"/>
          <w:sz w:val="28"/>
          <w:szCs w:val="28"/>
          <w:rtl w:val="true"/>
          <w:lang w:bidi="ar-SA"/>
        </w:rPr>
        <w:t xml:space="preserve">الصحيح </w:t>
      </w:r>
      <w:r>
        <w:rPr>
          <w:rStyle w:val="FootnoteAnchor"/>
          <w:rtl w:val="true"/>
        </w:rPr>
        <w:footnoteReference w:id="247"/>
      </w:r>
      <w:r>
        <w:rPr>
          <w:rFonts w:ascii="Amiri" w:hAnsi="Amiri" w:eastAsia="Amiri" w:cs="Amiri"/>
          <w:color w:val="111111"/>
          <w:sz w:val="28"/>
          <w:sz w:val="28"/>
          <w:szCs w:val="28"/>
          <w:rtl w:val="true"/>
          <w:lang w:bidi="ar-SA"/>
        </w:rPr>
        <w:t xml:space="preserve">في الظاهر </w:t>
      </w:r>
      <w:r>
        <w:rPr>
          <w:rStyle w:val="FootnoteAnchor"/>
          <w:rtl w:val="true"/>
        </w:rPr>
        <w:footnoteReference w:id="248"/>
      </w:r>
      <w:r>
        <w:rPr>
          <w:rFonts w:ascii="Amiri" w:hAnsi="Amiri" w:eastAsia="Amiri" w:cs="Amiri"/>
          <w:color w:val="111111"/>
          <w:sz w:val="28"/>
          <w:sz w:val="28"/>
          <w:szCs w:val="28"/>
          <w:rtl w:val="true"/>
          <w:lang w:bidi="ar-SA"/>
        </w:rPr>
        <w:t xml:space="preserve">إلى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النحوي </w:t>
      </w:r>
      <w:r>
        <w:rPr>
          <w:rStyle w:val="FootnoteAnchor"/>
          <w:rtl w:val="true"/>
        </w:rPr>
        <w:footnoteReference w:id="249"/>
      </w:r>
      <w:r>
        <w:rPr>
          <w:rFonts w:ascii="IRNazanin" w:hAnsi="IRNazanin" w:eastAsia="IRNazanin"/>
          <w:color w:val="111111"/>
          <w:sz w:val="28"/>
          <w:sz w:val="28"/>
          <w:szCs w:val="28"/>
          <w:rtl w:val="true"/>
          <w:lang w:bidi="fa-IR"/>
        </w:rPr>
        <w:t xml:space="preserve">عن أبي عبد الله علیه السلام لا في حديث قال </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لَنُحِبُّكُمْ أَنْ تَقُوْلُوْا إِذَا قُلْنَا و َتَصْمُتُوْا إِذَا صَمَتْنَا، وَنَحْنُ فِيْمَا بَيْنَكُمْ وَبَيْنَ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لِأَحَدٍ خَيْرًا فِي خِلَافِ أَمْرِنَا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حسان أبي علي عن أبي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حَسْبُكُمْ أَنْ تَقُولُوا مَا نَقُوْلُ وَ تَصْمُتُوا عَمَّا نَصْمُتُ، إِنَّكُمْ قَدْ رَأَيْتُمْ أَنَّ اللَّهَ عَزَّ وَجَلَّ لَمْ يَجْعَلْ لِأَحَدٍ في خِلَافِنَا خَيْرًا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إلى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بِغَيْرِ سَماعِ عَنْ صَادِقِ أَلْزَمَهُ اللهُ البَتَّةَ إِلَى الْفَنَاءِ، وَمَن ادَّعَى سَمَاعًا مِنْ غَيْرِ الْبَابِ الَّذِي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فَهُوَ مُشْرِكٌ، وَذَلِكَ الْبَابُ المَأْمُونُ عَلَى سِرَ اللَّهِ المَكْنُونِ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كتاب عيون أخبار الرّضَا علیه السلام بإسناده إلى إبراهيم ابن أبي محمود عن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عَنْ أَبَائِهِ علیهم السلام عَنْ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فَإِنْ كَانَ النَّاطِقُ عَنِ اللَّهِ </w:t>
      </w:r>
      <w:r>
        <w:rPr>
          <w:rStyle w:val="FootnoteAnchor"/>
          <w:rtl w:val="true"/>
        </w:rPr>
        <w:footnoteReference w:id="256"/>
      </w:r>
      <w:r>
        <w:rPr>
          <w:rFonts w:ascii="Amiri" w:hAnsi="Amiri" w:eastAsia="Amiri" w:cs="Amiri"/>
          <w:color w:val="111111"/>
          <w:sz w:val="28"/>
          <w:sz w:val="28"/>
          <w:szCs w:val="28"/>
          <w:rtl w:val="true"/>
          <w:lang w:bidi="ar-SA"/>
        </w:rPr>
        <w:t xml:space="preserve">فَقَدْ عَبَدَ اللَّهَ، وَإِنْ كَانَ النَّاطِقُ عَنْ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فَقَدْ عَبَدَ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مَحْمُوْدٍ، وَ إِذَا أَخَذَ النَّاسُ يَمِينًا وَشِمَالًا فَالْزَمْ طَرِيْقَتَنَا، فَإِنَّهُ مَنْ لَزَمَنَا لَزَمْنَاهُ، وَمَنْ فَارَقَنَا فَارَقْنَاهُ؛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يَخْرُجُ بِهِ الرَّجُلُ مِنَ الْإِيْمَانِ أَنْ يَقُوْلَ لِلْحَصَاةِ هَذِهِ نَوَاةٌ، ثُمَّ يَدِينُ اللَّهُ </w:t>
      </w:r>
      <w:r>
        <w:rPr>
          <w:rStyle w:val="FootnoteAnchor"/>
          <w:rtl w:val="true"/>
        </w:rPr>
        <w:footnoteReference w:id="258"/>
      </w:r>
      <w:r>
        <w:rPr>
          <w:rFonts w:ascii="Amiri" w:hAnsi="Amiri" w:eastAsia="Amiri" w:cs="Amiri"/>
          <w:color w:val="111111"/>
          <w:sz w:val="28"/>
          <w:sz w:val="28"/>
          <w:szCs w:val="28"/>
          <w:rtl w:val="true"/>
          <w:lang w:bidi="ar-SA"/>
        </w:rPr>
        <w:t>بِذَلِكَ وَيَبْرَأُ عَنْ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مَا حَدَّثْتُكَ بِهِ؛ فَقَدْ جَمَعْتُ لَكَ </w:t>
      </w:r>
      <w:r>
        <w:rPr>
          <w:rStyle w:val="FootnoteAnchor"/>
          <w:rtl w:val="true"/>
        </w:rPr>
        <w:footnoteReference w:id="260"/>
      </w:r>
      <w:r>
        <w:rPr>
          <w:rFonts w:ascii="Amiri" w:hAnsi="Amiri" w:eastAsia="Amiri" w:cs="Amiri"/>
          <w:color w:val="111111"/>
          <w:sz w:val="28"/>
          <w:sz w:val="28"/>
          <w:szCs w:val="28"/>
          <w:rtl w:val="true"/>
          <w:lang w:bidi="ar-SA"/>
        </w:rPr>
        <w:t xml:space="preserve">فِيهِ </w:t>
      </w:r>
      <w:r>
        <w:rPr>
          <w:rStyle w:val="FootnoteAnchor"/>
          <w:rtl w:val="true"/>
        </w:rPr>
        <w:footnoteReference w:id="261"/>
      </w:r>
      <w:r>
        <w:rPr>
          <w:rFonts w:ascii="Amiri" w:hAnsi="Amiri" w:eastAsia="Amiri" w:cs="Amiri"/>
          <w:color w:val="111111"/>
          <w:sz w:val="28"/>
          <w:sz w:val="28"/>
          <w:szCs w:val="28"/>
          <w:rtl w:val="true"/>
          <w:lang w:bidi="ar-SA"/>
        </w:rPr>
        <w:t xml:space="preserve">خَيْرَ الدُّنْيَا وَالْآخِرة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الخصال بإسناده عن سليم بن قيس الهلالي </w:t>
      </w:r>
      <w:r>
        <w:rPr>
          <w:rStyle w:val="FootnoteAnchor"/>
          <w:rtl w:val="true"/>
        </w:rPr>
        <w:footnoteReference w:id="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أَمِيرَ الْمُؤْمِنِينَ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عَلَى دِينِكُمْ </w:t>
      </w:r>
      <w:r>
        <w:rPr>
          <w:rStyle w:val="FootnoteAnchor"/>
          <w:rtl w:val="true"/>
        </w:rPr>
        <w:footnoteReference w:id="264"/>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Style w:val="FootnoteAnchor"/>
          <w:rtl w:val="true"/>
        </w:rPr>
        <w:footnoteReference w:id="265"/>
      </w:r>
      <w:r>
        <w:rPr>
          <w:rFonts w:ascii="Amiri" w:hAnsi="Amiri" w:eastAsia="Amiri" w:cs="Amiri"/>
          <w:color w:val="111111"/>
          <w:sz w:val="28"/>
          <w:sz w:val="28"/>
          <w:szCs w:val="28"/>
          <w:rtl w:val="true"/>
          <w:lang w:bidi="ar-SA"/>
        </w:rPr>
        <w:t xml:space="preserve">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لِلْقُرْآنِ، حَتَّى إِذَا رَأَيْتَ عَلَيْهِ بَهْجَتَهُ اخْتَرَطَ </w:t>
      </w:r>
      <w:r>
        <w:rPr>
          <w:rStyle w:val="FootnoteAnchor"/>
          <w:rtl w:val="true"/>
        </w:rPr>
        <w:footnoteReference w:id="266"/>
      </w:r>
      <w:r>
        <w:rPr>
          <w:rFonts w:ascii="Amiri" w:hAnsi="Amiri" w:eastAsia="Amiri" w:cs="Amiri"/>
          <w:color w:val="111111"/>
          <w:sz w:val="28"/>
          <w:sz w:val="28"/>
          <w:szCs w:val="28"/>
          <w:rtl w:val="true"/>
          <w:lang w:bidi="ar-SA"/>
        </w:rPr>
        <w:t>سَيْفَهُ عَلَى جَارِهِ وَرَمَاهُ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أَيُّهَا أَوْلَى بِالشِّرْكِ؟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Style w:val="FootnoteAnchor"/>
          <w:rtl w:val="true"/>
        </w:rPr>
        <w:footnoteReference w:id="267"/>
      </w:r>
      <w:r>
        <w:rPr>
          <w:rFonts w:ascii="Amiri" w:hAnsi="Amiri" w:eastAsia="Amiri" w:cs="Amiri"/>
          <w:color w:val="111111"/>
          <w:sz w:val="28"/>
          <w:sz w:val="28"/>
          <w:szCs w:val="28"/>
          <w:rtl w:val="true"/>
          <w:lang w:bidi="ar-SA"/>
        </w:rPr>
        <w:t xml:space="preserve">اسْتَخَفَّتْهُ الأَكَاذِيْبُ، كُلَّمَا أَحْدَثَ أُحْدُوْثَةَ كَذِبٍ </w:t>
      </w:r>
      <w:r>
        <w:rPr>
          <w:rStyle w:val="FootnoteAnchor"/>
          <w:rtl w:val="true"/>
        </w:rPr>
        <w:footnoteReference w:id="268"/>
      </w:r>
      <w:r>
        <w:rPr>
          <w:rFonts w:ascii="Amiri" w:hAnsi="Amiri" w:eastAsia="Amiri" w:cs="Amiri"/>
          <w:color w:val="111111"/>
          <w:sz w:val="28"/>
          <w:sz w:val="28"/>
          <w:szCs w:val="28"/>
          <w:rtl w:val="true"/>
          <w:lang w:bidi="ar-SA"/>
        </w:rPr>
        <w:t>مَدَّهَا بِأَطْوَلَ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سُلْطَانًا، فَزَعَمَ أَنَّ طَاعَتَهُ طَاعَةُ اللهِ، وَمَعْصِيَتَهُ مَعْصِيَةُ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الطَّاعَةُ اللهِ وَلِرَسُوْلِهِ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صلی الله علیه و آله وسلم وَلِولَاةِ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 اللَّهُ بِطَاعَةِ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مَعْصُومٌ مُطَهَّرُ، لَا يَأْمُرُ بِمَعْصِيَة وَإِنَّمَا 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بِطَاعَةِ 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مَعْصُوْمُونَ مُطَهَّرُوْنَ لَا يَأْمُرُوْنَ بمَعْصِيَة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بصائر الدرجات عن الفضيل </w:t>
      </w:r>
      <w:r>
        <w:rPr>
          <w:rStyle w:val="FootnoteAnchor"/>
          <w:rtl w:val="true"/>
        </w:rPr>
        <w:footnoteReference w:id="270"/>
      </w:r>
      <w:r>
        <w:rPr>
          <w:rFonts w:ascii="Amiri" w:hAnsi="Amiri" w:eastAsia="Amiri" w:cs="Amiri"/>
          <w:color w:val="111111"/>
          <w:sz w:val="28"/>
          <w:sz w:val="28"/>
          <w:szCs w:val="28"/>
          <w:rtl w:val="true"/>
          <w:lang w:bidi="ar-SA"/>
        </w:rPr>
        <w:t>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بإسناده عن الحجاج ابن الصباح </w:t>
      </w:r>
      <w:r>
        <w:rPr>
          <w:rStyle w:val="FootnoteAnchor"/>
          <w:rtl w:val="true"/>
        </w:rPr>
        <w:footnoteReference w:id="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نُحَدِّثُ عَنْكَ بِالْحَدِيْثِ </w:t>
      </w:r>
      <w:r>
        <w:rPr>
          <w:rStyle w:val="FootnoteAnchor"/>
          <w:rtl w:val="true"/>
        </w:rPr>
        <w:footnoteReference w:id="273"/>
      </w:r>
      <w:r>
        <w:rPr>
          <w:rFonts w:ascii="Amiri" w:hAnsi="Amiri" w:eastAsia="Amiri" w:cs="Amiri"/>
          <w:color w:val="111111"/>
          <w:sz w:val="28"/>
          <w:sz w:val="28"/>
          <w:szCs w:val="28"/>
          <w:rtl w:val="true"/>
          <w:lang w:bidi="ar-SA"/>
        </w:rPr>
        <w:t xml:space="preserve">فَيَقُولُ </w:t>
      </w:r>
      <w:r>
        <w:rPr>
          <w:rStyle w:val="FootnoteAnchor"/>
          <w:rtl w:val="true"/>
        </w:rPr>
        <w:footnoteReference w:id="274"/>
      </w:r>
      <w:r>
        <w:rPr>
          <w:rFonts w:ascii="Amiri" w:hAnsi="Amiri" w:eastAsia="Amiri" w:cs="Amiri"/>
          <w:color w:val="111111"/>
          <w:sz w:val="28"/>
          <w:sz w:val="28"/>
          <w:szCs w:val="28"/>
          <w:rtl w:val="true"/>
          <w:lang w:bidi="ar-SA"/>
        </w:rPr>
        <w:t>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w:t>
      </w:r>
      <w:r>
        <w:rPr>
          <w:rStyle w:val="FootnoteAnchor"/>
          <w:rtl w:val="true"/>
        </w:rPr>
        <w:footnoteReference w:id="275"/>
      </w:r>
      <w:r>
        <w:rPr>
          <w:rFonts w:ascii="Amiri" w:hAnsi="Amiri" w:eastAsia="Amiri" w:cs="Amiri"/>
          <w:color w:val="111111"/>
          <w:sz w:val="28"/>
          <w:sz w:val="28"/>
          <w:szCs w:val="28"/>
          <w:rtl w:val="true"/>
          <w:lang w:bidi="ar-SA"/>
        </w:rPr>
        <w:t xml:space="preserve">تُرِيدُ؟ أَتُرِيدُ أَنْ تَكُوْنَ إِمَامًا يُفْتَدَى بِكَ </w:t>
      </w:r>
      <w:r>
        <w:rPr>
          <w:rStyle w:val="FootnoteAnchor"/>
          <w:rtl w:val="true"/>
        </w:rPr>
        <w:footnoteReference w:id="276"/>
      </w:r>
      <w:r>
        <w:rPr>
          <w:rFonts w:ascii="Amiri" w:hAnsi="Amiri" w:eastAsia="Amiri" w:cs="Amiri"/>
          <w:color w:val="111111"/>
          <w:sz w:val="28"/>
          <w:sz w:val="28"/>
          <w:szCs w:val="28"/>
          <w:rtl w:val="true"/>
          <w:lang w:bidi="ar-SA"/>
        </w:rPr>
        <w:t xml:space="preserve">مَنْ رَدَّ الْقَوْلَ إِلَيْنَا فَقَدْ سَلِمَ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أحمد بن علي في روضة الواعظين </w:t>
      </w:r>
      <w:r>
        <w:rPr>
          <w:rStyle w:val="FootnoteAnchor"/>
          <w:rtl w:val="true"/>
        </w:rPr>
        <w:footnoteReference w:id="279"/>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دِيْنَهُ مِنْ أَفْوَاهِ الرِّجَالِ أَزَالَتْهُ الرِّجَالُ، وَمَنْ أَخَذَ دِيْنَهُ مِنَ الْكِتَابِ و السُّنّةِ زَالَتِ الْجِبَالُ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مَرْوِيٌّ عَنِ الصَّادِقِ علیه السلام عَنْ أَمِيرِ الْمُؤْمِنِينَ علیه السلام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 في تفسير القمي عند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غَيَّرُوا دِينَ اللهِ، وَتَرَكُوا مَا أَمَرَ اللهُ </w:t>
      </w:r>
      <w:r>
        <w:rPr>
          <w:rStyle w:val="FootnoteAnchor"/>
          <w:rtl w:val="true"/>
        </w:rPr>
        <w:footnoteReference w:id="281"/>
      </w:r>
      <w:r>
        <w:rPr>
          <w:rFonts w:ascii="Amiri" w:hAnsi="Amiri" w:eastAsia="Amiri" w:cs="Amiri"/>
          <w:color w:val="111111"/>
          <w:sz w:val="28"/>
          <w:sz w:val="28"/>
          <w:szCs w:val="28"/>
          <w:rtl w:val="true"/>
          <w:lang w:bidi="ar-SA"/>
        </w:rPr>
        <w:t>، وَلَكِنْ</w:t>
      </w:r>
      <w:r>
        <w:rPr>
          <w:rStyle w:val="FootnoteAnchor"/>
          <w:rtl w:val="true"/>
        </w:rPr>
        <w:footnoteReference w:id="282"/>
      </w:r>
      <w:r>
        <w:rPr>
          <w:rFonts w:ascii="Amiri" w:hAnsi="Amiri" w:eastAsia="Amiri" w:cs="Amiri"/>
          <w:color w:val="111111"/>
          <w:sz w:val="28"/>
          <w:sz w:val="28"/>
          <w:szCs w:val="28"/>
          <w:rtl w:val="true"/>
          <w:lang w:bidi="ar-SA"/>
        </w:rPr>
        <w:t xml:space="preserve">هَلْ رَأَيْتُمْ شَاعِرًا قَطُّ تَبِعَهُ أَحَدٌ؟ إِنَّمَا عَنَى بِهِمُ </w:t>
      </w:r>
      <w:r>
        <w:rPr>
          <w:rStyle w:val="FootnoteAnchor"/>
          <w:rtl w:val="true"/>
        </w:rPr>
        <w:footnoteReference w:id="283"/>
      </w:r>
      <w:r>
        <w:rPr>
          <w:rFonts w:ascii="Amiri" w:hAnsi="Amiri" w:eastAsia="Amiri" w:cs="Amiri"/>
          <w:color w:val="111111"/>
          <w:sz w:val="28"/>
          <w:sz w:val="28"/>
          <w:szCs w:val="28"/>
          <w:rtl w:val="true"/>
          <w:lang w:bidi="ar-SA"/>
        </w:rPr>
        <w:t xml:space="preserve">الَّذِيْنَ وَضَعُوا دِينَا بِأَرَائِهِمْ فَتَبِعَهُمُ النَّاسُ </w:t>
      </w:r>
      <w:r>
        <w:rPr>
          <w:rStyle w:val="FootnoteAnchor"/>
          <w:rtl w:val="true"/>
        </w:rPr>
        <w:footnoteReference w:id="284"/>
      </w:r>
      <w:r>
        <w:rPr>
          <w:rFonts w:ascii="Amiri" w:hAnsi="Amiri" w:eastAsia="Amiri" w:cs="Amiri"/>
          <w:color w:val="111111"/>
          <w:sz w:val="28"/>
          <w:sz w:val="28"/>
          <w:szCs w:val="28"/>
          <w:rtl w:val="true"/>
          <w:lang w:bidi="ar-SA"/>
        </w:rPr>
        <w:t>عَلَى ذَلِكَ –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أَمِيرُ الْمُؤْمِنِينَ وَوِلْدُهُ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الحسن الطبرسي في مجمع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الْعَيَّاشِيُّ </w:t>
      </w:r>
      <w:r>
        <w:rPr>
          <w:rStyle w:val="FootnoteAnchor"/>
          <w:rtl w:val="true"/>
        </w:rPr>
        <w:footnoteReference w:id="287"/>
      </w:r>
      <w:r>
        <w:rPr>
          <w:rFonts w:ascii="Amiri" w:hAnsi="Amiri" w:eastAsia="Amiri" w:cs="Amiri"/>
          <w:color w:val="111111"/>
          <w:sz w:val="28"/>
          <w:sz w:val="28"/>
          <w:szCs w:val="28"/>
          <w:rtl w:val="true"/>
          <w:lang w:bidi="ar-SA"/>
        </w:rPr>
        <w:t>بِإِسْنَادِهِ</w:t>
      </w:r>
      <w:r>
        <w:rPr>
          <w:rStyle w:val="FootnoteAnchor"/>
          <w:rtl w:val="true"/>
        </w:rPr>
        <w:footnoteReference w:id="288"/>
      </w:r>
      <w:r>
        <w:rPr>
          <w:rFonts w:ascii="Amiri" w:hAnsi="Amiri" w:eastAsia="Amiri" w:cs="Amiri"/>
          <w:color w:val="111111"/>
          <w:sz w:val="28"/>
          <w:sz w:val="28"/>
          <w:szCs w:val="28"/>
          <w:rtl w:val="true"/>
          <w:lang w:bidi="ar-SA"/>
        </w:rPr>
        <w:t xml:space="preserve">عَنْ أَبِي عَبْدِاللهِ علیه السلام أَنَّهُ </w:t>
      </w:r>
      <w:r>
        <w:rPr>
          <w:rStyle w:val="FootnoteAnchor"/>
          <w:rtl w:val="true"/>
        </w:rPr>
        <w:footnoteReference w:id="289"/>
      </w:r>
      <w:r>
        <w:rPr>
          <w:rFonts w:ascii="Amiri" w:hAnsi="Amiri" w:eastAsia="Amiri" w:cs="Amiri"/>
          <w:color w:val="111111"/>
          <w:sz w:val="28"/>
          <w:sz w:val="28"/>
          <w:szCs w:val="28"/>
          <w:rtl w:val="true"/>
          <w:lang w:bidi="ar-SA"/>
        </w:rPr>
        <w:t xml:space="preserve">قَالَ فِي الشُّعَرَاءِ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َعَلَّمُوا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Style w:val="FootnoteAnchor"/>
          <w:rtl w:val="true"/>
        </w:rPr>
        <w:footnoteReference w:id="291"/>
      </w:r>
      <w:r>
        <w:rPr>
          <w:rFonts w:ascii="Amiri" w:hAnsi="Amiri" w:eastAsia="Amiri" w:cs="Amiri"/>
          <w:color w:val="111111"/>
          <w:sz w:val="28"/>
          <w:sz w:val="28"/>
          <w:szCs w:val="28"/>
          <w:rtl w:val="true"/>
          <w:lang w:bidi="ar-SA"/>
        </w:rPr>
        <w:t>تَفَقَّهُوْا بِغَيْرِ عِلْمٍ، فَضَلُّوْا وَأَضَلُّوْا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العياشي بإسناده </w:t>
      </w:r>
      <w:r>
        <w:rPr>
          <w:rStyle w:val="FootnoteAnchor"/>
          <w:rtl w:val="true"/>
        </w:rPr>
        <w:footnoteReference w:id="293"/>
      </w:r>
      <w:r>
        <w:rPr>
          <w:rFonts w:ascii="Amiri" w:hAnsi="Amiri" w:eastAsia="Amiri" w:cs="Amiri"/>
          <w:color w:val="111111"/>
          <w:sz w:val="28"/>
          <w:sz w:val="28"/>
          <w:szCs w:val="28"/>
          <w:rtl w:val="true"/>
          <w:lang w:bidi="ar-SA"/>
        </w:rPr>
        <w:t>عن جابر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تَعَالَى</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w:t>
      </w:r>
      <w:r>
        <w:rPr>
          <w:rStyle w:val="FootnoteAnchor"/>
          <w:rtl w:val="true"/>
        </w:rPr>
        <w:footnoteReference w:id="295"/>
      </w:r>
      <w:r>
        <w:rPr>
          <w:rFonts w:ascii="Amiri" w:hAnsi="Amiri" w:eastAsia="Amiri" w:cs="Amiri"/>
          <w:color w:val="111111"/>
          <w:sz w:val="28"/>
          <w:sz w:val="28"/>
          <w:szCs w:val="28"/>
          <w:rtl w:val="true"/>
          <w:lang w:bidi="ar-SA"/>
        </w:rPr>
        <w:t xml:space="preserve">لم يَتَّخِذُوهُمْ </w:t>
      </w:r>
      <w:r>
        <w:rPr>
          <w:rStyle w:val="FootnoteAnchor"/>
          <w:rtl w:val="true"/>
        </w:rPr>
        <w:footnoteReference w:id="296"/>
      </w:r>
      <w:r>
        <w:rPr>
          <w:rFonts w:ascii="Amiri" w:hAnsi="Amiri" w:eastAsia="Amiri" w:cs="Amiri"/>
          <w:color w:val="111111"/>
          <w:sz w:val="28"/>
          <w:sz w:val="28"/>
          <w:szCs w:val="28"/>
          <w:rtl w:val="true"/>
          <w:lang w:bidi="ar-SA"/>
        </w:rPr>
        <w:t>آلِهَةً، إِلَّا انهمْ أَحَلَّوْا لَهُمْ</w:t>
      </w:r>
      <w:r>
        <w:rPr>
          <w:rStyle w:val="FootnoteAnchor"/>
          <w:rtl w:val="true"/>
        </w:rPr>
        <w:footnoteReference w:id="297"/>
      </w:r>
      <w:r>
        <w:rPr>
          <w:rFonts w:ascii="Amiri" w:hAnsi="Amiri" w:eastAsia="Amiri" w:cs="Amiri"/>
          <w:color w:val="111111"/>
          <w:sz w:val="28"/>
          <w:sz w:val="28"/>
          <w:szCs w:val="28"/>
          <w:rtl w:val="true"/>
          <w:lang w:bidi="ar-SA"/>
        </w:rPr>
        <w:t xml:space="preserve">حَرَامًا فَأَخَذَوْا بِهِ، وَحَرَّمُوْا عَلَيْهِمْ حَلَالًا </w:t>
      </w:r>
      <w:r>
        <w:rPr>
          <w:rStyle w:val="FootnoteAnchor"/>
          <w:rtl w:val="true"/>
        </w:rPr>
        <w:footnoteReference w:id="298"/>
      </w:r>
      <w:r>
        <w:rPr>
          <w:rFonts w:ascii="Amiri" w:hAnsi="Amiri" w:eastAsia="Amiri" w:cs="Amiri"/>
          <w:color w:val="111111"/>
          <w:sz w:val="28"/>
          <w:sz w:val="28"/>
          <w:szCs w:val="28"/>
          <w:rtl w:val="true"/>
          <w:lang w:bidi="ar-SA"/>
        </w:rPr>
        <w:t>فَأَخَذُوْا بِهِ، فَكَانُوا أَرْبَابَهُمْ</w:t>
      </w:r>
      <w:r>
        <w:rPr>
          <w:rStyle w:val="FootnoteAnchor"/>
          <w:rtl w:val="true"/>
        </w:rPr>
        <w:footnoteReference w:id="299"/>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يَعْبُدُوْنَهُمْ، وَلَكِنْ كَانُوْا إِذَا أَحَلُّوْا لهُمْ أَشْيَاءَ اسْتَحَلُّوْهَا، وَإِذَا حَرَّمُوْا عَلَيْهِمْ أَشْيَاءَ حَرَّمُوهَا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الرضي في </w:t>
      </w:r>
      <w:r>
        <w:rPr>
          <w:rStyle w:val="FootnoteAnchor"/>
          <w:rtl w:val="true"/>
        </w:rPr>
        <w:footnoteReference w:id="302"/>
      </w:r>
      <w:r>
        <w:rPr>
          <w:rFonts w:ascii="IRNazanin" w:hAnsi="IRNazanin" w:eastAsia="IRNazanin"/>
          <w:color w:val="111111"/>
          <w:sz w:val="28"/>
          <w:sz w:val="28"/>
          <w:szCs w:val="28"/>
          <w:rtl w:val="true"/>
          <w:lang w:bidi="fa-IR"/>
        </w:rPr>
        <w:t>نهج البلاغة عن أمير المؤمنين علیه السلامح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خطبته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خَاضُوْا بِحَارَ الفِتَنِ، وَأَخَذُوْا بِالْبِدَعِ دُوْنَ الْسُّنَنِ، وَأَرَزَ </w:t>
      </w:r>
      <w:r>
        <w:rPr>
          <w:rStyle w:val="FootnoteAnchor"/>
          <w:rtl w:val="true"/>
        </w:rPr>
        <w:footnoteReference w:id="303"/>
      </w:r>
      <w:r>
        <w:rPr>
          <w:rFonts w:ascii="Amiri" w:hAnsi="Amiri" w:eastAsia="Amiri" w:cs="Amiri"/>
          <w:color w:val="111111"/>
          <w:sz w:val="28"/>
          <w:sz w:val="28"/>
          <w:szCs w:val="28"/>
          <w:rtl w:val="true"/>
          <w:lang w:bidi="ar-SA"/>
        </w:rPr>
        <w:t xml:space="preserve">الْمُؤْمِنُوْنَ، وَنَطَقَ الضَّالُوْنَ وَالْمُكَذِّبُونَ </w:t>
      </w:r>
      <w:r>
        <w:rPr>
          <w:rStyle w:val="FootnoteAnchor"/>
          <w:rtl w:val="true"/>
        </w:rPr>
        <w:footnoteReference w:id="304"/>
      </w:r>
      <w:r>
        <w:rPr>
          <w:rFonts w:ascii="Amiri" w:hAnsi="Amiri" w:eastAsia="Amiri" w:cs="Amiri"/>
          <w:color w:val="111111"/>
          <w:sz w:val="28"/>
          <w:sz w:val="28"/>
          <w:szCs w:val="28"/>
          <w:rtl w:val="true"/>
          <w:lang w:bidi="ar-SA"/>
        </w:rPr>
        <w:t xml:space="preserve">نَحْنُ الْشَّعَارُ </w:t>
      </w:r>
      <w:r>
        <w:rPr>
          <w:rStyle w:val="FootnoteAnchor"/>
          <w:rtl w:val="true"/>
        </w:rPr>
        <w:footnoteReference w:id="305"/>
      </w:r>
      <w:r>
        <w:rPr>
          <w:rFonts w:ascii="Amiri" w:hAnsi="Amiri" w:eastAsia="Amiri" w:cs="Amiri"/>
          <w:color w:val="111111"/>
          <w:sz w:val="28"/>
          <w:sz w:val="28"/>
          <w:szCs w:val="28"/>
          <w:rtl w:val="true"/>
          <w:lang w:bidi="ar-SA"/>
        </w:rPr>
        <w:t xml:space="preserve">وَالأصْحَابُ،وَالخَزَنَةُ وَالْأَبْوَابُ، وَلَا </w:t>
      </w:r>
      <w:r>
        <w:rPr>
          <w:rStyle w:val="FootnoteAnchor"/>
          <w:rtl w:val="true"/>
        </w:rPr>
        <w:footnoteReference w:id="306"/>
      </w:r>
      <w:r>
        <w:rPr>
          <w:rFonts w:ascii="Amiri" w:hAnsi="Amiri" w:eastAsia="Amiri" w:cs="Amiri"/>
          <w:color w:val="111111"/>
          <w:sz w:val="28"/>
          <w:sz w:val="28"/>
          <w:szCs w:val="28"/>
          <w:rtl w:val="true"/>
          <w:lang w:bidi="ar-SA"/>
        </w:rPr>
        <w:t xml:space="preserve">تُؤْتَى </w:t>
      </w:r>
      <w:r>
        <w:rPr>
          <w:rStyle w:val="FootnoteAnchor"/>
          <w:rtl w:val="true"/>
        </w:rPr>
        <w:footnoteReference w:id="307"/>
      </w:r>
      <w:r>
        <w:rPr>
          <w:rFonts w:ascii="Amiri" w:hAnsi="Amiri" w:eastAsia="Amiri" w:cs="Amiri"/>
          <w:color w:val="111111"/>
          <w:sz w:val="28"/>
          <w:sz w:val="28"/>
          <w:szCs w:val="28"/>
          <w:rtl w:val="true"/>
          <w:lang w:bidi="ar-SA"/>
        </w:rPr>
        <w:t xml:space="preserve">الْبُيُوتُ إِلَّا مِنَ الأَبْوَابِ </w:t>
      </w:r>
      <w:r>
        <w:rPr>
          <w:rStyle w:val="FootnoteAnchor"/>
          <w:rtl w:val="true"/>
        </w:rPr>
        <w:footnoteReference w:id="308"/>
      </w:r>
      <w:r>
        <w:rPr>
          <w:rFonts w:ascii="Amiri" w:hAnsi="Amiri" w:eastAsia="Amiri" w:cs="Amiri"/>
          <w:color w:val="111111"/>
          <w:sz w:val="28"/>
          <w:sz w:val="28"/>
          <w:szCs w:val="28"/>
          <w:rtl w:val="true"/>
          <w:lang w:bidi="ar-SA"/>
        </w:rPr>
        <w:t xml:space="preserve">، فَمَنْ أَتَاهَا مِنْ غَيْرِ أَبْوَابِها سُمِّيَ سَارِفًا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الْعَامِلَ بِغَيْرِ عِلْمٍ كَالسَّائِرِ عَلَى غَيْرِ طَرِيْقٍ</w:t>
      </w:r>
      <w:r>
        <w:rPr>
          <w:rStyle w:val="FootnoteAnchor"/>
          <w:rtl w:val="true"/>
        </w:rPr>
        <w:footnoteReference w:id="309"/>
      </w:r>
      <w:r>
        <w:rPr>
          <w:rFonts w:ascii="Amiri" w:hAnsi="Amiri" w:eastAsia="Amiri" w:cs="Amiri"/>
          <w:color w:val="111111"/>
          <w:sz w:val="28"/>
          <w:sz w:val="28"/>
          <w:szCs w:val="28"/>
          <w:rtl w:val="true"/>
          <w:lang w:bidi="ar-SA"/>
        </w:rPr>
        <w:t xml:space="preserve">، فَلَا يَزِيدُهُ بُعْدُهُ عَن الطَّرِيْقِ الوَاضِحِ </w:t>
      </w:r>
      <w:r>
        <w:rPr>
          <w:rStyle w:val="FootnoteAnchor"/>
          <w:rtl w:val="true"/>
        </w:rPr>
        <w:footnoteReference w:id="310"/>
      </w:r>
      <w:r>
        <w:rPr>
          <w:rFonts w:ascii="Amiri" w:hAnsi="Amiri" w:eastAsia="Amiri" w:cs="Amiri"/>
          <w:color w:val="111111"/>
          <w:sz w:val="28"/>
          <w:sz w:val="28"/>
          <w:szCs w:val="28"/>
          <w:rtl w:val="true"/>
          <w:lang w:bidi="ar-SA"/>
        </w:rPr>
        <w:t>إِلا بُعْدًا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Style w:val="FootnoteAnchor"/>
          <w:rtl w:val="true"/>
        </w:rPr>
        <w:footnoteReference w:id="311"/>
      </w:r>
      <w:r>
        <w:rPr>
          <w:rFonts w:ascii="Amiri" w:hAnsi="Amiri" w:eastAsia="Amiri" w:cs="Amiri"/>
          <w:color w:val="111111"/>
          <w:sz w:val="28"/>
          <w:sz w:val="28"/>
          <w:szCs w:val="28"/>
          <w:rtl w:val="true"/>
          <w:lang w:bidi="ar-SA"/>
        </w:rPr>
        <w:t>العَامِلَ بِالْعِلْمِ كَالسَّائِرِ عَلَى الطَّرِيقِ الْوَاضِحِ، فَلْيَنْظُرْ نَاظِرُ أَسَائِرٌ هُوَ أَمْ رَاجِع</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علیه السلام في خطبة له </w:t>
      </w:r>
      <w:r>
        <w:rPr>
          <w:rStyle w:val="FootnoteAnchor"/>
          <w:rtl w:val="true"/>
        </w:rPr>
        <w:footnoteReference w:id="3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w:t>
      </w:r>
      <w:r>
        <w:rPr>
          <w:rStyle w:val="FootnoteAnchor"/>
          <w:rtl w:val="true"/>
        </w:rPr>
        <w:footnoteReference w:id="314"/>
      </w:r>
      <w:r>
        <w:rPr>
          <w:rFonts w:ascii="Amiri" w:hAnsi="Amiri" w:eastAsia="Amiri" w:cs="Amiri"/>
          <w:color w:val="111111"/>
          <w:sz w:val="28"/>
          <w:sz w:val="28"/>
          <w:szCs w:val="28"/>
          <w:rtl w:val="true"/>
          <w:lang w:bidi="ar-SA"/>
        </w:rPr>
        <w:t xml:space="preserve">شِرْعَةٍ، وَمُبْتَدِعُ بِدْعَةٍ لَيْسَ مَعَهُ مِنَ اللَّهِ </w:t>
      </w:r>
      <w:r>
        <w:rPr>
          <w:rStyle w:val="FootnoteAnchor"/>
          <w:rtl w:val="true"/>
        </w:rPr>
        <w:footnoteReference w:id="315"/>
      </w:r>
      <w:r>
        <w:rPr>
          <w:rFonts w:ascii="Amiri" w:hAnsi="Amiri" w:eastAsia="Amiri" w:cs="Amiri"/>
          <w:color w:val="111111"/>
          <w:sz w:val="28"/>
          <w:sz w:val="28"/>
          <w:szCs w:val="28"/>
          <w:rtl w:val="true"/>
          <w:lang w:bidi="ar-SA"/>
        </w:rPr>
        <w:t>بُرْهَانُ سُنَّةٍ وَلَا ضِيَاءُ حُجَّةٍ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محمد ابن أبي القاسم </w:t>
      </w:r>
      <w:r>
        <w:rPr>
          <w:rStyle w:val="FootnoteAnchor"/>
          <w:rtl w:val="true"/>
        </w:rPr>
        <w:footnoteReference w:id="317"/>
      </w:r>
      <w:r>
        <w:rPr>
          <w:rFonts w:ascii="IRNazanin" w:hAnsi="IRNazanin" w:eastAsia="IRNazanin"/>
          <w:color w:val="111111"/>
          <w:sz w:val="28"/>
          <w:sz w:val="28"/>
          <w:szCs w:val="28"/>
          <w:rtl w:val="true"/>
          <w:lang w:bidi="fa-IR"/>
        </w:rPr>
        <w:t>الطبري في كتاب بشارة المصطفى بإسناده عن الكابلي عن الأصبغ ابن نباتة عن أمير المؤمنين علیه السلام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اختلاف الشيعة </w:t>
      </w:r>
      <w:r>
        <w:rPr>
          <w:rStyle w:val="FootnoteAnchor"/>
          <w:rtl w:val="true"/>
        </w:rPr>
        <w:footnoteReference w:id="3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دِينَ اللهِ لَا يُعْرَفُ بِالرِّجَالِ، بَلْ بِأَيَةِ </w:t>
      </w:r>
      <w:r>
        <w:rPr>
          <w:rStyle w:val="FootnoteAnchor"/>
          <w:rtl w:val="true"/>
        </w:rPr>
        <w:footnoteReference w:id="319"/>
      </w:r>
      <w:r>
        <w:rPr>
          <w:rFonts w:ascii="Amiri" w:hAnsi="Amiri" w:eastAsia="Amiri" w:cs="Amiri"/>
          <w:color w:val="111111"/>
          <w:sz w:val="28"/>
          <w:sz w:val="28"/>
          <w:szCs w:val="28"/>
          <w:rtl w:val="true"/>
          <w:lang w:bidi="ar-SA"/>
        </w:rPr>
        <w:t xml:space="preserve">الْحَقِّ </w:t>
      </w:r>
      <w:r>
        <w:rPr>
          <w:rStyle w:val="FootnoteAnchor"/>
          <w:rtl w:val="true"/>
        </w:rPr>
        <w:footnoteReference w:id="320"/>
      </w:r>
      <w:r>
        <w:rPr>
          <w:rFonts w:ascii="Amiri" w:hAnsi="Amiri" w:eastAsia="Amiri" w:cs="Amiri"/>
          <w:color w:val="111111"/>
          <w:sz w:val="28"/>
          <w:sz w:val="28"/>
          <w:szCs w:val="28"/>
          <w:rtl w:val="true"/>
          <w:lang w:bidi="ar-SA"/>
        </w:rPr>
        <w:t xml:space="preserve">، فَاعْرِفِ الْحَقَّ تَعْرِفْ 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إِنَّ الْحَقِّ أَحْسَنُ الحَدِيْثِ، وَالصَّادِعُ بِهِ مُجَاهِدٌ مَعَهُمْ علیهم السلام فِي الْأَحْكامِ وَتَفْسِيرِ الْقُرآنِ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حديث أنه سئل جعفر بن محمد علیه السلام عن قوله </w:t>
      </w:r>
      <w:r>
        <w:rPr>
          <w:rStyle w:val="FootnoteAnchor"/>
          <w:rtl w:val="true"/>
        </w:rPr>
        <w:footnoteReference w:id="324"/>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 الْعَقْلِ </w:t>
      </w:r>
      <w:r>
        <w:rPr>
          <w:rStyle w:val="FootnoteAnchor"/>
          <w:rtl w:val="true"/>
        </w:rPr>
        <w:footnoteReference w:id="325"/>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أَخَاصٌ </w:t>
      </w:r>
      <w:r>
        <w:rPr>
          <w:rStyle w:val="FootnoteAnchor"/>
          <w:rtl w:val="true"/>
        </w:rPr>
        <w:footnoteReference w:id="326"/>
      </w:r>
      <w:r>
        <w:rPr>
          <w:rFonts w:ascii="Amiri" w:hAnsi="Amiri" w:eastAsia="Amiri" w:cs="Amiri"/>
          <w:color w:val="111111"/>
          <w:sz w:val="28"/>
          <w:sz w:val="28"/>
          <w:szCs w:val="28"/>
          <w:rtl w:val="true"/>
          <w:lang w:bidi="ar-SA"/>
        </w:rPr>
        <w:t xml:space="preserve">أَمْ عَامٌ؟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خَاصٌ لَنَا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الكافي بإسناده عن محمد بن </w:t>
      </w:r>
      <w:r>
        <w:rPr>
          <w:rStyle w:val="FootnoteAnchor"/>
          <w:rtl w:val="true"/>
        </w:rPr>
        <w:footnoteReference w:id="329"/>
      </w:r>
      <w:r>
        <w:rPr>
          <w:rFonts w:ascii="Amiri" w:hAnsi="Amiri" w:eastAsia="Amiri" w:cs="Amiri"/>
          <w:color w:val="111111"/>
          <w:sz w:val="28"/>
          <w:sz w:val="28"/>
          <w:szCs w:val="28"/>
          <w:rtl w:val="true"/>
          <w:lang w:bidi="ar-SA"/>
        </w:rPr>
        <w:t>عبيدة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أَنْتُمْ أَشَدُّ تَقْلِيْدًا أَمِ المرجِئةُ؟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قَلَّدْنَا وَقَلَّدُوا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أَسْأَلُكَ عَنْ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جَوَابٌ أَكْثَرُ مِنَ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المرجِئةَ نَصَبُوا </w:t>
      </w:r>
      <w:r>
        <w:rPr>
          <w:rStyle w:val="FootnoteAnchor"/>
          <w:rtl w:val="true"/>
        </w:rPr>
        <w:footnoteReference w:id="332"/>
      </w:r>
      <w:r>
        <w:rPr>
          <w:rFonts w:ascii="Amiri" w:hAnsi="Amiri" w:eastAsia="Amiri" w:cs="Amiri"/>
          <w:color w:val="111111"/>
          <w:sz w:val="28"/>
          <w:sz w:val="28"/>
          <w:szCs w:val="28"/>
          <w:rtl w:val="true"/>
          <w:lang w:bidi="ar-SA"/>
        </w:rPr>
        <w:t xml:space="preserve">رَجُلاً لم تَفْرِضْ طَاعَتَهُ وَقَلَّدُوْهُ، وَ إِنَّكُمْ </w:t>
      </w:r>
      <w:r>
        <w:rPr>
          <w:rStyle w:val="FootnoteAnchor"/>
          <w:rtl w:val="true"/>
        </w:rPr>
        <w:footnoteReference w:id="333"/>
      </w:r>
      <w:r>
        <w:rPr>
          <w:rFonts w:ascii="Amiri" w:hAnsi="Amiri" w:eastAsia="Amiri" w:cs="Amiri"/>
          <w:color w:val="111111"/>
          <w:sz w:val="28"/>
          <w:sz w:val="28"/>
          <w:szCs w:val="28"/>
          <w:rtl w:val="true"/>
          <w:lang w:bidi="ar-SA"/>
        </w:rPr>
        <w:t>َنصَبْتُمْ رَجُلًا فَرَضْتُمْ طَاعَتَهُ ثُمَّ لَمْ تُقَلَّدُوْهُ، فَهُمْ أَشَدُّ مِنْكُمْ تَقْلِيدًا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ضريس عن أبي عبد الله علیه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شِرْكُ طَاعَةٍ وَلَيْسَ شِرْكَ </w:t>
      </w:r>
      <w:r>
        <w:rPr>
          <w:rStyle w:val="FootnoteAnchor"/>
          <w:rtl w:val="true"/>
        </w:rPr>
        <w:footnoteReference w:id="335"/>
      </w:r>
      <w:r>
        <w:rPr>
          <w:rFonts w:ascii="Amiri" w:hAnsi="Amiri" w:eastAsia="Amiri" w:cs="Amiri"/>
          <w:color w:val="111111"/>
          <w:sz w:val="28"/>
          <w:sz w:val="28"/>
          <w:szCs w:val="28"/>
          <w:rtl w:val="true"/>
          <w:lang w:bidi="ar-SA"/>
        </w:rPr>
        <w:t xml:space="preserve">عِبَادَةٍ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يَعْبُدُ اللهَ عَلى حَرْفٍ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تَنْزِلُ فِي الرَّجُلِ ثُمَّ تَكُونُ فِي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نَصَبَ دُونَكُمْ شَيئًا </w:t>
      </w:r>
      <w:r>
        <w:rPr>
          <w:rStyle w:val="FootnoteAnchor"/>
          <w:rtl w:val="true"/>
        </w:rPr>
        <w:footnoteReference w:id="339"/>
      </w:r>
      <w:r>
        <w:rPr>
          <w:rFonts w:ascii="Amiri" w:hAnsi="Amiri" w:eastAsia="Amiri" w:cs="Amiri"/>
          <w:color w:val="111111"/>
          <w:sz w:val="28"/>
          <w:sz w:val="28"/>
          <w:szCs w:val="28"/>
          <w:rtl w:val="true"/>
          <w:lang w:bidi="ar-SA"/>
        </w:rPr>
        <w:t xml:space="preserve">فَهُوَ يَعْبُدُ اللَّهَ عَلَى حَرْفٍ ؟ قَالَ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من لا يحضره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وَحُكْمُ أَهْلِ الْجَاهِلِيَّةِ ، فَمَنْ أَخْطَأَ حُكْمَ اللهِ عَزَّ وَجَلَّ حَكَمَ بِحُكْم أَهْلِ </w:t>
      </w:r>
      <w:r>
        <w:rPr>
          <w:rStyle w:val="FootnoteAnchor"/>
          <w:rtl w:val="true"/>
        </w:rPr>
        <w:footnoteReference w:id="342"/>
      </w:r>
      <w:r>
        <w:rPr>
          <w:rFonts w:ascii="Amiri" w:hAnsi="Amiri" w:eastAsia="Amiri" w:cs="Amiri"/>
          <w:color w:val="111111"/>
          <w:sz w:val="28"/>
          <w:sz w:val="28"/>
          <w:szCs w:val="28"/>
          <w:rtl w:val="true"/>
          <w:lang w:bidi="ar-SA"/>
        </w:rPr>
        <w:t xml:space="preserve">الْجَاهِلِيَّةِ، وَمَنْ حَكَمَ فِي دِرْهَمَيْنِ </w:t>
      </w:r>
      <w:r>
        <w:rPr>
          <w:rStyle w:val="FootnoteAnchor"/>
          <w:rtl w:val="true"/>
        </w:rPr>
        <w:footnoteReference w:id="343"/>
      </w:r>
      <w:r>
        <w:rPr>
          <w:rFonts w:ascii="Amiri" w:hAnsi="Amiri" w:eastAsia="Amiri" w:cs="Amiri"/>
          <w:color w:val="111111"/>
          <w:sz w:val="28"/>
          <w:sz w:val="28"/>
          <w:szCs w:val="28"/>
          <w:rtl w:val="true"/>
          <w:lang w:bidi="ar-SA"/>
        </w:rPr>
        <w:t xml:space="preserve">بِغَيْرِ مَا أَنْزَلَ اللهُ عَزَّ وَ جَلَّ فَقَدْ كَفَرَ بِمَا أَنْزَلَ اللهُ عَزَّ وَجَلَّ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الكافي في باب طلب الرئاسة عن أبي حمزة الثمالي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وَالرِّئَاسَةَ، وَإِيَّاكَ أَنْ تَطَأَ أَعْقَابَ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أَمَّا الْرِئَاسَةُ فَقَدْ عَرَفْتُهَا ، وَأَمَّا أَنْ أَطَأَ </w:t>
      </w:r>
      <w:r>
        <w:rPr>
          <w:rStyle w:val="FootnoteAnchor"/>
          <w:rtl w:val="true"/>
        </w:rPr>
        <w:footnoteReference w:id="346"/>
      </w:r>
      <w:r>
        <w:rPr>
          <w:rFonts w:ascii="Amiri" w:hAnsi="Amiri" w:eastAsia="Amiri" w:cs="Amiri"/>
          <w:color w:val="111111"/>
          <w:sz w:val="28"/>
          <w:sz w:val="28"/>
          <w:szCs w:val="28"/>
          <w:rtl w:val="true"/>
          <w:lang w:bidi="ar-SA"/>
        </w:rPr>
        <w:t xml:space="preserve">أَعْقَابَ الرِّجَالِ </w:t>
      </w:r>
      <w:r>
        <w:rPr>
          <w:rStyle w:val="FootnoteAnchor"/>
          <w:rtl w:val="true"/>
        </w:rPr>
        <w:footnoteReference w:id="347"/>
      </w:r>
      <w:r>
        <w:rPr>
          <w:rFonts w:ascii="Amiri" w:hAnsi="Amiri" w:eastAsia="Amiri" w:cs="Amiri"/>
          <w:color w:val="111111"/>
          <w:sz w:val="28"/>
          <w:sz w:val="28"/>
          <w:szCs w:val="28"/>
          <w:rtl w:val="true"/>
          <w:lang w:bidi="ar-SA"/>
        </w:rPr>
        <w:t xml:space="preserve">فَمَا نِلْنَا مَا فِي أَيْدِينَا </w:t>
      </w:r>
      <w:r>
        <w:rPr>
          <w:rStyle w:val="FootnoteAnchor"/>
          <w:rtl w:val="true"/>
        </w:rPr>
        <w:footnoteReference w:id="348"/>
      </w:r>
      <w:r>
        <w:rPr>
          <w:rFonts w:ascii="Amiri" w:hAnsi="Amiri" w:eastAsia="Amiri" w:cs="Amiri"/>
          <w:color w:val="111111"/>
          <w:sz w:val="28"/>
          <w:sz w:val="28"/>
          <w:szCs w:val="28"/>
          <w:rtl w:val="true"/>
          <w:lang w:bidi="ar-SA"/>
        </w:rPr>
        <w:t>إِلَّا مما وُطِئَتْ أَعْقَابُ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تَذْهَبُ، إِيَّاكَ أَنْ تَنْصِبَ رَجُلًا دُوْنَ الْحُجَّةِ فَتُصَدِّقَهُ فِيها</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لَا أَعْرِفُ أَخْبارَكُمْ </w:t>
      </w:r>
      <w:r>
        <w:rPr>
          <w:rStyle w:val="FootnoteAnchor"/>
          <w:rtl w:val="true"/>
        </w:rPr>
        <w:footnoteReference w:id="352"/>
      </w:r>
      <w:r>
        <w:rPr>
          <w:rFonts w:ascii="Amiri" w:hAnsi="Amiri" w:eastAsia="Amiri" w:cs="Amiri"/>
          <w:color w:val="111111"/>
          <w:sz w:val="28"/>
          <w:sz w:val="28"/>
          <w:szCs w:val="28"/>
          <w:rtl w:val="true"/>
          <w:lang w:bidi="ar-SA"/>
        </w:rPr>
        <w:t xml:space="preserve">مِنْ أَشْرارِكُمْ </w:t>
      </w:r>
      <w:r>
        <w:rPr>
          <w:rStyle w:val="FootnoteAnchor"/>
          <w:rtl w:val="true"/>
        </w:rPr>
        <w:footnoteReference w:id="353"/>
      </w:r>
      <w:r>
        <w:rPr>
          <w:rFonts w:ascii="Amiri" w:hAnsi="Amiri" w:eastAsia="Amiri" w:cs="Amiri"/>
          <w:color w:val="111111"/>
          <w:sz w:val="28"/>
          <w:sz w:val="28"/>
          <w:szCs w:val="28"/>
          <w:rtl w:val="true"/>
          <w:lang w:bidi="ar-SA"/>
        </w:rPr>
        <w:t xml:space="preserve">؟ بَلَى وَاللَّهِ، وَإِنَّ أَشْرارَكُمْ </w:t>
      </w:r>
      <w:r>
        <w:rPr>
          <w:rStyle w:val="FootnoteAnchor"/>
          <w:rtl w:val="true"/>
        </w:rPr>
        <w:footnoteReference w:id="354"/>
      </w:r>
      <w:r>
        <w:rPr>
          <w:rFonts w:ascii="Amiri" w:hAnsi="Amiri" w:eastAsia="Amiri" w:cs="Amiri"/>
          <w:color w:val="111111"/>
          <w:sz w:val="28"/>
          <w:sz w:val="28"/>
          <w:szCs w:val="28"/>
          <w:rtl w:val="true"/>
          <w:lang w:bidi="ar-SA"/>
        </w:rPr>
        <w:t>مَنْ أَحَبَّ أَنْ يُوْطَأَ عَقِبُهُ إِنَّهُ لَا بُدَّ مِنْ كَذَّابٍ أَوْ عَاجِزِ الْرَّأْي</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في باب أصناف القضاة في الموثق </w:t>
      </w:r>
      <w:r>
        <w:rPr>
          <w:rStyle w:val="FootnoteAnchor"/>
          <w:rtl w:val="true"/>
        </w:rPr>
        <w:footnoteReference w:id="356"/>
      </w:r>
      <w:r>
        <w:rPr>
          <w:rFonts w:ascii="IRNazanin" w:hAnsi="IRNazanin" w:eastAsia="IRNazanin"/>
          <w:color w:val="111111"/>
          <w:sz w:val="28"/>
          <w:sz w:val="28"/>
          <w:szCs w:val="28"/>
          <w:rtl w:val="true"/>
          <w:lang w:bidi="fa-IR"/>
        </w:rPr>
        <w:t xml:space="preserve">عن أبي بصير عن أبي عبد الله علیه السلام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وَحُكْمُ الْجَاهِلِيَّةِ،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w:t>
      </w:r>
      <w:r>
        <w:rPr>
          <w:rStyle w:val="FootnoteAnchor"/>
          <w:rtl w:val="true"/>
        </w:rPr>
        <w:footnoteReference w:id="358"/>
      </w:r>
      <w:r>
        <w:rPr>
          <w:rFonts w:ascii="Amiri" w:hAnsi="Amiri" w:eastAsia="Amiri" w:cs="Amiri"/>
          <w:color w:val="111111"/>
          <w:sz w:val="28"/>
          <w:sz w:val="28"/>
          <w:szCs w:val="28"/>
          <w:rtl w:val="true"/>
          <w:lang w:bidi="ar-SA"/>
        </w:rPr>
        <w:t xml:space="preserve">عَلَى </w:t>
      </w:r>
      <w:r>
        <w:rPr>
          <w:rStyle w:val="FootnoteAnchor"/>
          <w:rtl w:val="true"/>
        </w:rPr>
        <w:footnoteReference w:id="359"/>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 فِي الْفَرَائِضِ بِحُكْمِ الْجَاهِلِيَّةِ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الموثق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حَكَمَ فِي دِرْهَمَيْنِ بِغَيْرِ مَا أَنْزَلَ اللهُ عَزَّ وَجَلَّ فَهُوَ كَافِرٌ بِاللهِ الْعَظِيمِ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معاوية بن وهب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Style w:val="FootnoteAnchor"/>
          <w:rtl w:val="true"/>
        </w:rPr>
        <w:footnoteReference w:id="362"/>
      </w:r>
      <w:r>
        <w:rPr>
          <w:rFonts w:ascii="Amiri" w:hAnsi="Amiri" w:eastAsia="Amiri" w:cs="Amiri"/>
          <w:color w:val="111111"/>
          <w:sz w:val="28"/>
          <w:sz w:val="28"/>
          <w:szCs w:val="28"/>
          <w:rtl w:val="true"/>
          <w:lang w:bidi="ar-SA"/>
        </w:rPr>
        <w:t xml:space="preserve">قَاضٍ قَضِيَ بَيْنَ اثْنَيْنِ فَأَخْطَأَ ، سَقَطَ أَبْعَدَ </w:t>
      </w:r>
      <w:r>
        <w:rPr>
          <w:rStyle w:val="FootnoteAnchor"/>
          <w:rtl w:val="true"/>
        </w:rPr>
        <w:footnoteReference w:id="363"/>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في الحسن عن عبد الرحمن ابن الحجاج </w:t>
      </w:r>
      <w:r>
        <w:rPr>
          <w:rStyle w:val="FootnoteAnchor"/>
          <w:rtl w:val="true"/>
        </w:rPr>
        <w:footnoteReference w:id="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علیه السلام قَاعِدًا فِي حَلَقَةِ رَبِيعَةَ </w:t>
      </w:r>
      <w:r>
        <w:rPr>
          <w:rStyle w:val="FootnoteAnchor"/>
          <w:rtl w:val="true"/>
        </w:rPr>
        <w:footnoteReference w:id="366"/>
      </w:r>
      <w:r>
        <w:rPr>
          <w:rFonts w:ascii="Amiri" w:hAnsi="Amiri" w:eastAsia="Amiri" w:cs="Amiri"/>
          <w:color w:val="111111"/>
          <w:sz w:val="28"/>
          <w:sz w:val="28"/>
          <w:szCs w:val="28"/>
          <w:rtl w:val="true"/>
          <w:lang w:bidi="ar-SA"/>
        </w:rPr>
        <w:t>الرَّأْيِ، فَجَاءَ أَعْرَابيٌّ فَسَأَلَ رَبِيْعَةَ الرَّأْيِ عَنْ مَسْأَلَةٍ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 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Style w:val="FootnoteAnchor"/>
          <w:rtl w:val="true"/>
        </w:rPr>
        <w:footnoteReference w:id="367"/>
      </w:r>
      <w:r>
        <w:rPr>
          <w:rFonts w:ascii="Amiri" w:hAnsi="Amiri" w:eastAsia="Amiri" w:cs="Amiri"/>
          <w:color w:val="111111"/>
          <w:sz w:val="28"/>
          <w:sz w:val="28"/>
          <w:szCs w:val="28"/>
          <w:rtl w:val="true"/>
          <w:lang w:bidi="ar-SA"/>
        </w:rPr>
        <w:t xml:space="preserve">فِي عُنُقِكَ؟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رَبِيعَةُ فَلَمْ</w:t>
      </w:r>
      <w:r>
        <w:rPr>
          <w:rStyle w:val="FootnoteAnchor"/>
          <w:rtl w:val="true"/>
        </w:rPr>
        <w:footnoteReference w:id="369"/>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المَسْأَلَةَ، فَأَجَابَهُ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w:t>
      </w:r>
      <w:r>
        <w:rPr>
          <w:rStyle w:val="FootnoteAnchor"/>
          <w:rtl w:val="true"/>
        </w:rPr>
        <w:footnoteReference w:id="371"/>
      </w:r>
      <w:r>
        <w:rPr>
          <w:rFonts w:ascii="Amiri" w:hAnsi="Amiri" w:eastAsia="Amiri" w:cs="Amiri"/>
          <w:color w:val="111111"/>
          <w:sz w:val="28"/>
          <w:sz w:val="28"/>
          <w:szCs w:val="28"/>
          <w:rtl w:val="true"/>
          <w:lang w:bidi="ar-SA"/>
        </w:rPr>
        <w:t xml:space="preserve">فِي عُنُقِكَ؟ فَسَكَتَ رَبِيْعَةُ،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مُفْتِ ضَامِنٌ؟</w:t>
      </w:r>
      <w:r>
        <w:rPr>
          <w:rFonts w:eastAsia="Amiri" w:cs="Amiri" w:ascii="Amiri" w:hAnsi="Amiri"/>
          <w:color w:val="111111"/>
          <w:sz w:val="28"/>
          <w:szCs w:val="28"/>
          <w:rtl w:val="true"/>
          <w:lang w:bidi="ar-SA"/>
        </w:rPr>
        <w:t xml:space="preserve">)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 في الصحيح عن أبي عبيدة الحذاء </w:t>
      </w:r>
      <w:r>
        <w:rPr>
          <w:rStyle w:val="FootnoteAnchor"/>
          <w:rtl w:val="true"/>
        </w:rPr>
        <w:footnoteReference w:id="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علیه السلام مَنْ أَفْتَى النَّاسَ بِغَيْرِ عِلْمٍ وَلَا هُدًى مِنَ اللَّهِ لَعَنَتْهُ مَلَائِكَةُ الرَّحْمَةِ وَمَلَائِكَةُ الْعَذَابِ، وَحَقَهُ وِزْرُ مَنَ عَمَلَ بِفُتْيَاهُ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الحسن أو الموثق عن أبي بصير </w:t>
      </w:r>
      <w:r>
        <w:rPr>
          <w:rStyle w:val="FootnoteAnchor"/>
          <w:rtl w:val="true"/>
        </w:rPr>
        <w:footnoteReference w:id="3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عَلَيْنَا أَشْيَاءُ لَيْسَ نَعْرِفُهَا فِي كِتَابِ اللهِ و َلَا فِي سُنَّةِ نَبِيِّهِ </w:t>
      </w:r>
      <w:r>
        <w:rPr>
          <w:rStyle w:val="FootnoteAnchor"/>
          <w:rtl w:val="true"/>
        </w:rPr>
        <w:footnoteReference w:id="377"/>
      </w:r>
      <w:r>
        <w:rPr>
          <w:rFonts w:ascii="Amiri" w:hAnsi="Amiri" w:eastAsia="Amiri" w:cs="Amiri"/>
          <w:color w:val="111111"/>
          <w:sz w:val="28"/>
          <w:sz w:val="28"/>
          <w:szCs w:val="28"/>
          <w:rtl w:val="true"/>
          <w:lang w:bidi="ar-SA"/>
        </w:rPr>
        <w:t xml:space="preserve">صلی الله علیه و آله وسلم ، فَتَنْظُرُ فِيْهَا؟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أَمَا إِنَّكَ إِنْ أَصَبْتَ لَمْ </w:t>
      </w:r>
      <w:r>
        <w:rPr>
          <w:rStyle w:val="FootnoteAnchor"/>
          <w:rtl w:val="true"/>
        </w:rPr>
        <w:footnoteReference w:id="379"/>
      </w:r>
      <w:r>
        <w:rPr>
          <w:rFonts w:ascii="Amiri" w:hAnsi="Amiri" w:eastAsia="Amiri" w:cs="Amiri"/>
          <w:color w:val="111111"/>
          <w:sz w:val="28"/>
          <w:sz w:val="28"/>
          <w:szCs w:val="28"/>
          <w:rtl w:val="true"/>
          <w:lang w:bidi="ar-SA"/>
        </w:rPr>
        <w:t>تُؤْجَرْ، وَإِنْ أَخْطَأْتَ كَذَبْتَ عَلَى الله عَزَّ وَجَلَّ</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في هذا المعنى بالغة حد التواتر، فلا يمكن الإتيان على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 صراحتها في عدم الاجتهادات التي أسستها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خذلهم الله تعالى</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ببعض طرقها جماعة </w:t>
      </w:r>
      <w:r>
        <w:rPr>
          <w:rStyle w:val="FootnoteAnchor"/>
          <w:rtl w:val="true"/>
        </w:rPr>
        <w:footnoteReference w:id="382"/>
      </w:r>
      <w:r>
        <w:rPr>
          <w:rFonts w:ascii="Amiri" w:hAnsi="Amiri" w:eastAsia="Amiri" w:cs="Amiri"/>
          <w:color w:val="111111"/>
          <w:sz w:val="28"/>
          <w:sz w:val="28"/>
          <w:szCs w:val="28"/>
          <w:rtl w:val="true"/>
          <w:lang w:bidi="ar-SA"/>
        </w:rPr>
        <w:t xml:space="preserve">من علمائنا 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إلزامًا</w:t>
      </w:r>
      <w:r>
        <w:rPr>
          <w:rFonts w:eastAsia="Amiri" w:cs="Amiri" w:ascii="Amiri" w:hAnsi="Amiri"/>
          <w:color w:val="111111"/>
          <w:sz w:val="28"/>
          <w:szCs w:val="28"/>
          <w:rtl w:val="true"/>
          <w:lang w:bidi="ar-SA"/>
        </w:rPr>
        <w:t xml:space="preserve">). </w:t>
      </w:r>
      <w:bookmarkStart w:id="43" w:name="pg2523_39662"/>
    </w:p>
    <w:p>
      <w:pPr>
        <w:pStyle w:val="BookText"/>
        <w:rPr/>
      </w:pPr>
      <w:bookmarkEnd w:id="43"/>
      <w:r>
        <w:rPr>
          <w:rFonts w:ascii="Amiri" w:hAnsi="Amiri" w:eastAsia="Amiri" w:cs="Amiri"/>
          <w:color w:val="111111"/>
          <w:sz w:val="28"/>
          <w:sz w:val="28"/>
          <w:szCs w:val="28"/>
          <w:rtl w:val="true"/>
          <w:lang w:bidi="ar-SA"/>
        </w:rPr>
        <w:t xml:space="preserve">للمخالفين من مقام الاحتجاج عليهم، أو غفلة عن تلك الأخبار التي ذكرناها </w:t>
      </w:r>
      <w:r>
        <w:rPr>
          <w:rStyle w:val="FootnoteAnchor"/>
          <w:rtl w:val="true"/>
        </w:rPr>
        <w:footnoteReference w:id="383"/>
      </w:r>
      <w:r>
        <w:rPr>
          <w:rFonts w:ascii="Amiri" w:hAnsi="Amiri" w:eastAsia="Amiri" w:cs="Amiri"/>
          <w:color w:val="111111"/>
          <w:sz w:val="28"/>
          <w:sz w:val="28"/>
          <w:szCs w:val="28"/>
          <w:rtl w:val="true"/>
          <w:lang w:bidi="ar-SA"/>
        </w:rPr>
        <w:t>و لشدة مخالطتهم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264832_3804643083"/>
      <w:bookmarkStart w:id="45" w:name="_Toc14"/>
      <w:bookmarkEnd w:id="44"/>
      <w:r>
        <w:rPr>
          <w:rtl w:val="true"/>
        </w:rPr>
        <w:t>[</w:t>
      </w:r>
      <w:r>
        <w:rPr>
          <w:rtl w:val="true"/>
        </w:rPr>
        <w:t>ما يؤيد القول بعدم صحة مذهب الاجتهاد</w:t>
      </w:r>
      <w:r>
        <w:rPr>
          <w:rtl w:val="true"/>
        </w:rPr>
        <w:t>]</w:t>
      </w:r>
      <w:bookmarkEnd w:id="45"/>
    </w:p>
    <w:p>
      <w:pPr>
        <w:pStyle w:val="BookText"/>
        <w:rPr/>
      </w:pPr>
      <w:r>
        <w:rPr>
          <w:rFonts w:ascii="Amiri" w:hAnsi="Amiri" w:eastAsia="Amiri" w:cs="Amiri"/>
          <w:color w:val="111111"/>
          <w:sz w:val="28"/>
          <w:sz w:val="28"/>
          <w:szCs w:val="28"/>
          <w:rtl w:val="true"/>
          <w:lang w:bidi="ar-SA"/>
        </w:rPr>
        <w:t xml:space="preserve">و قد أيدت </w:t>
      </w:r>
      <w:r>
        <w:rPr>
          <w:rStyle w:val="FootnoteAnchor"/>
          <w:rtl w:val="true"/>
        </w:rPr>
        <w:footnoteReference w:id="384"/>
      </w:r>
      <w:r>
        <w:rPr>
          <w:rFonts w:ascii="IRNazanin" w:hAnsi="IRNazanin" w:eastAsia="IRNazanin"/>
          <w:color w:val="111111"/>
          <w:sz w:val="28"/>
          <w:sz w:val="28"/>
          <w:szCs w:val="28"/>
          <w:rtl w:val="true"/>
          <w:lang w:bidi="fa-IR"/>
        </w:rPr>
        <w:t xml:space="preserve">تلك الأدلة بوجوه مأخذها نصوصهم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دلالة قطعية على </w:t>
      </w:r>
      <w:r>
        <w:rPr>
          <w:rStyle w:val="FootnoteAnchor"/>
          <w:rtl w:val="true"/>
        </w:rPr>
        <w:footnoteReference w:id="386"/>
      </w:r>
      <w:r>
        <w:rPr>
          <w:rFonts w:ascii="Amiri" w:hAnsi="Amiri" w:eastAsia="Amiri" w:cs="Amiri"/>
          <w:color w:val="111111"/>
          <w:sz w:val="28"/>
          <w:sz w:val="28"/>
          <w:szCs w:val="28"/>
          <w:rtl w:val="true"/>
          <w:lang w:bidi="ar-SA"/>
        </w:rPr>
        <w:t>جواز الاعتماد على الظن الذي مأخذه الاجتهاد في أحكامه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التمسك فيه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مؤدى دليلهم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دور ظاهر </w:t>
      </w:r>
      <w:r>
        <w:rPr>
          <w:rStyle w:val="FootnoteAnchor"/>
          <w:rtl w:val="true"/>
        </w:rPr>
        <w:footnoteReference w:id="387"/>
      </w:r>
      <w:r>
        <w:rPr>
          <w:rFonts w:ascii="Amiri" w:hAnsi="Amiri" w:eastAsia="Amiri" w:cs="Amiri"/>
          <w:color w:val="111111"/>
          <w:sz w:val="28"/>
          <w:sz w:val="28"/>
          <w:szCs w:val="28"/>
          <w:rtl w:val="true"/>
          <w:lang w:bidi="ar-SA"/>
        </w:rPr>
        <w:t xml:space="preserve">، مع أنه معارض بأقوى منه من الآيات الصريحة في النهي </w:t>
      </w:r>
    </w:p>
    <w:p>
      <w:pPr>
        <w:pStyle w:val="BookText"/>
        <w:rPr/>
      </w:pPr>
      <w:r>
        <w:rPr>
          <w:rFonts w:ascii="Amiri" w:hAnsi="Amiri" w:eastAsia="Amiri" w:cs="Amiri"/>
          <w:color w:val="111111"/>
          <w:sz w:val="28"/>
          <w:sz w:val="28"/>
          <w:szCs w:val="28"/>
          <w:rtl w:val="true"/>
          <w:lang w:bidi="ar-SA"/>
        </w:rPr>
        <w:t xml:space="preserve">عن العمل بالظن والروايات المعلنة بذلك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قياسه على الظن في الأمور العادية الوجدانية و ما ليس يعد من أحكامه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كقيم المتلفات، وأرش الجنايات ، و إضرار الصوم بالمريض ، وتعيين 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مع ظهور الفارق ؛ للزوم الحرج في هذه لولا </w:t>
      </w:r>
      <w:r>
        <w:rPr>
          <w:rStyle w:val="FootnoteAnchor"/>
          <w:rtl w:val="true"/>
        </w:rPr>
        <w:footnoteReference w:id="389"/>
      </w:r>
      <w:r>
        <w:rPr>
          <w:rFonts w:ascii="Amiri" w:hAnsi="Amiri" w:eastAsia="Amiri" w:cs="Amiri"/>
          <w:color w:val="111111"/>
          <w:sz w:val="28"/>
          <w:sz w:val="28"/>
          <w:szCs w:val="28"/>
          <w:rtl w:val="true"/>
          <w:lang w:bidi="ar-SA"/>
        </w:rPr>
        <w:t xml:space="preserve">اعتباره فيها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391"/>
      </w:r>
      <w:r>
        <w:rPr>
          <w:rFonts w:ascii="IRNazanin" w:hAnsi="IRNazanin" w:eastAsia="IRNazanin"/>
          <w:color w:val="111111"/>
          <w:sz w:val="28"/>
          <w:sz w:val="28"/>
          <w:szCs w:val="28"/>
          <w:rtl w:val="true"/>
          <w:lang w:bidi="fa-IR"/>
        </w:rPr>
        <w:t xml:space="preserve">لو اعتبرناه </w:t>
      </w:r>
      <w:r>
        <w:rPr>
          <w:rStyle w:val="FootnoteAnchor"/>
          <w:rtl w:val="true"/>
        </w:rPr>
        <w:footnoteReference w:id="392"/>
      </w:r>
      <w:r>
        <w:rPr>
          <w:rFonts w:ascii="Amiri" w:hAnsi="Amiri" w:eastAsia="Amiri" w:cs="Amiri"/>
          <w:color w:val="111111"/>
          <w:sz w:val="28"/>
          <w:sz w:val="28"/>
          <w:szCs w:val="28"/>
          <w:rtl w:val="true"/>
          <w:lang w:bidi="ar-SA"/>
        </w:rPr>
        <w:t>في أحكامه تعالى لأدى إلى الحروب و الفتن، كما وقع بين الصحابة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يقال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دان بهذه الاستنباطات الظنية في أحكامه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محققي العامة </w:t>
      </w:r>
      <w:r>
        <w:rPr>
          <w:rStyle w:val="FootnoteAnchor"/>
          <w:rtl w:val="true"/>
        </w:rPr>
        <w:footnoteReference w:id="393"/>
      </w:r>
      <w:r>
        <w:rPr>
          <w:rFonts w:ascii="Amiri" w:hAnsi="Amiri" w:eastAsia="Amiri" w:cs="Amiri"/>
          <w:color w:val="111111"/>
          <w:sz w:val="28"/>
          <w:sz w:val="28"/>
          <w:szCs w:val="28"/>
          <w:rtl w:val="true"/>
          <w:lang w:bidi="ar-SA"/>
        </w:rPr>
        <w:t xml:space="preserve">و جمع من أولئك المتأخرين من الخاصة </w:t>
      </w:r>
      <w:r>
        <w:rPr>
          <w:rStyle w:val="FootnoteAnchor"/>
          <w:rtl w:val="true"/>
        </w:rPr>
        <w:footnoteReference w:id="394"/>
      </w:r>
      <w:r>
        <w:rPr>
          <w:rFonts w:ascii="Amiri" w:hAnsi="Amiri" w:eastAsia="Amiri" w:cs="Amiri"/>
          <w:color w:val="111111"/>
          <w:sz w:val="28"/>
          <w:sz w:val="28"/>
          <w:szCs w:val="28"/>
          <w:rtl w:val="true"/>
          <w:lang w:bidi="ar-SA"/>
        </w:rPr>
        <w:t>– اعترف بانحصار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تلك الدعوى في الإجماع، وأنه لولاه لما جاز للآيات والروايات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ثبوت الإجماع غير </w:t>
      </w:r>
      <w:r>
        <w:rPr>
          <w:rStyle w:val="FootnoteAnchor"/>
          <w:rtl w:val="true"/>
        </w:rPr>
        <w:footnoteReference w:id="396"/>
      </w:r>
      <w:r>
        <w:rPr>
          <w:rFonts w:ascii="Amiri" w:hAnsi="Amiri" w:eastAsia="Amiri" w:cs="Amiri"/>
          <w:color w:val="111111"/>
          <w:sz w:val="28"/>
          <w:sz w:val="28"/>
          <w:szCs w:val="28"/>
          <w:rtl w:val="true"/>
          <w:lang w:bidi="ar-SA"/>
        </w:rPr>
        <w:t xml:space="preserve">مفيد للقطع </w:t>
      </w:r>
      <w:r>
        <w:rPr>
          <w:rStyle w:val="FootnoteAnchor"/>
          <w:rtl w:val="true"/>
        </w:rPr>
        <w:footnoteReference w:id="397"/>
      </w:r>
      <w:r>
        <w:rPr>
          <w:rFonts w:ascii="Amiri" w:hAnsi="Amiri" w:eastAsia="Amiri" w:cs="Amiri"/>
          <w:color w:val="111111"/>
          <w:sz w:val="28"/>
          <w:sz w:val="28"/>
          <w:szCs w:val="28"/>
          <w:rtl w:val="true"/>
          <w:lang w:bidi="ar-SA"/>
        </w:rPr>
        <w:t xml:space="preserve">بعد حصوله؛ لما عرفت أن علمائنا القدماء ورؤساء الصحابة في الصدر الأول على نفي هذه الطريقة ، على أنه قد ورد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عليهما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الإجماع من مخترعات العامة</w:t>
      </w:r>
      <w:r>
        <w:rPr>
          <w:rStyle w:val="FootnoteAnchor"/>
          <w:rtl w:val="true"/>
        </w:rPr>
        <w:footnoteReference w:id="399"/>
      </w:r>
      <w:r>
        <w:rPr>
          <w:rFonts w:ascii="IRNazanin" w:hAnsi="IRNazanin" w:eastAsia="IRNazanin"/>
          <w:color w:val="111111"/>
          <w:sz w:val="28"/>
          <w:sz w:val="28"/>
          <w:szCs w:val="28"/>
          <w:rtl w:val="true"/>
          <w:lang w:bidi="fa-IR"/>
        </w:rPr>
        <w:t xml:space="preserve">، وتواتر </w:t>
      </w:r>
      <w:r>
        <w:rPr>
          <w:rStyle w:val="FootnoteAnchor"/>
          <w:rtl w:val="true"/>
        </w:rPr>
        <w:footnoteReference w:id="400"/>
      </w:r>
      <w:r>
        <w:rPr>
          <w:rFonts w:ascii="IRNazanin" w:hAnsi="IRNazanin" w:eastAsia="IRNazanin"/>
          <w:color w:val="111111"/>
          <w:sz w:val="28"/>
          <w:sz w:val="28"/>
          <w:szCs w:val="28"/>
          <w:rtl w:val="true"/>
          <w:lang w:bidi="fa-IR"/>
        </w:rPr>
        <w:t xml:space="preserve">الأخبار عن الأئمة الأطهار بانحصار طريق أخذ العلم في السماع عنهم علیهم السلام بواسطة أو </w:t>
      </w:r>
      <w:r>
        <w:rPr>
          <w:rStyle w:val="FootnoteAnchor"/>
          <w:rtl w:val="true"/>
        </w:rPr>
        <w:footnoteReference w:id="401"/>
      </w:r>
      <w:r>
        <w:rPr>
          <w:rFonts w:ascii="Amiri" w:hAnsi="Amiri" w:eastAsia="Amiri" w:cs="Amiri"/>
          <w:color w:val="111111"/>
          <w:sz w:val="28"/>
          <w:sz w:val="28"/>
          <w:szCs w:val="28"/>
          <w:rtl w:val="true"/>
          <w:lang w:bidi="ar-SA"/>
        </w:rPr>
        <w:t xml:space="preserve">بدونها، واستفاضة الآثار عنهم بأنه </w:t>
      </w:r>
      <w:r>
        <w:rPr>
          <w:rStyle w:val="FootnoteAnchor"/>
          <w:rtl w:val="true"/>
        </w:rPr>
        <w:footnoteReference w:id="402"/>
      </w:r>
      <w:r>
        <w:rPr>
          <w:rFonts w:ascii="Amiri" w:hAnsi="Amiri" w:eastAsia="Amiri" w:cs="Amiri"/>
          <w:color w:val="111111"/>
          <w:sz w:val="28"/>
          <w:sz w:val="28"/>
          <w:szCs w:val="28"/>
          <w:rtl w:val="true"/>
          <w:lang w:bidi="ar-SA"/>
        </w:rPr>
        <w:t xml:space="preserve">لا يجوز تحصيل الحكم الشرعى بالكسب والنظر </w:t>
      </w:r>
      <w:r>
        <w:rPr>
          <w:rStyle w:val="FootnoteAnchor"/>
          <w:rtl w:val="true"/>
        </w:rPr>
        <w:footnoteReference w:id="403"/>
      </w:r>
      <w:r>
        <w:rPr>
          <w:rFonts w:ascii="Amiri" w:hAnsi="Amiri" w:eastAsia="Amiri" w:cs="Amiri"/>
          <w:color w:val="111111"/>
          <w:sz w:val="28"/>
          <w:sz w:val="28"/>
          <w:szCs w:val="28"/>
          <w:rtl w:val="true"/>
          <w:lang w:bidi="ar-SA"/>
        </w:rPr>
        <w:t>لأنه مما يؤدي إلى اختلاف الآراء في الأصول والفروع؛ مما يدافع ذلك الإجماع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كان مقتضى ذلك الدليل الإجماعي</w:t>
      </w:r>
      <w:r>
        <w:rPr>
          <w:rStyle w:val="FootnoteAnchor"/>
          <w:rtl w:val="true"/>
        </w:rPr>
        <w:footnoteReference w:id="404"/>
      </w:r>
      <w:r>
        <w:rPr>
          <w:rFonts w:ascii="Amiri" w:hAnsi="Amiri" w:eastAsia="Amiri" w:cs="Amiri"/>
          <w:color w:val="111111"/>
          <w:sz w:val="28"/>
          <w:sz w:val="28"/>
          <w:szCs w:val="28"/>
          <w:rtl w:val="true"/>
          <w:lang w:bidi="ar-SA"/>
        </w:rPr>
        <w:t>وغيره على ذلكع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الاستنباط ثابتا، لانتفت فائدة بعثة الرسل وإنزال الكتب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كل ما </w:t>
      </w:r>
      <w:r>
        <w:rPr>
          <w:rStyle w:val="FootnoteAnchor"/>
          <w:rtl w:val="true"/>
        </w:rPr>
        <w:footnoteReference w:id="406"/>
      </w:r>
      <w:r>
        <w:rPr>
          <w:rFonts w:ascii="Amiri" w:hAnsi="Amiri" w:eastAsia="Amiri" w:cs="Amiri"/>
          <w:color w:val="111111"/>
          <w:sz w:val="28"/>
          <w:sz w:val="28"/>
          <w:szCs w:val="28"/>
          <w:rtl w:val="true"/>
          <w:lang w:bidi="ar-SA"/>
        </w:rPr>
        <w:t xml:space="preserve">يؤدي إلى اشتداد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الخطأ </w:t>
      </w:r>
      <w:r>
        <w:rPr>
          <w:rStyle w:val="FootnoteAnchor"/>
          <w:rtl w:val="true"/>
        </w:rPr>
        <w:footnoteReference w:id="407"/>
      </w:r>
      <w:r>
        <w:rPr>
          <w:rFonts w:ascii="Amiri" w:hAnsi="Amiri" w:eastAsia="Amiri" w:cs="Amiri"/>
          <w:color w:val="111111"/>
          <w:sz w:val="28"/>
          <w:sz w:val="28"/>
          <w:szCs w:val="28"/>
          <w:rtl w:val="true"/>
          <w:lang w:bidi="ar-SA"/>
        </w:rPr>
        <w:t>، فكيف يمكن جعله لطفاً، أو طريقًا إلى اللطف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محقق المعتبر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مخبر في حال فتواك</w:t>
      </w:r>
      <w:r>
        <w:rPr>
          <w:rStyle w:val="FootnoteAnchor"/>
          <w:rtl w:val="true"/>
        </w:rPr>
        <w:footnoteReference w:id="408"/>
      </w:r>
      <w:r>
        <w:rPr>
          <w:rFonts w:ascii="Amiri" w:hAnsi="Amiri" w:eastAsia="Amiri" w:cs="Amiri"/>
          <w:color w:val="111111"/>
          <w:sz w:val="28"/>
          <w:sz w:val="28"/>
          <w:szCs w:val="28"/>
          <w:rtl w:val="true"/>
          <w:lang w:bidi="ar-SA"/>
        </w:rPr>
        <w:t>عن ربك،و ناطق بلسان شرعه، فما أسعدك إن أخذت بالجزم، وما أخيبك إن بنيت على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فهمك تلقاء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 وانظر إلى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أرأيتم ما أنزل الله لكم من رزق فجعلتم منه حراما وحلالا قل آلله أذن لكم أم على الله تفترون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وتفطّن كيف قسم مستند الحكم إلى القسمين </w:t>
      </w:r>
      <w:r>
        <w:rPr>
          <w:rStyle w:val="FootnoteAnchor"/>
          <w:rtl w:val="true"/>
        </w:rPr>
        <w:footnoteReference w:id="411"/>
      </w:r>
      <w:r>
        <w:rPr>
          <w:rFonts w:ascii="IRNazanin" w:hAnsi="IRNazanin" w:eastAsia="IRNazanin"/>
          <w:color w:val="111111"/>
          <w:sz w:val="28"/>
          <w:sz w:val="28"/>
          <w:szCs w:val="28"/>
          <w:rtl w:val="true"/>
          <w:lang w:bidi="fa-IR"/>
        </w:rPr>
        <w:t xml:space="preserve">، وما </w:t>
      </w:r>
      <w:r>
        <w:rPr>
          <w:rStyle w:val="FootnoteAnchor"/>
          <w:rtl w:val="true"/>
        </w:rPr>
        <w:footnoteReference w:id="412"/>
      </w:r>
      <w:r>
        <w:rPr>
          <w:rFonts w:ascii="Amiri" w:hAnsi="Amiri" w:eastAsia="Amiri" w:cs="Amiri"/>
          <w:color w:val="111111"/>
          <w:sz w:val="28"/>
          <w:sz w:val="28"/>
          <w:szCs w:val="28"/>
          <w:rtl w:val="true"/>
          <w:lang w:bidi="ar-SA"/>
        </w:rPr>
        <w:t>لم يتحقق الإذن أنت مفتر</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ثانیهما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قد قدمنا من الآيات كآية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يُؤْخَذْ عَلَيْهِمْ مِيْثَاقُ الْكِتَابِ أَنْ لا </w:t>
      </w:r>
      <w:r>
        <w:rPr>
          <w:rStyle w:val="FootnoteAnchor"/>
          <w:rtl w:val="true"/>
        </w:rPr>
        <w:footnoteReference w:id="415"/>
      </w:r>
      <w:r>
        <w:rPr>
          <w:rFonts w:ascii="Amiri" w:hAnsi="Amiri" w:eastAsia="Amiri" w:cs="Amiri"/>
          <w:color w:val="111111"/>
          <w:sz w:val="28"/>
          <w:sz w:val="28"/>
          <w:szCs w:val="28"/>
          <w:rtl w:val="true"/>
          <w:lang w:bidi="ar-SA"/>
        </w:rPr>
        <w:t>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يَظُنُّونَ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تخصيص هذه الآيات المعلنة بذم اتباع الظن بأصول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لأولئك </w:t>
      </w:r>
      <w:r>
        <w:rPr>
          <w:rStyle w:val="FootnoteAnchor"/>
          <w:rtl w:val="true"/>
        </w:rPr>
        <w:footnoteReference w:id="419"/>
      </w:r>
      <w:r>
        <w:rPr>
          <w:rFonts w:ascii="Amiri" w:hAnsi="Amiri" w:eastAsia="Amiri" w:cs="Amiri"/>
          <w:color w:val="111111"/>
          <w:sz w:val="28"/>
          <w:sz w:val="28"/>
          <w:szCs w:val="28"/>
          <w:rtl w:val="true"/>
          <w:lang w:bidi="ar-SA"/>
        </w:rPr>
        <w:t xml:space="preserve">الأصوليين بناءً على أن الضرورة ألجأت إلى </w:t>
      </w:r>
      <w:r>
        <w:rPr>
          <w:rStyle w:val="FootnoteAnchor"/>
          <w:rtl w:val="true"/>
        </w:rPr>
        <w:footnoteReference w:id="420"/>
      </w:r>
      <w:r>
        <w:rPr>
          <w:rFonts w:ascii="Amiri" w:hAnsi="Amiri" w:eastAsia="Amiri" w:cs="Amiri"/>
          <w:color w:val="111111"/>
          <w:sz w:val="28"/>
          <w:sz w:val="28"/>
          <w:szCs w:val="28"/>
          <w:rtl w:val="true"/>
          <w:lang w:bidi="ar-SA"/>
        </w:rPr>
        <w:t xml:space="preserve">التمسك في الفروع بالظن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مطلقا </w:t>
      </w:r>
      <w:r>
        <w:rPr>
          <w:rStyle w:val="FootnoteAnchor"/>
          <w:rtl w:val="true"/>
        </w:rPr>
        <w:footnoteReference w:id="422"/>
      </w:r>
      <w:r>
        <w:rPr>
          <w:rFonts w:ascii="IRNazanin" w:hAnsi="IRNazanin" w:eastAsia="IRNazanin"/>
          <w:color w:val="111111"/>
          <w:sz w:val="28"/>
          <w:sz w:val="28"/>
          <w:szCs w:val="28"/>
          <w:rtl w:val="true"/>
          <w:lang w:bidi="fa-IR"/>
        </w:rPr>
        <w:t xml:space="preserve">بعد النبي صلی الله علیه و آله وسلم و لمن بعد عنه في زمانه كما زعمه أكثر العامة </w:t>
      </w:r>
      <w:r>
        <w:rPr>
          <w:rStyle w:val="FootnoteAnchor"/>
          <w:rtl w:val="true"/>
        </w:rPr>
        <w:footnoteReference w:id="423"/>
      </w:r>
      <w:r>
        <w:rPr>
          <w:rFonts w:ascii="Amiri" w:hAnsi="Amiri" w:eastAsia="Amiri" w:cs="Amiri"/>
          <w:color w:val="111111"/>
          <w:sz w:val="28"/>
          <w:sz w:val="28"/>
          <w:szCs w:val="28"/>
          <w:rtl w:val="true"/>
          <w:lang w:bidi="ar-SA"/>
        </w:rPr>
        <w:t>، أو مخصوصا بزمن الغيبة كما هو زعم أولئك المتأخرين من مجتهدي أصحابنا</w:t>
      </w:r>
      <w:r>
        <w:rPr>
          <w:rStyle w:val="FootnoteAnchor"/>
          <w:rtl w:val="true"/>
        </w:rPr>
        <w:footnoteReference w:id="424"/>
      </w:r>
      <w:r>
        <w:rPr>
          <w:rFonts w:ascii="Amiri" w:hAnsi="Amiri" w:eastAsia="Amiri" w:cs="Amiri"/>
          <w:color w:val="111111"/>
          <w:sz w:val="28"/>
          <w:sz w:val="28"/>
          <w:szCs w:val="28"/>
          <w:rtl w:val="true"/>
          <w:lang w:bidi="ar-SA"/>
        </w:rPr>
        <w:t xml:space="preserve">، أو لمن بعد عن الإمام في زمن حضوره أيضا كما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زعمه آخرون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ضعيف، وتخصيص الكتاب بالتشهي والاختيار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وثالثها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خلاصة ما استدل به الإمامية على وجوب عصمة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ذلك لزم أمره تعالى باتباع من يجوز خطأه، وذلك قبيح عقلا</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Style w:val="FootnoteAnchor"/>
          <w:rtl w:val="true"/>
        </w:rPr>
        <w:footnoteReference w:id="428"/>
      </w:r>
      <w:r>
        <w:rPr>
          <w:rFonts w:ascii="IRNazanin" w:hAnsi="IRNazanin" w:eastAsia="IRNazanin"/>
          <w:color w:val="111111"/>
          <w:sz w:val="28"/>
          <w:sz w:val="28"/>
          <w:szCs w:val="28"/>
          <w:rtl w:val="true"/>
          <w:lang w:bidi="fa-IR"/>
        </w:rPr>
        <w:t>أن هذا الدليل جار في إتباع ظن المجتهد، سواء قلنا بوجوب اتباعه أو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كتاب محاسن البرقي في رسالة منقولة عن الصادق علیه السلام قد أمر أصحابه بمدارستها و حفظها وفيها قد استدل بهذا الدليل على امتناع العمل بظن المجتهد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في الفوائد المدنية تتمة بعد 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نقض أورده الفخر الرازي على الإمامية،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النقض لا يرد على الأخباريين؛ لأنهم لا يجوزون الاعتماد في أحكامه تعالى على الظن، ويرد على المتأخرين، وليس لهم بحمد الله عن ذلك مفر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رابعها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المسلك الاجتهادي مداركه غير منضبطة فروعًا، وكثيرًا ما يقع التعارض فيها، واضطراب النفس، ورجوع كثير من فحول العلماء عما به أفتى، فلا يصلح أن يجعل مناط أحكامه تعالى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خامسها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المسلك الذي يختلف باختلاف الأذهان بأن </w:t>
      </w:r>
      <w:r>
        <w:rPr>
          <w:rStyle w:val="FootnoteAnchor"/>
          <w:rtl w:val="true"/>
        </w:rPr>
        <w:footnoteReference w:id="433"/>
      </w:r>
      <w:r>
        <w:rPr>
          <w:rFonts w:ascii="Amiri" w:hAnsi="Amiri" w:eastAsia="Amiri" w:cs="Amiri"/>
          <w:color w:val="111111"/>
          <w:sz w:val="28"/>
          <w:sz w:val="28"/>
          <w:szCs w:val="28"/>
          <w:rtl w:val="true"/>
          <w:lang w:bidi="ar-SA"/>
        </w:rPr>
        <w:t>تختلف أحواله والذهن واحد، كيف يصلح لأن يجعل مناط الأحكام في الأمة إلى يوم القيامة؟</w:t>
      </w:r>
    </w:p>
    <w:p>
      <w:pPr>
        <w:pStyle w:val="BookText"/>
        <w:rPr/>
      </w:pPr>
      <w:r>
        <w:rPr>
          <w:rFonts w:ascii="IRNazanin" w:hAnsi="IRNazanin" w:eastAsia="IRNazanin"/>
          <w:color w:val="111111"/>
          <w:sz w:val="28"/>
          <w:sz w:val="28"/>
          <w:szCs w:val="28"/>
          <w:rtl w:val="true"/>
          <w:lang w:bidi="fa-IR"/>
        </w:rPr>
        <w:t>و سادسها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الشريعة السمحة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الأخبار، بل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مؤسسة على استنباطات </w:t>
      </w:r>
      <w:r>
        <w:rPr>
          <w:rStyle w:val="FootnoteAnchor"/>
          <w:rtl w:val="true"/>
        </w:rPr>
        <w:footnoteReference w:id="435"/>
      </w:r>
      <w:r>
        <w:rPr>
          <w:rFonts w:ascii="Amiri" w:hAnsi="Amiri" w:eastAsia="Amiri" w:cs="Amiri"/>
          <w:color w:val="111111"/>
          <w:sz w:val="28"/>
          <w:sz w:val="28"/>
          <w:szCs w:val="28"/>
          <w:rtl w:val="true"/>
          <w:lang w:bidi="ar-SA"/>
        </w:rPr>
        <w:t>ظنية مضطربة الوجه ؟ط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سابعها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مفاسد ابتناء </w:t>
      </w:r>
      <w:r>
        <w:rPr>
          <w:rStyle w:val="FootnoteAnchor"/>
          <w:rtl w:val="true"/>
        </w:rPr>
        <w:footnoteReference w:id="437"/>
      </w:r>
      <w:r>
        <w:rPr>
          <w:rFonts w:ascii="Amiri" w:hAnsi="Amiri" w:eastAsia="Amiri" w:cs="Amiri"/>
          <w:color w:val="111111"/>
          <w:sz w:val="28"/>
          <w:sz w:val="28"/>
          <w:szCs w:val="28"/>
          <w:rtl w:val="true"/>
          <w:lang w:bidi="ar-SA"/>
        </w:rPr>
        <w:t>تلك الأحكام على تلك الاستنباطات أكثر من أن تعد ،وتحصى، ومن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يفضي إلى جواز الفتن والحروب بين المسلمين، و سد هذا مما يؤدي إلى رفعها والتوقف والتثبت في الأمور الشرعية إلى ظهور الحق واليقين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ثامنها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إذا وقعت خصومة دنيوية مبنية على اختلاف المجتهدين المخاصمين في مال أو فرج أو دم ،لزم أن لا يجوز لأحدهما أن يأخذ قهرا من الآخر ما يستحقه في حكم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انضباط الملكة المخصوصة التي سموها اجتهادًا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وعاشرها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الظن من باب الشبهات التي يجب التوقف عندها بالروايات الكثيرة الصريحة، كما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Style w:val="FootnoteAnchor"/>
          <w:rtl w:val="true"/>
        </w:rPr>
        <w:footnoteReference w:id="441"/>
      </w:r>
      <w:r>
        <w:rPr>
          <w:rFonts w:ascii="Amiri" w:hAnsi="Amiri" w:eastAsia="Amiri" w:cs="Amiri"/>
          <w:color w:val="111111"/>
          <w:sz w:val="28"/>
          <w:sz w:val="28"/>
          <w:szCs w:val="28"/>
          <w:rtl w:val="true"/>
          <w:lang w:bidi="ar-SA"/>
        </w:rPr>
        <w:t>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أولياء الله تعالى </w:t>
      </w:r>
      <w:r>
        <w:rPr>
          <w:rStyle w:val="FootnoteAnchor"/>
          <w:rtl w:val="true"/>
        </w:rPr>
        <w:footnoteReference w:id="442"/>
      </w:r>
      <w:r>
        <w:rPr>
          <w:rFonts w:ascii="Amiri" w:hAnsi="Amiri" w:eastAsia="Amiri" w:cs="Amiri"/>
          <w:color w:val="111111"/>
          <w:sz w:val="28"/>
          <w:sz w:val="28"/>
          <w:szCs w:val="28"/>
          <w:rtl w:val="true"/>
          <w:lang w:bidi="ar-SA"/>
        </w:rPr>
        <w:t xml:space="preserve">فضياؤهم فيها اليقين، ودليلهم </w:t>
      </w:r>
      <w:r>
        <w:rPr>
          <w:rStyle w:val="FootnoteAnchor"/>
          <w:rtl w:val="true"/>
        </w:rPr>
        <w:footnoteReference w:id="443"/>
      </w:r>
      <w:r>
        <w:rPr>
          <w:rFonts w:ascii="IRNazanin" w:hAnsi="IRNazanin" w:eastAsia="IRNazanin"/>
          <w:color w:val="111111"/>
          <w:sz w:val="28"/>
          <w:sz w:val="28"/>
          <w:szCs w:val="28"/>
          <w:rtl w:val="true"/>
          <w:lang w:bidi="fa-IR"/>
        </w:rPr>
        <w:t>سمت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أعداء الله فدعواهم الضلال </w:t>
      </w:r>
      <w:r>
        <w:rPr>
          <w:rStyle w:val="FootnoteAnchor"/>
          <w:rtl w:val="true"/>
        </w:rPr>
        <w:footnoteReference w:id="444"/>
      </w:r>
      <w:r>
        <w:rPr>
          <w:rFonts w:ascii="Amiri" w:hAnsi="Amiri" w:eastAsia="Amiri" w:cs="Amiri"/>
          <w:color w:val="111111"/>
          <w:sz w:val="28"/>
          <w:sz w:val="28"/>
          <w:szCs w:val="28"/>
          <w:rtl w:val="true"/>
          <w:lang w:bidi="ar-SA"/>
        </w:rPr>
        <w:t xml:space="preserve">، ودليلهم العمى، فما ينجو من الموت من خاف </w:t>
      </w:r>
      <w:r>
        <w:rPr>
          <w:rStyle w:val="FootnoteAnchor"/>
          <w:rtl w:val="true"/>
        </w:rPr>
        <w:footnoteReference w:id="445"/>
      </w:r>
      <w:r>
        <w:rPr>
          <w:rFonts w:ascii="Amiri" w:hAnsi="Amiri" w:eastAsia="Amiri" w:cs="Amiri"/>
          <w:color w:val="111111"/>
          <w:sz w:val="28"/>
          <w:sz w:val="28"/>
          <w:szCs w:val="28"/>
          <w:rtl w:val="true"/>
          <w:lang w:bidi="ar-SA"/>
        </w:rPr>
        <w:t>، ولا يعطي البقاء من أحبه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ولغيره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حادى عشرها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الخطب و الوصايا المنقولة من المعصومين الصريحة في أن كل طريق يؤدي إلى اختلاف الفتاوى من غير ضرورة التقية مردود غير مقبول عند الله تعالى</w:t>
      </w:r>
      <w:r>
        <w:rPr>
          <w:rStyle w:val="FootnoteAnchor"/>
          <w:rtl w:val="true"/>
        </w:rPr>
        <w:footnoteReference w:id="447"/>
      </w:r>
      <w:r>
        <w:rPr>
          <w:rFonts w:ascii="Amiri" w:hAnsi="Amiri" w:eastAsia="Amiri" w:cs="Amiri"/>
          <w:color w:val="111111"/>
          <w:sz w:val="28"/>
          <w:sz w:val="28"/>
          <w:szCs w:val="28"/>
          <w:rtl w:val="true"/>
          <w:lang w:bidi="ar-SA"/>
        </w:rPr>
        <w:t xml:space="preserve">، وأنه لا يجوز الإفتاء والقضاء </w:t>
      </w:r>
      <w:r>
        <w:rPr>
          <w:rStyle w:val="FootnoteAnchor"/>
          <w:rtl w:val="true"/>
        </w:rPr>
        <w:footnoteReference w:id="448"/>
      </w:r>
      <w:r>
        <w:rPr>
          <w:rFonts w:ascii="Amiri" w:hAnsi="Amiri" w:eastAsia="Amiri" w:cs="Amiri"/>
          <w:color w:val="111111"/>
          <w:sz w:val="28"/>
          <w:sz w:val="28"/>
          <w:szCs w:val="28"/>
          <w:rtl w:val="true"/>
          <w:lang w:bidi="ar-SA"/>
        </w:rPr>
        <w:t xml:space="preserve">إلا لرجل يعض على العلم بضرس قاطع، وأن حكم الله تعالى على </w:t>
      </w:r>
      <w:r>
        <w:rPr>
          <w:rStyle w:val="FootnoteAnchor"/>
          <w:rtl w:val="true"/>
        </w:rPr>
        <w:footnoteReference w:id="449"/>
      </w:r>
      <w:r>
        <w:rPr>
          <w:rFonts w:ascii="Amiri" w:hAnsi="Amiri" w:eastAsia="Amiri" w:cs="Amiri"/>
          <w:color w:val="111111"/>
          <w:sz w:val="28"/>
          <w:sz w:val="28"/>
          <w:szCs w:val="28"/>
          <w:rtl w:val="true"/>
          <w:lang w:bidi="ar-SA"/>
        </w:rPr>
        <w:t>كل واقعة واحد، وأن من حكم بغير ماي</w:t>
      </w:r>
      <w:r>
        <w:rPr>
          <w:rFonts w:eastAsia="Amiri" w:cs="Amiri" w:ascii="Amiri" w:hAnsi="Amiri"/>
          <w:color w:val="111111"/>
          <w:sz w:val="28"/>
          <w:szCs w:val="28"/>
          <w:rtl w:val="true"/>
          <w:lang w:bidi="ar-SA"/>
        </w:rPr>
        <w:t xml:space="preserve">. </w:t>
      </w:r>
      <w:bookmarkStart w:id="46" w:name="pg2523_39671"/>
    </w:p>
    <w:p>
      <w:pPr>
        <w:pStyle w:val="BookText"/>
        <w:rPr/>
      </w:pPr>
      <w:bookmarkEnd w:id="46"/>
      <w:r>
        <w:rPr>
          <w:rFonts w:ascii="Amiri" w:hAnsi="Amiri" w:eastAsia="Amiri" w:cs="Amiri"/>
          <w:color w:val="111111"/>
          <w:sz w:val="28"/>
          <w:sz w:val="28"/>
          <w:szCs w:val="28"/>
          <w:rtl w:val="true"/>
          <w:lang w:bidi="ar-SA"/>
        </w:rPr>
        <w:t xml:space="preserve">حكم الله يحكم حكم الجاهلية و اثم ، وأن </w:t>
      </w:r>
      <w:r>
        <w:rPr>
          <w:rStyle w:val="FootnoteAnchor"/>
          <w:rtl w:val="true"/>
        </w:rPr>
        <w:footnoteReference w:id="450"/>
      </w:r>
      <w:r>
        <w:rPr>
          <w:rFonts w:ascii="Amiri" w:hAnsi="Amiri" w:eastAsia="Amiri" w:cs="Amiri"/>
          <w:color w:val="111111"/>
          <w:sz w:val="28"/>
          <w:sz w:val="28"/>
          <w:szCs w:val="28"/>
          <w:rtl w:val="true"/>
          <w:lang w:bidi="ar-SA"/>
        </w:rPr>
        <w:t>المفتي ضامن و لحقه وزر من عمل بفتياه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حاصل ما ذكرناه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الوجوه و إن أمكن الخدش في أكثرها، إلا أنها شواهد ومؤيدات، سيما دعوى مشاركة الأخبار لقواعد الاجتهاد في الظن، بل كلها </w:t>
      </w:r>
      <w:r>
        <w:rPr>
          <w:rStyle w:val="FootnoteAnchor"/>
          <w:rtl w:val="true"/>
        </w:rPr>
        <w:footnoteReference w:id="452"/>
      </w:r>
      <w:r>
        <w:rPr>
          <w:rFonts w:ascii="Amiri" w:hAnsi="Amiri" w:eastAsia="Amiri" w:cs="Amiri"/>
          <w:color w:val="111111"/>
          <w:sz w:val="28"/>
          <w:sz w:val="28"/>
          <w:szCs w:val="28"/>
          <w:rtl w:val="true"/>
          <w:lang w:bidi="ar-SA"/>
        </w:rPr>
        <w:t>قطعيّة على ما يظهر من الفاضل المحقق محمد أمين الأسترآبادي في الفوائد المدنية</w:t>
      </w:r>
      <w:r>
        <w:rPr>
          <w:rStyle w:val="FootnoteAnchor"/>
          <w:rtl w:val="true"/>
        </w:rPr>
        <w:footnoteReference w:id="453"/>
      </w:r>
      <w:r>
        <w:rPr>
          <w:rFonts w:ascii="Amiri" w:hAnsi="Amiri" w:eastAsia="Amiri" w:cs="Amiri"/>
          <w:color w:val="111111"/>
          <w:sz w:val="28"/>
          <w:sz w:val="28"/>
          <w:szCs w:val="28"/>
          <w:rtl w:val="true"/>
          <w:lang w:bidi="ar-SA"/>
        </w:rPr>
        <w:t xml:space="preserve">، والفاضل الكاشاني في مواضع من كتابه الموسوم بالأصول الأصلية </w:t>
      </w:r>
      <w:r>
        <w:rPr>
          <w:rStyle w:val="FootnoteAnchor"/>
          <w:rtl w:val="true"/>
        </w:rPr>
        <w:footnoteReference w:id="454"/>
      </w:r>
      <w:r>
        <w:rPr>
          <w:rFonts w:ascii="Amiri" w:hAnsi="Amiri" w:eastAsia="Amiri" w:cs="Amiri"/>
          <w:color w:val="111111"/>
          <w:sz w:val="28"/>
          <w:sz w:val="28"/>
          <w:szCs w:val="28"/>
          <w:rtl w:val="true"/>
          <w:lang w:bidi="ar-SA"/>
        </w:rPr>
        <w:t xml:space="preserve">، وربما ظهر ذلك من الفاضل الحر العاملي في أواخر الوسائل </w:t>
      </w:r>
      <w:r>
        <w:rPr>
          <w:rStyle w:val="FootnoteAnchor"/>
          <w:rtl w:val="true"/>
        </w:rPr>
        <w:footnoteReference w:id="455"/>
      </w:r>
      <w:r>
        <w:rPr>
          <w:rFonts w:ascii="Amiri" w:hAnsi="Amiri" w:eastAsia="Amiri" w:cs="Amiri"/>
          <w:color w:val="111111"/>
          <w:sz w:val="28"/>
          <w:sz w:val="28"/>
          <w:szCs w:val="28"/>
          <w:rtl w:val="true"/>
          <w:lang w:bidi="ar-SA"/>
        </w:rPr>
        <w:t>، وأيدوا تلك الدعوى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264834_3804643083"/>
      <w:bookmarkStart w:id="48" w:name="_Toc15"/>
      <w:bookmarkEnd w:id="47"/>
      <w:r>
        <w:rPr>
          <w:rtl w:val="true"/>
        </w:rPr>
        <w:t>[</w:t>
      </w:r>
      <w:r>
        <w:rPr>
          <w:rtl w:val="true"/>
        </w:rPr>
        <w:t xml:space="preserve">كلام في قطعية الأخبار و دلالتها </w:t>
      </w:r>
      <w:r>
        <w:rPr>
          <w:rtl w:val="true"/>
        </w:rPr>
        <w:t>]</w:t>
      </w:r>
      <w:bookmarkEnd w:id="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الدرر النجفية </w:t>
      </w:r>
      <w:r>
        <w:rPr>
          <w:rFonts w:eastAsia="Amiri" w:cs="Amiri" w:ascii="Amiri" w:hAnsi="Amiri"/>
          <w:color w:val="111111"/>
          <w:sz w:val="28"/>
          <w:szCs w:val="28"/>
          <w:rtl w:val="true"/>
          <w:lang w:bidi="ar-SA"/>
        </w:rPr>
        <w:t xml:space="preserve">: ] </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w:t>
      </w:r>
      <w:r>
        <w:rPr>
          <w:rStyle w:val="FootnoteAnchor"/>
          <w:rtl w:val="true"/>
        </w:rPr>
        <w:footnoteReference w:id="457"/>
      </w:r>
      <w:r>
        <w:rPr>
          <w:rFonts w:ascii="IRNazanin" w:hAnsi="IRNazanin" w:eastAsia="IRNazanin"/>
          <w:color w:val="111111"/>
          <w:sz w:val="28"/>
          <w:sz w:val="28"/>
          <w:szCs w:val="28"/>
          <w:rtl w:val="true"/>
          <w:lang w:bidi="fa-IR"/>
        </w:rPr>
        <w:t xml:space="preserve">ادعاه </w:t>
      </w:r>
      <w:r>
        <w:rPr>
          <w:rStyle w:val="FootnoteAnchor"/>
          <w:rtl w:val="true"/>
        </w:rPr>
        <w:footnoteReference w:id="458"/>
      </w:r>
      <w:r>
        <w:rPr>
          <w:rFonts w:ascii="IRNazanin" w:hAnsi="IRNazanin" w:eastAsia="IRNazanin"/>
          <w:color w:val="111111"/>
          <w:sz w:val="28"/>
          <w:sz w:val="28"/>
          <w:szCs w:val="28"/>
          <w:rtl w:val="true"/>
          <w:lang w:bidi="fa-IR"/>
        </w:rPr>
        <w:t xml:space="preserve">من أن </w:t>
      </w:r>
      <w:r>
        <w:rPr>
          <w:rStyle w:val="FootnoteAnchor"/>
          <w:rtl w:val="true"/>
        </w:rPr>
        <w:footnoteReference w:id="459"/>
      </w:r>
      <w:r>
        <w:rPr>
          <w:rFonts w:ascii="Amiri" w:hAnsi="Amiri" w:eastAsia="Amiri" w:cs="Amiri"/>
          <w:color w:val="111111"/>
          <w:sz w:val="28"/>
          <w:sz w:val="28"/>
          <w:szCs w:val="28"/>
          <w:rtl w:val="true"/>
          <w:lang w:bidi="ar-SA"/>
        </w:rPr>
        <w:t xml:space="preserve">أكثر أحاديثنا صارت دلالتها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القرائن التي ذكرها لا تكاد يشم </w:t>
      </w:r>
    </w:p>
    <w:p>
      <w:pPr>
        <w:pStyle w:val="BookText"/>
        <w:rPr/>
      </w:pPr>
      <w:r>
        <w:rPr>
          <w:rFonts w:ascii="Amiri" w:hAnsi="Amiri" w:eastAsia="Amiri" w:cs="Amiri"/>
          <w:color w:val="111111"/>
          <w:sz w:val="28"/>
          <w:sz w:val="28"/>
          <w:szCs w:val="28"/>
          <w:rtl w:val="true"/>
          <w:lang w:bidi="ar-SA"/>
        </w:rPr>
        <w:t xml:space="preserve">منها رائحة ما ادعاه </w:t>
      </w:r>
      <w:r>
        <w:rPr>
          <w:rStyle w:val="FootnoteAnchor"/>
          <w:rtl w:val="true"/>
        </w:rPr>
        <w:footnoteReference w:id="460"/>
      </w:r>
      <w:r>
        <w:rPr>
          <w:rFonts w:ascii="Amiri" w:hAnsi="Amiri" w:eastAsia="Amiri" w:cs="Amiri"/>
          <w:color w:val="111111"/>
          <w:sz w:val="28"/>
          <w:sz w:val="28"/>
          <w:szCs w:val="28"/>
          <w:rtl w:val="true"/>
          <w:lang w:bidi="ar-SA"/>
        </w:rPr>
        <w:t xml:space="preserve">، نعم لا ريب أن الدلالة بالنسبة إلى من خوطب بتلك </w:t>
      </w:r>
      <w:r>
        <w:rPr>
          <w:rStyle w:val="FootnoteAnchor"/>
          <w:rtl w:val="true"/>
        </w:rPr>
        <w:footnoteReference w:id="461"/>
      </w:r>
      <w:r>
        <w:rPr>
          <w:rFonts w:ascii="Amiri" w:hAnsi="Amiri" w:eastAsia="Amiri" w:cs="Amiri"/>
          <w:color w:val="111111"/>
          <w:sz w:val="28"/>
          <w:sz w:val="28"/>
          <w:szCs w:val="28"/>
          <w:rtl w:val="true"/>
          <w:lang w:bidi="ar-SA"/>
        </w:rPr>
        <w:t xml:space="preserve">الأحكام في تلك الأزمان كانت قطعيةً؛ لظهور القرائن الحالية والمقالية لهم، إلا أنها قد خفيت علينا في هذه الأزمان بأمور عديدة أوجبت لنا الإشكال و الوقوع في </w:t>
      </w:r>
      <w:r>
        <w:rPr>
          <w:rStyle w:val="FootnoteAnchor"/>
          <w:rtl w:val="true"/>
        </w:rPr>
        <w:footnoteReference w:id="462"/>
      </w:r>
      <w:r>
        <w:rPr>
          <w:rFonts w:ascii="Amiri" w:hAnsi="Amiri" w:eastAsia="Amiri" w:cs="Amiri"/>
          <w:color w:val="111111"/>
          <w:sz w:val="28"/>
          <w:sz w:val="28"/>
          <w:szCs w:val="28"/>
          <w:rtl w:val="true"/>
          <w:lang w:bidi="ar-SA"/>
        </w:rPr>
        <w:t xml:space="preserve">الداء العضال، وقصارى ما تحصل لنا بسبب تلك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الدلالة، ومراتبه متفاوتة شدة و ضعفا بسبب تلك القرائن </w:t>
      </w:r>
      <w:r>
        <w:rPr>
          <w:rStyle w:val="FootnoteAnchor"/>
          <w:rtl w:val="true"/>
        </w:rPr>
        <w:footnoteReference w:id="463"/>
      </w:r>
      <w:r>
        <w:rPr>
          <w:rFonts w:ascii="Amiri" w:hAnsi="Amiri" w:eastAsia="Amiri" w:cs="Amiri"/>
          <w:color w:val="111111"/>
          <w:sz w:val="28"/>
          <w:sz w:val="28"/>
          <w:szCs w:val="28"/>
          <w:rtl w:val="true"/>
          <w:lang w:bidi="ar-SA"/>
        </w:rPr>
        <w:t xml:space="preserve">، ظهورًا وخفاء ، وقربًا وبعدا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قلة وكثرة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تلك الأمور التي أوجبت </w:t>
      </w:r>
      <w:r>
        <w:rPr>
          <w:rStyle w:val="FootnoteAnchor"/>
          <w:rtl w:val="true"/>
        </w:rPr>
        <w:footnoteReference w:id="465"/>
      </w:r>
      <w:r>
        <w:rPr>
          <w:rFonts w:ascii="IRNazanin" w:hAnsi="IRNazanin" w:eastAsia="IRNazanin"/>
          <w:color w:val="111111"/>
          <w:sz w:val="28"/>
          <w:sz w:val="28"/>
          <w:szCs w:val="28"/>
          <w:rtl w:val="true"/>
          <w:lang w:bidi="fa-IR"/>
        </w:rPr>
        <w:t>ما قلناه</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الأخبار في أكثر الأحكام من التناقض والتدافع، و تعسر الجمع بينها غالبًا إلا على وجه ظني غايته الغلبة على بعض الأفهام، والاعتماد على المرجحات المروية في دفع ذلك لا يخفى ما فيه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و إن حصل الترجيح بأحدها ، فإنه </w:t>
      </w:r>
      <w:r>
        <w:rPr>
          <w:rStyle w:val="FootnoteAnchor"/>
          <w:rtl w:val="true"/>
        </w:rPr>
        <w:footnoteReference w:id="468"/>
      </w:r>
      <w:r>
        <w:rPr>
          <w:rFonts w:ascii="Amiri" w:hAnsi="Amiri" w:eastAsia="Amiri" w:cs="Amiri"/>
          <w:color w:val="111111"/>
          <w:sz w:val="28"/>
          <w:sz w:val="28"/>
          <w:szCs w:val="28"/>
          <w:rtl w:val="true"/>
          <w:lang w:bidi="ar-SA"/>
        </w:rPr>
        <w:t xml:space="preserve">لا يخرج عن غلبة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يوصل إلى حد الجزم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Style w:val="FootnoteAnchor"/>
          <w:rtl w:val="true"/>
        </w:rPr>
        <w:footnoteReference w:id="469"/>
      </w:r>
      <w:r>
        <w:rPr>
          <w:rFonts w:ascii="IRNazanin" w:hAnsi="IRNazanin" w:eastAsia="IRNazanin"/>
          <w:color w:val="111111"/>
          <w:sz w:val="28"/>
          <w:sz w:val="28"/>
          <w:szCs w:val="28"/>
          <w:rtl w:val="true"/>
          <w:lang w:bidi="fa-IR"/>
        </w:rPr>
        <w:t xml:space="preserve">إن </w:t>
      </w:r>
      <w:r>
        <w:rPr>
          <w:rStyle w:val="FootnoteAnchor"/>
          <w:rtl w:val="true"/>
        </w:rPr>
        <w:footnoteReference w:id="470"/>
      </w:r>
      <w:r>
        <w:rPr>
          <w:rFonts w:ascii="Amiri" w:hAnsi="Amiri" w:eastAsia="Amiri" w:cs="Amiri"/>
          <w:color w:val="111111"/>
          <w:sz w:val="28"/>
          <w:sz w:val="28"/>
          <w:szCs w:val="28"/>
          <w:rtl w:val="true"/>
          <w:lang w:bidi="ar-SA"/>
        </w:rPr>
        <w:t xml:space="preserve">شيخنا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w:t>
      </w:r>
      <w:r>
        <w:rPr>
          <w:rStyle w:val="FootnoteAnchor"/>
          <w:rtl w:val="true"/>
        </w:rPr>
        <w:footnoteReference w:id="471"/>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Style w:val="FootnoteAnchor"/>
          <w:rtl w:val="true"/>
        </w:rPr>
        <w:footnoteReference w:id="472"/>
      </w:r>
      <w:r>
        <w:rPr>
          <w:rFonts w:ascii="Amiri" w:hAnsi="Amiri" w:eastAsia="Amiri" w:cs="Amiri"/>
          <w:color w:val="111111"/>
          <w:sz w:val="28"/>
          <w:sz w:val="28"/>
          <w:szCs w:val="28"/>
          <w:rtl w:val="true"/>
          <w:lang w:bidi="ar-SA"/>
        </w:rPr>
        <w:t xml:space="preserve">كتابه الكافي بعد ذكره جملةً من المرجحات تخطى عنها إلى القول بالتخيير </w:t>
      </w:r>
      <w:r>
        <w:rPr>
          <w:rStyle w:val="FootnoteAnchor"/>
          <w:rtl w:val="true"/>
        </w:rPr>
        <w:footnoteReference w:id="473"/>
      </w: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تلك الأدلة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الألفاظ الظنية و قيام الاحتمالات و شيوع المجازات بل غلبتها على الحقائق مما لا ينكره الممارس الحاذق </w:t>
      </w:r>
      <w:r>
        <w:rPr>
          <w:rStyle w:val="FootnoteAnchor"/>
          <w:rtl w:val="true"/>
        </w:rPr>
        <w:footnoteReference w:id="476"/>
      </w:r>
      <w:r>
        <w:rPr>
          <w:rFonts w:ascii="IRNazanin" w:hAnsi="IRNazanin" w:eastAsia="IRNazanin"/>
          <w:color w:val="111111"/>
          <w:sz w:val="28"/>
          <w:sz w:val="28"/>
          <w:szCs w:val="28"/>
          <w:rtl w:val="true"/>
          <w:lang w:bidi="fa-IR"/>
        </w:rPr>
        <w:t xml:space="preserve">، وكذلك ما ورد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يكلمون الناس على قدر عقولهم</w:t>
      </w:r>
      <w:r>
        <w:rPr>
          <w:rStyle w:val="FootnoteAnchor"/>
          <w:rtl w:val="true"/>
        </w:rPr>
        <w:footnoteReference w:id="477"/>
      </w:r>
      <w:r>
        <w:rPr>
          <w:rFonts w:ascii="Amiri" w:hAnsi="Amiri" w:eastAsia="Amiri" w:cs="Amiri"/>
          <w:color w:val="111111"/>
          <w:sz w:val="28"/>
          <w:sz w:val="28"/>
          <w:szCs w:val="28"/>
          <w:rtl w:val="true"/>
          <w:lang w:bidi="ar-SA"/>
        </w:rPr>
        <w:t>، و أنهم يجيبون عن الأسئلة على قدر الزيادة والنقصان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التواتر في جميعها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يكذبه اختلافها في نفسها، وإنل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المتناقض والمتخالف، و المحكم والمتشابه، والمردود والمقبول، وكيف مثل هذا يجامع التواتر؟</w:t>
      </w:r>
    </w:p>
    <w:p>
      <w:pPr>
        <w:pStyle w:val="BookText"/>
        <w:rPr/>
      </w:pPr>
      <w:r>
        <w:rPr>
          <w:rFonts w:ascii="Amiri" w:hAnsi="Amiri" w:eastAsia="Amiri" w:cs="Amiri"/>
          <w:color w:val="111111"/>
          <w:sz w:val="28"/>
          <w:sz w:val="28"/>
          <w:szCs w:val="28"/>
          <w:rtl w:val="true"/>
          <w:lang w:bidi="ar-SA"/>
        </w:rPr>
        <w:t>ولهذا قال المفيد في رسالة الأهلة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التضاد لا يجامع</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الطوسي في أوائل الاستبصار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أنهما أرادا بذلك الاختلاف الراجع إلى نفس الروايات مع قطع النظر عن التقية، و إلا قد يحصل الاختلاف حتى في المتواتر بالنظر إليها على ما حققه المحقق الشيخ سليمان </w:t>
      </w:r>
      <w:r>
        <w:rPr>
          <w:rStyle w:val="FootnoteAnchor"/>
          <w:rtl w:val="true"/>
        </w:rPr>
        <w:footnoteReference w:id="482"/>
      </w:r>
      <w:r>
        <w:rPr>
          <w:rFonts w:ascii="Amiri" w:hAnsi="Amiri" w:eastAsia="Amiri" w:cs="Amiri"/>
          <w:color w:val="111111"/>
          <w:sz w:val="28"/>
          <w:sz w:val="28"/>
          <w:szCs w:val="28"/>
          <w:rtl w:val="true"/>
          <w:lang w:bidi="ar-SA"/>
        </w:rPr>
        <w:t xml:space="preserve">في تعليقاته على الاستبصار </w:t>
      </w:r>
      <w:r>
        <w:rPr>
          <w:rStyle w:val="FootnoteAnchor"/>
          <w:rtl w:val="true"/>
        </w:rPr>
        <w:footnoteReference w:id="483"/>
      </w:r>
      <w:r>
        <w:rPr>
          <w:rFonts w:ascii="Amiri" w:hAnsi="Amiri" w:eastAsia="Amiri" w:cs="Amiri"/>
          <w:color w:val="111111"/>
          <w:sz w:val="28"/>
          <w:sz w:val="28"/>
          <w:szCs w:val="28"/>
          <w:rtl w:val="true"/>
          <w:lang w:bidi="ar-SA"/>
        </w:rPr>
        <w:t>، و غيره في غيرها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يراد بالتواتر المدعى في أخبارنا غير التواتر المشهور، بل هو </w:t>
      </w:r>
      <w:r>
        <w:rPr>
          <w:rStyle w:val="FootnoteAnchor"/>
          <w:rtl w:val="true"/>
        </w:rPr>
        <w:footnoteReference w:id="484"/>
      </w:r>
      <w:r>
        <w:rPr>
          <w:rFonts w:ascii="Amiri" w:hAnsi="Amiri" w:eastAsia="Amiri" w:cs="Amiri"/>
          <w:color w:val="111111"/>
          <w:sz w:val="28"/>
          <w:sz w:val="28"/>
          <w:szCs w:val="28"/>
          <w:rtl w:val="true"/>
          <w:lang w:bidi="ar-SA"/>
        </w:rPr>
        <w:t xml:space="preserve">أعمُّ ، مما دلت القرائن على ثبوته، وإن كان في نفسه من أخبار </w:t>
      </w:r>
      <w:r>
        <w:rPr>
          <w:rStyle w:val="FootnoteAnchor"/>
          <w:rtl w:val="true"/>
        </w:rPr>
        <w:footnoteReference w:id="48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الآحاد؛ فإنهم كثيرًا ما يطلقون التواتر على مثله لمساواة </w:t>
      </w:r>
      <w:r>
        <w:rPr>
          <w:rStyle w:val="FootnoteAnchor"/>
          <w:rtl w:val="true"/>
        </w:rPr>
        <w:footnoteReference w:id="486"/>
      </w:r>
      <w:r>
        <w:rPr>
          <w:rFonts w:ascii="Amiri" w:hAnsi="Amiri" w:eastAsia="Amiri" w:cs="Amiri"/>
          <w:color w:val="111111"/>
          <w:sz w:val="28"/>
          <w:sz w:val="28"/>
          <w:szCs w:val="28"/>
          <w:rtl w:val="true"/>
          <w:lang w:bidi="ar-SA"/>
        </w:rPr>
        <w:t xml:space="preserve">هذا الفرد المتواتر الاصطلاحي في وجوب العمل على ما يظهر من كلام الشيخ في العدة </w:t>
      </w:r>
      <w:r>
        <w:rPr>
          <w:rStyle w:val="FootnoteAnchor"/>
          <w:rtl w:val="true"/>
        </w:rPr>
        <w:footnoteReference w:id="487"/>
      </w:r>
      <w:r>
        <w:rPr>
          <w:rFonts w:ascii="IRNazanin" w:hAnsi="IRNazanin" w:eastAsia="IRNazanin"/>
          <w:color w:val="111111"/>
          <w:sz w:val="28"/>
          <w:sz w:val="28"/>
          <w:szCs w:val="28"/>
          <w:rtl w:val="true"/>
          <w:lang w:bidi="fa-IR"/>
        </w:rPr>
        <w:t xml:space="preserve">و مقدمات الاستبصار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489"/>
      </w:r>
      <w:r>
        <w:rPr>
          <w:rFonts w:ascii="Amiri" w:hAnsi="Amiri" w:eastAsia="Amiri" w:cs="Amiri"/>
          <w:color w:val="111111"/>
          <w:sz w:val="28"/>
          <w:sz w:val="28"/>
          <w:szCs w:val="28"/>
          <w:rtl w:val="true"/>
          <w:lang w:bidi="ar-SA"/>
        </w:rPr>
        <w:t>أن تلك الأصول التي ادعى تواترها هي غير ما وصلت إلينا، فلا ينفعنا ذلك فيما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على تلك الدعوى بأنه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قطعية دلالتها للزم أن الحكم في مقام البيان و التفهيم يريد من خطاب </w:t>
      </w:r>
      <w:r>
        <w:rPr>
          <w:rStyle w:val="FootnoteAnchor"/>
          <w:rtl w:val="true"/>
        </w:rPr>
        <w:footnoteReference w:id="491"/>
      </w:r>
      <w:r>
        <w:rPr>
          <w:rFonts w:ascii="Amiri" w:hAnsi="Amiri" w:eastAsia="Amiri" w:cs="Amiri"/>
          <w:color w:val="111111"/>
          <w:sz w:val="28"/>
          <w:sz w:val="28"/>
          <w:szCs w:val="28"/>
          <w:rtl w:val="true"/>
          <w:lang w:bidi="ar-SA"/>
        </w:rPr>
        <w:t xml:space="preserve">غير ظاهره ، بأن يتكلم بكلام يريد غير ظاهره، لا سيما من اجتمعت فيه بلوغ نهاية الحكمة مع الحكمة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w:t>
      </w:r>
      <w:r>
        <w:rPr>
          <w:rStyle w:val="FootnoteAnchor"/>
          <w:rtl w:val="true"/>
        </w:rPr>
        <w:footnoteReference w:id="493"/>
      </w:r>
      <w:r>
        <w:rPr>
          <w:rFonts w:ascii="Amiri" w:hAnsi="Amiri" w:eastAsia="Amiri" w:cs="Amiri"/>
          <w:color w:val="111111"/>
          <w:sz w:val="28"/>
          <w:sz w:val="28"/>
          <w:szCs w:val="28"/>
          <w:rtl w:val="true"/>
          <w:lang w:bidi="ar-SA"/>
        </w:rPr>
        <w:t xml:space="preserve">لا ينفعهم؛ إذ من الجائز أنه ربما اقتضت الحكمة ذلك كما اقتضت </w:t>
      </w:r>
      <w:r>
        <w:rPr>
          <w:rStyle w:val="FootnoteAnchor"/>
          <w:rtl w:val="true"/>
        </w:rPr>
        <w:footnoteReference w:id="494"/>
      </w:r>
      <w:r>
        <w:rPr>
          <w:rFonts w:ascii="IRNazanin" w:hAnsi="IRNazanin" w:eastAsia="IRNazanin"/>
          <w:color w:val="111111"/>
          <w:sz w:val="28"/>
          <w:sz w:val="28"/>
          <w:szCs w:val="28"/>
          <w:rtl w:val="true"/>
          <w:lang w:bidi="fa-IR"/>
        </w:rPr>
        <w:t>في مواضع ترك الجواب بالمرة، كما استفاض في الأخبار عنهم علیهم السلام أنه قدت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فرض عليكم السؤال و لم يفرض علينا الجواب، بل ذلك إلينا إن شئنا أجبنا، و الا فلا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جاء في بعض </w:t>
      </w:r>
      <w:r>
        <w:rPr>
          <w:rStyle w:val="FootnoteAnchor"/>
          <w:rtl w:val="true"/>
        </w:rPr>
        <w:footnoteReference w:id="496"/>
      </w:r>
      <w:r>
        <w:rPr>
          <w:rFonts w:ascii="Amiri" w:hAnsi="Amiri" w:eastAsia="Amiri" w:cs="Amiri"/>
          <w:color w:val="111111"/>
          <w:sz w:val="28"/>
          <w:sz w:val="28"/>
          <w:szCs w:val="28"/>
          <w:rtl w:val="true"/>
          <w:lang w:bidi="ar-SA"/>
        </w:rPr>
        <w:t>الأخبار أنه قد وردت عنهم علیهم السلام خطابات تنصرف على وجوه عديدة في كل منها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المعاني بإسناده إلى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أَفْقَهُ النَّاسِ إِذَا عَرَفْتُمْ مَعَانِيَ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مِنَّا </w:t>
      </w:r>
      <w:r>
        <w:rPr>
          <w:rStyle w:val="FootnoteAnchor"/>
          <w:rtl w:val="true"/>
        </w:rPr>
        <w:footnoteReference w:id="497"/>
      </w:r>
      <w:r>
        <w:rPr>
          <w:rFonts w:ascii="Amiri" w:hAnsi="Amiri" w:eastAsia="Amiri" w:cs="Amiri"/>
          <w:color w:val="111111"/>
          <w:sz w:val="28"/>
          <w:sz w:val="28"/>
          <w:szCs w:val="28"/>
          <w:rtl w:val="true"/>
          <w:lang w:bidi="ar-SA"/>
        </w:rPr>
        <w:t>لَتَنْصَرِفُ عَلَى وُجُوْهِ، فَلَوْ شَاءَ إِنْسَانٌ لَصَرَفَ كَلَامَهُ كَيْفَ شَاءَ، وَلَا يَكْذِبُ</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بإسناده إلى زيد الزراد </w:t>
      </w:r>
      <w:r>
        <w:rPr>
          <w:rStyle w:val="FootnoteAnchor"/>
          <w:rtl w:val="true"/>
        </w:rPr>
        <w:footnoteReference w:id="499"/>
      </w:r>
      <w:r>
        <w:rPr>
          <w:rFonts w:ascii="IRNazanin" w:hAnsi="IRNazanin" w:eastAsia="IRNazanin"/>
          <w:color w:val="111111"/>
          <w:sz w:val="28"/>
          <w:sz w:val="28"/>
          <w:szCs w:val="28"/>
          <w:rtl w:val="true"/>
          <w:lang w:bidi="fa-IR"/>
        </w:rPr>
        <w:t xml:space="preserve">عن </w:t>
      </w:r>
      <w:r>
        <w:rPr>
          <w:rStyle w:val="FootnoteAnchor"/>
          <w:rtl w:val="true"/>
        </w:rPr>
        <w:footnoteReference w:id="500"/>
      </w:r>
      <w:r>
        <w:rPr>
          <w:rFonts w:ascii="Amiri" w:hAnsi="Amiri" w:eastAsia="Amiri" w:cs="Amiri"/>
          <w:color w:val="111111"/>
          <w:sz w:val="28"/>
          <w:sz w:val="28"/>
          <w:szCs w:val="28"/>
          <w:rtl w:val="true"/>
          <w:lang w:bidi="ar-SA"/>
        </w:rPr>
        <w:t>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اعْرِفْ مَنَازِلَ الشَّيْعَةِ عَلَى قَدْرِ رِوَايَاتِهِمْ و َمَعْرِفَتِهِمْ؛ فَإِنَّ المَعْرِفَةَ هِيَ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 وَبِالدِّرَايَاتِ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لِلرِّوَايَاتِ </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يَعْلُو </w:t>
      </w:r>
      <w:r>
        <w:rPr>
          <w:rStyle w:val="FootnoteAnchor"/>
          <w:rtl w:val="true"/>
        </w:rPr>
        <w:footnoteReference w:id="5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 إِلَى أَقْصَى دَرَجَاتِ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كِتَابِ عَلَى</w:t>
      </w:r>
      <w:r>
        <w:rPr>
          <w:rStyle w:val="FootnoteAnchor"/>
          <w:rtl w:val="true"/>
        </w:rPr>
        <w:footnoteReference w:id="505"/>
      </w:r>
      <w:r>
        <w:rPr>
          <w:rFonts w:ascii="Amiri" w:hAnsi="Amiri" w:eastAsia="Amiri" w:cs="Amiri"/>
          <w:color w:val="111111"/>
          <w:sz w:val="28"/>
          <w:sz w:val="28"/>
          <w:szCs w:val="28"/>
          <w:rtl w:val="true"/>
          <w:lang w:bidi="ar-SA"/>
        </w:rPr>
        <w:t xml:space="preserve">علیه السلام فَوَجَدْتُ فِي الْكِتَابِ أَنَّ قِيْمَةَ كلُّ امْرِي </w:t>
      </w:r>
      <w:r>
        <w:rPr>
          <w:rStyle w:val="FootnoteAnchor"/>
          <w:rtl w:val="true"/>
        </w:rPr>
        <w:footnoteReference w:id="506"/>
      </w:r>
      <w:r>
        <w:rPr>
          <w:rFonts w:ascii="Amiri" w:hAnsi="Amiri" w:eastAsia="Amiri" w:cs="Amiri"/>
          <w:color w:val="111111"/>
          <w:sz w:val="28"/>
          <w:sz w:val="28"/>
          <w:szCs w:val="28"/>
          <w:rtl w:val="true"/>
          <w:lang w:bidi="ar-SA"/>
        </w:rPr>
        <w:t>و َقَدْرُهُ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Style w:val="FootnoteAnchor"/>
          <w:rtl w:val="true"/>
        </w:rPr>
        <w:footnoteReference w:id="507"/>
      </w:r>
      <w:r>
        <w:rPr>
          <w:rFonts w:ascii="Amiri" w:hAnsi="Amiri" w:eastAsia="Amiri" w:cs="Amiri"/>
          <w:color w:val="111111"/>
          <w:sz w:val="28"/>
          <w:sz w:val="28"/>
          <w:szCs w:val="28"/>
          <w:rtl w:val="true"/>
          <w:lang w:bidi="ar-SA"/>
        </w:rPr>
        <w:t>يُحَاسِبُ النَّاسَ عَلَى قَدْرِ مَا أَتَاهُمْ مِنَ الْعُقُولِ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w:t>
      </w:r>
      <w:r>
        <w:rPr>
          <w:rStyle w:val="FootnoteAnchor"/>
          <w:rtl w:val="true"/>
        </w:rPr>
        <w:footnoteReference w:id="510"/>
      </w:r>
      <w:r>
        <w:rPr>
          <w:rFonts w:ascii="Amiri" w:hAnsi="Amiri" w:eastAsia="Amiri" w:cs="Amiri"/>
          <w:color w:val="111111"/>
          <w:sz w:val="28"/>
          <w:sz w:val="28"/>
          <w:szCs w:val="28"/>
          <w:rtl w:val="true"/>
          <w:lang w:bidi="ar-SA"/>
        </w:rPr>
        <w:t>الكرخي عن أبي عبدالله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تَدْرِيْهِ خَيْرٌ مِنْ أَلْفِ حَدِيْثٍ تَرْوِيْهِ، وَلَا يَكُوْنُ الرَّجُلُ مِنْكُمْ فَقِيْهَا حَتَّى يَعْرِفَ مَعَارِيْضَ </w:t>
      </w:r>
      <w:r>
        <w:rPr>
          <w:rStyle w:val="FootnoteAnchor"/>
          <w:rtl w:val="true"/>
        </w:rPr>
        <w:footnoteReference w:id="511"/>
      </w:r>
      <w:r>
        <w:rPr>
          <w:rFonts w:ascii="Amiri" w:hAnsi="Amiri" w:eastAsia="Amiri" w:cs="Amiri"/>
          <w:color w:val="111111"/>
          <w:sz w:val="28"/>
          <w:sz w:val="28"/>
          <w:szCs w:val="28"/>
          <w:rtl w:val="true"/>
          <w:lang w:bidi="ar-SA"/>
        </w:rPr>
        <w:t xml:space="preserve">كَلامِنَا، وَإِنَّ الْكَلِمَةَ مِنْ كَلَامِنَا لَتَنْصَرِفُ عَلى </w:t>
      </w:r>
      <w:r>
        <w:rPr>
          <w:rStyle w:val="FootnoteAnchor"/>
          <w:rtl w:val="true"/>
        </w:rPr>
        <w:footnoteReference w:id="512"/>
      </w:r>
      <w:r>
        <w:rPr>
          <w:rFonts w:ascii="Amiri" w:hAnsi="Amiri" w:eastAsia="Amiri" w:cs="Amiri"/>
          <w:color w:val="111111"/>
          <w:sz w:val="28"/>
          <w:sz w:val="28"/>
          <w:szCs w:val="28"/>
          <w:rtl w:val="true"/>
          <w:lang w:bidi="ar-SA"/>
        </w:rPr>
        <w:t xml:space="preserve">سَبْعِينَ وَجْهَا لَنَا مِنَ الجَمِيعِ </w:t>
      </w:r>
      <w:r>
        <w:rPr>
          <w:rStyle w:val="FootnoteAnchor"/>
          <w:rtl w:val="true"/>
        </w:rPr>
        <w:footnoteReference w:id="513"/>
      </w:r>
      <w:r>
        <w:rPr>
          <w:rFonts w:ascii="Amiri" w:hAnsi="Amiri" w:eastAsia="Amiri" w:cs="Amiri"/>
          <w:color w:val="111111"/>
          <w:sz w:val="28"/>
          <w:sz w:val="28"/>
          <w:szCs w:val="28"/>
          <w:rtl w:val="true"/>
          <w:lang w:bidi="ar-SA"/>
        </w:rPr>
        <w:t xml:space="preserve">المخْرَجُ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معلنة بذلك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قد ظهر من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w:t>
      </w:r>
      <w:r>
        <w:rPr>
          <w:rStyle w:val="FootnoteAnchor"/>
          <w:rtl w:val="true"/>
        </w:rPr>
        <w:footnoteReference w:id="515"/>
      </w:r>
      <w:r>
        <w:rPr>
          <w:rFonts w:ascii="Amiri" w:hAnsi="Amiri" w:eastAsia="Amiri" w:cs="Amiri"/>
          <w:color w:val="111111"/>
          <w:sz w:val="28"/>
          <w:sz w:val="28"/>
          <w:szCs w:val="28"/>
          <w:rtl w:val="true"/>
          <w:lang w:bidi="ar-SA"/>
        </w:rPr>
        <w:t xml:space="preserve">أوجبت رجوع أولئك الفضلاء عن طريقة العلامة و 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w:t>
      </w:r>
      <w:r>
        <w:rPr>
          <w:rStyle w:val="FootnoteAnchor"/>
          <w:rtl w:val="true"/>
        </w:rPr>
        <w:footnoteReference w:id="516"/>
      </w:r>
      <w:r>
        <w:rPr>
          <w:rFonts w:ascii="Amiri" w:hAnsi="Amiri" w:eastAsia="Amiri" w:cs="Amiri"/>
          <w:color w:val="111111"/>
          <w:sz w:val="28"/>
          <w:sz w:val="28"/>
          <w:szCs w:val="28"/>
          <w:rtl w:val="true"/>
          <w:lang w:bidi="ar-SA"/>
        </w:rPr>
        <w:t>القواعد الاجتهادية، وأن مشاركة الأخبار لها في الظن مما لا يضرنا في الأخذ بها؛ لأن وجوبه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العمل بما جاء عنهم علیهم السلام في السنة متواتر </w:t>
      </w:r>
      <w:r>
        <w:rPr>
          <w:rStyle w:val="FootnoteAnchor"/>
          <w:rtl w:val="true"/>
        </w:rPr>
        <w:footnoteReference w:id="517"/>
      </w:r>
      <w:r>
        <w:rPr>
          <w:rFonts w:ascii="Amiri" w:hAnsi="Amiri" w:eastAsia="Amiri" w:cs="Amiri"/>
          <w:color w:val="111111"/>
          <w:sz w:val="28"/>
          <w:sz w:val="28"/>
          <w:szCs w:val="28"/>
          <w:rtl w:val="true"/>
          <w:lang w:bidi="ar-SA"/>
        </w:rPr>
        <w:t>ثبت على جهة القطع؛ للآيات والروايات البالغة حد التواتر، بل الإجماع المدعى من الفريقين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اعترف جماعة من أولئك المجتهدين كالعلامة في كتاب منهاج الكرامة و غيره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كنهاية الأصول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حيث قال في كتابه المذكور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الإمامية </w:t>
      </w:r>
      <w:r>
        <w:rPr>
          <w:rStyle w:val="FootnoteAnchor"/>
          <w:rtl w:val="true"/>
        </w:rPr>
        <w:footnoteReference w:id="519"/>
      </w:r>
      <w:r>
        <w:rPr>
          <w:rFonts w:ascii="Amiri" w:hAnsi="Amiri" w:eastAsia="Amiri" w:cs="Amiri"/>
          <w:color w:val="111111"/>
          <w:sz w:val="28"/>
          <w:sz w:val="28"/>
          <w:szCs w:val="28"/>
          <w:rtl w:val="true"/>
          <w:lang w:bidi="ar-SA"/>
        </w:rPr>
        <w:t>أخذوا أحكامهم الفروعية عن الأئمة المعصومين –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يلتفتوا إلى </w:t>
      </w:r>
      <w:r>
        <w:rPr>
          <w:rStyle w:val="FootnoteAnchor"/>
          <w:rtl w:val="true"/>
        </w:rPr>
        <w:footnoteReference w:id="520"/>
      </w:r>
      <w:r>
        <w:rPr>
          <w:rFonts w:ascii="Amiri" w:hAnsi="Amiri" w:eastAsia="Amiri" w:cs="Amiri"/>
          <w:color w:val="111111"/>
          <w:sz w:val="28"/>
          <w:sz w:val="28"/>
          <w:szCs w:val="28"/>
          <w:rtl w:val="true"/>
          <w:lang w:bidi="ar-SA"/>
        </w:rPr>
        <w:t>القول بالرأي و الاجتهاد، و حرموا الأخذ بالقياس والاستحسان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أوائل التذكرة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صنفت هذا الكتاب في فقه الإمامية الذين أخذوا فروعهم عن الأئمة المعصومين، لا بالرأي و القياس و لا باجتهاد الناس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ذلك قد صرح الشيخ الطوسي في أوائل العدة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القياس و </w:t>
      </w:r>
      <w:r>
        <w:rPr>
          <w:rStyle w:val="FootnoteAnchor"/>
          <w:rtl w:val="true"/>
        </w:rPr>
        <w:footnoteReference w:id="523"/>
      </w:r>
      <w:r>
        <w:rPr>
          <w:rFonts w:ascii="IRNazanin" w:hAnsi="IRNazanin" w:eastAsia="IRNazanin"/>
          <w:color w:val="111111"/>
          <w:sz w:val="28"/>
          <w:sz w:val="28"/>
          <w:szCs w:val="28"/>
          <w:rtl w:val="true"/>
          <w:lang w:bidi="fa-IR"/>
        </w:rPr>
        <w:t xml:space="preserve">الاجتهاد فإنهما </w:t>
      </w:r>
      <w:r>
        <w:rPr>
          <w:rStyle w:val="FootnoteAnchor"/>
          <w:rtl w:val="true"/>
        </w:rPr>
        <w:footnoteReference w:id="524"/>
      </w:r>
      <w:r>
        <w:rPr>
          <w:rFonts w:ascii="Amiri" w:hAnsi="Amiri" w:eastAsia="Amiri" w:cs="Amiri"/>
          <w:color w:val="111111"/>
          <w:sz w:val="28"/>
          <w:sz w:val="28"/>
          <w:szCs w:val="28"/>
          <w:rtl w:val="true"/>
          <w:lang w:bidi="ar-SA"/>
        </w:rPr>
        <w:t xml:space="preserve">ليسا عندنا </w:t>
      </w:r>
      <w:r>
        <w:rPr>
          <w:rStyle w:val="FootnoteAnchor"/>
          <w:rtl w:val="true"/>
        </w:rPr>
        <w:footnoteReference w:id="525"/>
      </w:r>
      <w:r>
        <w:rPr>
          <w:rFonts w:ascii="Amiri" w:hAnsi="Amiri" w:eastAsia="Amiri" w:cs="Amiri"/>
          <w:color w:val="111111"/>
          <w:sz w:val="28"/>
          <w:sz w:val="28"/>
          <w:szCs w:val="28"/>
          <w:rtl w:val="true"/>
          <w:lang w:bidi="ar-SA"/>
        </w:rPr>
        <w:t>بدليلين، بل محظور استعمالهما،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نحن نبين ذلك فيما يأتي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كلام للمحقق </w:t>
      </w:r>
      <w:r>
        <w:rPr>
          <w:rStyle w:val="FootnoteAnchor"/>
          <w:rtl w:val="true"/>
        </w:rPr>
        <w:footnoteReference w:id="528"/>
      </w:r>
      <w:r>
        <w:rPr>
          <w:rFonts w:ascii="Amiri" w:hAnsi="Amiri" w:eastAsia="Amiri" w:cs="Amiri"/>
          <w:color w:val="111111"/>
          <w:sz w:val="28"/>
          <w:sz w:val="28"/>
          <w:szCs w:val="28"/>
          <w:rtl w:val="true"/>
          <w:lang w:bidi="ar-SA"/>
        </w:rPr>
        <w:t xml:space="preserve">في معتبره يؤيد </w:t>
      </w:r>
      <w:r>
        <w:rPr>
          <w:rStyle w:val="FootnoteAnchor"/>
          <w:rtl w:val="true"/>
        </w:rPr>
        <w:footnoteReference w:id="529"/>
      </w:r>
      <w:r>
        <w:rPr>
          <w:rFonts w:ascii="IRNazanin" w:hAnsi="IRNazanin" w:eastAsia="IRNazanin"/>
          <w:color w:val="111111"/>
          <w:sz w:val="28"/>
          <w:sz w:val="28"/>
          <w:szCs w:val="28"/>
          <w:rtl w:val="true"/>
          <w:lang w:bidi="fa-IR"/>
        </w:rPr>
        <w:t>هذه الدعوى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كلها منطبقة على فساد تلك القواعد الاجتهادية، وعدم الاعتداد بها في زماننا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530"/>
      </w:r>
      <w:r>
        <w:rPr>
          <w:rFonts w:ascii="Amiri" w:hAnsi="Amiri" w:eastAsia="Amiri" w:cs="Amiri"/>
          <w:color w:val="111111"/>
          <w:sz w:val="28"/>
          <w:sz w:val="28"/>
          <w:szCs w:val="28"/>
          <w:rtl w:val="true"/>
          <w:lang w:bidi="ar-SA"/>
        </w:rPr>
        <w:t xml:space="preserve">سابقا على أن دخولهم فيها و أخذهم </w:t>
      </w:r>
      <w:r>
        <w:rPr>
          <w:rStyle w:val="FootnoteAnchor"/>
          <w:rtl w:val="true"/>
        </w:rPr>
        <w:footnoteReference w:id="531"/>
      </w:r>
      <w:r>
        <w:rPr>
          <w:rFonts w:ascii="Amiri" w:hAnsi="Amiri" w:eastAsia="Amiri" w:cs="Amiri"/>
          <w:color w:val="111111"/>
          <w:sz w:val="28"/>
          <w:sz w:val="28"/>
          <w:szCs w:val="28"/>
          <w:rtl w:val="true"/>
          <w:lang w:bidi="ar-SA"/>
        </w:rPr>
        <w:t>بها لأحد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إلزاما للمخالفين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الاحتجاج، أو غفلة عن تلك الأدلة المسقطة لها </w:t>
      </w:r>
      <w:r>
        <w:rPr>
          <w:rStyle w:val="FootnoteAnchor"/>
          <w:rtl w:val="true"/>
        </w:rPr>
        <w:footnoteReference w:id="532"/>
      </w:r>
      <w:r>
        <w:rPr>
          <w:rFonts w:ascii="Amiri" w:hAnsi="Amiri" w:eastAsia="Amiri" w:cs="Amiri"/>
          <w:color w:val="111111"/>
          <w:sz w:val="28"/>
          <w:sz w:val="28"/>
          <w:szCs w:val="28"/>
          <w:rtl w:val="true"/>
          <w:lang w:bidi="ar-SA"/>
        </w:rPr>
        <w:t>عن رتبة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حاول جماعة من علمائنا الاعتذار عمن سلك هذه الطريقة ورام بذلك إدخالها في الطرق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تصدى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كتابه الاصول </w:t>
      </w:r>
      <w:r>
        <w:rPr>
          <w:rStyle w:val="FootnoteAnchor"/>
          <w:rtl w:val="true"/>
        </w:rPr>
        <w:footnoteReference w:id="533"/>
      </w:r>
      <w:r>
        <w:rPr>
          <w:rFonts w:ascii="IRNazanin" w:hAnsi="IRNazanin" w:eastAsia="IRNazanin"/>
          <w:color w:val="111111"/>
          <w:sz w:val="28"/>
          <w:sz w:val="28"/>
          <w:szCs w:val="28"/>
          <w:rtl w:val="true"/>
          <w:lang w:bidi="fa-IR"/>
        </w:rPr>
        <w:t xml:space="preserve">، فاحتج على عدم خطئهم و تماثلهم </w:t>
      </w:r>
      <w:r>
        <w:rPr>
          <w:rStyle w:val="FootnoteAnchor"/>
          <w:rtl w:val="true"/>
        </w:rPr>
        <w:footnoteReference w:id="534"/>
      </w:r>
      <w:r>
        <w:rPr>
          <w:rFonts w:ascii="Amiri" w:hAnsi="Amiri" w:eastAsia="Amiri" w:cs="Amiri"/>
          <w:color w:val="111111"/>
          <w:sz w:val="28"/>
          <w:sz w:val="28"/>
          <w:szCs w:val="28"/>
          <w:rtl w:val="true"/>
          <w:lang w:bidi="ar-SA"/>
        </w:rPr>
        <w:t xml:space="preserve">لا تخلو من شائبة الأغلاط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استفراغ المجتهد </w:t>
      </w:r>
      <w:r>
        <w:rPr>
          <w:rStyle w:val="FootnoteAnchor"/>
          <w:rtl w:val="true"/>
        </w:rPr>
        <w:footnoteReference w:id="535"/>
      </w:r>
      <w:r>
        <w:rPr>
          <w:rFonts w:ascii="Amiri" w:hAnsi="Amiri" w:eastAsia="Amiri" w:cs="Amiri"/>
          <w:color w:val="111111"/>
          <w:sz w:val="28"/>
          <w:sz w:val="28"/>
          <w:szCs w:val="28"/>
          <w:rtl w:val="true"/>
          <w:lang w:bidi="ar-SA"/>
        </w:rPr>
        <w:t>الوسع يتحقق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تابعة للمصالح؛ فجاز أن تختلف بالنسبة إلى المجتهدين كاستقبال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 كل من صلى و قد غلب على ظنه أن القبلة على جهةٍ أن يستقبل تلك الجهة إذا لم يكن له طريق إلى العلم، و يمكن أن يكون فرض المكلف بالحق </w:t>
      </w:r>
      <w:r>
        <w:rPr>
          <w:rStyle w:val="FootnoteAnchor"/>
          <w:rtl w:val="true"/>
        </w:rPr>
        <w:footnoteReference w:id="537"/>
      </w:r>
      <w:r>
        <w:rPr>
          <w:rFonts w:ascii="IRNazanin" w:hAnsi="IRNazanin" w:eastAsia="IRNazanin"/>
          <w:color w:val="111111"/>
          <w:sz w:val="28"/>
          <w:sz w:val="28"/>
          <w:szCs w:val="28"/>
          <w:rtl w:val="true"/>
          <w:lang w:bidi="fa-IR"/>
        </w:rPr>
        <w:t xml:space="preserve">أمر و مع عدمه </w:t>
      </w:r>
      <w:r>
        <w:rPr>
          <w:rStyle w:val="FootnoteAnchor"/>
          <w:rtl w:val="true"/>
        </w:rPr>
        <w:footnoteReference w:id="538"/>
      </w:r>
      <w:r>
        <w:rPr>
          <w:rFonts w:ascii="IRNazanin" w:hAnsi="IRNazanin" w:eastAsia="IRNazanin"/>
          <w:color w:val="111111"/>
          <w:sz w:val="28"/>
          <w:sz w:val="28"/>
          <w:szCs w:val="28"/>
          <w:rtl w:val="true"/>
          <w:lang w:bidi="fa-IR"/>
        </w:rPr>
        <w:t>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الفرقة المحقة مختلفة في الأحكام الشرعية اختلافًا شديدا، حتى أن الواحد منهم يفتي </w:t>
      </w:r>
      <w:r>
        <w:rPr>
          <w:rStyle w:val="FootnoteAnchor"/>
          <w:rtl w:val="true"/>
        </w:rPr>
        <w:footnoteReference w:id="540"/>
      </w:r>
      <w:r>
        <w:rPr>
          <w:rFonts w:ascii="Amiri" w:hAnsi="Amiri" w:eastAsia="Amiri" w:cs="Amiri"/>
          <w:color w:val="111111"/>
          <w:sz w:val="28"/>
          <w:sz w:val="28"/>
          <w:szCs w:val="28"/>
          <w:rtl w:val="true"/>
          <w:lang w:bidi="ar-SA"/>
        </w:rPr>
        <w:t xml:space="preserve">بشيء ويرجع عنه </w:t>
      </w:r>
      <w:r>
        <w:rPr>
          <w:rStyle w:val="FootnoteAnchor"/>
          <w:rtl w:val="true"/>
        </w:rPr>
        <w:footnoteReference w:id="541"/>
      </w:r>
      <w:r>
        <w:rPr>
          <w:rFonts w:ascii="Amiri" w:hAnsi="Amiri" w:eastAsia="Amiri" w:cs="Amiri"/>
          <w:color w:val="111111"/>
          <w:sz w:val="28"/>
          <w:sz w:val="28"/>
          <w:szCs w:val="28"/>
          <w:rtl w:val="true"/>
          <w:lang w:bidi="ar-SA"/>
        </w:rPr>
        <w:t>إلى غيره، فلو لم يرتفع الإثم لعمهم الفسق وشملهم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ذكره </w:t>
      </w:r>
      <w:r>
        <w:rPr>
          <w:rStyle w:val="FootnoteAnchor"/>
          <w:rtl w:val="true"/>
        </w:rPr>
        <w:footnoteReference w:id="542"/>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يرد على الأولين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Style w:val="FootnoteAnchor"/>
          <w:rtl w:val="true"/>
        </w:rPr>
        <w:footnoteReference w:id="543"/>
      </w:r>
      <w:r>
        <w:rPr>
          <w:rFonts w:ascii="Amiri" w:hAnsi="Amiri" w:eastAsia="Amiri" w:cs="Amiri"/>
          <w:color w:val="111111"/>
          <w:sz w:val="28"/>
          <w:sz w:val="28"/>
          <w:szCs w:val="28"/>
          <w:rtl w:val="true"/>
          <w:lang w:bidi="ar-SA"/>
        </w:rPr>
        <w:t xml:space="preserve">هو إنما يجريان لو تما في العلميات و متعلقات الحكم، لا في نفس الحكم، و فرق ما بينهما، و قياس أحدهما على الآخر مما لا يجوز مع عدم الفارق فكيف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قد جاء في الأخبار ما يدل </w:t>
      </w:r>
      <w:r>
        <w:rPr>
          <w:rStyle w:val="FootnoteAnchor"/>
          <w:rtl w:val="true"/>
        </w:rPr>
        <w:footnoteReference w:id="544"/>
      </w:r>
      <w:r>
        <w:rPr>
          <w:rFonts w:ascii="IRNazanin" w:hAnsi="IRNazanin" w:eastAsia="IRNazanin"/>
          <w:color w:val="111111"/>
          <w:sz w:val="28"/>
          <w:sz w:val="28"/>
          <w:szCs w:val="28"/>
          <w:rtl w:val="true"/>
          <w:lang w:bidi="fa-IR"/>
        </w:rPr>
        <w:t xml:space="preserve">على أن </w:t>
      </w:r>
      <w:r>
        <w:rPr>
          <w:rStyle w:val="FootnoteAnchor"/>
          <w:rtl w:val="true"/>
        </w:rPr>
        <w:footnoteReference w:id="545"/>
      </w:r>
      <w:r>
        <w:rPr>
          <w:rFonts w:ascii="Amiri" w:hAnsi="Amiri" w:eastAsia="Amiri" w:cs="Amiri"/>
          <w:color w:val="111111"/>
          <w:sz w:val="28"/>
          <w:sz w:val="28"/>
          <w:szCs w:val="28"/>
          <w:rtl w:val="true"/>
          <w:lang w:bidi="ar-SA"/>
        </w:rPr>
        <w:t xml:space="preserve">هذا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546"/>
      </w:r>
      <w:r>
        <w:rPr>
          <w:rFonts w:ascii="IRNazanin" w:hAnsi="IRNazanin" w:eastAsia="IRNazanin"/>
          <w:color w:val="111111"/>
          <w:sz w:val="28"/>
          <w:sz w:val="28"/>
          <w:szCs w:val="28"/>
          <w:rtl w:val="true"/>
          <w:lang w:bidi="fa-IR"/>
        </w:rPr>
        <w:t>صدر من العامة المخذولين في مقام الإلزام الأئمتنا علیهم السلام ،حيث نفوا ذلك الاجتهاد رأسًا وهدموا بنيانه أساسا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التهذيب بإسناده إلى </w:t>
      </w:r>
      <w:r>
        <w:rPr>
          <w:rStyle w:val="FootnoteAnchor"/>
          <w:rtl w:val="true"/>
        </w:rPr>
        <w:footnoteReference w:id="547"/>
      </w:r>
      <w:r>
        <w:rPr>
          <w:rFonts w:ascii="IRNazanin" w:hAnsi="IRNazanin" w:eastAsia="IRNazanin"/>
          <w:color w:val="111111"/>
          <w:sz w:val="28"/>
          <w:sz w:val="28"/>
          <w:szCs w:val="28"/>
          <w:rtl w:val="true"/>
          <w:lang w:bidi="fa-IR"/>
        </w:rPr>
        <w:t xml:space="preserve">خراش </w:t>
      </w:r>
      <w:r>
        <w:rPr>
          <w:rStyle w:val="FootnoteAnchor"/>
          <w:rtl w:val="true"/>
        </w:rPr>
        <w:footnoteReference w:id="548"/>
      </w:r>
      <w:r>
        <w:rPr>
          <w:rFonts w:ascii="Amiri" w:hAnsi="Amiri" w:eastAsia="Amiri" w:cs="Amiri"/>
          <w:color w:val="111111"/>
          <w:sz w:val="28"/>
          <w:sz w:val="28"/>
          <w:szCs w:val="28"/>
          <w:rtl w:val="true"/>
          <w:lang w:bidi="ar-SA"/>
        </w:rPr>
        <w:t>عن بعض أصحابنا عن أبي عبدالله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إِنَّ هَؤُلَاءِ المُخَالِفِيْنَ </w:t>
      </w:r>
      <w:r>
        <w:rPr>
          <w:rStyle w:val="FootnoteAnchor"/>
          <w:rtl w:val="true"/>
        </w:rPr>
        <w:footnoteReference w:id="549"/>
      </w:r>
      <w:r>
        <w:rPr>
          <w:rFonts w:ascii="Amiri" w:hAnsi="Amiri" w:eastAsia="Amiri" w:cs="Amiri"/>
          <w:color w:val="111111"/>
          <w:sz w:val="28"/>
          <w:sz w:val="28"/>
          <w:szCs w:val="28"/>
          <w:rtl w:val="true"/>
          <w:lang w:bidi="ar-SA"/>
        </w:rPr>
        <w:t>عَلَيْنَا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أَطْبَقَتْ </w:t>
      </w:r>
      <w:r>
        <w:rPr>
          <w:rStyle w:val="FootnoteAnchor"/>
          <w:rtl w:val="true"/>
        </w:rPr>
        <w:footnoteReference w:id="550"/>
      </w:r>
      <w:r>
        <w:rPr>
          <w:rFonts w:ascii="Amiri" w:hAnsi="Amiri" w:eastAsia="Amiri" w:cs="Amiri"/>
          <w:color w:val="111111"/>
          <w:sz w:val="28"/>
          <w:sz w:val="28"/>
          <w:szCs w:val="28"/>
          <w:rtl w:val="true"/>
          <w:lang w:bidi="ar-SA"/>
        </w:rPr>
        <w:t xml:space="preserve">عَلَيْنَا أَوْ أَظْلَمَتْ فلمْ نَعْرِفِ السَّمَاءَ كُنَّا </w:t>
      </w:r>
      <w:r>
        <w:rPr>
          <w:rStyle w:val="FootnoteAnchor"/>
          <w:rtl w:val="true"/>
        </w:rPr>
        <w:footnoteReference w:id="551"/>
      </w:r>
      <w:r>
        <w:rPr>
          <w:rFonts w:ascii="Amiri" w:hAnsi="Amiri" w:eastAsia="Amiri" w:cs="Amiri"/>
          <w:color w:val="111111"/>
          <w:sz w:val="28"/>
          <w:sz w:val="28"/>
          <w:szCs w:val="28"/>
          <w:rtl w:val="true"/>
          <w:lang w:bidi="ar-SA"/>
        </w:rPr>
        <w:t>وَأَنْتُمْ سَوَاء فِي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يَقُوْلُوْنَ، إِذَا كَانَ كَذَلِكَ </w:t>
      </w:r>
      <w:r>
        <w:rPr>
          <w:rStyle w:val="FootnoteAnchor"/>
          <w:rtl w:val="true"/>
        </w:rPr>
        <w:footnoteReference w:id="552"/>
      </w:r>
      <w:r>
        <w:rPr>
          <w:rFonts w:ascii="Amiri" w:hAnsi="Amiri" w:eastAsia="Amiri" w:cs="Amiri"/>
          <w:color w:val="111111"/>
          <w:sz w:val="28"/>
          <w:sz w:val="28"/>
          <w:szCs w:val="28"/>
          <w:rtl w:val="true"/>
          <w:lang w:bidi="ar-SA"/>
        </w:rPr>
        <w:t>فَلْيُصَلِّ إِلَى أَرْبَعِ وُجُوْهِ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أورده بعض أصحابنا على هذه الرواية من أنها متروكة الظاهر، من حيث تضمنها سقوط الاجتهاد بالكلية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في غاية السقوط؛ لأن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نفوا في هذا المقام في مقابلة الرد على العامة؛ لأنهم قاسوا جواز الاجتهاد في الأحكام الشرعية على ما جاء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9" w:name="pg2523_39682"/>
    </w:p>
    <w:p>
      <w:pPr>
        <w:pStyle w:val="BookText"/>
        <w:rPr/>
      </w:pPr>
      <w:bookmarkEnd w:id="49"/>
      <w:r>
        <w:rPr>
          <w:rFonts w:ascii="IRNazanin" w:hAnsi="IRNazanin" w:eastAsia="IRNazanin"/>
          <w:color w:val="111111"/>
          <w:sz w:val="28"/>
          <w:sz w:val="28"/>
          <w:szCs w:val="28"/>
          <w:rtl w:val="true"/>
          <w:lang w:bidi="fa-IR"/>
        </w:rPr>
        <w:t xml:space="preserve">جواز الاجتهاد في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عمل محض أو شرط ينبغي الاجتهاد في تحصيله؛ لإذنهم علیهم السلام </w:t>
      </w:r>
      <w:r>
        <w:rPr>
          <w:rStyle w:val="FootnoteAnchor"/>
          <w:rtl w:val="true"/>
        </w:rPr>
        <w:footnoteReference w:id="555"/>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فحاول علي رد مستمسكهم فكأنه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556"/>
      </w:r>
      <w:r>
        <w:rPr>
          <w:rFonts w:ascii="Amiri" w:hAnsi="Amiri" w:eastAsia="Amiri" w:cs="Amiri"/>
          <w:color w:val="111111"/>
          <w:sz w:val="28"/>
          <w:sz w:val="28"/>
          <w:szCs w:val="28"/>
          <w:rtl w:val="true"/>
          <w:lang w:bidi="ar-SA"/>
        </w:rPr>
        <w:t xml:space="preserve">الجاهل بحكم الله في مسألة الإطباق ليس فرضه الاجتهاد، بل له مندوحة عن ذلك، و هى سلوك طريق التوقف، و الاحتياط بالصلاة </w:t>
      </w:r>
      <w:r>
        <w:rPr>
          <w:rStyle w:val="FootnoteAnchor"/>
          <w:rtl w:val="true"/>
        </w:rPr>
        <w:footnoteReference w:id="557"/>
      </w:r>
      <w:r>
        <w:rPr>
          <w:rFonts w:ascii="IRNazanin" w:hAnsi="IRNazanin" w:eastAsia="IRNazanin"/>
          <w:color w:val="111111"/>
          <w:sz w:val="28"/>
          <w:sz w:val="28"/>
          <w:szCs w:val="28"/>
          <w:rtl w:val="true"/>
          <w:lang w:bidi="fa-IR"/>
        </w:rPr>
        <w:t>إلى أربع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تواترت به الأخبار عنهم علیهم السلام في كل مسألة لم يكن فيها حكم الله على التعيين واضحًا، فهناك لا سبيل له سوى التوقف والأخذ بزمام الاحتياط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استشعر هذه الرواية و ما لاحظه علیه السلام من الفائدة والغاية، عرف أنها مما سيقت لهدم بنيان تلك القواعد الاجتهادية، لا لبيان طريق إلى القبلة الشرعية، ومثل ذلك في أخبارهم كثير </w:t>
      </w:r>
      <w:r>
        <w:rPr>
          <w:rStyle w:val="FootnoteAnchor"/>
          <w:rtl w:val="true"/>
        </w:rPr>
        <w:footnoteReference w:id="558"/>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264836_3804643083"/>
      <w:bookmarkStart w:id="51" w:name="_Toc16"/>
      <w:bookmarkEnd w:id="50"/>
      <w:r>
        <w:rPr>
          <w:rtl w:val="true"/>
        </w:rPr>
        <w:t>[</w:t>
      </w:r>
      <w:r>
        <w:rPr>
          <w:rtl w:val="true"/>
        </w:rPr>
        <w:t>في توجيه ما وقع من ذم الأخباريين للمجتهدين</w:t>
      </w:r>
      <w:r>
        <w:rPr>
          <w:rtl w:val="true"/>
        </w:rPr>
        <w:t>]</w:t>
      </w:r>
      <w:bookmarkEnd w:id="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أحطت نظرًا بأطراف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يعضدها من الظواهر المؤيدة والقرائن المسددة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لك أن طريق التخطئة لمن تخطى الأخذ بمقتضى تلك الأدلة الهادمة لقواعد الاجتهاد ظاهر واضح ، والتشنيع و المؤاخذة الجاريان في كلام بعض الأخباريين من علمائنا مأخذهما لائح؛ لما </w:t>
      </w:r>
    </w:p>
    <w:p>
      <w:pPr>
        <w:pStyle w:val="BookText"/>
        <w:rPr/>
      </w:pPr>
      <w:r>
        <w:rPr>
          <w:rFonts w:ascii="IRNazanin" w:hAnsi="IRNazanin" w:eastAsia="IRNazanin"/>
          <w:color w:val="111111"/>
          <w:sz w:val="28"/>
          <w:sz w:val="28"/>
          <w:szCs w:val="28"/>
          <w:rtl w:val="true"/>
          <w:lang w:bidi="fa-IR"/>
        </w:rPr>
        <w:t xml:space="preserve">عرفت من أن </w:t>
      </w:r>
      <w:r>
        <w:rPr>
          <w:rStyle w:val="FootnoteAnchor"/>
          <w:rtl w:val="true"/>
        </w:rPr>
        <w:footnoteReference w:id="559"/>
      </w:r>
      <w:r>
        <w:rPr>
          <w:rFonts w:ascii="Amiri" w:hAnsi="Amiri" w:eastAsia="Amiri" w:cs="Amiri"/>
          <w:color w:val="111111"/>
          <w:sz w:val="28"/>
          <w:sz w:val="28"/>
          <w:szCs w:val="28"/>
          <w:rtl w:val="true"/>
          <w:lang w:bidi="ar-SA"/>
        </w:rPr>
        <w:t>بعض تلك الأدلة مما شهدت بالكفر و الشرك، فضلاً عن الفسوق والعصيان في التجافي عما جاء عنهم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Style w:val="FootnoteAnchor"/>
          <w:rtl w:val="true"/>
        </w:rPr>
        <w:footnoteReference w:id="560"/>
      </w:r>
      <w:r>
        <w:rPr>
          <w:rFonts w:ascii="Amiri" w:hAnsi="Amiri" w:eastAsia="Amiri" w:cs="Amiri"/>
          <w:color w:val="111111"/>
          <w:sz w:val="28"/>
          <w:sz w:val="28"/>
          <w:szCs w:val="28"/>
          <w:rtl w:val="true"/>
          <w:lang w:bidi="ar-SA"/>
        </w:rPr>
        <w:t xml:space="preserve">أولئك العلماء الأخباريين </w:t>
      </w:r>
      <w:r>
        <w:rPr>
          <w:rStyle w:val="FootnoteAnchor"/>
          <w:rtl w:val="true"/>
        </w:rPr>
        <w:footnoteReference w:id="561"/>
      </w:r>
      <w:r>
        <w:rPr>
          <w:rFonts w:ascii="Amiri" w:hAnsi="Amiri" w:eastAsia="Amiri" w:cs="Amiri"/>
          <w:color w:val="111111"/>
          <w:sz w:val="28"/>
          <w:sz w:val="28"/>
          <w:szCs w:val="28"/>
          <w:rtl w:val="true"/>
          <w:lang w:bidi="ar-SA"/>
        </w:rPr>
        <w:t>حيث قد بلغهم عدالة أولئك العلماء المجتهدين، و إنهم كما وصفت في سؤالك، بل بلغوا زيادة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لهم ذلك حسن الظن والتجافي عن القول فيهم والطعن عليهم </w:t>
      </w:r>
      <w:r>
        <w:rPr>
          <w:rStyle w:val="FootnoteAnchor"/>
          <w:rtl w:val="true"/>
        </w:rPr>
        <w:footnoteReference w:id="562"/>
      </w:r>
      <w:r>
        <w:rPr>
          <w:rFonts w:ascii="Amiri" w:hAnsi="Amiri" w:eastAsia="Amiri" w:cs="Amiri"/>
          <w:color w:val="111111"/>
          <w:sz w:val="28"/>
          <w:sz w:val="28"/>
          <w:szCs w:val="28"/>
          <w:rtl w:val="true"/>
          <w:lang w:bidi="ar-SA"/>
        </w:rPr>
        <w:t xml:space="preserve">لأن مقتضى عدالتهم و وثاقهم أن يكون حاجزًا عن الدخول فيما لم يأت </w:t>
      </w:r>
      <w:r>
        <w:rPr>
          <w:rStyle w:val="FootnoteAnchor"/>
          <w:rtl w:val="true"/>
        </w:rPr>
        <w:footnoteReference w:id="563"/>
      </w:r>
      <w:r>
        <w:rPr>
          <w:rFonts w:ascii="IRNazanin" w:hAnsi="IRNazanin" w:eastAsia="IRNazanin"/>
          <w:color w:val="111111"/>
          <w:sz w:val="28"/>
          <w:sz w:val="28"/>
          <w:szCs w:val="28"/>
          <w:rtl w:val="true"/>
          <w:lang w:bidi="fa-IR"/>
        </w:rPr>
        <w:t xml:space="preserve">عن أئمتهم علیهم السلام ، و أنه لم يصدر ذلك إلا على وجه الغفلة والمجاراة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تعالى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يدلك على ذلك ما قدمنا من العبارات المنقولة عن العلامة وأضرابه، و إلا لوجب الشهادة بكفرهم وشركهم؛ لإعلان الآيات والروايات التي قدمناها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التعرض لأكثر من بيان خطئهم و فساد ما تعلقوا به من القواعد الاجتهادية؛ لئلا يقتفي أثرهم من كان لضعف قريحته عن نَقْضِ شُبههم وما تعلقوا به في </w:t>
      </w:r>
      <w:r>
        <w:rPr>
          <w:rStyle w:val="FootnoteAnchor"/>
          <w:rtl w:val="true"/>
        </w:rPr>
        <w:footnoteReference w:id="564"/>
      </w:r>
      <w:r>
        <w:rPr>
          <w:rFonts w:ascii="IRNazanin" w:hAnsi="IRNazanin" w:eastAsia="IRNazanin"/>
          <w:color w:val="111111"/>
          <w:sz w:val="28"/>
          <w:sz w:val="28"/>
          <w:szCs w:val="28"/>
          <w:rtl w:val="true"/>
          <w:lang w:bidi="fa-IR"/>
        </w:rPr>
        <w:t>التجشم لتلك القواعد العامية، وامتثالا لما استفاض عنهم علیهم السلام مسندًا عن النبي صلی الله علیه و آله وسلم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ظَهَرَتِ </w:t>
      </w:r>
      <w:r>
        <w:rPr>
          <w:rStyle w:val="FootnoteAnchor"/>
          <w:rtl w:val="true"/>
        </w:rPr>
        <w:footnoteReference w:id="565"/>
      </w:r>
      <w:r>
        <w:rPr>
          <w:rFonts w:ascii="Amiri" w:hAnsi="Amiri" w:eastAsia="Amiri" w:cs="Amiri"/>
          <w:color w:val="111111"/>
          <w:sz w:val="28"/>
          <w:sz w:val="28"/>
          <w:szCs w:val="28"/>
          <w:rtl w:val="true"/>
          <w:lang w:bidi="ar-SA"/>
        </w:rPr>
        <w:t xml:space="preserve">الْبِدَعُ فِي أُمَّتِي فَعَلَى الْعَالِمِ أَنْ يُظْهِرَ عِلْمَهُ، فَإِنْ لم يَفْعَلْ فَعَلَيْهِ لَعْنَةُ الله </w:t>
      </w:r>
      <w:r>
        <w:rPr>
          <w:rStyle w:val="FootnoteAnchor"/>
          <w:rtl w:val="true"/>
        </w:rPr>
        <w:footnoteReference w:id="5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صرح بما قلناه جماعة مثل أولئك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الفاضل حسين بن شهاب الدين العاملي </w:t>
      </w:r>
      <w:r>
        <w:rPr>
          <w:rStyle w:val="FootnoteAnchor"/>
          <w:rtl w:val="true"/>
        </w:rPr>
        <w:footnoteReference w:id="567"/>
      </w:r>
      <w:r>
        <w:rPr>
          <w:rFonts w:ascii="Amiri" w:hAnsi="Amiri" w:eastAsia="Amiri" w:cs="Amiri"/>
          <w:color w:val="111111"/>
          <w:sz w:val="28"/>
          <w:sz w:val="28"/>
          <w:szCs w:val="28"/>
          <w:rtl w:val="true"/>
          <w:lang w:bidi="ar-SA"/>
        </w:rPr>
        <w:t xml:space="preserve">، و الكاشي في الأصول الأصولية </w:t>
      </w:r>
      <w:r>
        <w:rPr>
          <w:rStyle w:val="FootnoteAnchor"/>
          <w:rtl w:val="true"/>
        </w:rPr>
        <w:footnoteReference w:id="568"/>
      </w:r>
      <w:r>
        <w:rPr>
          <w:rFonts w:ascii="Amiri" w:hAnsi="Amiri" w:eastAsia="Amiri" w:cs="Amiri"/>
          <w:color w:val="111111"/>
          <w:sz w:val="28"/>
          <w:sz w:val="28"/>
          <w:szCs w:val="28"/>
          <w:rtl w:val="true"/>
          <w:lang w:bidi="ar-SA"/>
        </w:rPr>
        <w:t xml:space="preserve">، والشيخ محمد الحرفوشي </w:t>
      </w:r>
      <w:r>
        <w:rPr>
          <w:rStyle w:val="FootnoteAnchor"/>
          <w:rtl w:val="true"/>
        </w:rPr>
        <w:footnoteReference w:id="569"/>
      </w:r>
      <w:r>
        <w:rPr>
          <w:rFonts w:ascii="Amiri" w:hAnsi="Amiri" w:eastAsia="Amiri" w:cs="Amiri"/>
          <w:color w:val="111111"/>
          <w:sz w:val="28"/>
          <w:sz w:val="28"/>
          <w:szCs w:val="28"/>
          <w:rtl w:val="true"/>
          <w:lang w:bidi="ar-SA"/>
        </w:rPr>
        <w:t xml:space="preserve">، والسيد نعمة الله الجزائري </w:t>
      </w:r>
      <w:r>
        <w:rPr>
          <w:rStyle w:val="FootnoteAnchor"/>
          <w:rtl w:val="true"/>
        </w:rPr>
        <w:footnoteReference w:id="570"/>
      </w:r>
      <w:r>
        <w:rPr>
          <w:rFonts w:ascii="Amiri" w:hAnsi="Amiri" w:eastAsia="Amiri" w:cs="Amiri"/>
          <w:color w:val="111111"/>
          <w:sz w:val="28"/>
          <w:sz w:val="28"/>
          <w:szCs w:val="28"/>
          <w:rtl w:val="true"/>
          <w:lang w:bidi="ar-SA"/>
        </w:rPr>
        <w:t>،و غيرهم من الأعلام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وقع الطعن من جماعة من علمائنا الأخباريين على أولئك الذين أشرنا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للفاضل </w:t>
      </w:r>
      <w:r>
        <w:rPr>
          <w:rStyle w:val="FootnoteAnchor"/>
          <w:rtl w:val="true"/>
        </w:rPr>
        <w:footnoteReference w:id="571"/>
      </w:r>
      <w:r>
        <w:rPr>
          <w:rFonts w:ascii="Amiri" w:hAnsi="Amiri" w:eastAsia="Amiri" w:cs="Amiri"/>
          <w:color w:val="111111"/>
          <w:sz w:val="28"/>
          <w:sz w:val="28"/>
          <w:szCs w:val="28"/>
          <w:rtl w:val="true"/>
          <w:lang w:bidi="ar-SA"/>
        </w:rPr>
        <w:t xml:space="preserve">الكاشي في كتابه سفينة النجاة </w:t>
      </w:r>
      <w:r>
        <w:rPr>
          <w:rStyle w:val="FootnoteAnchor"/>
          <w:rtl w:val="true"/>
        </w:rPr>
        <w:footnoteReference w:id="572"/>
      </w:r>
      <w:r>
        <w:rPr>
          <w:rFonts w:ascii="Amiri" w:hAnsi="Amiri" w:eastAsia="Amiri" w:cs="Amiri"/>
          <w:color w:val="111111"/>
          <w:sz w:val="28"/>
          <w:sz w:val="28"/>
          <w:szCs w:val="28"/>
          <w:rtl w:val="true"/>
          <w:lang w:bidi="ar-SA"/>
        </w:rPr>
        <w:t>، وفي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مواضع من الوافي تلويحا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محمد أمين الأسترآبادي في الفوائد المدنية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الحامل لهم على ذلك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عدم ظهور معذوريتهم </w:t>
      </w:r>
      <w:r>
        <w:rPr>
          <w:rStyle w:val="FootnoteAnchor"/>
          <w:rtl w:val="true"/>
        </w:rPr>
        <w:footnoteReference w:id="574"/>
      </w:r>
      <w:r>
        <w:rPr>
          <w:rFonts w:ascii="Amiri" w:hAnsi="Amiri" w:eastAsia="Amiri" w:cs="Amiri"/>
          <w:color w:val="111111"/>
          <w:sz w:val="28"/>
          <w:sz w:val="28"/>
          <w:szCs w:val="28"/>
          <w:rtl w:val="true"/>
          <w:lang w:bidi="ar-SA"/>
        </w:rPr>
        <w:t xml:space="preserve">في </w:t>
      </w:r>
      <w:r>
        <w:rPr>
          <w:rStyle w:val="FootnoteAnchor"/>
          <w:rtl w:val="true"/>
        </w:rPr>
        <w:footnoteReference w:id="575"/>
      </w:r>
      <w:r>
        <w:rPr>
          <w:rFonts w:ascii="Amiri" w:hAnsi="Amiri" w:eastAsia="Amiri" w:cs="Amiri"/>
          <w:color w:val="111111"/>
          <w:sz w:val="28"/>
          <w:sz w:val="28"/>
          <w:szCs w:val="28"/>
          <w:rtl w:val="true"/>
          <w:lang w:bidi="ar-SA"/>
        </w:rPr>
        <w:t>التعلق بتلك القواعد؛ لتعدد تلك الآيات و تكرر تلك الروايات في الأصول التي هي بين أيديهم، مع اشتمالها على الوعيد وكمال التهديد كما هو غير خفي على من ألقى السمع و هو شهيد؛ فعدولهم عنها لا يتأتى إلا عن عمد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576"/>
      </w:r>
      <w:r>
        <w:rPr>
          <w:rFonts w:ascii="Amiri" w:hAnsi="Amiri" w:eastAsia="Amiri" w:cs="Amiri"/>
          <w:color w:val="111111"/>
          <w:sz w:val="28"/>
          <w:sz w:val="28"/>
          <w:szCs w:val="28"/>
          <w:rtl w:val="true"/>
          <w:lang w:bidi="ar-SA"/>
        </w:rPr>
        <w:t xml:space="preserve">أن ذلك الطعن الصادر منهم إنما توجه للمخالفين الذين أسسوا تلك القواعد و أوجبوا </w:t>
      </w:r>
      <w:r>
        <w:rPr>
          <w:rStyle w:val="FootnoteAnchor"/>
          <w:rtl w:val="true"/>
        </w:rPr>
        <w:footnoteReference w:id="577"/>
      </w:r>
      <w:r>
        <w:rPr>
          <w:rFonts w:ascii="Amiri" w:hAnsi="Amiri" w:eastAsia="Amiri" w:cs="Amiri"/>
          <w:color w:val="111111"/>
          <w:sz w:val="28"/>
          <w:sz w:val="28"/>
          <w:szCs w:val="28"/>
          <w:rtl w:val="true"/>
          <w:lang w:bidi="ar-SA"/>
        </w:rPr>
        <w:t>إدخال الشبهة على هؤلاء في هذه المقاصد، كما أن الحق أن تلك الأخبار الصادرة عنهم في هذا المقام متوجهة إلى أولئك المخالفين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المعذورية لأصحابنا في ذلك الخطأ، فتكون تلك </w:t>
      </w:r>
      <w:r>
        <w:rPr>
          <w:rStyle w:val="FootnoteAnchor"/>
          <w:rtl w:val="true"/>
        </w:rPr>
        <w:footnoteReference w:id="578"/>
      </w:r>
      <w:r>
        <w:rPr>
          <w:rFonts w:ascii="Amiri" w:hAnsi="Amiri" w:eastAsia="Amiri" w:cs="Amiri"/>
          <w:color w:val="111111"/>
          <w:sz w:val="28"/>
          <w:sz w:val="28"/>
          <w:szCs w:val="28"/>
          <w:rtl w:val="true"/>
          <w:lang w:bidi="ar-SA"/>
        </w:rPr>
        <w:t xml:space="preserve">الأحاديث المستفيضة الدالة على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كالحديث النبوي المستفيض المروي بعدة طرق الموما إليه في السؤال و غيره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جاءت 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شأن أصحابنا الذين قصروا أنظارهم على استنباط الأحكام من مواضعها التي أمرت الأئمة علیهم السلام بالأخذ عنها، وإن وقع لهم غير ذلك فغفلة عنها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جاء في الأخبار التي قدمناها من عدم معذورية المخطئ، و أن وزر من عمل بفتياه في عنقه إلى يوم القيامة، و أنه مشرك و فاسق إلى غير ذلك من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أنها متوجهة إلى علماء العامة الآخذين بالرأي و الاستنباطات الظنية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تأمل مضامين تلك الأحاديث ظهر له من كثير منها ما قلناه، و إن كان في بعضها ظهور التعميم، و هو الحامل لمن طعن من أصحابنا على من تقدمه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مخصوصًا بالمتأخرين، فقد وقع مثل ذلك بين قدمائنا الأخباريين، مع عكوفهم على العمل بأخبار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المحدث الصدوق القمي في كتاب من لا يحضره الفقيه حيث قد طعن على ما </w:t>
      </w:r>
      <w:r>
        <w:rPr>
          <w:rStyle w:val="FootnoteAnchor"/>
          <w:rtl w:val="true"/>
        </w:rPr>
        <w:footnoteReference w:id="580"/>
      </w:r>
      <w:r>
        <w:rPr>
          <w:rFonts w:ascii="Amiri" w:hAnsi="Amiri" w:eastAsia="Amiri" w:cs="Amiri"/>
          <w:color w:val="111111"/>
          <w:sz w:val="28"/>
          <w:sz w:val="28"/>
          <w:szCs w:val="28"/>
          <w:rtl w:val="true"/>
          <w:lang w:bidi="ar-SA"/>
        </w:rPr>
        <w:t xml:space="preserve">نطق بالأخبار التي جاءت في أن شهر رمضان يصيبه ما يصيب الشهور من الزيادة والنقصان، حتى أنه جعله في مرتبة العامة، وقال إنه تجب التقية من هؤلاء كما تجب في </w:t>
      </w:r>
      <w:r>
        <w:rPr>
          <w:rStyle w:val="FootnoteAnchor"/>
          <w:rtl w:val="true"/>
        </w:rPr>
        <w:footnoteReference w:id="581"/>
      </w:r>
      <w:r>
        <w:rPr>
          <w:rFonts w:ascii="Amiri" w:hAnsi="Amiri" w:eastAsia="Amiri" w:cs="Amiri"/>
          <w:color w:val="111111"/>
          <w:sz w:val="28"/>
          <w:sz w:val="28"/>
          <w:szCs w:val="28"/>
          <w:rtl w:val="true"/>
          <w:lang w:bidi="ar-SA"/>
        </w:rPr>
        <w:t>العامة؟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وقع للمفيد رحم الله في كثير من كتبه، لا</w:t>
      </w:r>
      <w:r>
        <w:rPr>
          <w:rStyle w:val="FootnoteAnchor"/>
          <w:rtl w:val="true"/>
        </w:rPr>
        <w:footnoteReference w:id="582"/>
      </w:r>
      <w:r>
        <w:rPr>
          <w:rFonts w:ascii="Amiri" w:hAnsi="Amiri" w:eastAsia="Amiri" w:cs="Amiri"/>
          <w:color w:val="111111"/>
          <w:sz w:val="28"/>
          <w:sz w:val="28"/>
          <w:szCs w:val="28"/>
          <w:rtl w:val="true"/>
          <w:lang w:bidi="ar-SA"/>
        </w:rPr>
        <w:t>سيما كتابه في شرحا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الاعتقادات الصدوقية، فإنه قد سلك طريق التشنيع والتخطئة على المصنف، مع علمه بأنه لا يتجاوز الأخبار، بل إنه ربما طعن عليه و على الأخبار التي تمسك بها، و ليس ذلك في موضع واحد منها، بل فيما ينوف على أربعين موضعا من ذلك الكتاب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ذلك أيضا وقع لابن ادريس في سرائره في مقام الرد على الشيخ الطوسى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لابن داود في كتابه الرجال، حيث أدخل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من كتابه المذكور الذي أفرده للضعفاء، و طعن عليه مطاعن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يعمل بالقياس الذي كفرت الأئمة الآخذ به و أطبقت الأمامية على رده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مثل ذلك جاريا من القدماء في من تقدمهم و أخذ </w:t>
      </w:r>
      <w:r>
        <w:rPr>
          <w:rStyle w:val="FootnoteAnchor"/>
          <w:rtl w:val="true"/>
        </w:rPr>
        <w:footnoteReference w:id="585"/>
      </w:r>
      <w:r>
        <w:rPr>
          <w:rFonts w:ascii="Amiri" w:hAnsi="Amiri" w:eastAsia="Amiri" w:cs="Amiri"/>
          <w:color w:val="111111"/>
          <w:sz w:val="28"/>
          <w:sz w:val="28"/>
          <w:szCs w:val="28"/>
          <w:rtl w:val="true"/>
          <w:lang w:bidi="ar-SA"/>
        </w:rPr>
        <w:t>بخلاف ما هو عليه، فما أدراك بالمتأخرين الذين ظهر منهم التعلق في كثير من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بقواعد الاجتهاد؟ بل ربما طرحوا بعض الصحاح و الحسان في مقابلة تلك القواعد، وهو الذي حمل من اجترئ عليهم على سلوك الوقوع فيهم و نسبتهم إلى مراتب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الإعراض عن هؤلاء؛ لما ثبت من عدالتهم و ورعهم الحاجزين عن مثل ارتكاب طريق </w:t>
      </w:r>
      <w:r>
        <w:rPr>
          <w:rStyle w:val="FootnoteAnchor"/>
          <w:rtl w:val="true"/>
        </w:rPr>
        <w:footnoteReference w:id="586"/>
      </w:r>
      <w:r>
        <w:rPr>
          <w:rFonts w:ascii="Amiri" w:hAnsi="Amiri" w:eastAsia="Amiri" w:cs="Amiri"/>
          <w:color w:val="111111"/>
          <w:sz w:val="28"/>
          <w:sz w:val="28"/>
          <w:szCs w:val="28"/>
          <w:rtl w:val="true"/>
          <w:lang w:bidi="ar-SA"/>
        </w:rPr>
        <w:t>الأهواء و الآراء، بل الذي يليق بمقامهم وشأنهم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الاقتصار </w:t>
      </w:r>
      <w:r>
        <w:rPr>
          <w:rStyle w:val="FootnoteAnchor"/>
          <w:rtl w:val="true"/>
        </w:rPr>
        <w:footnoteReference w:id="587"/>
      </w:r>
      <w:r>
        <w:rPr>
          <w:rFonts w:ascii="Amiri" w:hAnsi="Amiri" w:eastAsia="Amiri" w:cs="Amiri"/>
          <w:color w:val="111111"/>
          <w:sz w:val="28"/>
          <w:sz w:val="28"/>
          <w:szCs w:val="28"/>
          <w:rtl w:val="true"/>
          <w:lang w:bidi="ar-SA"/>
        </w:rPr>
        <w:t>على بيان خطئهم، و الاستدلال على ذلك في مقام بيانه لحجز من يأتي بعدهم عن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القدح فيهم و الكلام بما لا يناسب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ينبغي سلوكه؛ حيث إنهم ممن </w:t>
      </w:r>
      <w:r>
        <w:rPr>
          <w:rStyle w:val="FootnoteAnchor"/>
          <w:rtl w:val="true"/>
        </w:rPr>
        <w:footnoteReference w:id="588"/>
      </w:r>
      <w:r>
        <w:rPr>
          <w:rFonts w:ascii="Amiri" w:hAnsi="Amiri" w:eastAsia="Amiri" w:cs="Amiri"/>
          <w:color w:val="111111"/>
          <w:sz w:val="28"/>
          <w:sz w:val="28"/>
          <w:szCs w:val="28"/>
          <w:rtl w:val="true"/>
          <w:lang w:bidi="ar-SA"/>
        </w:rPr>
        <w:t>شيدوا دين الإمامية، ولظهور الغفلة منهم في ذلك؛ لما سمعت من العبارات التي نقلناها عنهم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w:t>
      </w:r>
      <w:r>
        <w:rPr>
          <w:rStyle w:val="FootnoteAnchor"/>
          <w:rtl w:val="true"/>
        </w:rPr>
        <w:footnoteReference w:id="589"/>
      </w:r>
      <w:r>
        <w:rPr>
          <w:rFonts w:ascii="Amiri" w:hAnsi="Amiri" w:eastAsia="Amiri" w:cs="Amiri"/>
          <w:color w:val="111111"/>
          <w:sz w:val="28"/>
          <w:sz w:val="28"/>
          <w:szCs w:val="28"/>
          <w:rtl w:val="true"/>
          <w:lang w:bidi="ar-SA"/>
        </w:rPr>
        <w:t xml:space="preserve">أن الوقوع فيهم والطعن عليهم مما </w:t>
      </w:r>
      <w:r>
        <w:rPr>
          <w:rStyle w:val="FootnoteAnchor"/>
          <w:rtl w:val="true"/>
        </w:rPr>
        <w:footnoteReference w:id="590"/>
      </w:r>
      <w:r>
        <w:rPr>
          <w:rFonts w:ascii="Amiri" w:hAnsi="Amiri" w:eastAsia="Amiri" w:cs="Amiri"/>
          <w:color w:val="111111"/>
          <w:sz w:val="28"/>
          <w:sz w:val="28"/>
          <w:szCs w:val="28"/>
          <w:rtl w:val="true"/>
          <w:lang w:bidi="ar-SA"/>
        </w:rPr>
        <w:t xml:space="preserve">يوجب الطعن لمن سلك هذا المسلك فيهم، كما وقع للفاضل الكاشي في كتابه 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تصريحه بمشاركة أصحابنا المجتهدين للعامة في تلك المطاعن المشار إليها في الأخبار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اقتفى أثره في هذا المسلك و طعن عليه الفاضلن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علي ابن الشيخ محمد العاملي </w:t>
      </w:r>
      <w:r>
        <w:rPr>
          <w:rStyle w:val="FootnoteAnchor"/>
          <w:rtl w:val="true"/>
        </w:rPr>
        <w:footnoteReference w:id="591"/>
      </w:r>
      <w:r>
        <w:rPr>
          <w:rFonts w:ascii="Amiri" w:hAnsi="Amiri" w:eastAsia="Amiri" w:cs="Amiri"/>
          <w:color w:val="111111"/>
          <w:sz w:val="28"/>
          <w:sz w:val="28"/>
          <w:szCs w:val="28"/>
          <w:rtl w:val="true"/>
          <w:lang w:bidi="ar-SA"/>
        </w:rPr>
        <w:t xml:space="preserve">في كتابه الدرر المنثورة </w:t>
      </w:r>
      <w:r>
        <w:rPr>
          <w:rStyle w:val="FootnoteAnchor"/>
          <w:rtl w:val="true"/>
        </w:rPr>
        <w:footnoteReference w:id="592"/>
      </w:r>
      <w:r>
        <w:rPr>
          <w:rFonts w:ascii="Amiri" w:hAnsi="Amiri" w:eastAsia="Amiri" w:cs="Amiri"/>
          <w:color w:val="111111"/>
          <w:sz w:val="28"/>
          <w:sz w:val="28"/>
          <w:szCs w:val="28"/>
          <w:rtl w:val="true"/>
          <w:lang w:bidi="ar-SA"/>
        </w:rPr>
        <w:t xml:space="preserve">، و تجاوز في ذلك الطعن </w:t>
      </w:r>
      <w:r>
        <w:rPr>
          <w:rStyle w:val="FootnoteAnchor"/>
          <w:rtl w:val="true"/>
        </w:rPr>
        <w:footnoteReference w:id="593"/>
      </w:r>
      <w:r>
        <w:rPr>
          <w:rFonts w:ascii="Amiri" w:hAnsi="Amiri" w:eastAsia="Amiri" w:cs="Amiri"/>
          <w:color w:val="111111"/>
          <w:sz w:val="28"/>
          <w:sz w:val="28"/>
          <w:szCs w:val="28"/>
          <w:rtl w:val="true"/>
          <w:lang w:bidi="ar-SA"/>
        </w:rPr>
        <w:t>الحد، حتى نسبه تارة إلى الجهل بالعلوم و مسائل الاجتهاد، بل بأصل الاجتهاد، وتارة رماه بما لا يليق بسائر الناس من الفسوق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ذلك، ومن تقحم هذه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الحامل لمثل هذا الفاضل على الدخول في الوقوع و الطعن على مثل الكاشي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في العمل </w:t>
      </w:r>
      <w:r>
        <w:rPr>
          <w:rStyle w:val="FootnoteAnchor"/>
          <w:rtl w:val="true"/>
        </w:rPr>
        <w:footnoteReference w:id="594"/>
      </w:r>
      <w:r>
        <w:rPr>
          <w:rFonts w:ascii="Amiri" w:hAnsi="Amiri" w:eastAsia="Amiri" w:cs="Amiri"/>
          <w:color w:val="111111"/>
          <w:sz w:val="28"/>
          <w:sz w:val="28"/>
          <w:szCs w:val="28"/>
          <w:rtl w:val="true"/>
          <w:lang w:bidi="ar-SA"/>
        </w:rPr>
        <w:t xml:space="preserve">الغاية، وتجاوز في العلم </w:t>
      </w:r>
      <w:r>
        <w:rPr>
          <w:rStyle w:val="FootnoteAnchor"/>
          <w:rtl w:val="true"/>
        </w:rPr>
        <w:footnoteReference w:id="595"/>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عزيناه له من الوقوع في من تقدمه من الأفاضل، كما ذكر </w:t>
      </w:r>
      <w:r>
        <w:rPr>
          <w:rStyle w:val="FootnoteAnchor"/>
          <w:rtl w:val="true"/>
        </w:rPr>
        <w:footnoteReference w:id="596"/>
      </w:r>
      <w:r>
        <w:rPr>
          <w:rFonts w:ascii="Amiri" w:hAnsi="Amiri" w:eastAsia="Amiri" w:cs="Amiri"/>
          <w:color w:val="111111"/>
          <w:sz w:val="28"/>
          <w:sz w:val="28"/>
          <w:szCs w:val="28"/>
          <w:rtl w:val="true"/>
          <w:lang w:bidi="ar-SA"/>
        </w:rPr>
        <w:t>السيد المحدث الجزائري في شرح عوالي اللآلى</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بل ظهر منه معذورية هذا الطاعن فيما نال من ذلك المحقق وعده جزاء لطعنه، و أنشد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يَدِيْنُ </w:t>
      </w:r>
      <w:r>
        <w:rPr>
          <w:rStyle w:val="FootnoteAnchor"/>
          <w:rtl w:val="true"/>
        </w:rPr>
        <w:footnoteReference w:id="599"/>
      </w:r>
      <w:r>
        <w:rPr>
          <w:rFonts w:ascii="Amiri" w:hAnsi="Amiri" w:eastAsia="Amiri" w:cs="Amiri"/>
          <w:color w:val="111111"/>
          <w:sz w:val="28"/>
          <w:sz w:val="28"/>
          <w:szCs w:val="28"/>
          <w:rtl w:val="true"/>
          <w:lang w:bidi="ar-SA"/>
        </w:rPr>
        <w:t xml:space="preserve">الْفَتَى يَوْمَا يُدَانُ بِهِ فَزَارِعُ الثوْمِ لَا يَجْنِيهِ رَيْحَانَا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قد أكثر التشنيع جماعة من المتأخرين </w:t>
      </w:r>
      <w:r>
        <w:rPr>
          <w:rStyle w:val="FootnoteAnchor"/>
          <w:rtl w:val="true"/>
        </w:rPr>
        <w:footnoteReference w:id="601"/>
      </w:r>
      <w:r>
        <w:rPr>
          <w:rFonts w:ascii="Amiri" w:hAnsi="Amiri" w:eastAsia="Amiri" w:cs="Amiri"/>
          <w:color w:val="111111"/>
          <w:sz w:val="28"/>
          <w:sz w:val="28"/>
          <w:szCs w:val="28"/>
          <w:rtl w:val="true"/>
          <w:lang w:bidi="ar-SA"/>
        </w:rPr>
        <w:t xml:space="preserve">على الفاضل محمد أمين الأسترآبادي فيما وقع له من التعريض و الطعن على مثل العلامة، حتى نسبه في مواضع كثيرة من الفوائد المدنية لما لا يليق بشأنه </w:t>
      </w:r>
      <w:r>
        <w:rPr>
          <w:rStyle w:val="FootnoteAnchor"/>
          <w:rtl w:val="true"/>
        </w:rPr>
        <w:footnoteReference w:id="602"/>
      </w:r>
      <w:r>
        <w:rPr>
          <w:rFonts w:ascii="Amiri" w:hAnsi="Amiri" w:eastAsia="Amiri" w:cs="Amiri"/>
          <w:color w:val="111111"/>
          <w:sz w:val="28"/>
          <w:sz w:val="28"/>
          <w:szCs w:val="28"/>
          <w:rtl w:val="true"/>
          <w:lang w:bidi="ar-SA"/>
        </w:rPr>
        <w:t xml:space="preserve">، كالفاضل ملا عبد الله البشروي </w:t>
      </w:r>
      <w:r>
        <w:rPr>
          <w:rStyle w:val="FootnoteAnchor"/>
          <w:rtl w:val="true"/>
        </w:rPr>
        <w:footnoteReference w:id="603"/>
      </w:r>
      <w:r>
        <w:rPr>
          <w:rFonts w:ascii="Amiri" w:hAnsi="Amiri" w:eastAsia="Amiri" w:cs="Amiri"/>
          <w:color w:val="111111"/>
          <w:sz w:val="28"/>
          <w:sz w:val="28"/>
          <w:szCs w:val="28"/>
          <w:rtl w:val="true"/>
          <w:lang w:bidi="ar-SA"/>
        </w:rPr>
        <w:t xml:space="preserve">في رسالته التي ألفها في الأصول </w:t>
      </w:r>
      <w:r>
        <w:rPr>
          <w:rStyle w:val="FootnoteAnchor"/>
          <w:rtl w:val="true"/>
        </w:rPr>
        <w:footnoteReference w:id="604"/>
      </w:r>
      <w:r>
        <w:rPr>
          <w:rFonts w:ascii="Amiri" w:hAnsi="Amiri" w:eastAsia="Amiri" w:cs="Amiri"/>
          <w:color w:val="111111"/>
          <w:sz w:val="28"/>
          <w:sz w:val="28"/>
          <w:szCs w:val="28"/>
          <w:rtl w:val="true"/>
          <w:lang w:bidi="ar-SA"/>
        </w:rPr>
        <w:t xml:space="preserve">، والسيد المحقق نور الدين ابن أبي الحسين الموسوي في الفوائد المكية و غيرهما </w:t>
      </w:r>
      <w:r>
        <w:rPr>
          <w:rStyle w:val="FootnoteAnchor"/>
          <w:rtl w:val="true"/>
        </w:rPr>
        <w:footnoteReference w:id="605"/>
      </w:r>
      <w:r>
        <w:rPr>
          <w:rFonts w:ascii="Amiri" w:hAnsi="Amiri" w:eastAsia="Amiri" w:cs="Amiri"/>
          <w:color w:val="111111"/>
          <w:sz w:val="28"/>
          <w:sz w:val="28"/>
          <w:szCs w:val="28"/>
          <w:rtl w:val="true"/>
          <w:lang w:bidi="ar-SA"/>
        </w:rPr>
        <w:t xml:space="preserve">، حتى أن الفاضل في الفوائد المذكورة في الفوائد المدنية لما </w:t>
      </w:r>
      <w:r>
        <w:rPr>
          <w:rStyle w:val="FootnoteAnchor"/>
          <w:rtl w:val="true"/>
        </w:rPr>
        <w:footnoteReference w:id="606"/>
      </w:r>
      <w:r>
        <w:rPr>
          <w:rFonts w:ascii="Amiri" w:hAnsi="Amiri" w:eastAsia="Amiri" w:cs="Amiri"/>
          <w:color w:val="111111"/>
          <w:sz w:val="28"/>
          <w:sz w:val="28"/>
          <w:szCs w:val="28"/>
          <w:rtl w:val="true"/>
          <w:lang w:bidi="ar-SA"/>
        </w:rPr>
        <w:t>نقل عن العلامة في مقام الطعن عليه أنه قال على ما نقله عنه الشهيد الثاني في شرح الشرائع من قوله في مسألة الروشن</w:t>
      </w:r>
      <w:r>
        <w:rPr>
          <w:rStyle w:val="FootnoteAnchor"/>
          <w:rtl w:val="true"/>
        </w:rPr>
        <w:footnoteReference w:id="607"/>
      </w:r>
      <w:r>
        <w:rPr>
          <w:rFonts w:ascii="Amiri" w:hAnsi="Amiri" w:eastAsia="Amiri" w:cs="Amiri"/>
          <w:color w:val="111111"/>
          <w:sz w:val="28"/>
          <w:sz w:val="28"/>
          <w:szCs w:val="28"/>
          <w:rtl w:val="true"/>
          <w:lang w:bidi="ar-SA"/>
        </w:rPr>
        <w:t>من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أفتيت بهذا بمجرد رأيي ولم أجد فيه نصا من الخاصة و لا من العامة، و إنما صرت إلى ذلك عن اجتهاد</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bookmarkStart w:id="52" w:name="pg2523_39691"/>
    </w:p>
    <w:p>
      <w:pPr>
        <w:pStyle w:val="BookText"/>
        <w:rPr/>
      </w:pPr>
      <w:bookmarkEnd w:id="52"/>
      <w:r>
        <w:rPr>
          <w:rFonts w:ascii="Amiri" w:hAnsi="Amiri" w:eastAsia="Amiri" w:cs="Amiri"/>
          <w:color w:val="111111"/>
          <w:sz w:val="28"/>
          <w:sz w:val="28"/>
          <w:szCs w:val="28"/>
          <w:rtl w:val="true"/>
          <w:lang w:bidi="ar-SA"/>
        </w:rPr>
        <w:t>و بالجملة إن الإعراض كما قلنا هو الطريق المأمون العثار، فيكون نسبتهم إلى الفسق مما لا يجوز ، فضلا عن الكفر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 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سؤاله أن جماعة ينسبونهم إلى النصب مما لا ينبغي الإصغاء إليه ولا التعريج عليه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264838_3804643083"/>
      <w:bookmarkStart w:id="54" w:name="_Toc17"/>
      <w:bookmarkEnd w:id="53"/>
      <w:r>
        <w:rPr>
          <w:rtl w:val="true"/>
        </w:rPr>
        <w:t>[</w:t>
      </w:r>
      <w:r>
        <w:rPr>
          <w:rtl w:val="true"/>
        </w:rPr>
        <w:t>في الاختلاف في الفروع</w:t>
      </w:r>
      <w:r>
        <w:rPr>
          <w:rtl w:val="true"/>
        </w:rPr>
        <w:t>]</w:t>
      </w:r>
      <w:bookmarkEnd w:id="54"/>
    </w:p>
    <w:p>
      <w:pPr>
        <w:pStyle w:val="BookText"/>
        <w:rPr/>
      </w:pPr>
      <w:r>
        <w:rPr>
          <w:rFonts w:ascii="IRNazanin" w:hAnsi="IRNazanin" w:eastAsia="IRNazanin"/>
          <w:color w:val="111111"/>
          <w:sz w:val="28"/>
          <w:sz w:val="28"/>
          <w:szCs w:val="28"/>
          <w:rtl w:val="true"/>
          <w:lang w:bidi="fa-IR"/>
        </w:rPr>
        <w:t xml:space="preserve">و أما جواز الاختلاف في الفروع عندنا فمما لا كلام فيه، و لا يقدح فيه ما ثبت عنهم علیهم السلام من أن لكل مسألة حكما معينا، وأنهم جعلوا لكل شيء حدا، و جعلوا على من تعدى ذلك الحد حدًا، و أن حكم الله في كل مسألة واحد لا اختلاف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يؤذن </w:t>
      </w:r>
      <w:r>
        <w:rPr>
          <w:rStyle w:val="FootnoteAnchor"/>
          <w:rtl w:val="true"/>
        </w:rPr>
        <w:footnoteReference w:id="609"/>
      </w:r>
      <w:r>
        <w:rPr>
          <w:rFonts w:ascii="Amiri" w:hAnsi="Amiri" w:eastAsia="Amiri" w:cs="Amiri"/>
          <w:color w:val="111111"/>
          <w:sz w:val="28"/>
          <w:sz w:val="28"/>
          <w:szCs w:val="28"/>
          <w:rtl w:val="true"/>
          <w:lang w:bidi="ar-SA"/>
        </w:rPr>
        <w:t xml:space="preserve">به كثير من تلك الأدلة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علیهم السلام صرحوا في كثير من أحاديثهم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بعض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الكلمة من كلامهم لتنصرف على وجوه، فلو شاء إنسان لصرف كلامه كيف شاء، و أن الله يحاسب الناس على قدر ما آتاهم من العقول في دار الدنيا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بصائر الدرجات بسنده عن عبد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وَعَلِيُّ بنُ حَنْظَلَةَ عَلى أَبيْ عَبْدِ اللهِ علیه السلام ، فَسَأَلَهُ عَلِيُّ بنُ حَنْظَلَةَ عَنْ مَسْأَلَةٍ فَأَجَابَ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كَذَا وَكَذَا؟ فَأَجَابَهُ بِوَجْهِ أَخَرَ </w:t>
      </w:r>
      <w:r>
        <w:rPr>
          <w:rStyle w:val="FootnoteAnchor"/>
          <w:rtl w:val="true"/>
        </w:rPr>
        <w:footnoteReference w:id="612"/>
      </w:r>
      <w:r>
        <w:rPr>
          <w:rFonts w:ascii="Amiri" w:hAnsi="Amiri" w:eastAsia="Amiri" w:cs="Amiri"/>
          <w:color w:val="111111"/>
          <w:sz w:val="28"/>
          <w:sz w:val="28"/>
          <w:szCs w:val="28"/>
          <w:rtl w:val="true"/>
          <w:lang w:bidi="ar-SA"/>
        </w:rPr>
        <w:t xml:space="preserve">، حَتَّى </w:t>
      </w:r>
    </w:p>
    <w:p>
      <w:pPr>
        <w:pStyle w:val="BookText"/>
        <w:rPr/>
      </w:pPr>
      <w:r>
        <w:rPr>
          <w:rFonts w:ascii="Amiri" w:hAnsi="Amiri" w:eastAsia="Amiri" w:cs="Amiri"/>
          <w:color w:val="111111"/>
          <w:sz w:val="28"/>
          <w:sz w:val="28"/>
          <w:szCs w:val="28"/>
          <w:rtl w:val="true"/>
          <w:lang w:bidi="ar-SA"/>
        </w:rPr>
        <w:t xml:space="preserve">أَجَابَهُ فِيْهَا </w:t>
      </w:r>
      <w:r>
        <w:rPr>
          <w:rStyle w:val="FootnoteAnchor"/>
          <w:rtl w:val="true"/>
        </w:rPr>
        <w:footnoteReference w:id="613"/>
      </w:r>
      <w:r>
        <w:rPr>
          <w:rFonts w:ascii="Amiri" w:hAnsi="Amiri" w:eastAsia="Amiri" w:cs="Amiri"/>
          <w:color w:val="111111"/>
          <w:sz w:val="28"/>
          <w:sz w:val="28"/>
          <w:szCs w:val="28"/>
          <w:rtl w:val="true"/>
          <w:lang w:bidi="ar-SA"/>
        </w:rPr>
        <w:t>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عَلِي بنِ حَنْظَلَةَ وَقَالَ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أَحْكَمْنَا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يَا أَبَا الْحَسَنِ؛ فَإِنَّكَ رَجُلٌ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الْأَشْيَاءِ أَشْيَاءُ ضَيِّقَةٌ وَلَيْسَ تَجْرِي إِلَّا عَلَى وَجْهِ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الْجُمُعَةِ لَيْسَ إِلَّا </w:t>
      </w:r>
      <w:r>
        <w:rPr>
          <w:rStyle w:val="FootnoteAnchor"/>
          <w:rtl w:val="true"/>
        </w:rPr>
        <w:footnoteReference w:id="617"/>
      </w:r>
      <w:r>
        <w:rPr>
          <w:rFonts w:ascii="Amiri" w:hAnsi="Amiri" w:eastAsia="Amiri" w:cs="Amiri"/>
          <w:color w:val="111111"/>
          <w:sz w:val="28"/>
          <w:sz w:val="28"/>
          <w:szCs w:val="28"/>
          <w:rtl w:val="true"/>
          <w:lang w:bidi="ar-SA"/>
        </w:rPr>
        <w:t>وَاحِدًا حِيْنَ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الْأَشْيَاءِ أَشْيَاءُ مُوَسَّعَةٌ تَجْرِي عَلَى وُجُوْهِ كَثِيْرَة، وَهَذَا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إِنَّ لَهُ عِنْدِي سَبْعِينَ وَجْهَا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وروى الكليني قريبا منه </w:t>
      </w:r>
      <w:r>
        <w:rPr>
          <w:rStyle w:val="FootnoteAnchor"/>
          <w:rtl w:val="true"/>
        </w:rPr>
        <w:footnoteReference w:id="620"/>
      </w:r>
      <w:r>
        <w:rPr>
          <w:rFonts w:ascii="Amiri" w:hAnsi="Amiri" w:eastAsia="Amiri" w:cs="Amiri"/>
          <w:color w:val="111111"/>
          <w:sz w:val="28"/>
          <w:sz w:val="28"/>
          <w:szCs w:val="28"/>
          <w:rtl w:val="true"/>
          <w:lang w:bidi="ar-SA"/>
        </w:rPr>
        <w:t xml:space="preserve">في الكافي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البصائر بسنده عن الأحول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أَفْقَهُ النَّاسِ مَا عَرِفْتُمْ مَعَانِي كَلَامِنَا ، إِنَّ كَلَامَنَا </w:t>
      </w:r>
      <w:r>
        <w:rPr>
          <w:rStyle w:val="FootnoteAnchor"/>
          <w:rtl w:val="true"/>
        </w:rPr>
        <w:footnoteReference w:id="622"/>
      </w:r>
      <w:r>
        <w:rPr>
          <w:rFonts w:ascii="Amiri" w:hAnsi="Amiri" w:eastAsia="Amiri" w:cs="Amiri"/>
          <w:color w:val="111111"/>
          <w:sz w:val="28"/>
          <w:sz w:val="28"/>
          <w:szCs w:val="28"/>
          <w:rtl w:val="true"/>
          <w:lang w:bidi="ar-SA"/>
        </w:rPr>
        <w:t>لَتَنْصَرِفُ عَلَى سَبْعِينَ وَجْهَا</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الكتاب المذكور بسنده إلى على ابن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أَبُوْ بَصِيرٍ عَلَى أَبِي عَبْدِ اللهِ علیه السلام ، فَبَيْنَما </w:t>
      </w:r>
      <w:r>
        <w:rPr>
          <w:rStyle w:val="FootnoteAnchor"/>
          <w:rtl w:val="true"/>
        </w:rPr>
        <w:footnoteReference w:id="624"/>
      </w:r>
      <w:r>
        <w:rPr>
          <w:rFonts w:ascii="Amiri" w:hAnsi="Amiri" w:eastAsia="Amiri" w:cs="Amiri"/>
          <w:color w:val="111111"/>
          <w:sz w:val="28"/>
          <w:sz w:val="28"/>
          <w:szCs w:val="28"/>
          <w:rtl w:val="true"/>
          <w:lang w:bidi="ar-SA"/>
        </w:rPr>
        <w:t xml:space="preserve">نَحْنُ قُعُودٌ إِذْ </w:t>
      </w:r>
      <w:r>
        <w:rPr>
          <w:rStyle w:val="FootnoteAnchor"/>
          <w:rtl w:val="true"/>
        </w:rPr>
        <w:footnoteReference w:id="625"/>
      </w:r>
      <w:r>
        <w:rPr>
          <w:rFonts w:ascii="Amiri" w:hAnsi="Amiri" w:eastAsia="Amiri" w:cs="Amiri"/>
          <w:color w:val="111111"/>
          <w:sz w:val="28"/>
          <w:sz w:val="28"/>
          <w:szCs w:val="28"/>
          <w:rtl w:val="true"/>
          <w:lang w:bidi="ar-SA"/>
        </w:rPr>
        <w:t xml:space="preserve">تَكَلَّمَ أَبُو عَبْدِ السلام علیه السلام بِحَرْفٍ، فَقُلْتُ </w:t>
      </w:r>
      <w:r>
        <w:rPr>
          <w:rStyle w:val="FootnoteAnchor"/>
          <w:rtl w:val="true"/>
        </w:rPr>
        <w:footnoteReference w:id="626"/>
      </w:r>
      <w:r>
        <w:rPr>
          <w:rFonts w:ascii="Amiri" w:hAnsi="Amiri" w:eastAsia="Amiri" w:cs="Amiri"/>
          <w:color w:val="111111"/>
          <w:sz w:val="28"/>
          <w:sz w:val="28"/>
          <w:szCs w:val="28"/>
          <w:rtl w:val="true"/>
          <w:lang w:bidi="ar-SA"/>
        </w:rPr>
        <w:t>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أَحمْلُهُ إِلى الشَّيْعَةِ، هَذَا وَاللهِ حَدِيثٌ لَمْ أَسْمَعْ مِثْلَهُ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أَتَكَلَّمُ بِالْخَرْفِ الوَاحدِ وَلِيْ </w:t>
      </w:r>
      <w:r>
        <w:rPr>
          <w:rStyle w:val="FootnoteAnchor"/>
          <w:rtl w:val="true"/>
        </w:rPr>
        <w:footnoteReference w:id="627"/>
      </w:r>
      <w:r>
        <w:rPr>
          <w:rFonts w:ascii="Amiri" w:hAnsi="Amiri" w:eastAsia="Amiri" w:cs="Amiri"/>
          <w:color w:val="111111"/>
          <w:sz w:val="28"/>
          <w:sz w:val="28"/>
          <w:szCs w:val="28"/>
          <w:rtl w:val="true"/>
          <w:lang w:bidi="ar-SA"/>
        </w:rPr>
        <w:t xml:space="preserve">فِيهِ 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إِنْ شِئْتَ أَخَذْتَ </w:t>
      </w:r>
      <w:r>
        <w:rPr>
          <w:rStyle w:val="FootnoteAnchor"/>
          <w:rtl w:val="true"/>
        </w:rPr>
        <w:footnoteReference w:id="629"/>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أخَذْتَ كَذَا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ترى إلى حديث على ابن أبي حمزة حيث أسر في نفسه أنه يحمل ما فهمه من كلام </w:t>
      </w:r>
      <w:r>
        <w:rPr>
          <w:rStyle w:val="FootnoteAnchor"/>
          <w:rtl w:val="true"/>
        </w:rPr>
        <w:footnoteReference w:id="632"/>
      </w:r>
      <w:r>
        <w:rPr>
          <w:rFonts w:ascii="IRNazanin" w:hAnsi="IRNazanin" w:eastAsia="IRNazanin"/>
          <w:color w:val="111111"/>
          <w:sz w:val="28"/>
          <w:sz w:val="28"/>
          <w:szCs w:val="28"/>
          <w:rtl w:val="true"/>
          <w:lang w:bidi="fa-IR"/>
        </w:rPr>
        <w:t>إلى الشيعة فنظر علیه السلام إليه، وقال له ما</w:t>
      </w:r>
      <w:r>
        <w:rPr>
          <w:rStyle w:val="FootnoteAnchor"/>
          <w:rtl w:val="true"/>
        </w:rPr>
        <w:footnoteReference w:id="633"/>
      </w:r>
      <w:r>
        <w:rPr>
          <w:rFonts w:ascii="IRNazanin" w:hAnsi="IRNazanin" w:eastAsia="IRNazanin"/>
          <w:color w:val="111111"/>
          <w:sz w:val="28"/>
          <w:sz w:val="28"/>
          <w:szCs w:val="28"/>
          <w:rtl w:val="true"/>
          <w:lang w:bidi="fa-IR"/>
        </w:rPr>
        <w:t xml:space="preserve">عرفت؟ وحديث عبد الأعلى و ما تضمنه من قول علي بن حنظلة إنه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ما فهمه من الأجوبة و قوله علیه السلام بما قال؟</w:t>
      </w:r>
    </w:p>
    <w:p>
      <w:pPr>
        <w:pStyle w:val="BookText"/>
        <w:rPr/>
      </w:pPr>
      <w:r>
        <w:rPr>
          <w:rFonts w:ascii="Amiri" w:hAnsi="Amiri" w:eastAsia="Amiri" w:cs="Amiri"/>
          <w:color w:val="111111"/>
          <w:sz w:val="28"/>
          <w:sz w:val="28"/>
          <w:szCs w:val="28"/>
          <w:rtl w:val="true"/>
          <w:lang w:bidi="ar-SA"/>
        </w:rPr>
        <w:t>و حينئذ، فالتحقيق في هذا المقام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بسبب اختلاف الأخبار عن الأئمة علیهم السلاما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لاختلاف رد الفروع إلى الأصول، فذلك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لغير ذلك من الأصول و الاعتبارات الظنية التي وضعوها وأخذوها من غيرهم،فلذلک </w:t>
      </w:r>
      <w:r>
        <w:rPr>
          <w:rStyle w:val="FootnoteAnchor"/>
          <w:rtl w:val="true"/>
        </w:rPr>
        <w:footnoteReference w:id="634"/>
      </w:r>
      <w:r>
        <w:rPr>
          <w:rFonts w:ascii="Amiri" w:hAnsi="Amiri" w:eastAsia="Amiri" w:cs="Amiri"/>
          <w:color w:val="111111"/>
          <w:sz w:val="28"/>
          <w:sz w:val="28"/>
          <w:szCs w:val="28"/>
          <w:rtl w:val="true"/>
          <w:lang w:bidi="ar-SA"/>
        </w:rPr>
        <w:t>هو المؤاخذ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نظنه بقدماء أصحابنا، إلا أنهم ما كانوا أصحاب ظن و لا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Style w:val="FootnoteAnchor"/>
          <w:rtl w:val="true"/>
        </w:rPr>
        <w:footnoteReference w:id="635"/>
      </w:r>
      <w:r>
        <w:rPr>
          <w:rFonts w:ascii="Amiri" w:hAnsi="Amiri" w:eastAsia="Amiri" w:cs="Amiri"/>
          <w:color w:val="111111"/>
          <w:sz w:val="28"/>
          <w:sz w:val="28"/>
          <w:szCs w:val="28"/>
          <w:rtl w:val="true"/>
          <w:lang w:bidi="ar-SA"/>
        </w:rPr>
        <w:t>المتأخرون ، فلعل الله يعذرهم في ذلك إن كانوا غير مقصرين في تتبع مثل هذه الأخبار التي مرت آنفًا؛ فكل ما غلب الله على العبد فالله أولى بالعذر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ربما أعلنت الأحاديث بأنهم علیهم السلام هم الذين فتحوا باب الاختلاف بين شيعتهم لأسباب و مصالح ، ومن أقواها التقية على أنفسهم </w:t>
      </w:r>
      <w:r>
        <w:rPr>
          <w:rStyle w:val="FootnoteAnchor"/>
          <w:rtl w:val="true"/>
        </w:rPr>
        <w:footnoteReference w:id="636"/>
      </w:r>
      <w:r>
        <w:rPr>
          <w:rFonts w:ascii="Amiri" w:hAnsi="Amiri" w:eastAsia="Amiri" w:cs="Amiri"/>
          <w:color w:val="111111"/>
          <w:sz w:val="28"/>
          <w:sz w:val="28"/>
          <w:szCs w:val="28"/>
          <w:rtl w:val="true"/>
          <w:lang w:bidi="ar-SA"/>
        </w:rPr>
        <w:t xml:space="preserve">وعليهم؛ ففي العلل في الصحيح </w:t>
      </w:r>
      <w:r>
        <w:rPr>
          <w:rStyle w:val="FootnoteAnchor"/>
          <w:rtl w:val="true"/>
        </w:rPr>
        <w:footnoteReference w:id="637"/>
      </w:r>
      <w:r>
        <w:rPr>
          <w:rFonts w:ascii="Amiri" w:hAnsi="Amiri" w:eastAsia="Amiri" w:cs="Amiri"/>
          <w:color w:val="111111"/>
          <w:sz w:val="28"/>
          <w:sz w:val="28"/>
          <w:szCs w:val="28"/>
          <w:rtl w:val="true"/>
          <w:lang w:bidi="ar-SA"/>
        </w:rPr>
        <w:t>عن حريز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أَشَدَّ عَلَيَّ مِنَ اخْتِلَافِ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قِبَلِي</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أي بما أخبرتهم به من جهة التقية، و أمرتهم به لمصلحة من المصالح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الكتاب المذكور بسند معتبر </w:t>
      </w:r>
      <w:r>
        <w:rPr>
          <w:rStyle w:val="FootnoteAnchor"/>
          <w:rtl w:val="true"/>
        </w:rPr>
        <w:footnoteReference w:id="639"/>
      </w:r>
      <w:r>
        <w:rPr>
          <w:rFonts w:ascii="Amiri" w:hAnsi="Amiri" w:eastAsia="Amiri" w:cs="Amiri"/>
          <w:color w:val="111111"/>
          <w:sz w:val="28"/>
          <w:sz w:val="28"/>
          <w:szCs w:val="28"/>
          <w:rtl w:val="true"/>
          <w:lang w:bidi="ar-SA"/>
        </w:rPr>
        <w:t xml:space="preserve">عن الخزاز عمن حدثه عن أبي الحسن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أَصْحَابِ لَكُمْ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اخْتِلَافِم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فَقَالَ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جَمَعْتُكُمْ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اخْتِلَافِ أَصْحَابِنَا فَقَالَ </w:t>
      </w:r>
      <w:r>
        <w:rPr>
          <w:rStyle w:val="FootnoteAnchor"/>
          <w:rtl w:val="true"/>
        </w:rPr>
        <w:footnoteReference w:id="643"/>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فَعَلْتُ ذَلِكَ بِكُمْ، وَلَو </w:t>
      </w:r>
      <w:r>
        <w:rPr>
          <w:rStyle w:val="FootnoteAnchor"/>
          <w:rtl w:val="true"/>
        </w:rPr>
        <w:footnoteReference w:id="644"/>
      </w:r>
      <w:r>
        <w:rPr>
          <w:rFonts w:ascii="Amiri" w:hAnsi="Amiri" w:eastAsia="Amiri" w:cs="Amiri"/>
          <w:color w:val="111111"/>
          <w:sz w:val="28"/>
          <w:sz w:val="28"/>
          <w:szCs w:val="28"/>
          <w:rtl w:val="true"/>
          <w:lang w:bidi="ar-SA"/>
        </w:rPr>
        <w:t xml:space="preserve">اجْتَمَعْتُمْ عَلَى أَمْرٍ وَاحِدٍ </w:t>
      </w:r>
      <w:r>
        <w:rPr>
          <w:rStyle w:val="FootnoteAnchor"/>
          <w:rtl w:val="true"/>
        </w:rPr>
        <w:footnoteReference w:id="645"/>
      </w:r>
      <w:r>
        <w:rPr>
          <w:rFonts w:ascii="Amiri" w:hAnsi="Amiri" w:eastAsia="Amiri" w:cs="Amiri"/>
          <w:color w:val="111111"/>
          <w:sz w:val="28"/>
          <w:sz w:val="28"/>
          <w:szCs w:val="28"/>
          <w:rtl w:val="true"/>
          <w:lang w:bidi="ar-SA"/>
        </w:rPr>
        <w:t>لَأُخِذَ بِرِقَابِكُم</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علیه السلام لا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ظهور الحق وقيام القائم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الكتاب المذكور أيضًا في الموثق </w:t>
      </w:r>
      <w:r>
        <w:rPr>
          <w:rStyle w:val="FootnoteAnchor"/>
          <w:rtl w:val="true"/>
        </w:rPr>
        <w:footnoteReference w:id="647"/>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مَسْأَلَةٍ فَأَجَابَنِي، ثُمَّ جَاءَ رَجُلٌ فَسَأَلَهُ عَنْهَا، فَأَجَابَهُ بِخِلَافِ مَا أَجَابَنِي، ثُمَّ جَاءَ رَجُلٌ أَخَرُ فَأَجَابَهُ بِخِلَافِ مَا أَجَابَنِي وَأَجَابَ صَاحِبِي فَلَمَّا خَرَجَ الرَّجُلَانِ قُلْتُ يَا ابْنَ رَسُولِ اللهِ </w:t>
      </w:r>
      <w:r>
        <w:rPr>
          <w:rStyle w:val="FootnoteAnchor"/>
          <w:rtl w:val="true"/>
        </w:rPr>
        <w:footnoteReference w:id="648"/>
      </w:r>
      <w:r>
        <w:rPr>
          <w:rFonts w:ascii="Amiri" w:hAnsi="Amiri" w:eastAsia="Amiri" w:cs="Amiri"/>
          <w:color w:val="111111"/>
          <w:sz w:val="28"/>
          <w:sz w:val="28"/>
          <w:szCs w:val="28"/>
          <w:rtl w:val="true"/>
          <w:lang w:bidi="ar-SA"/>
        </w:rPr>
        <w:t xml:space="preserve">صلی الله علیه و آله وسلم ، رَجُلَانِ مِنْ أَهْلِ العِرَاقِ مِنْ شِيْعَتِكَ قَدَمَا يَسْأَلَانِ فَأَجَبْتَ كُلَّ وَاحِدٍ مِنْهُمَا بِغَيْرِ </w:t>
      </w:r>
      <w:r>
        <w:rPr>
          <w:rStyle w:val="FootnoteAnchor"/>
          <w:rtl w:val="true"/>
        </w:rPr>
        <w:footnoteReference w:id="649"/>
      </w:r>
      <w:r>
        <w:rPr>
          <w:rFonts w:ascii="Amiri" w:hAnsi="Amiri" w:eastAsia="Amiri" w:cs="Amiri"/>
          <w:color w:val="111111"/>
          <w:sz w:val="28"/>
          <w:sz w:val="28"/>
          <w:szCs w:val="28"/>
          <w:rtl w:val="true"/>
          <w:lang w:bidi="ar-SA"/>
        </w:rPr>
        <w:t>مَا أَجَبْتَ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هَذَا خَيْرٌ لَنَا و َأَبْقَى لَنَا وَ لَكُمْ، و َلَو اجْتَمَعْتُمْ عَلَى أَمْرٍ وَاحِدٍ لَقَصَدَكُم النَّاسُ ، وَلَكَانَ أَقَلَّ لِبَقَائِنَا وَ 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Style w:val="FootnoteAnchor"/>
          <w:rtl w:val="true"/>
        </w:rPr>
        <w:footnoteReference w:id="650"/>
      </w:r>
      <w:r>
        <w:rPr>
          <w:rFonts w:ascii="Amiri" w:hAnsi="Amiri" w:eastAsia="Amiri" w:cs="Amiri"/>
          <w:color w:val="111111"/>
          <w:sz w:val="28"/>
          <w:sz w:val="28"/>
          <w:szCs w:val="28"/>
          <w:rtl w:val="true"/>
          <w:lang w:bidi="ar-SA"/>
        </w:rPr>
        <w:t xml:space="preserve">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لَوْ حَمَلْتُمُوهُم عَلَى الْأَسِنَّةِ أَوْ عَلى النَّارِ لَمضَوا وَ هُمْ يَخْرُجُونَ مِنْ عِنْدِكُم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عَلَيْهِ ثَلَاثَ مَرَّاتٍ، فَأَجَابَنِيْ بِمِثْلِ جَوَابِ </w:t>
      </w:r>
      <w:r>
        <w:rPr>
          <w:rStyle w:val="FootnoteAnchor"/>
          <w:rtl w:val="true"/>
        </w:rPr>
        <w:footnoteReference w:id="651"/>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البصائر بإسناده إلى موسى بن أشيم</w:t>
      </w:r>
      <w:r>
        <w:rPr>
          <w:rStyle w:val="FootnoteAnchor"/>
          <w:rtl w:val="true"/>
        </w:rPr>
        <w:footnoteReference w:id="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علیه السلام فَسَأَلْتُهُ عَنْ مَسْأَلَةٍ فَأَجَابَنِي، فَبَيْنَما </w:t>
      </w:r>
      <w:r>
        <w:rPr>
          <w:rStyle w:val="FootnoteAnchor"/>
          <w:rtl w:val="true"/>
        </w:rPr>
        <w:footnoteReference w:id="654"/>
      </w:r>
      <w:r>
        <w:rPr>
          <w:rFonts w:ascii="Amiri" w:hAnsi="Amiri" w:eastAsia="Amiri" w:cs="Amiri"/>
          <w:color w:val="111111"/>
          <w:sz w:val="28"/>
          <w:sz w:val="28"/>
          <w:szCs w:val="28"/>
          <w:rtl w:val="true"/>
          <w:lang w:bidi="ar-SA"/>
        </w:rPr>
        <w:t xml:space="preserve">أَنَا جَالِسٌ إِذْ جَاءَ رَجُلٌ فَسَأَلَهُ عَنْهَا ، فَأَجَابَهُ </w:t>
      </w:r>
      <w:r>
        <w:rPr>
          <w:rStyle w:val="FootnoteAnchor"/>
          <w:rtl w:val="true"/>
        </w:rPr>
        <w:footnoteReference w:id="655"/>
      </w:r>
      <w:r>
        <w:rPr>
          <w:rFonts w:ascii="Amiri" w:hAnsi="Amiri" w:eastAsia="Amiri" w:cs="Amiri"/>
          <w:color w:val="111111"/>
          <w:sz w:val="28"/>
          <w:sz w:val="28"/>
          <w:szCs w:val="28"/>
          <w:rtl w:val="true"/>
          <w:lang w:bidi="ar-SA"/>
        </w:rPr>
        <w:t xml:space="preserve">بِخِلَافِ مَا أَجَابَنِي،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أَخَرُ فَسَأَلَهُ عَنْهَا بِعَيْنِهَا، فَأَجَابَهُ بِخِلافِ مَا أَجَابَنِي</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وَ أَجَابَ صَاحِبِي، فَفَزِعْتُ مِنْ ذَلِكَ وَعَظُمَ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الْقَوْمُ 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جَزَعْتَ؟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إِنَّمَا جَزَعْتُ مِنْ ثَلَاثَةِ </w:t>
      </w:r>
      <w:r>
        <w:rPr>
          <w:rStyle w:val="FootnoteAnchor"/>
          <w:rtl w:val="true"/>
        </w:rPr>
        <w:footnoteReference w:id="657"/>
      </w:r>
      <w:r>
        <w:rPr>
          <w:rFonts w:ascii="Amiri" w:hAnsi="Amiri" w:eastAsia="Amiri" w:cs="Amiri"/>
          <w:color w:val="111111"/>
          <w:sz w:val="28"/>
          <w:sz w:val="28"/>
          <w:szCs w:val="28"/>
          <w:rtl w:val="true"/>
          <w:lang w:bidi="ar-SA"/>
        </w:rPr>
        <w:t xml:space="preserve">أَقَاوِيْلَ فِي مَسْأَلَةٍ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أَشِيْم </w:t>
      </w:r>
      <w:r>
        <w:rPr>
          <w:rStyle w:val="FootnoteAnchor"/>
          <w:rtl w:val="true"/>
        </w:rPr>
        <w:footnoteReference w:id="658"/>
      </w:r>
      <w:r>
        <w:rPr>
          <w:rFonts w:ascii="Amiri" w:hAnsi="Amiri" w:eastAsia="Amiri" w:cs="Amiri"/>
          <w:color w:val="111111"/>
          <w:sz w:val="28"/>
          <w:sz w:val="28"/>
          <w:szCs w:val="28"/>
          <w:rtl w:val="true"/>
          <w:lang w:bidi="ar-SA"/>
        </w:rPr>
        <w:t>، إِنَّ اللهَ فَوَّضَ إِلى دَاودَ علیه السلام أَمْرَ مُلْكِهِ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وَفَوَّضَ إِلَى مُحَمَّد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دِينِهِ </w:t>
      </w:r>
      <w:r>
        <w:rPr>
          <w:rStyle w:val="FootnoteAnchor"/>
          <w:rtl w:val="true"/>
        </w:rPr>
        <w:footnoteReference w:id="6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ءَاتَاكُمُ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w:t>
      </w:r>
      <w:r>
        <w:rPr>
          <w:rStyle w:val="FootnoteAnchor"/>
          <w:rtl w:val="true"/>
        </w:rPr>
        <w:footnoteReference w:id="660"/>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إِلَى الْأَئِمَّةِ مِنَّا و َإِلَيْنَا مَا فَوَّضَ إِلَى مُحَمَّد صلی الله علیه و آله وسلمٍ فَلَا تَجْزَعْ</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لا يأتي الإملاء</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على حصرها، وهي –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شاهدة بوقوع الاختلاف و تحققه، وأنه</w:t>
      </w:r>
      <w:r>
        <w:rPr>
          <w:rStyle w:val="FootnoteAnchor"/>
          <w:rtl w:val="true"/>
        </w:rPr>
        <w:footnoteReference w:id="664"/>
      </w:r>
      <w:r>
        <w:rPr>
          <w:rFonts w:ascii="Amiri" w:hAnsi="Amiri" w:eastAsia="Amiri" w:cs="Amiri"/>
          <w:color w:val="111111"/>
          <w:sz w:val="28"/>
          <w:sz w:val="28"/>
          <w:szCs w:val="28"/>
          <w:rtl w:val="true"/>
          <w:lang w:bidi="ar-SA"/>
        </w:rPr>
        <w:t xml:space="preserve">يقع لأسباب كثيرة، وإن كان من أوسعها و أجلها فائدةً ومصلحة التقية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ادعاه الفاضل الأسترآبادي في الفوائد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Style w:val="FootnoteAnchor"/>
          <w:rtl w:val="true"/>
        </w:rPr>
        <w:footnoteReference w:id="666"/>
      </w:r>
      <w:r>
        <w:rPr>
          <w:rFonts w:ascii="Amiri" w:hAnsi="Amiri" w:eastAsia="Amiri" w:cs="Amiri"/>
          <w:color w:val="111111"/>
          <w:sz w:val="28"/>
          <w:sz w:val="28"/>
          <w:szCs w:val="28"/>
          <w:rtl w:val="true"/>
          <w:lang w:bidi="ar-SA"/>
        </w:rPr>
        <w:t xml:space="preserve">الاختلافات الواقعة بين الأخباريين منحصرة في العمل بالأخبار الواردة مورد التقية، بأن يكون أحد المتخالفين عمل على خبر و الآخر عمل على خبر آخر، ولكن أحد الخبرين قد خرج مخرج التقية، و أن اختلاف مجتهدي أصحابنا إنما نشأ من الاستنباطات الظنية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إذ الوجدان و العيان متصادقان على إبطال هذه الدعوى، فإن من تتبع كلام الأخباريين من المتقدمين و المتأخرين ظهر له أنها وقع لهم من الاختلاف والتشاجرد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منشأه إلا اختلاف أفهامهم و تشعب أنظارهم في مبادئ إدراكهم </w:t>
      </w:r>
      <w:r>
        <w:rPr>
          <w:rStyle w:val="FootnoteAnchor"/>
          <w:rtl w:val="true"/>
        </w:rPr>
        <w:footnoteReference w:id="668"/>
      </w:r>
      <w:r>
        <w:rPr>
          <w:rFonts w:ascii="Amiri" w:hAnsi="Amiri" w:eastAsia="Amiri" w:cs="Amiri"/>
          <w:color w:val="111111"/>
          <w:sz w:val="28"/>
          <w:sz w:val="28"/>
          <w:szCs w:val="28"/>
          <w:rtl w:val="true"/>
          <w:lang w:bidi="ar-SA"/>
        </w:rPr>
        <w:t xml:space="preserve">لتلك الأحكام و تفاوت الأفهام المفاضة من الملك العلام؛ فإن </w:t>
      </w:r>
      <w:r>
        <w:rPr>
          <w:rStyle w:val="FootnoteAnchor"/>
          <w:rtl w:val="true"/>
        </w:rPr>
        <w:footnoteReference w:id="669"/>
      </w:r>
      <w:r>
        <w:rPr>
          <w:rFonts w:ascii="Amiri" w:hAnsi="Amiri" w:eastAsia="Amiri" w:cs="Amiri"/>
          <w:color w:val="111111"/>
          <w:sz w:val="28"/>
          <w:sz w:val="28"/>
          <w:szCs w:val="28"/>
          <w:rtl w:val="true"/>
          <w:lang w:bidi="ar-SA"/>
        </w:rPr>
        <w:t>منها ما هو كالبرق الخاطف ، و منها ما هو كالساكن الواقف، وبينهما مراتب لا تخفى على الفطن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بأن نشير إلى جملة منها </w:t>
      </w:r>
      <w:r>
        <w:rPr>
          <w:rStyle w:val="FootnoteAnchor"/>
          <w:rtl w:val="true"/>
        </w:rPr>
        <w:footnoteReference w:id="670"/>
      </w:r>
      <w:r>
        <w:rPr>
          <w:rFonts w:ascii="Amiri" w:hAnsi="Amiri" w:eastAsia="Amiri" w:cs="Amiri"/>
          <w:color w:val="111111"/>
          <w:sz w:val="28"/>
          <w:sz w:val="28"/>
          <w:szCs w:val="28"/>
          <w:rtl w:val="true"/>
          <w:lang w:bidi="ar-SA"/>
        </w:rPr>
        <w:t xml:space="preserve">وفية بالشهادة على ما قلناه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أخبار التثنية الواردة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فثقة الإسلام حملها على من لم تقنعه المرة لغسله </w:t>
      </w:r>
      <w:r>
        <w:rPr>
          <w:rStyle w:val="FootnoteAnchor"/>
          <w:rtl w:val="true"/>
        </w:rPr>
        <w:footnoteReference w:id="672"/>
      </w:r>
      <w:r>
        <w:rPr>
          <w:rFonts w:ascii="Amiri" w:hAnsi="Amiri" w:eastAsia="Amiri" w:cs="Amiri"/>
          <w:color w:val="111111"/>
          <w:sz w:val="28"/>
          <w:sz w:val="28"/>
          <w:szCs w:val="28"/>
          <w:rtl w:val="true"/>
          <w:lang w:bidi="ar-SA"/>
        </w:rPr>
        <w:t>، و الصدوق حملها تارة على التجديد وأخرى على الغسلتين</w:t>
      </w:r>
      <w:r>
        <w:rPr>
          <w:rStyle w:val="FootnoteAnchor"/>
          <w:rtl w:val="true"/>
        </w:rPr>
        <w:footnoteReference w:id="673"/>
      </w:r>
      <w:r>
        <w:rPr>
          <w:rFonts w:ascii="Amiri" w:hAnsi="Amiri" w:eastAsia="Amiri" w:cs="Amiri"/>
          <w:color w:val="111111"/>
          <w:sz w:val="28"/>
          <w:sz w:val="28"/>
          <w:szCs w:val="28"/>
          <w:rtl w:val="true"/>
          <w:lang w:bidi="ar-SA"/>
        </w:rPr>
        <w:t xml:space="preserve">، وشيخ الطائفة على استحباب التثنية كما هو المشهور </w:t>
      </w:r>
      <w:r>
        <w:rPr>
          <w:rStyle w:val="FootnoteAnchor"/>
          <w:rtl w:val="true"/>
        </w:rPr>
        <w:footnoteReference w:id="674"/>
      </w:r>
      <w:r>
        <w:rPr>
          <w:rFonts w:ascii="Amiri" w:hAnsi="Amiri" w:eastAsia="Amiri" w:cs="Amiri"/>
          <w:color w:val="111111"/>
          <w:sz w:val="28"/>
          <w:sz w:val="28"/>
          <w:szCs w:val="28"/>
          <w:rtl w:val="true"/>
          <w:lang w:bidi="ar-SA"/>
        </w:rPr>
        <w:t xml:space="preserve">، والكاشاني في الوافي حمل أخبار الوحدة على الغسلة </w:t>
      </w:r>
      <w:r>
        <w:rPr>
          <w:rStyle w:val="FootnoteAnchor"/>
          <w:rtl w:val="true"/>
        </w:rPr>
        <w:footnoteReference w:id="675"/>
      </w:r>
      <w:r>
        <w:rPr>
          <w:rFonts w:ascii="Amiri" w:hAnsi="Amiri" w:eastAsia="Amiri" w:cs="Amiri"/>
          <w:color w:val="111111"/>
          <w:sz w:val="28"/>
          <w:sz w:val="28"/>
          <w:szCs w:val="28"/>
          <w:rtl w:val="true"/>
          <w:lang w:bidi="ar-SA"/>
        </w:rPr>
        <w:t xml:space="preserve">والتثنية على الغرفة </w:t>
      </w:r>
      <w:r>
        <w:rPr>
          <w:rStyle w:val="FootnoteAnchor"/>
          <w:rtl w:val="true"/>
        </w:rPr>
        <w:footnoteReference w:id="676"/>
      </w:r>
      <w:r>
        <w:rPr>
          <w:rFonts w:ascii="Amiri" w:hAnsi="Amiri" w:eastAsia="Amiri" w:cs="Amiri"/>
          <w:color w:val="111111"/>
          <w:sz w:val="28"/>
          <w:sz w:val="28"/>
          <w:szCs w:val="28"/>
          <w:rtl w:val="true"/>
          <w:lang w:bidi="ar-SA"/>
        </w:rPr>
        <w:t xml:space="preserve">، والمحقق الشيخ حسن </w:t>
      </w:r>
      <w:r>
        <w:rPr>
          <w:rStyle w:val="FootnoteAnchor"/>
          <w:rtl w:val="true"/>
        </w:rPr>
        <w:footnoteReference w:id="677"/>
      </w:r>
      <w:r>
        <w:rPr>
          <w:rFonts w:ascii="Amiri" w:hAnsi="Amiri" w:eastAsia="Amiri" w:cs="Amiri"/>
          <w:color w:val="111111"/>
          <w:sz w:val="28"/>
          <w:sz w:val="28"/>
          <w:szCs w:val="28"/>
          <w:rtl w:val="true"/>
          <w:lang w:bidi="ar-SA"/>
        </w:rPr>
        <w:t xml:space="preserve">وجماعة من مشايخنا – كشيخنا في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المرة غسلا و غرفًا على أنها الحكم الشرعي، و التثنية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رخصة و توسعه على الضعفة من العباد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للصدوق في مسألة اجتماع ولد الولد مع الأبوين في الميراث حيث ذهب إلى حجب الأبوين لولد الولد الذي تقرب </w:t>
      </w:r>
      <w:r>
        <w:rPr>
          <w:rStyle w:val="FootnoteAnchor"/>
          <w:rtl w:val="true"/>
        </w:rPr>
        <w:footnoteReference w:id="679"/>
      </w:r>
      <w:r>
        <w:rPr>
          <w:rFonts w:ascii="Amiri" w:hAnsi="Amiri" w:eastAsia="Amiri" w:cs="Amiri"/>
          <w:color w:val="111111"/>
          <w:sz w:val="28"/>
          <w:sz w:val="28"/>
          <w:szCs w:val="28"/>
          <w:rtl w:val="true"/>
          <w:lang w:bidi="ar-SA"/>
        </w:rPr>
        <w:t xml:space="preserve">إخلادًا إلى صحيحتي </w:t>
      </w:r>
      <w:r>
        <w:rPr>
          <w:rStyle w:val="FootnoteAnchor"/>
          <w:rtl w:val="true"/>
        </w:rPr>
        <w:footnoteReference w:id="680"/>
      </w:r>
      <w:r>
        <w:rPr>
          <w:rFonts w:ascii="IRNazanin" w:hAnsi="IRNazanin" w:eastAsia="IRNazanin"/>
          <w:color w:val="111111"/>
          <w:sz w:val="28"/>
          <w:sz w:val="28"/>
          <w:szCs w:val="28"/>
          <w:rtl w:val="true"/>
          <w:lang w:bidi="fa-IR"/>
        </w:rPr>
        <w:t xml:space="preserve">ابن </w:t>
      </w:r>
      <w:r>
        <w:rPr>
          <w:rStyle w:val="FootnoteAnchor"/>
          <w:rtl w:val="true"/>
        </w:rPr>
        <w:footnoteReference w:id="681"/>
      </w:r>
      <w:r>
        <w:rPr>
          <w:rFonts w:ascii="IRNazanin" w:hAnsi="IRNazanin" w:eastAsia="IRNazanin"/>
          <w:color w:val="111111"/>
          <w:sz w:val="28"/>
          <w:sz w:val="28"/>
          <w:szCs w:val="28"/>
          <w:rtl w:val="true"/>
          <w:lang w:bidi="fa-IR"/>
        </w:rPr>
        <w:t xml:space="preserve">الحجاج وسعد </w:t>
      </w:r>
      <w:r>
        <w:rPr>
          <w:rStyle w:val="FootnoteAnchor"/>
          <w:rtl w:val="true"/>
        </w:rPr>
        <w:footnoteReference w:id="682"/>
      </w:r>
      <w:r>
        <w:rPr>
          <w:rFonts w:ascii="Amiri" w:hAnsi="Amiri" w:eastAsia="Amiri" w:cs="Amiri"/>
          <w:color w:val="111111"/>
          <w:sz w:val="28"/>
          <w:sz w:val="28"/>
          <w:szCs w:val="28"/>
          <w:rtl w:val="true"/>
          <w:lang w:bidi="ar-SA"/>
        </w:rPr>
        <w:t xml:space="preserve">ابن أبي خلف لقوله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بَنَاتُ الاِبْنَةِ، وَبَنَاتُ الاِبْنِ يَقُمْنَ مَقَامَ الاِبْنَةِ إِذَا لَمْ يَكُنْ لِلْمَيِّتِ وَلَدٌ وَلَا وَارِثَ غَيْرُهُنَّ </w:t>
      </w:r>
      <w:r>
        <w:rPr>
          <w:rStyle w:val="FootnoteAnchor"/>
          <w:rtl w:val="true"/>
        </w:rPr>
        <w:footnoteReference w:id="683"/>
      </w:r>
      <w:r>
        <w:rPr>
          <w:rFonts w:ascii="Amiri" w:hAnsi="Amiri" w:eastAsia="Amiri" w:cs="Amiri"/>
          <w:color w:val="111111"/>
          <w:sz w:val="28"/>
          <w:sz w:val="28"/>
          <w:szCs w:val="28"/>
          <w:rtl w:val="true"/>
          <w:lang w:bidi="ar-SA"/>
        </w:rPr>
        <w:t xml:space="preserve">عَلَى الْوَلَدِ الذِي تَقَرَّبَ بِهِ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و بهذا صرح الشيخ في التهذيبين</w:t>
      </w:r>
      <w:r>
        <w:rPr>
          <w:rStyle w:val="FootnoteAnchor"/>
          <w:rtl w:val="true"/>
        </w:rPr>
        <w:footnoteReference w:id="685"/>
      </w:r>
      <w:r>
        <w:rPr>
          <w:rFonts w:ascii="Amiri" w:hAnsi="Amiri" w:eastAsia="Amiri" w:cs="Amiri"/>
          <w:color w:val="111111"/>
          <w:sz w:val="28"/>
          <w:sz w:val="28"/>
          <w:szCs w:val="28"/>
          <w:rtl w:val="true"/>
          <w:lang w:bidi="ar-SA"/>
        </w:rPr>
        <w:t xml:space="preserve">، وردّ على الصدوق رحمه الله فيما ذكره و غلطه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w:t>
      </w:r>
      <w:r>
        <w:rPr>
          <w:rStyle w:val="FootnoteAnchor"/>
          <w:rtl w:val="true"/>
        </w:rPr>
        <w:footnoteReference w:id="687"/>
      </w:r>
      <w:r>
        <w:rPr>
          <w:rFonts w:ascii="Amiri" w:hAnsi="Amiri" w:eastAsia="Amiri" w:cs="Amiri"/>
          <w:color w:val="111111"/>
          <w:sz w:val="28"/>
          <w:sz w:val="28"/>
          <w:szCs w:val="28"/>
          <w:rtl w:val="true"/>
          <w:lang w:bidi="ar-SA"/>
        </w:rPr>
        <w:t xml:space="preserve">قد بالغ في الرد على الفضل بن شادان و غلطه و نسبه إلى القياس، حيث قال بعد نقل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زلت </w:t>
      </w:r>
      <w:r>
        <w:rPr>
          <w:rStyle w:val="FootnoteAnchor"/>
          <w:rtl w:val="true"/>
        </w:rPr>
        <w:footnoteReference w:id="688"/>
      </w:r>
      <w:r>
        <w:rPr>
          <w:rFonts w:ascii="Amiri" w:hAnsi="Amiri" w:eastAsia="Amiri" w:cs="Amiri"/>
          <w:color w:val="111111"/>
          <w:sz w:val="28"/>
          <w:sz w:val="28"/>
          <w:szCs w:val="28"/>
          <w:rtl w:val="true"/>
          <w:lang w:bidi="ar-SA"/>
        </w:rPr>
        <w:t>به قدمه عن الطريقة المستقيمة، وهذا سبيل من يقيس</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مع أن جملة الأصحاب قد ذهبوا إليه، وهو ظاهر ثقة الإسلام في الكافي اعتماده حيث نقل كلام الفضل و لم ينكره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للصدوق أيضًا في مسألة الرد على الزوجة لو مات الزوج و لم يخلف وارثا </w:t>
      </w:r>
      <w:r>
        <w:rPr>
          <w:rStyle w:val="FootnoteAnchor"/>
          <w:rtl w:val="true"/>
        </w:rPr>
        <w:footnoteReference w:id="691"/>
      </w:r>
      <w:r>
        <w:rPr>
          <w:rFonts w:ascii="IRNazanin" w:hAnsi="IRNazanin" w:eastAsia="IRNazanin"/>
          <w:color w:val="111111"/>
          <w:sz w:val="28"/>
          <w:sz w:val="28"/>
          <w:szCs w:val="28"/>
          <w:rtl w:val="true"/>
          <w:lang w:bidi="fa-IR"/>
        </w:rPr>
        <w:t xml:space="preserve">سواها، فإنه فصل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w:t>
      </w:r>
      <w:r>
        <w:rPr>
          <w:rStyle w:val="FootnoteAnchor"/>
          <w:rtl w:val="true"/>
        </w:rPr>
        <w:footnoteReference w:id="693"/>
      </w:r>
      <w:r>
        <w:rPr>
          <w:rFonts w:ascii="Amiri" w:hAnsi="Amiri" w:eastAsia="Amiri" w:cs="Amiri"/>
          <w:color w:val="111111"/>
          <w:sz w:val="28"/>
          <w:sz w:val="28"/>
          <w:szCs w:val="28"/>
          <w:rtl w:val="true"/>
          <w:lang w:bidi="ar-SA"/>
        </w:rPr>
        <w:t xml:space="preserve">الإمام و غيبته، فحمل الأخبار الدالة على كون ما زاد على فريضتها للإمام على حال حضوره، و الأخبار الدالة على كون الميراث لها </w:t>
      </w:r>
      <w:r>
        <w:rPr>
          <w:rStyle w:val="FootnoteAnchor"/>
          <w:rtl w:val="true"/>
        </w:rPr>
        <w:footnoteReference w:id="694"/>
      </w:r>
      <w:r>
        <w:rPr>
          <w:rFonts w:ascii="Amiri" w:hAnsi="Amiri" w:eastAsia="Amiri" w:cs="Amiri"/>
          <w:color w:val="111111"/>
          <w:sz w:val="28"/>
          <w:sz w:val="28"/>
          <w:szCs w:val="28"/>
          <w:rtl w:val="true"/>
          <w:lang w:bidi="ar-SA"/>
        </w:rPr>
        <w:t xml:space="preserve">كملاً </w:t>
      </w:r>
      <w:r>
        <w:rPr>
          <w:rStyle w:val="FootnoteAnchor"/>
          <w:rtl w:val="true"/>
        </w:rPr>
        <w:footnoteReference w:id="695"/>
      </w:r>
      <w:r>
        <w:rPr>
          <w:rFonts w:ascii="Amiri" w:hAnsi="Amiri" w:eastAsia="Amiri" w:cs="Amiri"/>
          <w:color w:val="111111"/>
          <w:sz w:val="28"/>
          <w:sz w:val="28"/>
          <w:szCs w:val="28"/>
          <w:rtl w:val="true"/>
          <w:lang w:bidi="ar-SA"/>
        </w:rPr>
        <w:t xml:space="preserve">على حال الغيبة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اعترضه الكاشي في الوافي بأن ما دل على كون الميراث لها كاملا وقع في حال حضوره الحكم به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حملها على ما </w:t>
      </w:r>
      <w:r>
        <w:rPr>
          <w:rStyle w:val="FootnoteAnchor"/>
          <w:rtl w:val="true"/>
        </w:rPr>
        <w:footnoteReference w:id="698"/>
      </w:r>
      <w:r>
        <w:rPr>
          <w:rFonts w:ascii="Amiri" w:hAnsi="Amiri" w:eastAsia="Amiri" w:cs="Amiri"/>
          <w:color w:val="111111"/>
          <w:sz w:val="28"/>
          <w:sz w:val="28"/>
          <w:szCs w:val="28"/>
          <w:rtl w:val="true"/>
          <w:lang w:bidi="ar-SA"/>
        </w:rPr>
        <w:t xml:space="preserve">إذا كانت المرأة قريبة للميت و لا وارث له </w:t>
      </w:r>
      <w:r>
        <w:rPr>
          <w:rStyle w:val="FootnoteAnchor"/>
          <w:rtl w:val="true"/>
        </w:rPr>
        <w:footnoteReference w:id="699"/>
      </w:r>
      <w:r>
        <w:rPr>
          <w:rFonts w:ascii="Amiri" w:hAnsi="Amiri" w:eastAsia="Amiri" w:cs="Amiri"/>
          <w:color w:val="111111"/>
          <w:sz w:val="28"/>
          <w:sz w:val="28"/>
          <w:szCs w:val="28"/>
          <w:rtl w:val="true"/>
          <w:lang w:bidi="ar-SA"/>
        </w:rPr>
        <w:t>أقرب منها، فتأخذ الربع ميراثا، والباقي بالقرابة،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الأخرى على انتفائها فليس لها سوى حقها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له في مسألة جواز القنوت بالفارسية </w:t>
      </w:r>
      <w:r>
        <w:rPr>
          <w:rStyle w:val="FootnoteAnchor"/>
          <w:rtl w:val="true"/>
        </w:rPr>
        <w:footnoteReference w:id="701"/>
      </w:r>
      <w:r>
        <w:rPr>
          <w:rFonts w:ascii="Amiri" w:hAnsi="Amiri" w:eastAsia="Amiri" w:cs="Amiri"/>
          <w:color w:val="111111"/>
          <w:sz w:val="28"/>
          <w:sz w:val="28"/>
          <w:szCs w:val="28"/>
          <w:rtl w:val="true"/>
          <w:lang w:bidi="ar-SA"/>
        </w:rPr>
        <w:t>، فإنه قد خالفه فيه جماعة من الأخباريين، و تفصيل مذاهبهم في أمثال ذلك و اختلافاتهم مما لا يليق به هذا الإملاء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إن اختلافاتهم لاختلاف الأفهام لا </w:t>
      </w:r>
      <w:r>
        <w:rPr>
          <w:rStyle w:val="FootnoteAnchor"/>
          <w:rtl w:val="true"/>
        </w:rPr>
        <w:footnoteReference w:id="702"/>
      </w:r>
      <w:r>
        <w:rPr>
          <w:rFonts w:ascii="Amiri" w:hAnsi="Amiri" w:eastAsia="Amiri" w:cs="Amiri"/>
          <w:color w:val="111111"/>
          <w:sz w:val="28"/>
          <w:sz w:val="28"/>
          <w:szCs w:val="28"/>
          <w:rtl w:val="true"/>
          <w:lang w:bidi="ar-SA"/>
        </w:rPr>
        <w:t>ينكره محصل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ذلك المحقق من قسمي الاختلاف في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سببية </w:t>
      </w:r>
      <w:r>
        <w:rPr>
          <w:rStyle w:val="FootnoteAnchor"/>
          <w:rtl w:val="true"/>
        </w:rPr>
        <w:footnoteReference w:id="703"/>
      </w:r>
      <w:r>
        <w:rPr>
          <w:rFonts w:ascii="Amiri" w:hAnsi="Amiri" w:eastAsia="Amiri" w:cs="Amiri"/>
          <w:color w:val="111111"/>
          <w:sz w:val="28"/>
          <w:sz w:val="28"/>
          <w:szCs w:val="28"/>
          <w:rtl w:val="true"/>
          <w:lang w:bidi="ar-SA"/>
        </w:rPr>
        <w:t>الاستنباطات المشار إليه ناش من الأدلة العقلية</w:t>
      </w:r>
      <w:r>
        <w:rPr>
          <w:rStyle w:val="FootnoteAnchor"/>
          <w:rtl w:val="true"/>
        </w:rPr>
        <w:footnoteReference w:id="704"/>
      </w:r>
      <w:r>
        <w:rPr>
          <w:rFonts w:ascii="Amiri" w:hAnsi="Amiri" w:eastAsia="Amiri" w:cs="Amiri"/>
          <w:color w:val="111111"/>
          <w:sz w:val="28"/>
          <w:sz w:val="28"/>
          <w:szCs w:val="28"/>
          <w:rtl w:val="true"/>
          <w:lang w:bidi="ar-SA"/>
        </w:rPr>
        <w:t xml:space="preserve">و القواعد الأصولية و الخارجة عن الكتاب العزيز و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مُسلّم، و إلا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قد عرفت مما قدمنا أن التكليفات الإلهية إنما وقعت منه سبحانه على قدر ما رزقهم من العقول و الأفهام، و أن الناس مختلفون بالزيادة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الاستنباطات الظنية التي يكررها في المقام التشنيع بها عليهم ليست إلا عبارة عما ذكرناه من النظر في الدلائل، بل </w:t>
      </w:r>
      <w:r>
        <w:rPr>
          <w:rStyle w:val="FootnoteAnchor"/>
          <w:rtl w:val="true"/>
        </w:rPr>
        <w:footnoteReference w:id="705"/>
      </w:r>
      <w:r>
        <w:rPr>
          <w:rFonts w:ascii="IRNazanin" w:hAnsi="IRNazanin" w:eastAsia="IRNazanin"/>
          <w:color w:val="111111"/>
          <w:sz w:val="28"/>
          <w:sz w:val="28"/>
          <w:szCs w:val="28"/>
          <w:rtl w:val="true"/>
          <w:lang w:bidi="fa-IR"/>
        </w:rPr>
        <w:t>لمال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رزقوه من العقول و الأحلام بما فهموه من ذلك الدليل من نقض أو 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يدعي أن الذي فهمه هو و من يحدو حدوه يسمى علما لا ظنّا، و سائر المجتهدين يطلقون عليه الظن، و إلا فالجميع مشتركون في سببه و أصله، ولا مشاحة في التسمية فليس </w:t>
      </w:r>
      <w:r>
        <w:rPr>
          <w:rStyle w:val="FootnoteAnchor"/>
          <w:rtl w:val="true"/>
        </w:rPr>
        <w:footnoteReference w:id="706"/>
      </w:r>
      <w:r>
        <w:rPr>
          <w:rFonts w:ascii="Amiri" w:hAnsi="Amiri" w:eastAsia="Amiri" w:cs="Amiri"/>
          <w:color w:val="111111"/>
          <w:sz w:val="28"/>
          <w:sz w:val="28"/>
          <w:szCs w:val="28"/>
          <w:rtl w:val="true"/>
          <w:lang w:bidi="ar-SA"/>
        </w:rPr>
        <w:t xml:space="preserve">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التسمية،و هو لا يوجب قدحًا و لا تشنيعا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الاستنباط من غير أدلة الكتاب والسنة اتجه ما ذكره، إلا أن كلامه قدس سره فيما هو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استناده إلى أخبار أن المفتي ضامن، و أنه يلحقه وزر من عمل بفتياه </w:t>
      </w:r>
      <w:r>
        <w:rPr>
          <w:rStyle w:val="FootnoteAnchor"/>
          <w:rtl w:val="true"/>
        </w:rPr>
        <w:footnoteReference w:id="707"/>
      </w:r>
      <w:r>
        <w:rPr>
          <w:rFonts w:ascii="Amiri" w:hAnsi="Amiri" w:eastAsia="Amiri" w:cs="Amiri"/>
          <w:color w:val="111111"/>
          <w:sz w:val="28"/>
          <w:sz w:val="28"/>
          <w:szCs w:val="28"/>
          <w:rtl w:val="true"/>
          <w:lang w:bidi="ar-SA"/>
        </w:rPr>
        <w:t>، فمما لا ينفعه؛ إذ الظاهر منه إرادة ذلك الفرد، و هو المتجاوز للأوامر الشرعية و المتعدي للحدود المقررة المرعية؛ إما لعدم إعطاء الوسع حقه من التتبع لعدم مراعاته التخصيص و الإطلاق و التقييد و النسخ ،و عدمه، أو بأخذه الأحكام بالرأي و القياس المنهي عنهما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إن الاختلاف لأسباب كثيرة مما وقع في أحكامنا، و إن الاستنباط المأذون فيه عنه علیه السلام ما رواه البزنطي في جامعه بطريقين عن الرّضَا علیه السلام ، على ما رواه ابن إدريس في مستطرفات السرائر </w:t>
      </w:r>
      <w:r>
        <w:rPr>
          <w:rStyle w:val="FootnoteAnchor"/>
          <w:rtl w:val="true"/>
        </w:rPr>
        <w:footnoteReference w:id="708"/>
      </w:r>
      <w:r>
        <w:rPr>
          <w:rFonts w:ascii="Amiri" w:hAnsi="Amiri" w:eastAsia="Amiri" w:cs="Amiri"/>
          <w:color w:val="111111"/>
          <w:sz w:val="28"/>
          <w:sz w:val="28"/>
          <w:szCs w:val="28"/>
          <w:rtl w:val="true"/>
          <w:lang w:bidi="ar-SA"/>
        </w:rPr>
        <w:t xml:space="preserve">، و رواه ابن عَليَّ أبي جمهور الأحسائي بطريقين أيضا </w:t>
      </w:r>
      <w:r>
        <w:rPr>
          <w:rStyle w:val="FootnoteAnchor"/>
          <w:rtl w:val="true"/>
        </w:rPr>
        <w:footnoteReference w:id="709"/>
      </w:r>
      <w:r>
        <w:rPr>
          <w:rFonts w:ascii="Amiri" w:hAnsi="Amiri" w:eastAsia="Amiri" w:cs="Amiri"/>
          <w:color w:val="111111"/>
          <w:sz w:val="28"/>
          <w:sz w:val="28"/>
          <w:szCs w:val="28"/>
          <w:rtl w:val="true"/>
          <w:lang w:bidi="ar-SA"/>
        </w:rPr>
        <w:t xml:space="preserve">عن زرارة عن ليث المرادي عن الباقر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الصادق علیه السلام من أنهم علیهم السلام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عَلَيْنَا أَنْ نُلْقِيَ إِلَيْكُمُ الأُصُولَ، وَ عَلَيْكُمْ أَنْ تُفَرِّعُوْا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المقصود من هذه المسألة بحذافيرها و فروعها، وإن ما ذكرناه شعبة من تحقيقاتها،و إلا ففي هذا الكلام كلام و مناقشات يضيق المقام عن الإتيان على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ذكرناه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أخذ بزمام الإنصاف و تنكب طريق الاعتساف، والله العالم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55" w:name="pg2523_39704"/>
    </w:p>
    <w:p>
      <w:pPr>
        <w:pStyle w:val="Heading2"/>
        <w:numPr>
          <w:ilvl w:val="1"/>
          <w:numId w:val="1"/>
        </w:numPr>
        <w:rPr/>
      </w:pPr>
      <w:bookmarkStart w:id="56" w:name="__RefHeading___Toc4264840_3804643083"/>
      <w:bookmarkStart w:id="57" w:name="_Toc18"/>
      <w:bookmarkEnd w:id="55"/>
      <w:bookmarkEnd w:id="56"/>
      <w:r>
        <w:rPr>
          <w:rtl w:val="true"/>
        </w:rPr>
        <w:t xml:space="preserve">المسألة الثانية </w:t>
      </w:r>
      <w:r>
        <w:rPr>
          <w:rtl w:val="true"/>
        </w:rPr>
        <w:t>: [</w:t>
      </w:r>
      <w:r>
        <w:rPr>
          <w:rtl w:val="true"/>
        </w:rPr>
        <w:t xml:space="preserve">حول أمور متصلة بمقام الفقاهة </w:t>
      </w:r>
      <w:r>
        <w:rPr>
          <w:rtl w:val="true"/>
        </w:rPr>
        <w:t>]</w:t>
      </w:r>
      <w:bookmarkEnd w:id="57"/>
    </w:p>
    <w:p>
      <w:pPr>
        <w:pStyle w:val="Heading3"/>
        <w:numPr>
          <w:ilvl w:val="2"/>
          <w:numId w:val="1"/>
        </w:numPr>
        <w:rPr/>
      </w:pPr>
      <w:bookmarkStart w:id="58" w:name="__RefHeading___Toc4264842_3804643083"/>
      <w:bookmarkStart w:id="59" w:name="_Toc19"/>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المسألة الثانية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أمور متصلة بمقام الفقاهة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بطريق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المكلف الرجوع إلى الأعلم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للمتوسط </w:t>
      </w:r>
      <w:r>
        <w:rPr>
          <w:rStyle w:val="FootnoteAnchor"/>
          <w:rtl w:val="true"/>
        </w:rPr>
        <w:footnoteReference w:id="714"/>
      </w:r>
      <w:r>
        <w:rPr>
          <w:rFonts w:ascii="Amiri" w:hAnsi="Amiri" w:eastAsia="Amiri" w:cs="Amiri"/>
          <w:color w:val="111111"/>
          <w:sz w:val="28"/>
          <w:sz w:val="28"/>
          <w:szCs w:val="28"/>
          <w:rtl w:val="true"/>
          <w:lang w:bidi="ar-SA"/>
        </w:rPr>
        <w:t xml:space="preserve">والمنتهي معرفته سهل هني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لغير العالم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 للعامي و المبتدئ أمر </w:t>
      </w:r>
      <w:r>
        <w:rPr>
          <w:rStyle w:val="FootnoteAnchor"/>
          <w:rtl w:val="true"/>
        </w:rPr>
        <w:footnoteReference w:id="717"/>
      </w:r>
      <w:r>
        <w:rPr>
          <w:rFonts w:ascii="Amiri" w:hAnsi="Amiri" w:eastAsia="Amiri" w:cs="Amiri"/>
          <w:color w:val="111111"/>
          <w:sz w:val="28"/>
          <w:sz w:val="28"/>
          <w:szCs w:val="28"/>
          <w:rtl w:val="true"/>
          <w:lang w:bidi="ar-SA"/>
        </w:rPr>
        <w:t>مشكل غبي، للعجز ينتهي؛ لاختلاف العلماء، و تفرق الأهواء، و قلة الائتلاف، و كثرة الاختلاف و الوقع في الأعراض الناشئة عن أغراض، و فقد الإخلاص المثمر للخلاص ؛ حيث قد صار الزمان معكوسًا، والعلم مدروسًا، و أهل الفضل و السعود متروك منبوذ</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يعرف طريق النقض والإبرام، و من له قوة الترجيح و الاستدلال في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بعضهم يجهد في ذلك غاية الجهد و الاهتمام، حتى انتشر بسببه علم الهداية، وخمدت نيران البدع و الغواية، كمولانا شيخ الاسلام و علامة الأنام الشيخ </w:t>
      </w:r>
      <w:r>
        <w:rPr>
          <w:rStyle w:val="FootnoteAnchor"/>
          <w:rtl w:val="true"/>
        </w:rPr>
        <w:footnoteReference w:id="718"/>
      </w:r>
      <w:r>
        <w:rPr>
          <w:rFonts w:ascii="Amiri" w:hAnsi="Amiri" w:eastAsia="Amiri" w:cs="Amiri"/>
          <w:color w:val="111111"/>
          <w:sz w:val="28"/>
          <w:sz w:val="28"/>
          <w:szCs w:val="28"/>
          <w:rtl w:val="true"/>
          <w:lang w:bidi="ar-SA"/>
        </w:rPr>
        <w:t xml:space="preserve">محمد يوسف سلمه الله تعالى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تلك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Style w:val="FootnoteAnchor"/>
          <w:rtl w:val="true"/>
        </w:rPr>
        <w:footnoteReference w:id="720"/>
      </w:r>
      <w:r>
        <w:rPr>
          <w:rFonts w:ascii="Amiri" w:hAnsi="Amiri" w:eastAsia="Amiri" w:cs="Amiri"/>
          <w:color w:val="111111"/>
          <w:sz w:val="28"/>
          <w:sz w:val="28"/>
          <w:szCs w:val="28"/>
          <w:rtl w:val="true"/>
          <w:lang w:bidi="ar-SA"/>
        </w:rPr>
        <w:t xml:space="preserve">عن تلك الطريقة، و تقاعد عن تحصيل </w:t>
      </w:r>
      <w:r>
        <w:rPr>
          <w:rStyle w:val="FootnoteAnchor"/>
          <w:rtl w:val="true"/>
        </w:rPr>
        <w:footnoteReference w:id="721"/>
      </w:r>
      <w:r>
        <w:rPr>
          <w:rFonts w:ascii="Amiri" w:hAnsi="Amiri" w:eastAsia="Amiri" w:cs="Amiri"/>
          <w:color w:val="111111"/>
          <w:sz w:val="28"/>
          <w:sz w:val="28"/>
          <w:szCs w:val="28"/>
          <w:rtl w:val="true"/>
          <w:lang w:bidi="ar-SA"/>
        </w:rPr>
        <w:t>تلك الحقيقة، و اكتفى بالتقليد لعلماء السلف، وأفتى بالمشهور من أقوال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أن المتوسط </w:t>
      </w:r>
      <w:r>
        <w:rPr>
          <w:rStyle w:val="FootnoteAnchor"/>
          <w:rtl w:val="true"/>
        </w:rPr>
        <w:footnoteReference w:id="722"/>
      </w:r>
      <w:r>
        <w:rPr>
          <w:rFonts w:ascii="Amiri" w:hAnsi="Amiri" w:eastAsia="Amiri" w:cs="Amiri"/>
          <w:color w:val="111111"/>
          <w:sz w:val="28"/>
          <w:sz w:val="28"/>
          <w:szCs w:val="28"/>
          <w:rtl w:val="true"/>
          <w:lang w:bidi="ar-SA"/>
        </w:rPr>
        <w:t xml:space="preserve">من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بلاد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في كل مسألة إلى إمام الجمعة و الجماعة، سواء كان مجتهدًا أو مقلدا أو عالما أو متعلما، و يسألونهم عن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من رجع إلى كتب العلماء الماضين سيما المتأخرين منهم، ككتب </w:t>
      </w:r>
      <w:r>
        <w:rPr>
          <w:rStyle w:val="FootnoteAnchor"/>
          <w:rtl w:val="true"/>
        </w:rPr>
        <w:footnoteReference w:id="723"/>
      </w:r>
      <w:r>
        <w:rPr>
          <w:rFonts w:ascii="Amiri" w:hAnsi="Amiri" w:eastAsia="Amiri" w:cs="Amiri"/>
          <w:color w:val="111111"/>
          <w:sz w:val="28"/>
          <w:sz w:val="28"/>
          <w:szCs w:val="28"/>
          <w:rtl w:val="true"/>
          <w:lang w:bidi="ar-SA"/>
        </w:rPr>
        <w:t xml:space="preserve">الفاضل المجلسي و المحدث العاملي و الفقيه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الله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واعتمدوا على ما فهموا من تراجيحهم، و اكتفوا بذلك عن الرجوع إلى العالم الحي </w:t>
      </w:r>
      <w:r>
        <w:rPr>
          <w:rStyle w:val="FootnoteAnchor"/>
          <w:rtl w:val="true"/>
        </w:rPr>
        <w:footnoteReference w:id="724"/>
      </w:r>
      <w:r>
        <w:rPr>
          <w:rFonts w:ascii="Amiri" w:hAnsi="Amiri" w:eastAsia="Amiri" w:cs="Amiri"/>
          <w:color w:val="111111"/>
          <w:sz w:val="28"/>
          <w:sz w:val="28"/>
          <w:szCs w:val="28"/>
          <w:rtl w:val="true"/>
          <w:lang w:bidi="ar-SA"/>
        </w:rPr>
        <w:t>، واستتروا عن الشمس بالفي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الخلاص من هذه الحيرة؟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فارتقوا مداريج </w:t>
      </w:r>
      <w:r>
        <w:rPr>
          <w:rStyle w:val="FootnoteAnchor"/>
          <w:rtl w:val="true"/>
        </w:rPr>
        <w:footnoteReference w:id="725"/>
      </w:r>
      <w:r>
        <w:rPr>
          <w:rFonts w:ascii="Amiri" w:hAnsi="Amiri" w:eastAsia="Amiri" w:cs="Amiri"/>
          <w:color w:val="111111"/>
          <w:sz w:val="28"/>
          <w:sz w:val="28"/>
          <w:szCs w:val="28"/>
          <w:rtl w:val="true"/>
          <w:lang w:bidi="ar-SA"/>
        </w:rPr>
        <w:t xml:space="preserve">الأحاديث الساطعة، وافرشوا قلوبنا بالدلائل القاطعة، و انزحوا من آبار </w:t>
      </w:r>
      <w:r>
        <w:rPr>
          <w:rStyle w:val="FootnoteAnchor"/>
          <w:rtl w:val="true"/>
        </w:rPr>
        <w:footnoteReference w:id="726"/>
      </w:r>
      <w:r>
        <w:rPr>
          <w:rFonts w:ascii="Amiri" w:hAnsi="Amiri" w:eastAsia="Amiri" w:cs="Amiri"/>
          <w:color w:val="111111"/>
          <w:sz w:val="28"/>
          <w:sz w:val="28"/>
          <w:szCs w:val="28"/>
          <w:rtl w:val="true"/>
          <w:lang w:bidi="ar-SA"/>
        </w:rPr>
        <w:t>الحكمة مياه المعرفة بدلائل غزيرة، و اغسلوا بها درن الشك والتلويح عنا و الحيرة، و أرشدونا إلى واضح السبيل و بينوا الجواب بالتفصيل؛ لتفوزوا بالثواب الجزيل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60" w:name="pg2523_39707"/>
    </w:p>
    <w:p>
      <w:pPr>
        <w:pStyle w:val="Heading3"/>
        <w:numPr>
          <w:ilvl w:val="2"/>
          <w:numId w:val="1"/>
        </w:numPr>
        <w:rPr/>
      </w:pPr>
      <w:bookmarkStart w:id="61" w:name="__RefHeading___Toc4264844_3804643083"/>
      <w:bookmarkStart w:id="62" w:name="_Toc20"/>
      <w:bookmarkEnd w:id="60"/>
      <w:bookmarkEnd w:id="61"/>
      <w:r>
        <w:rPr>
          <w:rtl w:val="true"/>
        </w:rPr>
        <w:t>الجواب، و منه سبحانه استفاضة الصواب</w:t>
      </w:r>
      <w:bookmarkEnd w:id="62"/>
    </w:p>
    <w:p>
      <w:pPr>
        <w:pStyle w:val="BookText"/>
        <w:rPr/>
      </w:pPr>
      <w:r>
        <w:rPr>
          <w:rFonts w:ascii="Amiri" w:hAnsi="Amiri" w:eastAsia="Amiri" w:cs="Amiri"/>
          <w:color w:val="111111"/>
          <w:sz w:val="28"/>
          <w:sz w:val="28"/>
          <w:szCs w:val="28"/>
          <w:rtl w:val="true"/>
          <w:lang w:bidi="ar-SA"/>
        </w:rPr>
        <w:t xml:space="preserve">الجواب، و منه سبحانه استفاضة الصواب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دعوى الرجوع للأعلم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كلام في أن ظاهر هذا السؤال مبني على دعوى وجوب </w:t>
      </w:r>
      <w:r>
        <w:rPr>
          <w:rStyle w:val="FootnoteAnchor"/>
          <w:rtl w:val="true"/>
        </w:rPr>
        <w:footnoteReference w:id="728"/>
      </w:r>
      <w:r>
        <w:rPr>
          <w:rFonts w:ascii="Amiri" w:hAnsi="Amiri" w:eastAsia="Amiri" w:cs="Amiri"/>
          <w:color w:val="111111"/>
          <w:sz w:val="28"/>
          <w:sz w:val="28"/>
          <w:szCs w:val="28"/>
          <w:rtl w:val="true"/>
          <w:lang w:bidi="ar-SA"/>
        </w:rPr>
        <w:t xml:space="preserve">رجوع المكلفين إلى الأعلم بمسائل الدين كما عليه جماعة من الأصوليين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 على دليل سوى الظن والتخمين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الاحتجاج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 يَعْلَمُوْنَ</w:t>
      </w:r>
      <w:r>
        <w:rPr>
          <w:rStyle w:val="FootnoteAnchor"/>
          <w:rtl w:val="true"/>
        </w:rPr>
        <w:footnoteReference w:id="730"/>
      </w:r>
      <w:r>
        <w:rPr>
          <w:rFonts w:ascii="Amiri" w:hAnsi="Amiri" w:eastAsia="Amiri" w:cs="Amiri"/>
          <w:color w:val="111111"/>
          <w:sz w:val="28"/>
          <w:sz w:val="28"/>
          <w:szCs w:val="28"/>
          <w:rtl w:val="true"/>
          <w:lang w:bidi="ar-SA"/>
        </w:rPr>
        <w:t xml:space="preserve">و أمثالها، و بما روي في التهذيب مُسندًا والفقيه </w:t>
      </w:r>
      <w:r>
        <w:rPr>
          <w:rStyle w:val="FootnoteAnchor"/>
          <w:rtl w:val="true"/>
        </w:rPr>
        <w:footnoteReference w:id="731"/>
      </w:r>
      <w:r>
        <w:rPr>
          <w:rFonts w:ascii="Amiri" w:hAnsi="Amiri" w:eastAsia="Amiri" w:cs="Amiri"/>
          <w:color w:val="111111"/>
          <w:sz w:val="28"/>
          <w:sz w:val="28"/>
          <w:szCs w:val="28"/>
          <w:rtl w:val="true"/>
          <w:lang w:bidi="ar-SA"/>
        </w:rPr>
        <w:t>مرسلًا عن النبي صلی الله علیه و آله وسلم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 قَوْمًا </w:t>
      </w:r>
      <w:r>
        <w:rPr>
          <w:rStyle w:val="FootnoteAnchor"/>
          <w:rtl w:val="true"/>
        </w:rPr>
        <w:footnoteReference w:id="732"/>
      </w:r>
      <w:r>
        <w:rPr>
          <w:rFonts w:ascii="Amiri" w:hAnsi="Amiri" w:eastAsia="Amiri" w:cs="Amiri"/>
          <w:color w:val="111111"/>
          <w:sz w:val="28"/>
          <w:sz w:val="28"/>
          <w:szCs w:val="28"/>
          <w:rtl w:val="true"/>
          <w:lang w:bidi="ar-SA"/>
        </w:rPr>
        <w:t xml:space="preserve">و َفِيهِمْ مَنْ هُوَ أَعْلَمُ مِنْهُ، لم يَزَلْ أَمْرُهُمْ إِلَى سَفَالٍ </w:t>
      </w:r>
      <w:r>
        <w:rPr>
          <w:rStyle w:val="FootnoteAnchor"/>
          <w:rtl w:val="true"/>
        </w:rPr>
        <w:footnoteReference w:id="733"/>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بحمل الإمامة فيه على ما يشمل هذا </w:t>
      </w:r>
    </w:p>
    <w:p>
      <w:pPr>
        <w:pStyle w:val="BookText"/>
        <w:rPr/>
      </w:pPr>
      <w:r>
        <w:rPr>
          <w:rFonts w:ascii="Amiri" w:hAnsi="Amiri" w:eastAsia="Amiri" w:cs="Amiri"/>
          <w:color w:val="111111"/>
          <w:sz w:val="28"/>
          <w:sz w:val="28"/>
          <w:szCs w:val="28"/>
          <w:rtl w:val="true"/>
          <w:lang w:bidi="ar-SA"/>
        </w:rPr>
        <w:t xml:space="preserve">الفرد لصدقها عليه </w:t>
      </w:r>
      <w:r>
        <w:rPr>
          <w:rStyle w:val="FootnoteAnchor"/>
          <w:rtl w:val="true"/>
        </w:rPr>
        <w:footnoteReference w:id="735"/>
      </w:r>
      <w:r>
        <w:rPr>
          <w:rFonts w:ascii="Amiri" w:hAnsi="Amiri" w:eastAsia="Amiri" w:cs="Amiri"/>
          <w:color w:val="111111"/>
          <w:sz w:val="28"/>
          <w:sz w:val="28"/>
          <w:szCs w:val="28"/>
          <w:rtl w:val="true"/>
          <w:lang w:bidi="ar-SA"/>
        </w:rPr>
        <w:t xml:space="preserve">ففيه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دلالة فيها على ما ادعي بوجه من الوجوه؛ لأن قصارى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من هو عالم على من ليس بعالم لعدم تساويهما </w:t>
      </w:r>
      <w:r>
        <w:rPr>
          <w:rStyle w:val="FootnoteAnchor"/>
          <w:rtl w:val="true"/>
        </w:rPr>
        <w:footnoteReference w:id="737"/>
      </w:r>
      <w:r>
        <w:rPr>
          <w:rFonts w:ascii="IRNazanin" w:hAnsi="IRNazanin" w:eastAsia="IRNazanin"/>
          <w:color w:val="111111"/>
          <w:sz w:val="28"/>
          <w:sz w:val="28"/>
          <w:szCs w:val="28"/>
          <w:rtl w:val="true"/>
          <w:lang w:bidi="fa-IR"/>
        </w:rPr>
        <w:t>، لا الأعلم على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الذي جاء في تفسيرها عن أهل الذكر علیه السلام أنها سيقت لبيان من له مرتبه الإمامة، و للرد على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قدموا من لا سابقة له في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عماد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أخروا من له السابقة فيه باعترافهم لإجماعهم و اتفاق رواياتهم على أن عليا علیه السلام أعلم الأمة بعد الرسول </w:t>
      </w:r>
      <w:r>
        <w:rPr>
          <w:rStyle w:val="FootnoteAnchor"/>
          <w:rtl w:val="true"/>
        </w:rPr>
        <w:footnoteReference w:id="738"/>
      </w:r>
      <w:r>
        <w:rPr>
          <w:rFonts w:ascii="IRNazanin" w:hAnsi="IRNazanin" w:eastAsia="IRNazanin"/>
          <w:color w:val="111111"/>
          <w:sz w:val="28"/>
          <w:sz w:val="28"/>
          <w:szCs w:val="28"/>
          <w:rtl w:val="true"/>
          <w:lang w:bidi="fa-IR"/>
        </w:rPr>
        <w:t xml:space="preserve">صلی الله علیه و آله وسلم، فجاءت الآية في تقريعهم </w:t>
      </w:r>
      <w:r>
        <w:rPr>
          <w:rStyle w:val="FootnoteAnchor"/>
          <w:rtl w:val="true"/>
        </w:rPr>
        <w:footnoteReference w:id="739"/>
      </w:r>
      <w:r>
        <w:rPr>
          <w:rFonts w:ascii="Amiri" w:hAnsi="Amiri" w:eastAsia="Amiri" w:cs="Amiri"/>
          <w:color w:val="111111"/>
          <w:sz w:val="28"/>
          <w:sz w:val="28"/>
          <w:szCs w:val="28"/>
          <w:rtl w:val="true"/>
          <w:lang w:bidi="ar-SA"/>
        </w:rPr>
        <w:t xml:space="preserve">والرد عليهم </w:t>
      </w:r>
      <w:r>
        <w:rPr>
          <w:rStyle w:val="FootnoteAnchor"/>
          <w:rtl w:val="true"/>
        </w:rPr>
        <w:footnoteReference w:id="740"/>
      </w:r>
      <w:r>
        <w:rPr>
          <w:rFonts w:ascii="Amiri" w:hAnsi="Amiri" w:eastAsia="Amiri" w:cs="Amiri"/>
          <w:color w:val="111111"/>
          <w:sz w:val="28"/>
          <w:sz w:val="28"/>
          <w:szCs w:val="28"/>
          <w:rtl w:val="true"/>
          <w:lang w:bidi="ar-SA"/>
        </w:rPr>
        <w:t>، فلا تكون مما نحن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الخبر المذكور، فالظاهر منه إرادة الرئاسة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قوله علیه السلام الا في آخر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يَزَلْ أَمْرُهُمْ فِي سَفَالٍ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المناسب لهذه المؤاخذة والتقريع هو هذا المعنى، و إن كان قد احتمل فيه جماعة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الطوسي و الصدوق و من حدا حدوهما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سيق لبيان إمامة الجماعة عند حصول التشاح كما يدل عليه صحيح </w:t>
      </w:r>
      <w:r>
        <w:rPr>
          <w:rStyle w:val="FootnoteAnchor"/>
          <w:rtl w:val="true"/>
        </w:rPr>
        <w:footnoteReference w:id="742"/>
      </w:r>
      <w:r>
        <w:rPr>
          <w:rFonts w:ascii="Amiri" w:hAnsi="Amiri" w:eastAsia="Amiri" w:cs="Amiri"/>
          <w:color w:val="111111"/>
          <w:sz w:val="28"/>
          <w:sz w:val="28"/>
          <w:szCs w:val="28"/>
          <w:rtl w:val="true"/>
          <w:lang w:bidi="ar-SA"/>
        </w:rPr>
        <w:t xml:space="preserve">أبي عبيدة </w:t>
      </w:r>
      <w:r>
        <w:rPr>
          <w:rStyle w:val="FootnoteAnchor"/>
          <w:rtl w:val="true"/>
        </w:rPr>
        <w:footnoteReference w:id="743"/>
      </w:r>
      <w:r>
        <w:rPr>
          <w:rFonts w:ascii="IRNazanin" w:hAnsi="IRNazanin" w:eastAsia="IRNazanin"/>
          <w:color w:val="111111"/>
          <w:sz w:val="28"/>
          <w:sz w:val="28"/>
          <w:szCs w:val="28"/>
          <w:rtl w:val="true"/>
          <w:lang w:bidi="fa-IR"/>
        </w:rPr>
        <w:t xml:space="preserve">الحذاء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فلا دلالة فيه </w:t>
      </w:r>
      <w:r>
        <w:rPr>
          <w:rStyle w:val="FootnoteAnchor"/>
          <w:rtl w:val="true"/>
        </w:rPr>
        <w:footnoteReference w:id="745"/>
      </w:r>
      <w:r>
        <w:rPr>
          <w:rFonts w:ascii="Amiri" w:hAnsi="Amiri" w:eastAsia="Amiri" w:cs="Amiri"/>
          <w:color w:val="111111"/>
          <w:sz w:val="28"/>
          <w:sz w:val="28"/>
          <w:szCs w:val="28"/>
          <w:rtl w:val="true"/>
          <w:lang w:bidi="ar-SA"/>
        </w:rPr>
        <w:t xml:space="preserve">على شيء من تلك </w:t>
      </w:r>
      <w:r>
        <w:rPr>
          <w:rStyle w:val="FootnoteAnchor"/>
          <w:rtl w:val="true"/>
        </w:rPr>
        <w:footnoteReference w:id="746"/>
      </w:r>
      <w:r>
        <w:rPr>
          <w:rFonts w:ascii="Amiri" w:hAnsi="Amiri" w:eastAsia="Amiri" w:cs="Amiri"/>
          <w:color w:val="111111"/>
          <w:sz w:val="28"/>
          <w:sz w:val="28"/>
          <w:szCs w:val="28"/>
          <w:rtl w:val="true"/>
          <w:lang w:bidi="ar-SA"/>
        </w:rPr>
        <w:t xml:space="preserve">الدعوى، مع أن التزامها مما يضيق على الناس به </w:t>
      </w:r>
      <w:r>
        <w:rPr>
          <w:rStyle w:val="FootnoteAnchor"/>
          <w:rtl w:val="true"/>
        </w:rPr>
        <w:footnoteReference w:id="747"/>
      </w:r>
      <w:r>
        <w:rPr>
          <w:rFonts w:ascii="Amiri" w:hAnsi="Amiri" w:eastAsia="Amiri" w:cs="Amiri"/>
          <w:color w:val="111111"/>
          <w:sz w:val="28"/>
          <w:sz w:val="28"/>
          <w:szCs w:val="28"/>
          <w:rtl w:val="true"/>
          <w:lang w:bidi="ar-SA"/>
        </w:rPr>
        <w:t xml:space="preserve">فسيح التفقه وأخذ الأحكام الشرعية؛ فان مقتضى آية النفر </w:t>
      </w:r>
      <w:r>
        <w:rPr>
          <w:rStyle w:val="FootnoteAnchor"/>
          <w:rtl w:val="true"/>
        </w:rPr>
        <w:footnoteReference w:id="748"/>
      </w:r>
      <w:r>
        <w:rPr>
          <w:rFonts w:ascii="Amiri" w:hAnsi="Amiri" w:eastAsia="Amiri" w:cs="Amiri"/>
          <w:color w:val="111111"/>
          <w:sz w:val="28"/>
          <w:sz w:val="28"/>
          <w:szCs w:val="28"/>
          <w:rtl w:val="true"/>
          <w:lang w:bidi="ar-SA"/>
        </w:rPr>
        <w:t xml:space="preserve">وآية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w:t>
      </w:r>
      <w:r>
        <w:rPr>
          <w:rStyle w:val="FootnoteAnchor"/>
          <w:rtl w:val="true"/>
        </w:rPr>
        <w:footnoteReference w:id="750"/>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التعميم </w:t>
      </w:r>
      <w:r>
        <w:rPr>
          <w:rStyle w:val="FootnoteAnchor"/>
          <w:rtl w:val="true"/>
        </w:rPr>
        <w:footnoteReference w:id="752"/>
      </w:r>
      <w:r>
        <w:rPr>
          <w:rFonts w:ascii="Amiri" w:hAnsi="Amiri" w:eastAsia="Amiri" w:cs="Amiri"/>
          <w:color w:val="111111"/>
          <w:sz w:val="28"/>
          <w:sz w:val="28"/>
          <w:szCs w:val="28"/>
          <w:rtl w:val="true"/>
          <w:lang w:bidi="ar-SA"/>
        </w:rPr>
        <w:t xml:space="preserve">فيها كما اعترف به غير واحد من محققي الأخباريين و المجتهدين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مقبولة عمر بن حنظلة المروية بعدة طرق</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فيها </w:t>
      </w:r>
      <w:r>
        <w:rPr>
          <w:rStyle w:val="FootnoteAnchor"/>
          <w:rtl w:val="true"/>
        </w:rPr>
        <w:footnoteReference w:id="7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مَا حَكَمَ بِهِ أَعْدَلهُما وَ أَفْقَهُهُما وَأَصْدَقُهُما فِي الْحَدِيْثِ وَ أَوْرَعُهُمَا، وَلَا يَلْتَفِتُ إِلَى مَا حَكَمَ </w:t>
      </w:r>
      <w:r>
        <w:rPr>
          <w:rStyle w:val="FootnoteAnchor"/>
          <w:rtl w:val="true"/>
        </w:rPr>
        <w:footnoteReference w:id="756"/>
      </w:r>
      <w:r>
        <w:rPr>
          <w:rFonts w:ascii="Amiri" w:hAnsi="Amiri" w:eastAsia="Amiri" w:cs="Amiri"/>
          <w:color w:val="111111"/>
          <w:sz w:val="28"/>
          <w:sz w:val="28"/>
          <w:szCs w:val="28"/>
          <w:rtl w:val="true"/>
          <w:lang w:bidi="ar-SA"/>
        </w:rPr>
        <w:t>بِهِ الآخَرُ</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فليست من هذا الباب؛ لأن صدورها مؤذن بأن ذلك الترجيح بهذه الأوصاف إنما يصار إليه عند تعارض الفتوى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المحدث ملا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تابع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أصول الكافي بعد قوله علیه السلام في تلك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مَا حَكَمَ بِهِ أَعْدَلهُما وَأَفْقَهُهُما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صورته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أن يتصف بالعدالة و الفقاهة و الصدق و الورع، فمن اتصف بهذه الصفات الأربع فهو أهل للحكومة ومنصوب من قبلهم علیهم السلام، ومن لم يتصف بشيء منها أو ببعضها </w:t>
      </w:r>
      <w:r>
        <w:rPr>
          <w:rStyle w:val="FootnoteAnchor"/>
          <w:rtl w:val="true"/>
        </w:rPr>
        <w:footnoteReference w:id="761"/>
      </w:r>
      <w:r>
        <w:rPr>
          <w:rFonts w:ascii="Amiri" w:hAnsi="Amiri" w:eastAsia="Amiri" w:cs="Amiri"/>
          <w:color w:val="111111"/>
          <w:sz w:val="28"/>
          <w:sz w:val="28"/>
          <w:szCs w:val="28"/>
          <w:rtl w:val="true"/>
          <w:lang w:bidi="ar-SA"/>
        </w:rPr>
        <w:t>لا يجوز له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تعدد المتصف بها و وقع الخلاف بينهما في الحكم و المستند، فظاهر هذا الحديث يفيد تقديم من اتصف بالزيادة في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اتصف بالنقصان في جميعها</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وتقديم من اتصف بالزيادة في بعضها على من اتصف بذلك النقصان في ذلك البعض بعينه مع تساويهما في الباقي؛ لأن مناط الحكم هو غلبة الظن به، و هي في المتصف بالزيادة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اتصف أحدهما بالزيادة في بعض و الآخر بالزيادة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 لتعارض الرجحان و تقابل الزيادة و النقصان و لا دلالة فيه على تقديم أحدهما على الآخر، و اعتبار الترتيب الذكري بناء على أولية المتقدم على المتأخر لا يفيد ؛ لعدم ثبوت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الأفقه يقدم على الأعدل ؛ لتشاركهما </w:t>
      </w:r>
      <w:r>
        <w:rPr>
          <w:rStyle w:val="FootnoteAnchor"/>
          <w:rtl w:val="true"/>
        </w:rPr>
        <w:footnoteReference w:id="763"/>
      </w:r>
      <w:r>
        <w:rPr>
          <w:rFonts w:ascii="Amiri" w:hAnsi="Amiri" w:eastAsia="Amiri" w:cs="Amiri"/>
          <w:color w:val="111111"/>
          <w:sz w:val="28"/>
          <w:sz w:val="28"/>
          <w:szCs w:val="28"/>
          <w:rtl w:val="true"/>
          <w:lang w:bidi="ar-SA"/>
        </w:rPr>
        <w:t>في أصل العدالة المانعة من التهجم على المحارم، و تبقى زيادة الفقاهة الموجبة لزيادة غلبة الظن خالية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تساويهما في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الأعدل؛ لثبوت الرجحان 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أنه لا خلاف بين الأصحاب أن الزيادة بهذه الصفات تقتضي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المتصف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أنها هل </w:t>
      </w:r>
      <w:r>
        <w:rPr>
          <w:rStyle w:val="FootnoteAnchor"/>
          <w:rtl w:val="true"/>
        </w:rPr>
        <w:footnoteReference w:id="765"/>
      </w:r>
      <w:r>
        <w:rPr>
          <w:rFonts w:ascii="Amiri" w:hAnsi="Amiri" w:eastAsia="Amiri" w:cs="Amiri"/>
          <w:color w:val="111111"/>
          <w:sz w:val="28"/>
          <w:sz w:val="28"/>
          <w:szCs w:val="28"/>
          <w:rtl w:val="true"/>
          <w:lang w:bidi="ar-SA"/>
        </w:rPr>
        <w:t xml:space="preserve">توجب تقديمه بحيث لا يجوز تقديم المتصف بالنقصان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تقديمه </w:t>
      </w:r>
      <w:r>
        <w:rPr>
          <w:rStyle w:val="FootnoteAnchor"/>
          <w:rtl w:val="true"/>
        </w:rPr>
        <w:footnoteReference w:id="767"/>
      </w:r>
      <w:r>
        <w:rPr>
          <w:rFonts w:ascii="Amiri" w:hAnsi="Amiri" w:eastAsia="Amiri" w:cs="Amiri"/>
          <w:color w:val="111111"/>
          <w:sz w:val="28"/>
          <w:sz w:val="28"/>
          <w:szCs w:val="28"/>
          <w:rtl w:val="true"/>
          <w:lang w:bidi="ar-SA"/>
        </w:rPr>
        <w:t>لاشتراك الجميع في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اشتراكهم في أصل الأهلية بالنظر إلى أنفسهم </w:t>
      </w:r>
      <w:r>
        <w:rPr>
          <w:rStyle w:val="FootnoteAnchor"/>
          <w:rtl w:val="true"/>
        </w:rPr>
        <w:footnoteReference w:id="768"/>
      </w:r>
      <w:r>
        <w:rPr>
          <w:rFonts w:ascii="Amiri" w:hAnsi="Amiri" w:eastAsia="Amiri" w:cs="Amiri"/>
          <w:color w:val="111111"/>
          <w:sz w:val="28"/>
          <w:sz w:val="28"/>
          <w:szCs w:val="28"/>
          <w:rtl w:val="true"/>
          <w:lang w:bidi="ar-SA"/>
        </w:rPr>
        <w:t xml:space="preserve">لا يقتضي تساويهم بالنظر إلى الغير </w:t>
      </w:r>
      <w:r>
        <w:rPr>
          <w:rStyle w:val="FootnoteAnchor"/>
          <w:rtl w:val="true"/>
        </w:rPr>
        <w:footnoteReference w:id="769"/>
      </w:r>
      <w:r>
        <w:rPr>
          <w:rFonts w:ascii="Amiri" w:hAnsi="Amiri" w:eastAsia="Amiri" w:cs="Amiri"/>
          <w:color w:val="111111"/>
          <w:sz w:val="28"/>
          <w:sz w:val="28"/>
          <w:szCs w:val="28"/>
          <w:rtl w:val="true"/>
          <w:lang w:bidi="ar-SA"/>
        </w:rPr>
        <w:t xml:space="preserve">، و هل ذلك إلا عين المتنازع فيه </w:t>
      </w:r>
      <w:r>
        <w:rPr>
          <w:rStyle w:val="FootnoteAnchor"/>
          <w:rtl w:val="true"/>
        </w:rPr>
        <w:footnoteReference w:id="7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 وهو الأشهر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يجب تقديمه؛ لأن الظن بقوله أقوى، و لدلالة ظاهر هذا الحديث و نظيره عليه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 إنما نقلناه بطوله لكثرة فوائده في هذا المقام و محصوله، و إلا فصدره ينادي بما حققناه في هذه المقبولة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الكلام </w:t>
      </w:r>
      <w:r>
        <w:rPr>
          <w:rStyle w:val="FootnoteAnchor"/>
          <w:rtl w:val="true"/>
        </w:rPr>
        <w:footnoteReference w:id="772"/>
      </w:r>
      <w:r>
        <w:rPr>
          <w:rFonts w:ascii="Amiri" w:hAnsi="Amiri" w:eastAsia="Amiri" w:cs="Amiri"/>
          <w:color w:val="111111"/>
          <w:sz w:val="28"/>
          <w:sz w:val="28"/>
          <w:szCs w:val="28"/>
          <w:rtl w:val="true"/>
          <w:lang w:bidi="ar-SA"/>
        </w:rPr>
        <w:t xml:space="preserve">جاء في مرفوعة زرارة المروية في كتاب عوالي اللآلي </w:t>
      </w:r>
      <w:r>
        <w:rPr>
          <w:rStyle w:val="FootnoteAnchor"/>
          <w:rtl w:val="true"/>
        </w:rPr>
        <w:footnoteReference w:id="773"/>
      </w:r>
      <w:r>
        <w:rPr>
          <w:rFonts w:ascii="Amiri" w:hAnsi="Amiri" w:eastAsia="Amiri" w:cs="Amiri"/>
          <w:color w:val="111111"/>
          <w:sz w:val="28"/>
          <w:sz w:val="28"/>
          <w:szCs w:val="28"/>
          <w:rtl w:val="true"/>
          <w:lang w:bidi="ar-SA"/>
        </w:rPr>
        <w:t>، فلا تعلق لها بما نحن فيه بوجه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 تقرر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السنة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النفر، و سؤال أهل الذكر، وأخبار النيابة، و سيرة خواص الصحابة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تحقق الامتثال في أخذ الأحكام </w:t>
      </w:r>
      <w:r>
        <w:rPr>
          <w:rStyle w:val="FootnoteAnchor"/>
          <w:rtl w:val="true"/>
        </w:rPr>
        <w:footnoteReference w:id="775"/>
      </w:r>
      <w:r>
        <w:rPr>
          <w:rFonts w:ascii="IRNazanin" w:hAnsi="IRNazanin" w:eastAsia="IRNazanin"/>
          <w:color w:val="111111"/>
          <w:sz w:val="28"/>
          <w:sz w:val="28"/>
          <w:szCs w:val="28"/>
          <w:rtl w:val="true"/>
          <w:lang w:bidi="fa-IR"/>
        </w:rPr>
        <w:t xml:space="preserve">مشافهة الإمام علیه السلام ، بل يكفي الأخذ عنه و لو بواسطة في حضوره وغيبته إلى يوم القيام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تلخص أيضًا أن </w:t>
      </w:r>
      <w:r>
        <w:rPr>
          <w:rStyle w:val="FootnoteAnchor"/>
          <w:rtl w:val="true"/>
        </w:rPr>
        <w:footnoteReference w:id="777"/>
      </w:r>
      <w:r>
        <w:rPr>
          <w:rFonts w:ascii="Amiri" w:hAnsi="Amiri" w:eastAsia="Amiri" w:cs="Amiri"/>
          <w:color w:val="111111"/>
          <w:sz w:val="28"/>
          <w:sz w:val="28"/>
          <w:szCs w:val="28"/>
          <w:rtl w:val="true"/>
          <w:lang w:bidi="ar-SA"/>
        </w:rPr>
        <w:t xml:space="preserve">أفراد الرعية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 و منقول اليه و مقلد و فقيه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الفقيه أن يكون مقتصرًا في الحكم على السنة و الكتاب، متعرفًا ذلك عن الأئمة الأطياب، بأن يكون ناقلا لأحكامهم ورواياتهم، منتظما في سلك أصحابهم و رواتهم، عارفًا بمقصدها و مغزاها، واقفًا على مرادها و معناها، مرتادًا في دياراتها، كاشفًا عن رموزها و إشاراتها، عرّافًا بحدودها و طرائقها فارقًا بين مجازاتها وحقائقها، مفرقًا بين خاصها وعامها</w:t>
      </w:r>
      <w:r>
        <w:rPr>
          <w:rStyle w:val="FootnoteAnchor"/>
          <w:rtl w:val="true"/>
        </w:rPr>
        <w:footnoteReference w:id="778"/>
      </w:r>
      <w:r>
        <w:rPr>
          <w:rFonts w:ascii="Amiri" w:hAnsi="Amiri" w:eastAsia="Amiri" w:cs="Amiri"/>
          <w:color w:val="111111"/>
          <w:sz w:val="28"/>
          <w:sz w:val="28"/>
          <w:szCs w:val="28"/>
          <w:rtl w:val="true"/>
          <w:lang w:bidi="ar-SA"/>
        </w:rPr>
        <w:t>، واقفًا على متشابهها ومحكمها، مبينًا لمجملها بمفصلها، مقدما لموضحها على مشكلها، كما نادت بذلك الأخبار و نطقت به عنهم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مقبولة ابن حنظلة التي مرت وَ عَرَفَ أَحْكَامَنَا فَلْيَرْضُوا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حَكَمًا؛ فَإِنِّي قَدْ جَعَلْتُهُ عَلَيْكُمْ حَاكِماً ، فَإِذَا حَكَمَ بِحُكْمِنَا فَلَمْ يَقْبَلْ </w:t>
      </w:r>
      <w:r>
        <w:rPr>
          <w:rStyle w:val="FootnoteAnchor"/>
          <w:rtl w:val="true"/>
        </w:rPr>
        <w:footnoteReference w:id="779"/>
      </w:r>
      <w:r>
        <w:rPr>
          <w:rFonts w:ascii="Amiri" w:hAnsi="Amiri" w:eastAsia="Amiri" w:cs="Amiri"/>
          <w:color w:val="111111"/>
          <w:sz w:val="28"/>
          <w:sz w:val="28"/>
          <w:szCs w:val="28"/>
          <w:rtl w:val="true"/>
          <w:lang w:bidi="ar-SA"/>
        </w:rPr>
        <w:t xml:space="preserve">مِنْهُ فَإِنَّمَا بِحُكْمِ اللهِ اسْتُخِفَ </w:t>
      </w:r>
      <w:r>
        <w:rPr>
          <w:rStyle w:val="FootnoteAnchor"/>
          <w:rtl w:val="true"/>
        </w:rPr>
        <w:footnoteReference w:id="780"/>
      </w:r>
      <w:r>
        <w:rPr>
          <w:rFonts w:ascii="Amiri" w:hAnsi="Amiri" w:eastAsia="Amiri" w:cs="Amiri"/>
          <w:color w:val="111111"/>
          <w:sz w:val="28"/>
          <w:sz w:val="28"/>
          <w:szCs w:val="28"/>
          <w:rtl w:val="true"/>
          <w:lang w:bidi="ar-SA"/>
        </w:rPr>
        <w:t>، وَعَلَيْنَا رُدَّ، وَالْرَّادُ عَلَيْنَا الرَّادُّ عَلَى اللَّهِ، وَ هُوَ عَلَى حَدَّ الشِّرْكِ بالله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الكليني و الكشي و الصدوق </w:t>
      </w:r>
      <w:r>
        <w:rPr>
          <w:rStyle w:val="FootnoteAnchor"/>
          <w:rtl w:val="true"/>
        </w:rPr>
        <w:footnoteReference w:id="782"/>
      </w:r>
      <w:r>
        <w:rPr>
          <w:rFonts w:ascii="Amiri" w:hAnsi="Amiri" w:eastAsia="Amiri" w:cs="Amiri"/>
          <w:color w:val="111111"/>
          <w:sz w:val="28"/>
          <w:sz w:val="28"/>
          <w:szCs w:val="28"/>
          <w:rtl w:val="true"/>
          <w:lang w:bidi="ar-SA"/>
        </w:rPr>
        <w:t>و الشيخ بأسانيد مختلفة معتبرة عن الأئمة علیهم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اعْرِفُوا مَنَازِلَ الرِّجَالِ </w:t>
      </w:r>
      <w:r>
        <w:rPr>
          <w:rStyle w:val="FootnoteAnchor"/>
          <w:rtl w:val="true"/>
        </w:rPr>
        <w:footnoteReference w:id="783"/>
      </w:r>
      <w:r>
        <w:rPr>
          <w:rFonts w:ascii="Amiri" w:hAnsi="Amiri" w:eastAsia="Amiri" w:cs="Amiri"/>
          <w:color w:val="111111"/>
          <w:sz w:val="28"/>
          <w:sz w:val="28"/>
          <w:szCs w:val="28"/>
          <w:rtl w:val="true"/>
          <w:lang w:bidi="ar-SA"/>
        </w:rPr>
        <w:t>عَلى قَدْرِ رِوَايَاتِهِمْ عَنَّا</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الْفَقِيَّةَ مِنْهُمْ فَقِيْهَا حَتَّى يَكُوْنَ مُحَدنًا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المُؤْمِنُ مُحدَثًا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مُفَهماً، و َالمُفَهم المحدثُ</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الصدوق في المعاني، وكذا الصفواني في كتابه، و النعماني في غيبته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w:t>
      </w:r>
      <w:r>
        <w:rPr>
          <w:rStyle w:val="FootnoteAnchor"/>
          <w:rtl w:val="true"/>
        </w:rPr>
        <w:footnoteReference w:id="787"/>
      </w:r>
      <w:r>
        <w:rPr>
          <w:rFonts w:ascii="Amiri" w:hAnsi="Amiri" w:eastAsia="Amiri" w:cs="Amiri"/>
          <w:color w:val="111111"/>
          <w:sz w:val="28"/>
          <w:sz w:val="28"/>
          <w:szCs w:val="28"/>
          <w:rtl w:val="true"/>
          <w:lang w:bidi="ar-SA"/>
        </w:rPr>
        <w:t>تَدْرِيهِ خَيْرٌ مِنْ أَلْفِ حَدِيثٍ تَرْوِيْهِ،وَ لَا يَكُوْنُ الرَّجُلُ مِنْكُمْ فَقِيْهَا حَتَّى يَعْرِفَ مَعَارِيْضَ كَلَامِنَا، وَإِنَّ الْكَلِمَةَ مِنْث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کلَامِنَا لَتَنْصَرِفُ عَلَى </w:t>
      </w:r>
      <w:r>
        <w:rPr>
          <w:rStyle w:val="FootnoteAnchor"/>
          <w:rtl w:val="true"/>
        </w:rPr>
        <w:footnoteReference w:id="788"/>
      </w:r>
      <w:r>
        <w:rPr>
          <w:rFonts w:ascii="Amiri" w:hAnsi="Amiri" w:eastAsia="Amiri" w:cs="Amiri"/>
          <w:color w:val="111111"/>
          <w:sz w:val="28"/>
          <w:sz w:val="28"/>
          <w:szCs w:val="28"/>
          <w:rtl w:val="true"/>
          <w:lang w:bidi="ar-SA"/>
        </w:rPr>
        <w:t>سَبْعِينَ وَجْهَا ، لَنَا مِنَ الْجَمِيعِ المَخْرَجُ</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روايات منقولة من كتاب المعاني في الجواب عن المسألة الأولى في هذا المعنى فراجعها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الكليني بإسناده الصحيح عن أحمد بن إسحاق </w:t>
      </w:r>
      <w:r>
        <w:rPr>
          <w:rStyle w:val="FootnoteAnchor"/>
          <w:rtl w:val="true"/>
        </w:rPr>
        <w:footnoteReference w:id="790"/>
      </w:r>
      <w:r>
        <w:rPr>
          <w:rFonts w:ascii="Amiri" w:hAnsi="Amiri" w:eastAsia="Amiri" w:cs="Amiri"/>
          <w:color w:val="111111"/>
          <w:sz w:val="28"/>
          <w:sz w:val="28"/>
          <w:szCs w:val="28"/>
          <w:rtl w:val="true"/>
          <w:lang w:bidi="ar-SA"/>
        </w:rPr>
        <w:t xml:space="preserve">عن أبي الحسن الثالث </w:t>
      </w:r>
      <w:r>
        <w:rPr>
          <w:rStyle w:val="FootnoteAnchor"/>
          <w:rtl w:val="true"/>
        </w:rPr>
        <w:footnoteReference w:id="791"/>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قُلْتُ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أُعَامِلُ؟ وَ عَمَّنْ </w:t>
      </w:r>
      <w:r>
        <w:rPr>
          <w:rStyle w:val="FootnoteAnchor"/>
          <w:rtl w:val="true"/>
        </w:rPr>
        <w:footnoteReference w:id="793"/>
      </w:r>
      <w:r>
        <w:rPr>
          <w:rFonts w:ascii="Amiri" w:hAnsi="Amiri" w:eastAsia="Amiri" w:cs="Amiri"/>
          <w:color w:val="111111"/>
          <w:sz w:val="28"/>
          <w:sz w:val="28"/>
          <w:szCs w:val="28"/>
          <w:rtl w:val="true"/>
          <w:lang w:bidi="ar-SA"/>
        </w:rPr>
        <w:t xml:space="preserve">أَخُذُ؟ و َقَوْلَ مَنْ أَقْبَلُ؟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ثِقَةٌ </w:t>
      </w:r>
      <w:r>
        <w:rPr>
          <w:rStyle w:val="FootnoteAnchor"/>
          <w:rtl w:val="true"/>
        </w:rPr>
        <w:footnoteReference w:id="794"/>
      </w:r>
      <w:r>
        <w:rPr>
          <w:rFonts w:ascii="Amiri" w:hAnsi="Amiri" w:eastAsia="Amiri" w:cs="Amiri"/>
          <w:color w:val="111111"/>
          <w:sz w:val="28"/>
          <w:sz w:val="28"/>
          <w:szCs w:val="28"/>
          <w:rtl w:val="true"/>
          <w:lang w:bidi="ar-SA"/>
        </w:rPr>
        <w:t xml:space="preserve">فِيما </w:t>
      </w:r>
      <w:r>
        <w:rPr>
          <w:rStyle w:val="FootnoteAnchor"/>
          <w:rtl w:val="true"/>
        </w:rPr>
        <w:footnoteReference w:id="795"/>
      </w:r>
      <w:r>
        <w:rPr>
          <w:rFonts w:ascii="Amiri" w:hAnsi="Amiri" w:eastAsia="Amiri" w:cs="Amiri"/>
          <w:color w:val="111111"/>
          <w:sz w:val="28"/>
          <w:sz w:val="28"/>
          <w:szCs w:val="28"/>
          <w:rtl w:val="true"/>
          <w:lang w:bidi="ar-SA"/>
        </w:rPr>
        <w:t>أَدَّى إِلَيْكَ عَنِّي، فَعَنِّي يُؤَدِّيْ، وَ مَا قَالَ لَكَ عَنِّي فَعَنِّي يَقُوْلُ ، فَاسْمَعْ لَهُ وَأَطِعْ ، 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مُحَمَّد علیه السلام </w:t>
      </w:r>
      <w:r>
        <w:rPr>
          <w:rStyle w:val="FootnoteAnchor"/>
          <w:rtl w:val="true"/>
        </w:rPr>
        <w:footnoteReference w:id="796"/>
      </w:r>
      <w:r>
        <w:rPr>
          <w:rFonts w:ascii="Amiri" w:hAnsi="Amiri" w:eastAsia="Amiri" w:cs="Amiri"/>
          <w:color w:val="111111"/>
          <w:sz w:val="28"/>
          <w:sz w:val="28"/>
          <w:szCs w:val="28"/>
          <w:rtl w:val="true"/>
          <w:lang w:bidi="ar-SA"/>
        </w:rPr>
        <w:t xml:space="preserve">عَنْ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إِلَيْكَ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فَعَنِّي يُؤَدِّيَانِ، و َمَا قَالَا لَكَ عَنِّي فَعَنِّي يَقُوْلَانِ، فَاسْمَعْ هُما و َأَطِعْ </w:t>
      </w:r>
      <w:r>
        <w:rPr>
          <w:rStyle w:val="FootnoteAnchor"/>
          <w:rtl w:val="true"/>
        </w:rPr>
        <w:footnoteReference w:id="797"/>
      </w:r>
      <w:r>
        <w:rPr>
          <w:rFonts w:ascii="Amiri" w:hAnsi="Amiri" w:eastAsia="Amiri" w:cs="Amiri"/>
          <w:color w:val="111111"/>
          <w:sz w:val="28"/>
          <w:sz w:val="28"/>
          <w:szCs w:val="28"/>
          <w:rtl w:val="true"/>
          <w:lang w:bidi="ar-SA"/>
        </w:rPr>
        <w:t xml:space="preserve">، فَإِنَّهُما الثَّقَتَانِ المأْمُوْنَانِ الحديث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في التهذيب في الصحيح عن أبي خديجة </w:t>
      </w:r>
      <w:r>
        <w:rPr>
          <w:rStyle w:val="FootnoteAnchor"/>
          <w:rtl w:val="true"/>
        </w:rPr>
        <w:footnoteReference w:id="7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بَعَثَنِي أَبُو عَبْدِ اللَّهِ 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w:t>
      </w:r>
      <w:r>
        <w:rPr>
          <w:rStyle w:val="FootnoteAnchor"/>
          <w:rtl w:val="true"/>
        </w:rPr>
        <w:footnoteReference w:id="800"/>
      </w:r>
      <w:r>
        <w:rPr>
          <w:rFonts w:ascii="Amiri" w:hAnsi="Amiri" w:eastAsia="Amiri" w:cs="Amiri"/>
          <w:color w:val="111111"/>
          <w:sz w:val="28"/>
          <w:sz w:val="28"/>
          <w:szCs w:val="28"/>
          <w:rtl w:val="true"/>
          <w:lang w:bidi="ar-SA"/>
        </w:rPr>
        <w:t xml:space="preserve">إِذَا وَقَعَتْ بَيْنَكُمْ خُصُوْمَةٌ أَوْ تَدَارٍ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فِي شَيْءٍ مِنَ الْأَخْذِ وَ الْعَطَاءِ أَنْ </w:t>
      </w:r>
      <w:r>
        <w:rPr>
          <w:rStyle w:val="FootnoteAnchor"/>
          <w:rtl w:val="true"/>
        </w:rPr>
        <w:footnoteReference w:id="802"/>
      </w:r>
      <w:r>
        <w:rPr>
          <w:rFonts w:ascii="Amiri" w:hAnsi="Amiri" w:eastAsia="Amiri" w:cs="Amiri"/>
          <w:color w:val="111111"/>
          <w:sz w:val="28"/>
          <w:sz w:val="28"/>
          <w:szCs w:val="28"/>
          <w:rtl w:val="true"/>
          <w:lang w:bidi="ar-SA"/>
        </w:rPr>
        <w:t xml:space="preserve">تَحَاكَمُوْا </w:t>
      </w:r>
      <w:r>
        <w:rPr>
          <w:rStyle w:val="FootnoteAnchor"/>
          <w:rtl w:val="true"/>
        </w:rPr>
        <w:footnoteReference w:id="803"/>
      </w:r>
      <w:r>
        <w:rPr>
          <w:rFonts w:ascii="Amiri" w:hAnsi="Amiri" w:eastAsia="Amiri" w:cs="Amiri"/>
          <w:color w:val="111111"/>
          <w:sz w:val="28"/>
          <w:sz w:val="28"/>
          <w:szCs w:val="28"/>
          <w:rtl w:val="true"/>
          <w:lang w:bidi="ar-SA"/>
        </w:rPr>
        <w:t>إِلَى أَحَدٍ مِنْ هَؤُلَاءِ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w:t>
      </w:r>
      <w:r>
        <w:rPr>
          <w:rStyle w:val="FootnoteAnchor"/>
          <w:rtl w:val="true"/>
        </w:rPr>
        <w:footnoteReference w:id="804"/>
      </w:r>
      <w:r>
        <w:rPr>
          <w:rFonts w:ascii="Amiri" w:hAnsi="Amiri" w:eastAsia="Amiri" w:cs="Amiri"/>
          <w:color w:val="111111"/>
          <w:sz w:val="28"/>
          <w:sz w:val="28"/>
          <w:szCs w:val="28"/>
          <w:rtl w:val="true"/>
          <w:lang w:bidi="ar-SA"/>
        </w:rPr>
        <w:t xml:space="preserve">بَيْنَكُمْ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قَدْ عَرَفَ حَلَالَنَا وَحَرَامَنَا، فَإِنِّي قَدْ جَعَلْتُهُ عَلَيْكُمْ قاضِبًا ، وَ إِيَّاكُمْ أَنْ يُخَاصِمَ بَعْضُكُمْ بَعْضًا إِلَى السُّلْطَانِ 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الصدوق مرسلا </w:t>
      </w:r>
      <w:r>
        <w:rPr>
          <w:rStyle w:val="FootnoteAnchor"/>
          <w:rtl w:val="true"/>
        </w:rPr>
        <w:footnoteReference w:id="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علیه السلام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ثَلَاثًا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بَعْدِي يَرْوُوْنَ حَدِيْنِي وَسُنَّتِي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إكمال الدين و إتمام النعمة </w:t>
      </w:r>
      <w:r>
        <w:rPr>
          <w:rStyle w:val="FootnoteAnchor"/>
          <w:rtl w:val="true"/>
        </w:rPr>
        <w:footnoteReference w:id="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مَحَمَّدَ بنَ عُثْمَانَ العَمْرِيَّ </w:t>
      </w:r>
      <w:r>
        <w:rPr>
          <w:rStyle w:val="FootnoteAnchor"/>
          <w:rtl w:val="true"/>
        </w:rPr>
        <w:footnoteReference w:id="813"/>
      </w:r>
      <w:r>
        <w:rPr>
          <w:rFonts w:ascii="Amiri" w:hAnsi="Amiri" w:eastAsia="Amiri" w:cs="Amiri"/>
          <w:color w:val="111111"/>
          <w:sz w:val="28"/>
          <w:sz w:val="28"/>
          <w:szCs w:val="28"/>
          <w:rtl w:val="true"/>
          <w:lang w:bidi="ar-SA"/>
        </w:rPr>
        <w:t xml:space="preserve">أَنْ يُوْصِلَ فِي كِتَابًا قَدْ سَأَلْتُ فِيهِ عَنْ مَسَائِلَ أَشْكَلَتْ عَلَيَّ، فَوَرَدَ التَّوْقِيعُ بِخَطْ مَوْلَانَا صَاحِبِ الزَّمَانِ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 وَ ثَبِّتَكَ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w:t>
      </w:r>
      <w:r>
        <w:rPr>
          <w:rStyle w:val="FootnoteAnchor"/>
          <w:rtl w:val="true"/>
        </w:rPr>
        <w:footnoteReference w:id="814"/>
      </w:r>
      <w:r>
        <w:rPr>
          <w:rFonts w:ascii="Amiri" w:hAnsi="Amiri" w:eastAsia="Amiri" w:cs="Amiri"/>
          <w:color w:val="111111"/>
          <w:sz w:val="28"/>
          <w:sz w:val="28"/>
          <w:szCs w:val="28"/>
          <w:rtl w:val="true"/>
          <w:lang w:bidi="ar-SA"/>
        </w:rPr>
        <w:t>عَلَيْكُمْ، وَأَنَا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عَنْ أَبِيْهِ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ثِقَتِي، وَ كِتَابُهُ كِتَابِي</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معاني الأخبار و العلل بإسناده إلى عبد الله المؤمن </w:t>
      </w:r>
      <w:r>
        <w:rPr>
          <w:rStyle w:val="FootnoteAnchor"/>
          <w:rtl w:val="true"/>
        </w:rPr>
        <w:footnoteReference w:id="816"/>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أَقْوَامًا </w:t>
      </w:r>
      <w:r>
        <w:rPr>
          <w:rStyle w:val="FootnoteAnchor"/>
          <w:rtl w:val="true"/>
        </w:rPr>
        <w:footnoteReference w:id="817"/>
      </w:r>
      <w:r>
        <w:rPr>
          <w:rFonts w:ascii="Amiri" w:hAnsi="Amiri" w:eastAsia="Amiri" w:cs="Amiri"/>
          <w:color w:val="111111"/>
          <w:sz w:val="28"/>
          <w:sz w:val="28"/>
          <w:szCs w:val="28"/>
          <w:rtl w:val="true"/>
          <w:lang w:bidi="ar-SA"/>
        </w:rPr>
        <w:t xml:space="preserve">يَرْوُوْنَ </w:t>
      </w:r>
      <w:r>
        <w:rPr>
          <w:rStyle w:val="FootnoteAnchor"/>
          <w:rtl w:val="true"/>
        </w:rPr>
        <w:footnoteReference w:id="818"/>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فَقُلْتُ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رَحْمَةٌ، فَاجْتِمَاعُهُمْ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وَيَذْهَبُونَ</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w:t>
      </w:r>
      <w:r>
        <w:rPr>
          <w:rStyle w:val="FootnoteAnchor"/>
          <w:rtl w:val="true"/>
        </w:rPr>
        <w:footnoteReference w:id="821"/>
      </w:r>
      <w:r>
        <w:rPr>
          <w:rFonts w:ascii="Amiri" w:hAnsi="Amiri" w:eastAsia="Amiri" w:cs="Amiri"/>
          <w:color w:val="111111"/>
          <w:sz w:val="28"/>
          <w:sz w:val="28"/>
          <w:szCs w:val="28"/>
          <w:rtl w:val="true"/>
          <w:lang w:bidi="ar-SA"/>
        </w:rPr>
        <w:t>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فَأَمَرَهُمْ أَنْ يَنْفُرُوا إِلَى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يَخْتَلِفُوا إِلَيْهِ</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فَيَتَعَلَّمُوا </w:t>
      </w:r>
      <w:r>
        <w:rPr>
          <w:rStyle w:val="FootnoteAnchor"/>
          <w:rtl w:val="true"/>
        </w:rPr>
        <w:footnoteReference w:id="823"/>
      </w:r>
      <w:r>
        <w:rPr>
          <w:rFonts w:ascii="Amiri" w:hAnsi="Amiri" w:eastAsia="Amiri" w:cs="Amiri"/>
          <w:color w:val="111111"/>
          <w:sz w:val="28"/>
          <w:sz w:val="28"/>
          <w:szCs w:val="28"/>
          <w:rtl w:val="true"/>
          <w:lang w:bidi="ar-SA"/>
        </w:rPr>
        <w:t>، ثُمَّ يَرْجِعُوا إِلَى قَوْمِهِمْ فَيُعَلِّمُونَهُمْ</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اخْتِلَافَهُمْ فِي </w:t>
      </w:r>
      <w:r>
        <w:rPr>
          <w:rStyle w:val="FootnoteAnchor"/>
          <w:rtl w:val="true"/>
        </w:rPr>
        <w:footnoteReference w:id="825"/>
      </w:r>
      <w:r>
        <w:rPr>
          <w:rFonts w:ascii="Amiri" w:hAnsi="Amiri" w:eastAsia="Amiri" w:cs="Amiri"/>
          <w:color w:val="111111"/>
          <w:sz w:val="28"/>
          <w:sz w:val="28"/>
          <w:szCs w:val="28"/>
          <w:rtl w:val="true"/>
          <w:lang w:bidi="ar-SA"/>
        </w:rPr>
        <w:t xml:space="preserve">البُلْدَانِ، لَا اخْتِلَافَهُمْ </w:t>
      </w:r>
      <w:r>
        <w:rPr>
          <w:rStyle w:val="FootnoteAnchor"/>
          <w:rtl w:val="true"/>
        </w:rPr>
        <w:footnoteReference w:id="826"/>
      </w:r>
      <w:r>
        <w:rPr>
          <w:rFonts w:ascii="Amiri" w:hAnsi="Amiri" w:eastAsia="Amiri" w:cs="Amiri"/>
          <w:color w:val="111111"/>
          <w:sz w:val="28"/>
          <w:sz w:val="28"/>
          <w:szCs w:val="28"/>
          <w:rtl w:val="true"/>
          <w:lang w:bidi="ar-SA"/>
        </w:rPr>
        <w:t xml:space="preserve">فِي دِينِ اللهِ ؛ إِنَّمَا الدِّيْنُ وَاحِدٌ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العلل بإسناده عن حمزة 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828"/>
      </w:r>
      <w:r>
        <w:rPr>
          <w:rFonts w:ascii="Amiri" w:hAnsi="Amiri" w:eastAsia="Amiri" w:cs="Amiri"/>
          <w:color w:val="111111"/>
          <w:sz w:val="28"/>
          <w:sz w:val="28"/>
          <w:szCs w:val="28"/>
          <w:rtl w:val="true"/>
          <w:lang w:bidi="ar-SA"/>
        </w:rPr>
        <w:t xml:space="preserve">اسْتَأْكَلَ بِعِلْمِهِ اقْتَصَرَ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إِنَّ فِي شِيْعَتِكُمْ قَوْمًا يَتَحَمَّلُوْنَ عُلُوْمَكُمْ، وَ يَبثُونَهَا فِي شِيْعَتِكُمْ، فَلَا يُعْدَمُونَ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مِنْهُم </w:t>
      </w:r>
      <w:r>
        <w:rPr>
          <w:rStyle w:val="FootnoteAnchor"/>
          <w:rtl w:val="true"/>
        </w:rPr>
        <w:footnoteReference w:id="833"/>
      </w:r>
      <w:r>
        <w:rPr>
          <w:rFonts w:ascii="Amiri" w:hAnsi="Amiri" w:eastAsia="Amiri" w:cs="Amiri"/>
          <w:color w:val="111111"/>
          <w:sz w:val="28"/>
          <w:sz w:val="28"/>
          <w:szCs w:val="28"/>
          <w:rtl w:val="true"/>
          <w:lang w:bidi="ar-SA"/>
        </w:rPr>
        <w:t>البر وَالصَّلَةَ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أُوْلَئِكَ بِمُسْتَأْكِلِين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ذَلِكَ </w:t>
      </w:r>
      <w:r>
        <w:rPr>
          <w:rStyle w:val="FootnoteAnchor"/>
          <w:rtl w:val="true"/>
        </w:rPr>
        <w:footnoteReference w:id="835"/>
      </w:r>
      <w:r>
        <w:rPr>
          <w:rFonts w:ascii="Amiri" w:hAnsi="Amiri" w:eastAsia="Amiri" w:cs="Amiri"/>
          <w:color w:val="111111"/>
          <w:sz w:val="28"/>
          <w:sz w:val="28"/>
          <w:szCs w:val="28"/>
          <w:rtl w:val="true"/>
          <w:lang w:bidi="ar-SA"/>
        </w:rPr>
        <w:t xml:space="preserve">الذِي يُفْتِي مِنْ غَيْرِ عِلْمٍ و َلَا هُدًى مِنَ اللهِ </w:t>
      </w:r>
      <w:r>
        <w:rPr>
          <w:rStyle w:val="FootnoteAnchor"/>
          <w:rtl w:val="true"/>
        </w:rPr>
        <w:footnoteReference w:id="836"/>
      </w:r>
      <w:r>
        <w:rPr>
          <w:rFonts w:ascii="Amiri" w:hAnsi="Amiri" w:eastAsia="Amiri" w:cs="Amiri"/>
          <w:color w:val="111111"/>
          <w:sz w:val="28"/>
          <w:sz w:val="28"/>
          <w:szCs w:val="28"/>
          <w:rtl w:val="true"/>
          <w:lang w:bidi="ar-SA"/>
        </w:rPr>
        <w:t xml:space="preserve">لِيُبْطِلَ بِهِ الحقوق </w:t>
      </w:r>
      <w:r>
        <w:rPr>
          <w:rStyle w:val="FootnoteAnchor"/>
          <w:rtl w:val="true"/>
        </w:rPr>
        <w:footnoteReference w:id="837"/>
      </w:r>
      <w:r>
        <w:rPr>
          <w:rFonts w:ascii="Amiri" w:hAnsi="Amiri" w:eastAsia="Amiri" w:cs="Amiri"/>
          <w:color w:val="111111"/>
          <w:sz w:val="28"/>
          <w:sz w:val="28"/>
          <w:szCs w:val="28"/>
          <w:rtl w:val="true"/>
          <w:lang w:bidi="ar-SA"/>
        </w:rPr>
        <w:t>طَمَعًا فِي حُطَام الدُّنْيَا</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الكشي في كتاب الرجال بإسناده الصحيح </w:t>
      </w:r>
      <w:r>
        <w:rPr>
          <w:rStyle w:val="FootnoteAnchor"/>
          <w:rtl w:val="true"/>
        </w:rPr>
        <w:footnoteReference w:id="839"/>
      </w:r>
      <w:r>
        <w:rPr>
          <w:rFonts w:ascii="Amiri" w:hAnsi="Amiri" w:eastAsia="Amiri" w:cs="Amiri"/>
          <w:color w:val="111111"/>
          <w:sz w:val="28"/>
          <w:sz w:val="28"/>
          <w:szCs w:val="28"/>
          <w:rtl w:val="true"/>
          <w:lang w:bidi="ar-SA"/>
        </w:rPr>
        <w:t>إلى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و َأَبُوْ بَصِيرَ لَيْث مِنَ الْمُخَتَرِي الْمُرَادِي، و َمُحَمَّدُ بنُ مُسْلِمٍ، و زُرَارَةُ بنُ أَعْيَنَ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Style w:val="FootnoteAnchor"/>
          <w:rtl w:val="true"/>
        </w:rPr>
        <w:footnoteReference w:id="841"/>
      </w:r>
      <w:r>
        <w:rPr>
          <w:rFonts w:ascii="Amiri" w:hAnsi="Amiri" w:eastAsia="Amiri" w:cs="Amiri"/>
          <w:color w:val="111111"/>
          <w:sz w:val="28"/>
          <w:sz w:val="28"/>
          <w:szCs w:val="28"/>
          <w:rtl w:val="true"/>
          <w:lang w:bidi="ar-SA"/>
        </w:rPr>
        <w:t xml:space="preserve">نُجَبَاءُ، أَمَنَاهُ الله عَلَى حَلَالِهِ وَ حَرَامِهِ، لَوْلَا هَؤُلَاءِ انْقَطَعَتْ </w:t>
      </w:r>
      <w:r>
        <w:rPr>
          <w:rStyle w:val="FootnoteAnchor"/>
          <w:rtl w:val="true"/>
        </w:rPr>
        <w:footnoteReference w:id="842"/>
      </w:r>
      <w:r>
        <w:rPr>
          <w:rFonts w:ascii="Amiri" w:hAnsi="Amiri" w:eastAsia="Amiri" w:cs="Amiri"/>
          <w:color w:val="111111"/>
          <w:sz w:val="28"/>
          <w:sz w:val="28"/>
          <w:szCs w:val="28"/>
          <w:rtl w:val="true"/>
          <w:lang w:bidi="ar-SA"/>
        </w:rPr>
        <w:t>آثَارُ النُّبُوَّةِ وَ انْدَرَسَتْ</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844"/>
      </w: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رُبَّما احْتِجنَا أَنْ نُسَائِلَ </w:t>
      </w:r>
      <w:r>
        <w:rPr>
          <w:rStyle w:val="FootnoteAnchor"/>
          <w:rtl w:val="true"/>
        </w:rPr>
        <w:footnoteReference w:id="845"/>
      </w:r>
      <w:r>
        <w:rPr>
          <w:rFonts w:ascii="Amiri" w:hAnsi="Amiri" w:eastAsia="Amiri" w:cs="Amiri"/>
          <w:color w:val="111111"/>
          <w:sz w:val="28"/>
          <w:sz w:val="28"/>
          <w:szCs w:val="28"/>
          <w:rtl w:val="true"/>
          <w:lang w:bidi="ar-SA"/>
        </w:rPr>
        <w:t xml:space="preserve">عَن الشَّيْءِ، فَمَنْ نَسْأَلُ </w:t>
      </w:r>
      <w:r>
        <w:rPr>
          <w:rStyle w:val="FootnoteAnchor"/>
          <w:rtl w:val="true"/>
        </w:rPr>
        <w:footnoteReference w:id="8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يَعْنِي أَبَا بَصِير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بإسناده إلى علي بن المسيب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شُقَّتِيْ بَعِيدَةٌ، وَ لَسْتُ أَصِلُ إِلَيْكَ فِي كُلِّ وَقْتٍ، فَمَنْ أَخِذُ مَعَالِمَ دِينِي مِنْهُ </w:t>
      </w:r>
      <w:r>
        <w:rPr>
          <w:rStyle w:val="FootnoteAnchor"/>
          <w:rtl w:val="true"/>
        </w:rPr>
        <w:footnoteReference w:id="8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أَدَمَ القمی، المأمُونِ عَلَى الدَّيْنِ وَالدَّنْيَا</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بَلَغَنِيْ عَنْكُم؟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أَنَّكُم أَقْعَدْتُمْ </w:t>
      </w:r>
      <w:r>
        <w:rPr>
          <w:rStyle w:val="FootnoteAnchor"/>
          <w:rtl w:val="true"/>
        </w:rPr>
        <w:footnoteReference w:id="850"/>
      </w:r>
      <w:r>
        <w:rPr>
          <w:rFonts w:ascii="Amiri" w:hAnsi="Amiri" w:eastAsia="Amiri" w:cs="Amiri"/>
          <w:color w:val="111111"/>
          <w:sz w:val="28"/>
          <w:sz w:val="28"/>
          <w:szCs w:val="28"/>
          <w:rtl w:val="true"/>
          <w:lang w:bidi="ar-SA"/>
        </w:rPr>
        <w:t>فَاضِيًا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يُقَالُ لَهُ عُرْوَةَ الفَتَّاتُ </w:t>
      </w:r>
      <w:r>
        <w:rPr>
          <w:rStyle w:val="FootnoteAnchor"/>
          <w:rtl w:val="true"/>
        </w:rPr>
        <w:footnoteReference w:id="852"/>
      </w:r>
      <w:r>
        <w:rPr>
          <w:rFonts w:ascii="Amiri" w:hAnsi="Amiri" w:eastAsia="Amiri" w:cs="Amiri"/>
          <w:color w:val="111111"/>
          <w:sz w:val="28"/>
          <w:sz w:val="28"/>
          <w:szCs w:val="28"/>
          <w:rtl w:val="true"/>
          <w:lang w:bidi="ar-SA"/>
        </w:rPr>
        <w:t xml:space="preserve">، و َهُوَ رَجُلٌ لَهُ حَظٌ مِنَ الْعَقْلِ </w:t>
      </w:r>
      <w:r>
        <w:rPr>
          <w:rStyle w:val="FootnoteAnchor"/>
          <w:rtl w:val="true"/>
        </w:rPr>
        <w:footnoteReference w:id="853"/>
      </w:r>
      <w:r>
        <w:rPr>
          <w:rFonts w:ascii="Amiri" w:hAnsi="Amiri" w:eastAsia="Amiri" w:cs="Amiri"/>
          <w:color w:val="111111"/>
          <w:sz w:val="28"/>
          <w:sz w:val="28"/>
          <w:szCs w:val="28"/>
          <w:rtl w:val="true"/>
          <w:lang w:bidi="ar-SA"/>
        </w:rPr>
        <w:t xml:space="preserve">، نَجْتَمِعُ </w:t>
      </w:r>
      <w:r>
        <w:rPr>
          <w:rStyle w:val="FootnoteAnchor"/>
          <w:rtl w:val="true"/>
        </w:rPr>
        <w:footnoteReference w:id="854"/>
      </w:r>
      <w:r>
        <w:rPr>
          <w:rFonts w:ascii="Amiri" w:hAnsi="Amiri" w:eastAsia="Amiri" w:cs="Amiri"/>
          <w:color w:val="111111"/>
          <w:sz w:val="28"/>
          <w:sz w:val="28"/>
          <w:szCs w:val="28"/>
          <w:rtl w:val="true"/>
          <w:lang w:bidi="ar-SA"/>
        </w:rPr>
        <w:t xml:space="preserve">عِنْدَهُ فَتَتَكَلَّمُ وَ نَتَسَاءَلُ </w:t>
      </w:r>
      <w:r>
        <w:rPr>
          <w:rStyle w:val="FootnoteAnchor"/>
          <w:rtl w:val="true"/>
        </w:rPr>
        <w:footnoteReference w:id="855"/>
      </w:r>
      <w:r>
        <w:rPr>
          <w:rFonts w:ascii="Amiri" w:hAnsi="Amiri" w:eastAsia="Amiri" w:cs="Amiri"/>
          <w:color w:val="111111"/>
          <w:sz w:val="28"/>
          <w:sz w:val="28"/>
          <w:szCs w:val="28"/>
          <w:rtl w:val="true"/>
          <w:lang w:bidi="ar-SA"/>
        </w:rPr>
        <w:t>ثُمَّ يُرَدُّذَلِكَ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محمد بن الحسن في كتاب الغيبة </w:t>
      </w:r>
      <w:r>
        <w:rPr>
          <w:rStyle w:val="FootnoteAnchor"/>
          <w:rtl w:val="true"/>
        </w:rPr>
        <w:footnoteReference w:id="857"/>
      </w:r>
      <w:r>
        <w:rPr>
          <w:rFonts w:ascii="Amiri" w:hAnsi="Amiri" w:eastAsia="Amiri" w:cs="Amiri"/>
          <w:color w:val="111111"/>
          <w:sz w:val="28"/>
          <w:sz w:val="28"/>
          <w:szCs w:val="28"/>
          <w:rtl w:val="true"/>
          <w:lang w:bidi="ar-SA"/>
        </w:rPr>
        <w:t xml:space="preserve">، بإسناده الصحيح </w:t>
      </w:r>
      <w:r>
        <w:rPr>
          <w:rStyle w:val="FootnoteAnchor"/>
          <w:rtl w:val="true"/>
        </w:rPr>
        <w:footnoteReference w:id="858"/>
      </w:r>
      <w:r>
        <w:rPr>
          <w:rFonts w:ascii="Amiri" w:hAnsi="Amiri" w:eastAsia="Amiri" w:cs="Amiri"/>
          <w:color w:val="111111"/>
          <w:sz w:val="28"/>
          <w:sz w:val="28"/>
          <w:szCs w:val="28"/>
          <w:rtl w:val="true"/>
          <w:lang w:bidi="ar-SA"/>
        </w:rPr>
        <w:t>إلى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بَيْتِي یقْرَعُوْنِي </w:t>
      </w:r>
      <w:r>
        <w:rPr>
          <w:rStyle w:val="FootnoteAnchor"/>
          <w:rtl w:val="true"/>
        </w:rPr>
        <w:footnoteReference w:id="859"/>
      </w:r>
      <w:r>
        <w:rPr>
          <w:rFonts w:ascii="Amiri" w:hAnsi="Amiri" w:eastAsia="Amiri" w:cs="Amiri"/>
          <w:color w:val="111111"/>
          <w:sz w:val="28"/>
          <w:sz w:val="28"/>
          <w:szCs w:val="28"/>
          <w:rtl w:val="true"/>
          <w:lang w:bidi="ar-SA"/>
        </w:rPr>
        <w:t>بِالحَدِيثِ الَّذِي رُوِيَ عَنْ أَبَائِكَ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خُدَّامُنَا وَ قُوَّامُنَا شِرَارُ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تَقْرَؤُونَ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وَاللهِ الْقُرَى الَّتِي بَارَكَ فِيهَا، وَأَنْتُم الْقُرَى الظَّاهِرَةُ</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علي ابن أبي طالب الطبرسي في كتاب الاحتجاج عن أبي حمزة عن أبي جعفر علیه السلام في حديث أنه قال للحسن البصري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الْقُرَى الَّتِي بَارَكَ اللهُ فِيْهَا ؟ </w:t>
      </w:r>
      <w:r>
        <w:rPr>
          <w:rStyle w:val="FootnoteAnchor"/>
          <w:rtl w:val="true"/>
        </w:rPr>
        <w:footnoteReference w:id="861"/>
      </w:r>
      <w:r>
        <w:rPr>
          <w:rFonts w:ascii="Amiri" w:hAnsi="Amiri" w:eastAsia="Amiri" w:cs="Amiri"/>
          <w:color w:val="111111"/>
          <w:sz w:val="28"/>
          <w:sz w:val="28"/>
          <w:szCs w:val="28"/>
          <w:rtl w:val="true"/>
          <w:lang w:bidi="ar-SA"/>
        </w:rPr>
        <w:t xml:space="preserve">وَ ذَلِكَ قَوْلُ اللهِ عَزَّ وَجَلَّ لمَنْ </w:t>
      </w:r>
      <w:r>
        <w:rPr>
          <w:rStyle w:val="FootnoteAnchor"/>
          <w:rtl w:val="true"/>
        </w:rPr>
        <w:footnoteReference w:id="862"/>
      </w:r>
      <w:r>
        <w:rPr>
          <w:rFonts w:ascii="Amiri" w:hAnsi="Amiri" w:eastAsia="Amiri" w:cs="Amiri"/>
          <w:color w:val="111111"/>
          <w:sz w:val="28"/>
          <w:sz w:val="28"/>
          <w:szCs w:val="28"/>
          <w:rtl w:val="true"/>
          <w:lang w:bidi="ar-SA"/>
        </w:rPr>
        <w:t xml:space="preserve">أَفَرَ فَضْلَنَا </w:t>
      </w:r>
      <w:r>
        <w:rPr>
          <w:rStyle w:val="FootnoteAnchor"/>
          <w:rtl w:val="true"/>
        </w:rPr>
        <w:footnoteReference w:id="863"/>
      </w:r>
      <w:r>
        <w:rPr>
          <w:rFonts w:ascii="Amiri" w:hAnsi="Amiri" w:eastAsia="Amiri" w:cs="Amiri"/>
          <w:color w:val="111111"/>
          <w:sz w:val="28"/>
          <w:sz w:val="28"/>
          <w:szCs w:val="28"/>
          <w:rtl w:val="true"/>
          <w:lang w:bidi="ar-SA"/>
        </w:rPr>
        <w:t xml:space="preserve">، حَيْثُ أَمَرَ اللهُ </w:t>
      </w:r>
      <w:r>
        <w:rPr>
          <w:rStyle w:val="FootnoteAnchor"/>
          <w:rtl w:val="true"/>
        </w:rPr>
        <w:footnoteReference w:id="864"/>
      </w:r>
      <w:r>
        <w:rPr>
          <w:rFonts w:ascii="Amiri" w:hAnsi="Amiri" w:eastAsia="Amiri" w:cs="Amiri"/>
          <w:color w:val="111111"/>
          <w:sz w:val="28"/>
          <w:sz w:val="28"/>
          <w:szCs w:val="28"/>
          <w:rtl w:val="true"/>
          <w:lang w:bidi="ar-SA"/>
        </w:rPr>
        <w:t xml:space="preserve">أَنْ يَأْتُوْنَا </w:t>
      </w:r>
      <w:r>
        <w:rPr>
          <w:rStyle w:val="FootnoteAnchor"/>
          <w:rtl w:val="true"/>
        </w:rPr>
        <w:footnoteReference w:id="8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وَالقُرَى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 النّقَلَهُ عَنَّا إِلَى شِيعَتِنَا ، و َشِيْعَتُناا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فِيهَا السَّيْرَ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فَالسَّيْرُ مِثْلُ الْعِلْمِ </w:t>
      </w:r>
      <w:r>
        <w:rPr>
          <w:rStyle w:val="FootnoteAnchor"/>
          <w:rtl w:val="true"/>
        </w:rPr>
        <w:footnoteReference w:id="867"/>
      </w:r>
      <w:r>
        <w:rPr>
          <w:rFonts w:ascii="Amiri" w:hAnsi="Amiri" w:eastAsia="Amiri" w:cs="Amiri"/>
          <w:color w:val="111111"/>
          <w:sz w:val="28"/>
          <w:sz w:val="28"/>
          <w:szCs w:val="28"/>
          <w:rtl w:val="true"/>
          <w:lang w:bidi="ar-SA"/>
        </w:rPr>
        <w:t xml:space="preserve">يَسِيرُ </w:t>
      </w:r>
      <w:r>
        <w:rPr>
          <w:rStyle w:val="FootnoteAnchor"/>
          <w:rtl w:val="true"/>
        </w:rPr>
        <w:footnoteReference w:id="868"/>
      </w:r>
      <w:r>
        <w:rPr>
          <w:rFonts w:ascii="Amiri" w:hAnsi="Amiri" w:eastAsia="Amiri" w:cs="Amiri"/>
          <w:color w:val="111111"/>
          <w:sz w:val="28"/>
          <w:sz w:val="28"/>
          <w:szCs w:val="28"/>
          <w:rtl w:val="true"/>
          <w:lang w:bidi="ar-SA"/>
        </w:rPr>
        <w:t xml:space="preserve">بِهِ لَيَالِيَ و َأَيَّامًا، مَثَلًا </w:t>
      </w:r>
      <w:r>
        <w:rPr>
          <w:rStyle w:val="FootnoteAnchor"/>
          <w:rtl w:val="true"/>
        </w:rPr>
        <w:footnoteReference w:id="869"/>
      </w:r>
      <w:r>
        <w:rPr>
          <w:rFonts w:ascii="Amiri" w:hAnsi="Amiri" w:eastAsia="Amiri" w:cs="Amiri"/>
          <w:color w:val="111111"/>
          <w:sz w:val="28"/>
          <w:sz w:val="28"/>
          <w:szCs w:val="28"/>
          <w:rtl w:val="true"/>
          <w:lang w:bidi="ar-SA"/>
        </w:rPr>
        <w:t xml:space="preserve">لَا يَسِيرُ مِنَ العِلْمِ في الليالي وَ الْأَيَّامِ عَنَّا إِلَيْهِمْ فِي الْحَلَالِ وَ الْحَرَامِ وَ الْفَرَائِضِ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آمِنِينْ فِيْهَا إِذَا أَخَذُوْا مِنْ مِعْدَنِهَا الَّذِي أُمِرُوْا أنْ يَأْخُذُوْا عَنْهُ </w:t>
      </w:r>
      <w:r>
        <w:rPr>
          <w:rStyle w:val="FootnoteAnchor"/>
          <w:rtl w:val="true"/>
        </w:rPr>
        <w:footnoteReference w:id="871"/>
      </w:r>
      <w:r>
        <w:rPr>
          <w:rFonts w:ascii="Amiri" w:hAnsi="Amiri" w:eastAsia="Amiri" w:cs="Amiri"/>
          <w:color w:val="111111"/>
          <w:sz w:val="28"/>
          <w:sz w:val="28"/>
          <w:szCs w:val="28"/>
          <w:rtl w:val="true"/>
          <w:lang w:bidi="ar-SA"/>
        </w:rPr>
        <w:t>، آمِنِينَ مِنَ الشَّكُ وَالضَّلَالِ الحديث</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لك من هذه الروايات و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بالغة حد الاستفاضة، وإن اقتصرنا على ذكر التعليل منها لا الاستغناء به فيما يأتي من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تحقق الفقيه و اتصف بالأمور المشترطة </w:t>
      </w:r>
      <w:r>
        <w:rPr>
          <w:rStyle w:val="FootnoteAnchor"/>
          <w:rtl w:val="true"/>
        </w:rPr>
        <w:footnoteReference w:id="873"/>
      </w:r>
      <w:r>
        <w:rPr>
          <w:rFonts w:ascii="Amiri" w:hAnsi="Amiri" w:eastAsia="Amiri" w:cs="Amiri"/>
          <w:color w:val="111111"/>
          <w:sz w:val="28"/>
          <w:sz w:val="28"/>
          <w:szCs w:val="28"/>
          <w:rtl w:val="true"/>
          <w:lang w:bidi="ar-SA"/>
        </w:rPr>
        <w:t xml:space="preserve">فيه، واقتصر على محكم السنّة و الكتاب، و حبس نفسه على </w:t>
      </w:r>
      <w:r>
        <w:rPr>
          <w:rStyle w:val="FootnoteAnchor"/>
          <w:rtl w:val="true"/>
        </w:rPr>
        <w:footnoteReference w:id="874"/>
      </w:r>
      <w:r>
        <w:rPr>
          <w:rFonts w:ascii="Amiri" w:hAnsi="Amiri" w:eastAsia="Amiri" w:cs="Amiri"/>
          <w:color w:val="111111"/>
          <w:sz w:val="28"/>
          <w:sz w:val="28"/>
          <w:szCs w:val="28"/>
          <w:rtl w:val="true"/>
          <w:lang w:bidi="ar-SA"/>
        </w:rPr>
        <w:t>أحاديثهم في جميع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الرعية قبول ما يلقيه من الأحكام؛ لأنه الخليفة بعد الإمام، و من هنا وجب الرجوع إليهم ، وأن </w:t>
      </w:r>
      <w:r>
        <w:rPr>
          <w:rStyle w:val="FootnoteAnchor"/>
          <w:rtl w:val="true"/>
        </w:rPr>
        <w:footnoteReference w:id="875"/>
      </w:r>
      <w:r>
        <w:rPr>
          <w:rFonts w:ascii="Amiri" w:hAnsi="Amiri" w:eastAsia="Amiri" w:cs="Amiri"/>
          <w:color w:val="111111"/>
          <w:sz w:val="28"/>
          <w:sz w:val="28"/>
          <w:szCs w:val="28"/>
          <w:rtl w:val="true"/>
          <w:lang w:bidi="ar-SA"/>
        </w:rPr>
        <w:t>الراد عليهم لا فرق بين حياته و لا مماته؛ لما عرفت أنه من جملة نقلة حديثهم و رواته، فقوله كسائر الروايات المودعة في سائر الأصول بل في الكتب الأربعة، و لذلك كانت الأصحاب ترجع إلىد</w:t>
      </w:r>
      <w:r>
        <w:rPr>
          <w:rFonts w:eastAsia="Amiri" w:cs="Amiri" w:ascii="Amiri" w:hAnsi="Amiri"/>
          <w:color w:val="111111"/>
          <w:sz w:val="28"/>
          <w:szCs w:val="28"/>
          <w:rtl w:val="true"/>
          <w:lang w:bidi="ar-SA"/>
        </w:rPr>
        <w:t xml:space="preserve">. </w:t>
      </w:r>
      <w:bookmarkStart w:id="63" w:name="pg2523_39723"/>
    </w:p>
    <w:p>
      <w:pPr>
        <w:pStyle w:val="BookText"/>
        <w:rPr/>
      </w:pPr>
      <w:bookmarkEnd w:id="63"/>
      <w:r>
        <w:rPr>
          <w:rFonts w:ascii="Amiri" w:hAnsi="Amiri" w:eastAsia="Amiri" w:cs="Amiri"/>
          <w:color w:val="111111"/>
          <w:sz w:val="28"/>
          <w:sz w:val="28"/>
          <w:szCs w:val="28"/>
          <w:rtl w:val="true"/>
          <w:lang w:bidi="ar-SA"/>
        </w:rPr>
        <w:t>فتاوى الفقيه علي بن بابويه عند إعواز النصوص، و إن لم يرد هناك في تلك المسألة حكم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انحط عن هذه الطريقة، و جاوز أصحاب هذه السليقة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معتمدا على هذا المدار، بل يتعدى إلى الأصول المخترعة و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جائز التقليد حتى في الحياة فضلا عن الممات؛ لإعلان الروايات بالمنع عن </w:t>
      </w:r>
      <w:r>
        <w:rPr>
          <w:rStyle w:val="FootnoteAnchor"/>
          <w:rtl w:val="true"/>
        </w:rPr>
        <w:footnoteReference w:id="876"/>
      </w:r>
      <w:r>
        <w:rPr>
          <w:rFonts w:ascii="Amiri" w:hAnsi="Amiri" w:eastAsia="Amiri" w:cs="Amiri"/>
          <w:color w:val="111111"/>
          <w:sz w:val="28"/>
          <w:sz w:val="28"/>
          <w:szCs w:val="28"/>
          <w:rtl w:val="true"/>
          <w:lang w:bidi="ar-SA"/>
        </w:rPr>
        <w:t>الأخذ عنه فضلا عن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w:t>
      </w:r>
      <w:r>
        <w:rPr>
          <w:rStyle w:val="FootnoteAnchor"/>
          <w:rtl w:val="true"/>
        </w:rPr>
        <w:footnoteReference w:id="877"/>
      </w:r>
      <w:r>
        <w:rPr>
          <w:rFonts w:ascii="Amiri" w:hAnsi="Amiri" w:eastAsia="Amiri" w:cs="Amiri"/>
          <w:color w:val="111111"/>
          <w:sz w:val="28"/>
          <w:sz w:val="28"/>
          <w:szCs w:val="28"/>
          <w:rtl w:val="true"/>
          <w:lang w:bidi="ar-SA"/>
        </w:rPr>
        <w:t xml:space="preserve">أن ما اشتهر بين متأخري الأصوليين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من تقليد الميت مطلقا في المسائل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المخترعة </w:t>
      </w:r>
      <w:r>
        <w:rPr>
          <w:rStyle w:val="FootnoteAnchor"/>
          <w:rtl w:val="true"/>
        </w:rPr>
        <w:footnoteReference w:id="879"/>
      </w:r>
      <w:r>
        <w:rPr>
          <w:rFonts w:ascii="Amiri" w:hAnsi="Amiri" w:eastAsia="Amiri" w:cs="Amiri"/>
          <w:color w:val="111111"/>
          <w:sz w:val="28"/>
          <w:sz w:val="28"/>
          <w:szCs w:val="28"/>
          <w:rtl w:val="true"/>
          <w:lang w:bidi="ar-SA"/>
        </w:rPr>
        <w:t>و الآراء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حججهم عليها موكولة إلى الأوهام، أو إجماع غير تام، أعرضنا عن ذكرها في هذا المقام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264846_3804643083"/>
      <w:bookmarkStart w:id="65" w:name="_Toc21"/>
      <w:bookmarkEnd w:id="64"/>
      <w:r>
        <w:rPr>
          <w:rtl w:val="true"/>
        </w:rPr>
        <w:t xml:space="preserve">[ </w:t>
      </w:r>
      <w:r>
        <w:rPr>
          <w:rtl w:val="true"/>
        </w:rPr>
        <w:t xml:space="preserve">تحقيق شرائط الفقيه </w:t>
      </w:r>
      <w:r>
        <w:rPr>
          <w:rtl w:val="true"/>
        </w:rPr>
        <w:t>]</w:t>
      </w:r>
      <w:bookmarkEnd w:id="65"/>
    </w:p>
    <w:p>
      <w:pPr>
        <w:pStyle w:val="Heading4"/>
        <w:numPr>
          <w:ilvl w:val="3"/>
          <w:numId w:val="1"/>
        </w:numPr>
        <w:rPr/>
      </w:pPr>
      <w:bookmarkStart w:id="66" w:name="__RefHeading___Toc4264848_3804643083"/>
      <w:bookmarkStart w:id="67" w:name="_Toc22"/>
      <w:bookmarkEnd w:id="66"/>
      <w:r>
        <w:rPr>
          <w:rtl w:val="true"/>
        </w:rPr>
        <w:t>اشارة</w:t>
      </w:r>
      <w:bookmarkEnd w:id="6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تحقيق شرائط ذلك الفقيه بمقتضى الروايات يتوقف على مقامات من التحقيق</w:t>
      </w:r>
      <w:r>
        <w:rPr>
          <w:rFonts w:eastAsia="Amiri" w:cs="Amiri" w:ascii="Amiri" w:hAnsi="Amiri"/>
          <w:color w:val="111111"/>
          <w:sz w:val="28"/>
          <w:szCs w:val="28"/>
          <w:rtl w:val="true"/>
          <w:lang w:bidi="ar-SA"/>
        </w:rPr>
        <w:t xml:space="preserve">: </w:t>
      </w:r>
      <w:bookmarkStart w:id="68" w:name="pg2523_39724"/>
    </w:p>
    <w:p>
      <w:pPr>
        <w:pStyle w:val="Heading4"/>
        <w:numPr>
          <w:ilvl w:val="3"/>
          <w:numId w:val="1"/>
        </w:numPr>
        <w:rPr/>
      </w:pPr>
      <w:bookmarkStart w:id="69" w:name="__RefHeading___Toc4264850_3804643083"/>
      <w:bookmarkStart w:id="70" w:name="_Toc23"/>
      <w:bookmarkEnd w:id="68"/>
      <w:bookmarkEnd w:id="69"/>
      <w:r>
        <w:rPr>
          <w:rtl w:val="true"/>
        </w:rPr>
        <w:t>المقام الأول</w:t>
      </w:r>
      <w:r>
        <w:rPr>
          <w:rtl w:val="true"/>
        </w:rPr>
        <w:t>:</w:t>
      </w:r>
      <w:bookmarkEnd w:id="70"/>
    </w:p>
    <w:p>
      <w:pPr>
        <w:pStyle w:val="BookText"/>
        <w:rPr/>
      </w:pPr>
      <w:r>
        <w:rPr>
          <w:rFonts w:ascii="Amiri" w:hAnsi="Amiri" w:eastAsia="Amiri" w:cs="Amiri"/>
          <w:color w:val="111111"/>
          <w:sz w:val="28"/>
          <w:sz w:val="28"/>
          <w:szCs w:val="28"/>
          <w:rtl w:val="true"/>
          <w:lang w:bidi="ar-SA"/>
        </w:rPr>
        <w:t xml:space="preserve">أنه هل يشترط في الفقيه المذكور معرفته لكل الأحكام أم يكفي التجزؤ فيها </w:t>
      </w:r>
      <w:r>
        <w:rPr>
          <w:rStyle w:val="FootnoteAnchor"/>
          <w:rtl w:val="true"/>
        </w:rPr>
        <w:footnoteReference w:id="881"/>
      </w:r>
      <w:r>
        <w:rPr>
          <w:rFonts w:ascii="Amiri" w:hAnsi="Amiri" w:eastAsia="Amiri" w:cs="Amiri"/>
          <w:color w:val="111111"/>
          <w:sz w:val="28"/>
          <w:sz w:val="28"/>
          <w:szCs w:val="28"/>
          <w:rtl w:val="true"/>
          <w:lang w:bidi="ar-SA"/>
        </w:rPr>
        <w:t xml:space="preserve">، فلا تجب معرفته أغلبها فضلا عن جميعها، ولا وقوفه على أدلة المسائل أصولها و فروعها </w:t>
      </w:r>
      <w:r>
        <w:rPr>
          <w:rStyle w:val="FootnoteAnchor"/>
          <w:rtl w:val="true"/>
        </w:rPr>
        <w:footnoteReference w:id="8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فالمشهور على الأول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و صحيحة أبي خديجة اللتان مر ذكرهما في الأخبار التي أسلفناها، حيث قال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حَدِيثَنَا و نَظَرَ فِي حَلَالِنَا وَ حَرَامِنَا وَ عَرَفَ أَحْكَامَنَا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وَحَرَامَنَا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مقتضى ذلك هو العموم؛ لقضية الإضافة في الجميع، فيقتضي أن النائب عنهم علیهم السلام يجب أن يكون مطلعا على جميع أخبارهم ، عارفًا بجميع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الخراساني في كفايته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بعض المتأخرين أنه يستفاد من رواية عمر بن حنظلة المذكورة أن من روى حديث أهل البيت علیهم السلام و نظر في حلالهم و حرامهم و عرفهما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حاكم و إن لم يكن مجتهدا في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نظر؛ لأن ظاهر قوله علیه السلام </w:t>
      </w:r>
    </w:p>
    <w:p>
      <w:pPr>
        <w:pStyle w:val="BookText"/>
        <w:rPr/>
      </w:pPr>
      <w:r>
        <w:rPr>
          <w:rFonts w:ascii="Amiri" w:hAnsi="Amiri" w:eastAsia="Amiri" w:cs="Amiri"/>
          <w:color w:val="111111"/>
          <w:sz w:val="28"/>
          <w:sz w:val="28"/>
          <w:szCs w:val="28"/>
          <w:rtl w:val="true"/>
          <w:lang w:bidi="ar-SA"/>
        </w:rPr>
        <w:t xml:space="preserve">و عرف أحكامنا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العموم ، فلا يكفي معرفته بعض الأحكام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الظاهر أنه أشار بذلك البعض إلى المولى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صرح في شرحه الإرشاد </w:t>
      </w:r>
      <w:r>
        <w:rPr>
          <w:rStyle w:val="FootnoteAnchor"/>
          <w:rtl w:val="true"/>
        </w:rPr>
        <w:footnoteReference w:id="887"/>
      </w:r>
      <w:r>
        <w:rPr>
          <w:rFonts w:ascii="Amiri" w:hAnsi="Amiri" w:eastAsia="Amiri" w:cs="Amiri"/>
          <w:color w:val="111111"/>
          <w:sz w:val="28"/>
          <w:sz w:val="28"/>
          <w:szCs w:val="28"/>
          <w:rtl w:val="true"/>
          <w:lang w:bidi="ar-SA"/>
        </w:rPr>
        <w:t xml:space="preserve">بذلك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أورده </w:t>
      </w:r>
      <w:r>
        <w:rPr>
          <w:rStyle w:val="FootnoteAnchor"/>
          <w:rtl w:val="true"/>
        </w:rPr>
        <w:footnoteReference w:id="889"/>
      </w:r>
      <w:r>
        <w:rPr>
          <w:rFonts w:ascii="Amiri" w:hAnsi="Amiri" w:eastAsia="Amiri" w:cs="Amiri"/>
          <w:color w:val="111111"/>
          <w:sz w:val="28"/>
          <w:sz w:val="28"/>
          <w:szCs w:val="28"/>
          <w:rtl w:val="true"/>
          <w:lang w:bidi="ar-SA"/>
        </w:rPr>
        <w:t xml:space="preserve">رحمه الله من الاحتجاج عليه من إفادة الإضافة العموم </w:t>
      </w:r>
      <w:r>
        <w:rPr>
          <w:rStyle w:val="FootnoteAnchor"/>
          <w:rtl w:val="true"/>
        </w:rPr>
        <w:footnoteReference w:id="890"/>
      </w:r>
      <w:r>
        <w:rPr>
          <w:rFonts w:ascii="Amiri" w:hAnsi="Amiri" w:eastAsia="Amiri" w:cs="Amiri"/>
          <w:color w:val="111111"/>
          <w:sz w:val="28"/>
          <w:sz w:val="28"/>
          <w:szCs w:val="28"/>
          <w:rtl w:val="true"/>
          <w:lang w:bidi="ar-SA"/>
        </w:rPr>
        <w:t xml:space="preserve">مسلّم، لكن رواية جميع أحكامهم و الإحاطة بها مما يتعذر غالبا، و لا </w:t>
      </w:r>
      <w:r>
        <w:rPr>
          <w:rStyle w:val="FootnoteAnchor"/>
          <w:rtl w:val="true"/>
        </w:rPr>
        <w:footnoteReference w:id="891"/>
      </w:r>
      <w:r>
        <w:rPr>
          <w:rFonts w:ascii="Amiri" w:hAnsi="Amiri" w:eastAsia="Amiri" w:cs="Amiri"/>
          <w:color w:val="111111"/>
          <w:sz w:val="28"/>
          <w:sz w:val="28"/>
          <w:szCs w:val="28"/>
          <w:rtl w:val="true"/>
          <w:lang w:bidi="ar-SA"/>
        </w:rPr>
        <w:t xml:space="preserve">سيما في مثل </w:t>
      </w:r>
      <w:r>
        <w:rPr>
          <w:rStyle w:val="FootnoteAnchor"/>
          <w:rtl w:val="true"/>
        </w:rPr>
        <w:footnoteReference w:id="892"/>
      </w:r>
      <w:r>
        <w:rPr>
          <w:rFonts w:ascii="Amiri" w:hAnsi="Amiri" w:eastAsia="Amiri" w:cs="Amiri"/>
          <w:color w:val="111111"/>
          <w:sz w:val="28"/>
          <w:sz w:val="28"/>
          <w:szCs w:val="28"/>
          <w:rtl w:val="true"/>
          <w:lang w:bidi="ar-SA"/>
        </w:rPr>
        <w:t xml:space="preserve">هذه الأوقات التي اضمحلت فيها </w:t>
      </w:r>
      <w:r>
        <w:rPr>
          <w:rStyle w:val="FootnoteAnchor"/>
          <w:rtl w:val="true"/>
        </w:rPr>
        <w:footnoteReference w:id="893"/>
      </w:r>
      <w:r>
        <w:rPr>
          <w:rFonts w:ascii="Amiri" w:hAnsi="Amiri" w:eastAsia="Amiri" w:cs="Amiri"/>
          <w:color w:val="111111"/>
          <w:sz w:val="28"/>
          <w:sz w:val="28"/>
          <w:szCs w:val="28"/>
          <w:rtl w:val="true"/>
          <w:lang w:bidi="ar-SA"/>
        </w:rPr>
        <w:t xml:space="preserve">أكثر الأصول و الاكتفاء في ذلك </w:t>
      </w:r>
      <w:r>
        <w:rPr>
          <w:rStyle w:val="FootnoteAnchor"/>
          <w:rtl w:val="true"/>
        </w:rPr>
        <w:footnoteReference w:id="894"/>
      </w:r>
      <w:r>
        <w:rPr>
          <w:rFonts w:ascii="Amiri" w:hAnsi="Amiri" w:eastAsia="Amiri" w:cs="Amiri"/>
          <w:color w:val="111111"/>
          <w:sz w:val="28"/>
          <w:sz w:val="28"/>
          <w:szCs w:val="28"/>
          <w:rtl w:val="true"/>
          <w:lang w:bidi="ar-SA"/>
        </w:rPr>
        <w:t>برواية الكتب الأربعة المشهورة غلط محض و تحكم صرف؛ لأن كثيرًا من مدارك الأحكام الشرعية التي ظن جملة من المتأخرين عدم وجودها، وطعنوا على من قال بها بعدم وجود، مستندها موجود في غير هذه الكتب الأربعة من كتب الصدوق، و من هنا تصدى غائص البحار و محدث الوسائل و أضرابهما لتدوين ما اشتملت عليه الأصول الزائدة على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الإحاطة بما في الكتب الأربعة مما قصرت عنه أنظار جملة من فحول فقهائنا، حتى طعنوا في بعض المسائل بعدم وجود المستند مع وجوده فيها، كمسألة وضع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895"/>
      </w:r>
      <w:r>
        <w:rPr>
          <w:rFonts w:ascii="Amiri" w:hAnsi="Amiri" w:eastAsia="Amiri" w:cs="Amiri"/>
          <w:color w:val="111111"/>
          <w:sz w:val="28"/>
          <w:sz w:val="28"/>
          <w:szCs w:val="28"/>
          <w:rtl w:val="true"/>
          <w:lang w:bidi="ar-SA"/>
        </w:rPr>
        <w:t xml:space="preserve">الميت في القبر </w:t>
      </w:r>
      <w:r>
        <w:rPr>
          <w:rStyle w:val="FootnoteAnchor"/>
          <w:rtl w:val="true"/>
        </w:rPr>
        <w:footnoteReference w:id="896"/>
      </w:r>
      <w:r>
        <w:rPr>
          <w:rFonts w:ascii="Amiri" w:hAnsi="Amiri" w:eastAsia="Amiri" w:cs="Amiri"/>
          <w:color w:val="111111"/>
          <w:sz w:val="28"/>
          <w:sz w:val="28"/>
          <w:szCs w:val="28"/>
          <w:rtl w:val="true"/>
          <w:lang w:bidi="ar-SA"/>
        </w:rPr>
        <w:t xml:space="preserve">، و مسألة استحباب الغسل عند لقاء كل إمام </w:t>
      </w:r>
      <w:r>
        <w:rPr>
          <w:rStyle w:val="FootnoteAnchor"/>
          <w:rtl w:val="true"/>
        </w:rPr>
        <w:footnoteReference w:id="897"/>
      </w:r>
      <w:r>
        <w:rPr>
          <w:rFonts w:ascii="Amiri" w:hAnsi="Amiri" w:eastAsia="Amiri" w:cs="Amiri"/>
          <w:color w:val="111111"/>
          <w:sz w:val="28"/>
          <w:sz w:val="28"/>
          <w:szCs w:val="28"/>
          <w:rtl w:val="true"/>
          <w:lang w:bidi="ar-SA"/>
        </w:rPr>
        <w:t xml:space="preserve">، ومسألة استحباب الأذان على الخلاء </w:t>
      </w:r>
      <w:r>
        <w:rPr>
          <w:rStyle w:val="FootnoteAnchor"/>
          <w:rtl w:val="true"/>
        </w:rPr>
        <w:footnoteReference w:id="898"/>
      </w:r>
      <w:r>
        <w:rPr>
          <w:rFonts w:ascii="Amiri" w:hAnsi="Amiri" w:eastAsia="Amiri" w:cs="Amiri"/>
          <w:color w:val="111111"/>
          <w:sz w:val="28"/>
          <w:sz w:val="28"/>
          <w:szCs w:val="28"/>
          <w:rtl w:val="true"/>
          <w:lang w:bidi="ar-SA"/>
        </w:rPr>
        <w:t>،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الإحاطة بأكثر 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يتعذر،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إلغاء العموم في ذينك الخبرين، بأن يراد من تلك الصيغة ما ما تيسر </w:t>
      </w:r>
      <w:r>
        <w:rPr>
          <w:rStyle w:val="FootnoteAnchor"/>
          <w:rtl w:val="true"/>
        </w:rPr>
        <w:footnoteReference w:id="899"/>
      </w:r>
      <w:r>
        <w:rPr>
          <w:rFonts w:ascii="Amiri" w:hAnsi="Amiri" w:eastAsia="Amiri" w:cs="Amiri"/>
          <w:color w:val="111111"/>
          <w:sz w:val="28"/>
          <w:sz w:val="28"/>
          <w:szCs w:val="28"/>
          <w:rtl w:val="true"/>
          <w:lang w:bidi="ar-SA"/>
        </w:rPr>
        <w:t>بحسب الإمكان، أو القدر الوافر منها ، أو ما يتعلق بتلك الواقعة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إطلاق الأدلة، فالاعتماد على القول الثاني، وهو القول بالتجزء و إن لم يكن مشهورًا، كما اعتمده الشيخان الأعظمان من </w:t>
      </w:r>
      <w:r>
        <w:rPr>
          <w:rStyle w:val="FootnoteAnchor"/>
          <w:rtl w:val="true"/>
        </w:rPr>
        <w:footnoteReference w:id="900"/>
      </w:r>
      <w:r>
        <w:rPr>
          <w:rFonts w:ascii="Amiri" w:hAnsi="Amiri" w:eastAsia="Amiri" w:cs="Amiri"/>
          <w:color w:val="111111"/>
          <w:sz w:val="28"/>
          <w:sz w:val="28"/>
          <w:szCs w:val="28"/>
          <w:rtl w:val="true"/>
          <w:lang w:bidi="ar-SA"/>
        </w:rPr>
        <w:t xml:space="preserve">مشائخنا في كتابيهما الدر النجفية </w:t>
      </w:r>
      <w:r>
        <w:rPr>
          <w:rStyle w:val="FootnoteAnchor"/>
          <w:rtl w:val="true"/>
        </w:rPr>
        <w:footnoteReference w:id="901"/>
      </w:r>
      <w:r>
        <w:rPr>
          <w:rFonts w:ascii="Amiri" w:hAnsi="Amiri" w:eastAsia="Amiri" w:cs="Amiri"/>
          <w:color w:val="111111"/>
          <w:sz w:val="28"/>
          <w:sz w:val="28"/>
          <w:szCs w:val="28"/>
          <w:rtl w:val="true"/>
          <w:lang w:bidi="ar-SA"/>
        </w:rPr>
        <w:t xml:space="preserve">و إحياء العلوم الشرعية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903"/>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وصل إلينا من ذلك على تقدير إحاطة نظرنا به لا يفي بجميع المدارك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سمعت في المسألة السابقة أن </w:t>
      </w:r>
      <w:r>
        <w:rPr>
          <w:rStyle w:val="FootnoteAnchor"/>
          <w:rtl w:val="true"/>
        </w:rPr>
        <w:footnoteReference w:id="905"/>
      </w:r>
      <w:r>
        <w:rPr>
          <w:rFonts w:ascii="Amiri" w:hAnsi="Amiri" w:eastAsia="Amiri" w:cs="Amiri"/>
          <w:color w:val="111111"/>
          <w:sz w:val="28"/>
          <w:sz w:val="28"/>
          <w:szCs w:val="28"/>
          <w:rtl w:val="true"/>
          <w:lang w:bidi="ar-SA"/>
        </w:rPr>
        <w:t xml:space="preserve">من الأحكام ما هو غير معلوم بل هو واجب الرد إلى المعصوم ، كما تنادي به أخبار الإرجاء و التأخير، ولا ينبئك مثل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إلى قوله في تلك المقبولة </w:t>
      </w:r>
      <w:r>
        <w:rPr>
          <w:rStyle w:val="FootnoteAnchor"/>
          <w:rtl w:val="true"/>
        </w:rPr>
        <w:footnoteReference w:id="9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r>
        <w:rPr>
          <w:rStyle w:val="FootnoteAnchor"/>
          <w:rtl w:val="true"/>
        </w:rPr>
        <w:footnoteReference w:id="907"/>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 أَمْرٌ بَيْن غَيْهُ فَيُجْتَنَبُ، و َأَمْرٌ مُشْكِلٌ يُرَدُّ </w:t>
      </w:r>
      <w:r>
        <w:rPr>
          <w:rStyle w:val="FootnoteAnchor"/>
          <w:rtl w:val="true"/>
        </w:rPr>
        <w:footnoteReference w:id="908"/>
      </w:r>
      <w:r>
        <w:rPr>
          <w:rFonts w:ascii="Amiri" w:hAnsi="Amiri" w:eastAsia="Amiri" w:cs="Amiri"/>
          <w:color w:val="111111"/>
          <w:sz w:val="28"/>
          <w:sz w:val="28"/>
          <w:szCs w:val="28"/>
          <w:rtl w:val="true"/>
          <w:lang w:bidi="ar-SA"/>
        </w:rPr>
        <w:t xml:space="preserve">حُكْمُهُ إِلَى اللهِ وَالرَّسُولِ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معتبر ابن الطيار المروي في المحاسن </w:t>
      </w:r>
      <w:r>
        <w:rPr>
          <w:rStyle w:val="FootnoteAnchor"/>
          <w:rtl w:val="true"/>
        </w:rPr>
        <w:footnoteReference w:id="9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النَّاسَ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وَلَا يَسْأَلُوْنَكَ عَنْ شَيْءٍ إِلَّا قُلْتَ فِيهِل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 قَالَ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بَابُ الرَّدَّ إِذَن؟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أصرح منها في الدلالة ما رواه شيحنا الصدوق رحمه الله في الصحيح </w:t>
      </w:r>
      <w:r>
        <w:rPr>
          <w:rStyle w:val="FootnoteAnchor"/>
          <w:rtl w:val="true"/>
        </w:rPr>
        <w:footnoteReference w:id="916"/>
      </w:r>
      <w:r>
        <w:rPr>
          <w:rFonts w:ascii="Amiri" w:hAnsi="Amiri" w:eastAsia="Amiri" w:cs="Amiri"/>
          <w:color w:val="111111"/>
          <w:sz w:val="28"/>
          <w:sz w:val="28"/>
          <w:szCs w:val="28"/>
          <w:rtl w:val="true"/>
          <w:lang w:bidi="ar-SA"/>
        </w:rPr>
        <w:t>عن أحمد بن عائذ عن أبي خديجة عن أبي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رَجُلٍ مِنْكُمْ يَعْلَمُ شَيْئًا مِنْ قَضَايَانَا فَاجْعَلُوْهُ بَيْنَكُم، فَإِنِّي قَدْ جَعَلْتُهُ قَاضِيا فَتَحَاكَمُوْا إِلَيْهِ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فلا يدل على التجزؤ بل ما دلّت عليه تلك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مقبولة؛ لصراحتها في التبعيض المؤذن بِهِ إفراد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وتنكيره، فلا يناسبه البيان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المؤذنة بالتعميم، فحملها على البيان تكلف لا يحتاج إلى بيان، سيما </w:t>
      </w:r>
      <w:r>
        <w:rPr>
          <w:rStyle w:val="FootnoteAnchor"/>
          <w:rtl w:val="true"/>
        </w:rPr>
        <w:footnoteReference w:id="918"/>
      </w:r>
      <w:r>
        <w:rPr>
          <w:rFonts w:ascii="IRNazanin" w:hAnsi="IRNazanin" w:eastAsia="IRNazanin"/>
          <w:color w:val="111111"/>
          <w:sz w:val="28"/>
          <w:sz w:val="28"/>
          <w:szCs w:val="28"/>
          <w:rtl w:val="true"/>
          <w:lang w:bidi="fa-IR"/>
        </w:rPr>
        <w:t xml:space="preserve">مع استفاضة الأخبار عنهم علیهم السلام من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جاءكم ما تعلمون فقولوا به، وإذا </w:t>
      </w:r>
      <w:r>
        <w:rPr>
          <w:rStyle w:val="FootnoteAnchor"/>
          <w:rtl w:val="true"/>
        </w:rPr>
        <w:footnoteReference w:id="919"/>
      </w:r>
      <w:r>
        <w:rPr>
          <w:rFonts w:ascii="Amiri" w:hAnsi="Amiri" w:eastAsia="Amiri" w:cs="Amiri"/>
          <w:color w:val="111111"/>
          <w:sz w:val="28"/>
          <w:sz w:val="28"/>
          <w:szCs w:val="28"/>
          <w:rtl w:val="true"/>
          <w:lang w:bidi="ar-SA"/>
        </w:rPr>
        <w:t xml:space="preserve">جاءكم ما لا تعلمون فها هو </w:t>
      </w:r>
      <w:r>
        <w:rPr>
          <w:rStyle w:val="FootnoteAnchor"/>
          <w:rtl w:val="true"/>
        </w:rPr>
        <w:footnoteReference w:id="920"/>
      </w:r>
      <w:r>
        <w:rPr>
          <w:rFonts w:ascii="IRNazanin" w:hAnsi="IRNazanin" w:eastAsia="IRNazanin"/>
          <w:color w:val="111111"/>
          <w:sz w:val="28"/>
          <w:sz w:val="28"/>
          <w:szCs w:val="28"/>
          <w:rtl w:val="true"/>
          <w:lang w:bidi="fa-IR"/>
        </w:rPr>
        <w:t>، و ما علمتم فقولوا، وما لم تعلموا فقولوا</w:t>
      </w:r>
      <w:r>
        <w:rPr>
          <w:rFonts w:eastAsia="IRNazanin" w:cs="IRNazanin"/>
          <w:color w:val="111111"/>
          <w:sz w:val="28"/>
          <w:szCs w:val="28"/>
          <w:rtl w:val="true"/>
          <w:lang w:bidi="fa-IR"/>
        </w:rPr>
        <w:t xml:space="preserve">:). </w:t>
      </w:r>
      <w:bookmarkStart w:id="71" w:name="pg2523_39729"/>
    </w:p>
    <w:p>
      <w:pPr>
        <w:pStyle w:val="BookText"/>
        <w:rPr/>
      </w:pPr>
      <w:bookmarkEnd w:id="71"/>
      <w:r>
        <w:rPr>
          <w:rFonts w:ascii="IRNazanin" w:hAnsi="IRNazanin" w:eastAsia="IRNazanin"/>
          <w:color w:val="111111"/>
          <w:sz w:val="28"/>
          <w:sz w:val="28"/>
          <w:szCs w:val="28"/>
          <w:rtl w:val="true"/>
          <w:lang w:bidi="fa-IR"/>
        </w:rPr>
        <w:t>الله أعلم</w:t>
      </w:r>
      <w:r>
        <w:rPr>
          <w:rStyle w:val="FootnoteAnchor"/>
          <w:rtl w:val="true"/>
        </w:rPr>
        <w:footnoteReference w:id="921"/>
      </w:r>
      <w:r>
        <w:rPr>
          <w:rFonts w:ascii="Amiri" w:hAnsi="Amiri" w:eastAsia="Amiri" w:cs="Amiri"/>
          <w:color w:val="111111"/>
          <w:sz w:val="28"/>
          <w:sz w:val="28"/>
          <w:szCs w:val="28"/>
          <w:rtl w:val="true"/>
          <w:lang w:bidi="ar-SA"/>
        </w:rPr>
        <w:t xml:space="preserve">، وإن حق الله على عباده أن يقولوا ما يعلمون، و يقفوا عندما لا يعلمون </w:t>
      </w:r>
      <w:r>
        <w:rPr>
          <w:rStyle w:val="FootnoteAnchor"/>
          <w:rtl w:val="true"/>
        </w:rPr>
        <w:footnoteReference w:id="922"/>
      </w:r>
      <w:r>
        <w:rPr>
          <w:rFonts w:ascii="Amiri" w:hAnsi="Amiri" w:eastAsia="Amiri" w:cs="Amiri"/>
          <w:color w:val="111111"/>
          <w:sz w:val="28"/>
          <w:sz w:val="28"/>
          <w:szCs w:val="28"/>
          <w:rtl w:val="true"/>
          <w:lang w:bidi="ar-SA"/>
        </w:rPr>
        <w:t>، إلى غير ذلك من الأخبار المؤذنة بالفتوى و القول لكل ما يعلمه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فإنكار </w:t>
      </w:r>
      <w:r>
        <w:rPr>
          <w:rStyle w:val="FootnoteAnchor"/>
          <w:rtl w:val="true"/>
        </w:rPr>
        <w:footnoteReference w:id="923"/>
      </w:r>
      <w:r>
        <w:rPr>
          <w:rFonts w:ascii="Amiri" w:hAnsi="Amiri" w:eastAsia="Amiri" w:cs="Amiri"/>
          <w:color w:val="111111"/>
          <w:sz w:val="28"/>
          <w:sz w:val="28"/>
          <w:szCs w:val="28"/>
          <w:rtl w:val="true"/>
          <w:lang w:bidi="ar-SA"/>
        </w:rPr>
        <w:t xml:space="preserve">التجزؤ إخلادًا إلى تلك المقبولة، مما </w:t>
      </w:r>
      <w:r>
        <w:rPr>
          <w:rStyle w:val="FootnoteAnchor"/>
          <w:rtl w:val="true"/>
        </w:rPr>
        <w:footnoteReference w:id="924"/>
      </w:r>
      <w:r>
        <w:rPr>
          <w:rFonts w:ascii="Amiri" w:hAnsi="Amiri" w:eastAsia="Amiri" w:cs="Amiri"/>
          <w:color w:val="111111"/>
          <w:sz w:val="28"/>
          <w:sz w:val="28"/>
          <w:szCs w:val="28"/>
          <w:rtl w:val="true"/>
          <w:lang w:bidi="ar-SA"/>
        </w:rPr>
        <w:t>يوجب طرح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المعلوم أن مدار معاصري الأئمة و دأب أكابر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بعيد الشقة و شديد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تحصيل حكم احتاجوا اليه، ثم العمل من سائر الرعية عليه، من غير تعرض لاستعلام غيره من الأحكام كما يشهد به متتبع طريقة أولئك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الاعتصام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264852_3804643083"/>
      <w:bookmarkStart w:id="73" w:name="_Toc24"/>
      <w:bookmarkEnd w:id="72"/>
      <w:r>
        <w:rPr>
          <w:rtl w:val="true"/>
        </w:rPr>
        <w:t>المقام الثاني</w:t>
      </w:r>
      <w:r>
        <w:rPr>
          <w:rtl w:val="true"/>
        </w:rPr>
        <w:t>:</w:t>
      </w:r>
      <w:bookmarkEnd w:id="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هل يراعى في </w:t>
      </w:r>
      <w:r>
        <w:rPr>
          <w:rStyle w:val="FootnoteAnchor"/>
          <w:rtl w:val="true"/>
        </w:rPr>
        <w:footnoteReference w:id="925"/>
      </w:r>
      <w:r>
        <w:rPr>
          <w:rFonts w:ascii="Amiri" w:hAnsi="Amiri" w:eastAsia="Amiri" w:cs="Amiri"/>
          <w:color w:val="111111"/>
          <w:sz w:val="28"/>
          <w:sz w:val="28"/>
          <w:szCs w:val="28"/>
          <w:rtl w:val="true"/>
          <w:lang w:bidi="ar-SA"/>
        </w:rPr>
        <w:t xml:space="preserve">ذلك النائب كونه فقيهًا جامعا لشرائط الفتوى المقررة في موضعها، ولو في ذلك البعض الذي بلغه؟ حيث إنه لا بد من معرفته لأحكامهم، و معرفة ما يتوقف عليها من العرض على كتاب الله </w:t>
      </w:r>
    </w:p>
    <w:p>
      <w:pPr>
        <w:pStyle w:val="BookText"/>
        <w:rPr/>
      </w:pPr>
      <w:r>
        <w:rPr>
          <w:rFonts w:ascii="Amiri" w:hAnsi="Amiri" w:eastAsia="Amiri" w:cs="Amiri"/>
          <w:color w:val="111111"/>
          <w:sz w:val="28"/>
          <w:sz w:val="28"/>
          <w:szCs w:val="28"/>
          <w:rtl w:val="true"/>
          <w:lang w:bidi="ar-SA"/>
        </w:rPr>
        <w:t>العزيز، و معرفة مذاهب العامة و القواعد المقررة في وجوه الجمع، و معرفة العلوم المعتبرة في الاجتهاد، أم يكفي مجرد الرواية؟</w:t>
      </w:r>
    </w:p>
    <w:p>
      <w:pPr>
        <w:pStyle w:val="BookText"/>
        <w:rPr/>
      </w:pPr>
      <w:r>
        <w:rPr>
          <w:rFonts w:ascii="IRNazanin" w:hAnsi="IRNazanin" w:eastAsia="IRNazanin"/>
          <w:color w:val="111111"/>
          <w:sz w:val="28"/>
          <w:sz w:val="28"/>
          <w:szCs w:val="28"/>
          <w:rtl w:val="true"/>
          <w:lang w:bidi="fa-IR"/>
        </w:rPr>
        <w:t xml:space="preserve">المحققون من أصحابنا على الأول </w:t>
      </w:r>
      <w:r>
        <w:rPr>
          <w:rStyle w:val="FootnoteAnchor"/>
          <w:rtl w:val="true"/>
        </w:rPr>
        <w:footnoteReference w:id="926"/>
      </w:r>
      <w:r>
        <w:rPr>
          <w:rFonts w:ascii="Amiri" w:hAnsi="Amiri" w:eastAsia="Amiri" w:cs="Amiri"/>
          <w:color w:val="111111"/>
          <w:sz w:val="28"/>
          <w:sz w:val="28"/>
          <w:szCs w:val="28"/>
          <w:rtl w:val="true"/>
          <w:lang w:bidi="ar-SA"/>
        </w:rPr>
        <w:t>إخلادًا إلى تلك المقبولة و أمثالها المؤذنة باشتراط المعرفة المتوقفة على هذه الشرائط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المولى الفاضل الأردبيلي على الثاني </w:t>
      </w:r>
      <w:r>
        <w:rPr>
          <w:rStyle w:val="FootnoteAnchor"/>
          <w:rtl w:val="true"/>
        </w:rPr>
        <w:footnoteReference w:id="927"/>
      </w:r>
      <w:r>
        <w:rPr>
          <w:rFonts w:ascii="Amiri" w:hAnsi="Amiri" w:eastAsia="Amiri" w:cs="Amiri"/>
          <w:color w:val="111111"/>
          <w:sz w:val="28"/>
          <w:sz w:val="28"/>
          <w:szCs w:val="28"/>
          <w:rtl w:val="true"/>
          <w:lang w:bidi="ar-SA"/>
        </w:rPr>
        <w:t xml:space="preserve">لما تقدم في الأخبار من قولهم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على قدر رواياتهم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التوقيع اليعقوبي الذي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الحَوَادِثُ الوَاقِعَةُ فَارْجِعُوْا فِيْهَا إِلَى 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أمثالها </w:t>
      </w:r>
      <w:r>
        <w:rPr>
          <w:rStyle w:val="FootnoteAnchor"/>
          <w:rtl w:val="true"/>
        </w:rPr>
        <w:footnoteReference w:id="928"/>
      </w:r>
      <w:r>
        <w:rPr>
          <w:rFonts w:ascii="Amiri" w:hAnsi="Amiri" w:eastAsia="Amiri" w:cs="Amiri"/>
          <w:color w:val="111111"/>
          <w:sz w:val="28"/>
          <w:sz w:val="28"/>
          <w:szCs w:val="28"/>
          <w:rtl w:val="true"/>
          <w:lang w:bidi="ar-SA"/>
        </w:rPr>
        <w:t xml:space="preserve">من الأخبار المؤذنة بحصول تلك المرتبة </w:t>
      </w:r>
      <w:r>
        <w:rPr>
          <w:rStyle w:val="FootnoteAnchor"/>
          <w:rtl w:val="true"/>
        </w:rPr>
        <w:footnoteReference w:id="929"/>
      </w:r>
      <w:r>
        <w:rPr>
          <w:rFonts w:ascii="Amiri" w:hAnsi="Amiri" w:eastAsia="Amiri" w:cs="Amiri"/>
          <w:color w:val="111111"/>
          <w:sz w:val="28"/>
          <w:sz w:val="28"/>
          <w:szCs w:val="28"/>
          <w:rtl w:val="true"/>
          <w:lang w:bidi="ar-SA"/>
        </w:rPr>
        <w:t>بمجرد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القائلون بالأول قد ادعوا الإجماع على تلك الدعوى </w:t>
      </w:r>
      <w:r>
        <w:rPr>
          <w:rStyle w:val="FootnoteAnchor"/>
          <w:rtl w:val="true"/>
        </w:rPr>
        <w:footnoteReference w:id="930"/>
      </w:r>
      <w:r>
        <w:rPr>
          <w:rFonts w:ascii="Amiri" w:hAnsi="Amiri" w:eastAsia="Amiri" w:cs="Amiri"/>
          <w:color w:val="111111"/>
          <w:sz w:val="28"/>
          <w:sz w:val="28"/>
          <w:szCs w:val="28"/>
          <w:rtl w:val="true"/>
          <w:lang w:bidi="ar-SA"/>
        </w:rPr>
        <w:t>، وهو في غير محله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التحقيق في هذا المقام ما حققه شيخانا الفاضلان من التفصيل، و الفرق بين وقتهم علیه السلام، وبين وقتنا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بمجرد سماع </w:t>
      </w:r>
      <w:r>
        <w:rPr>
          <w:rStyle w:val="FootnoteAnchor"/>
          <w:rtl w:val="true"/>
        </w:rPr>
        <w:footnoteReference w:id="932"/>
      </w:r>
      <w:r>
        <w:rPr>
          <w:rFonts w:ascii="Amiri" w:hAnsi="Amiri" w:eastAsia="Amiri" w:cs="Amiri"/>
          <w:color w:val="111111"/>
          <w:sz w:val="28"/>
          <w:sz w:val="28"/>
          <w:szCs w:val="28"/>
          <w:rtl w:val="true"/>
          <w:lang w:bidi="ar-SA"/>
        </w:rPr>
        <w:t>الرواية مشافهة أو بواسطة، و على هذا كان عمل أصحابهم في زمانهم كما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مثل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اختلفت الأخبار الواصلة إلينا، و اشتبهت الدلالات؛ لقيام </w:t>
      </w:r>
      <w:r>
        <w:rPr>
          <w:rStyle w:val="FootnoteAnchor"/>
          <w:rtl w:val="true"/>
        </w:rPr>
        <w:footnoteReference w:id="933"/>
      </w:r>
      <w:r>
        <w:rPr>
          <w:rFonts w:ascii="Amiri" w:hAnsi="Amiri" w:eastAsia="Amiri" w:cs="Amiri"/>
          <w:color w:val="111111"/>
          <w:sz w:val="28"/>
          <w:sz w:val="28"/>
          <w:szCs w:val="28"/>
          <w:rtl w:val="true"/>
          <w:lang w:bidi="ar-SA"/>
        </w:rPr>
        <w:t xml:space="preserve">الاحتمالات علينا، و فقدت قرائن </w:t>
      </w:r>
      <w:r>
        <w:rPr>
          <w:rStyle w:val="FootnoteAnchor"/>
          <w:rtl w:val="true"/>
        </w:rPr>
        <w:footnoteReference w:id="934"/>
      </w:r>
      <w:r>
        <w:rPr>
          <w:rFonts w:ascii="Amiri" w:hAnsi="Amiri" w:eastAsia="Amiri" w:cs="Amiri"/>
          <w:color w:val="111111"/>
          <w:sz w:val="28"/>
          <w:sz w:val="28"/>
          <w:szCs w:val="28"/>
          <w:rtl w:val="true"/>
          <w:lang w:bidi="ar-SA"/>
        </w:rPr>
        <w:t>المقامات فلابد من معرفة فهم ما يتوقف عليه فهم المعنى من العموم، و معرفة ما يتوقف عليه من الكتاب العزيز و معرفة القواعد المقررة و الضوابط المعتبرة، سيما وجوه الجمع في مختلفات الأخبار، كما لا يخفى على من جاس خلال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القدسية التي يتمكن بها من استنباط الأحكام الشرعية </w:t>
      </w:r>
      <w:r>
        <w:rPr>
          <w:rStyle w:val="FootnoteAnchor"/>
          <w:rtl w:val="true"/>
        </w:rPr>
        <w:footnoteReference w:id="935"/>
      </w:r>
      <w:r>
        <w:rPr>
          <w:rFonts w:ascii="Amiri" w:hAnsi="Amiri" w:eastAsia="Amiri" w:cs="Amiri"/>
          <w:color w:val="111111"/>
          <w:sz w:val="28"/>
          <w:sz w:val="28"/>
          <w:szCs w:val="28"/>
          <w:rtl w:val="true"/>
          <w:lang w:bidi="ar-SA"/>
        </w:rPr>
        <w:t xml:space="preserve">، و هي المعبر عنها بالملكة بين علمائنا الأعلام، و هي العمدة في الباب، و إلا فما عداها مما ذكرنا صار سهل المأخذ بما حققه الأصحاب، وتلك بيده سبحانه </w:t>
      </w:r>
      <w:r>
        <w:rPr>
          <w:rStyle w:val="FootnoteAnchor"/>
          <w:rtl w:val="true"/>
        </w:rPr>
        <w:footnoteReference w:id="936"/>
      </w:r>
      <w:r>
        <w:rPr>
          <w:rFonts w:ascii="Amiri" w:hAnsi="Amiri" w:eastAsia="Amiri" w:cs="Amiri"/>
          <w:color w:val="111111"/>
          <w:sz w:val="28"/>
          <w:sz w:val="28"/>
          <w:szCs w:val="28"/>
          <w:rtl w:val="true"/>
          <w:lang w:bidi="ar-SA"/>
        </w:rPr>
        <w:t>يؤتيها من يشاء من عباده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مع ذلك من الرياضة بالملازمة على فعل الطاعات و العبادات و اجتناب المنهيات، و أعظمها الورع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قال مولانا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الْفَقِيْه حَقُّ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الرَّاغِبُ فِي الآخِرَةِ، المُتَمَسِّكِ بِسُنَّةِ النَّبِي 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مصباح الشريعة عن مولانا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الْفُتْيَا </w:t>
      </w:r>
      <w:r>
        <w:rPr>
          <w:rStyle w:val="FootnoteAnchor"/>
          <w:rtl w:val="true"/>
        </w:rPr>
        <w:footnoteReference w:id="939"/>
      </w:r>
      <w:r>
        <w:rPr>
          <w:rFonts w:ascii="Amiri" w:hAnsi="Amiri" w:eastAsia="Amiri" w:cs="Amiri"/>
          <w:color w:val="111111"/>
          <w:sz w:val="28"/>
          <w:sz w:val="28"/>
          <w:szCs w:val="28"/>
          <w:rtl w:val="true"/>
          <w:lang w:bidi="ar-SA"/>
        </w:rPr>
        <w:t xml:space="preserve">ممَنْ </w:t>
      </w:r>
      <w:r>
        <w:rPr>
          <w:rStyle w:val="FootnoteAnchor"/>
          <w:rtl w:val="true"/>
        </w:rPr>
        <w:footnoteReference w:id="940"/>
      </w:r>
      <w:r>
        <w:rPr>
          <w:rFonts w:ascii="Amiri" w:hAnsi="Amiri" w:eastAsia="Amiri" w:cs="Amiri"/>
          <w:color w:val="111111"/>
          <w:sz w:val="28"/>
          <w:sz w:val="28"/>
          <w:szCs w:val="28"/>
          <w:rtl w:val="true"/>
          <w:lang w:bidi="ar-SA"/>
        </w:rPr>
        <w:t>لَا يَسْتَفْتِي مِنَ اللَّهِ عَزَّ وَجَلَّ بِصَفَاءِ سِرِّهِ، وَ إِخْلَاصِ عَمَلِهِ وَ عَلَانِيَتِهِ، و َبُرْهَانٍ مِنْ رَبِّهِ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Style w:val="FootnoteAnchor"/>
          <w:rtl w:val="true"/>
        </w:rPr>
        <w:footnoteReference w:id="941"/>
      </w:r>
      <w:r>
        <w:rPr>
          <w:rFonts w:ascii="Amiri" w:hAnsi="Amiri" w:eastAsia="Amiri" w:cs="Amiri"/>
          <w:color w:val="111111"/>
          <w:sz w:val="28"/>
          <w:sz w:val="28"/>
          <w:szCs w:val="28"/>
          <w:rtl w:val="true"/>
          <w:lang w:bidi="ar-SA"/>
        </w:rPr>
        <w:t xml:space="preserve">فَمَنْ أَفْتَى فَقَدْ حَكَمَ، وَالحُكْمُ لَا يَصُحُ إِلَّا بِإِذْنِ مِنَ اللهِ وَب ُرْهَانِهِ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الاحتجاج و تفسير مولانا العسكري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كَانَ مِنَ السلام الفُقَهَاءِ صَائِنَا لِنَفْسِهِ، حَافِظًا لِدِينِهِ، مُخَالِفًا عَلَى هَوَاهُ، مُطِيعًا لأَمْرِ مَوْلَاهُ، فَلِلْعَوَامٌ أَنْ يُقَلِّدُوْهُ، و َذَلِكَ لَا يَكُونُ إِلَّا بَعْضُ فُقَهَاءِ الشَّيْعَةِ لَا جَمِيْعُهُمْ؛ فَإِنَّ </w:t>
      </w:r>
      <w:r>
        <w:rPr>
          <w:rStyle w:val="FootnoteAnchor"/>
          <w:rtl w:val="true"/>
        </w:rPr>
        <w:footnoteReference w:id="943"/>
      </w:r>
      <w:r>
        <w:rPr>
          <w:rFonts w:ascii="Amiri" w:hAnsi="Amiri" w:eastAsia="Amiri" w:cs="Amiri"/>
          <w:color w:val="111111"/>
          <w:sz w:val="28"/>
          <w:sz w:val="28"/>
          <w:szCs w:val="28"/>
          <w:rtl w:val="true"/>
          <w:lang w:bidi="ar-SA"/>
        </w:rPr>
        <w:t xml:space="preserve">مَنْ رَكَبَ مِنَ القَبَائِحِ وَ الفَوَاحِشِ مَرَاكِبَ فَسَقَةِ العَامَّةِ فَلا تَقْبَلُوا مِنْهُمْ عَنَّا شَيْئًا، وَلَا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و منها أيضا معرفة تفسير الآيات الأحكامية التي تقرب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خمسمائة آية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لأن ما ذكرناه سابقا من معرفة الأخبار كاف في البيان؛ لأن ما جاء في القرآن من الأحكام لا يجوز الاعتماد فيه على أقوال المفسرين، بل مرجعه إلى أخبار الأئمة المعصومين تفسيرا أو تأويلا كما تواتر عنهم </w:t>
      </w:r>
      <w:r>
        <w:rPr>
          <w:rStyle w:val="FootnoteAnchor"/>
          <w:rtl w:val="true"/>
        </w:rPr>
        <w:footnoteReference w:id="947"/>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بسند صحيح </w:t>
      </w:r>
      <w:r>
        <w:rPr>
          <w:rStyle w:val="FootnoteAnchor"/>
          <w:rtl w:val="true"/>
        </w:rPr>
        <w:footnoteReference w:id="948"/>
      </w:r>
      <w:r>
        <w:rPr>
          <w:rFonts w:ascii="Amiri" w:hAnsi="Amiri" w:eastAsia="Amiri" w:cs="Amiri"/>
          <w:color w:val="111111"/>
          <w:sz w:val="28"/>
          <w:sz w:val="28"/>
          <w:szCs w:val="28"/>
          <w:rtl w:val="true"/>
          <w:lang w:bidi="ar-SA"/>
        </w:rPr>
        <w:t>عن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مَوْلًى لِسَلْمَانَ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عُبَيْدَةَ السَّلْمَانِ</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َلَا تُفْتُوا النَّاسَ بِمَا لَا تَعْلَمُوْنَ، فَإِنَّ رَسُوْلَ اللهِ صلی الله علیه و آله وسلم قَدْ قَالَ قَوْلًا آل مِنْهُ إِلَى غَيْرِهِ، وَ قَدْ قَالَ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وَضَعَهُ غَيْرَ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 عَلَيْهِ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عُبَيْدَةُ وَ عَلْقَمَةُ وَ الأَسْوَدُ وَ أُنَاسٌ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تَصْنَعُ </w:t>
      </w:r>
      <w:r>
        <w:rPr>
          <w:rStyle w:val="FootnoteAnchor"/>
          <w:rtl w:val="true"/>
        </w:rPr>
        <w:footnoteReference w:id="952"/>
      </w:r>
      <w:r>
        <w:rPr>
          <w:rFonts w:ascii="Amiri" w:hAnsi="Amiri" w:eastAsia="Amiri" w:cs="Amiri"/>
          <w:color w:val="111111"/>
          <w:sz w:val="28"/>
          <w:sz w:val="28"/>
          <w:szCs w:val="28"/>
          <w:rtl w:val="true"/>
          <w:lang w:bidi="ar-SA"/>
        </w:rPr>
        <w:t xml:space="preserve">بِمَا قَدْ أُخْبِرْنَا </w:t>
      </w:r>
      <w:r>
        <w:rPr>
          <w:rStyle w:val="FootnoteAnchor"/>
          <w:rtl w:val="true"/>
        </w:rPr>
        <w:footnoteReference w:id="953"/>
      </w:r>
      <w:r>
        <w:rPr>
          <w:rFonts w:ascii="Amiri" w:hAnsi="Amiri" w:eastAsia="Amiri" w:cs="Amiri"/>
          <w:color w:val="111111"/>
          <w:sz w:val="28"/>
          <w:sz w:val="28"/>
          <w:szCs w:val="28"/>
          <w:rtl w:val="true"/>
          <w:lang w:bidi="ar-SA"/>
        </w:rPr>
        <w:t xml:space="preserve">بِهِ فِي الْمُصْحَفِ؟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Style w:val="FootnoteAnchor"/>
          <w:rtl w:val="true"/>
        </w:rPr>
        <w:footnoteReference w:id="954"/>
      </w:r>
      <w:r>
        <w:rPr>
          <w:rFonts w:ascii="Amiri" w:hAnsi="Amiri" w:eastAsia="Amiri" w:cs="Amiri"/>
          <w:color w:val="111111"/>
          <w:sz w:val="28"/>
          <w:sz w:val="28"/>
          <w:szCs w:val="28"/>
          <w:rtl w:val="true"/>
          <w:lang w:bidi="ar-SA"/>
        </w:rPr>
        <w:t>عَنْ ذَلِكَ عُلَمَاءَ آلِ مُحَمَّد</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ولا يخفى صراحته في ذلك</w:t>
      </w:r>
      <w:r>
        <w:rPr>
          <w:rFonts w:eastAsia="Amiri" w:cs="Amiri" w:ascii="Amiri" w:hAnsi="Amiri"/>
          <w:color w:val="111111"/>
          <w:sz w:val="28"/>
          <w:szCs w:val="28"/>
          <w:rtl w:val="true"/>
          <w:lang w:bidi="ar-SA"/>
        </w:rPr>
        <w:t xml:space="preserve">. . </w:t>
      </w:r>
      <w:bookmarkStart w:id="74" w:name="pg2523_39734"/>
    </w:p>
    <w:p>
      <w:pPr>
        <w:pStyle w:val="BookText"/>
        <w:rPr/>
      </w:pPr>
      <w:bookmarkEnd w:id="74"/>
      <w:r>
        <w:rPr>
          <w:rFonts w:ascii="Amiri" w:hAnsi="Amiri" w:eastAsia="Amiri" w:cs="Amiri"/>
          <w:color w:val="111111"/>
          <w:sz w:val="28"/>
          <w:sz w:val="28"/>
          <w:szCs w:val="28"/>
          <w:rtl w:val="true"/>
          <w:lang w:bidi="ar-SA"/>
        </w:rPr>
        <w:t>و أما ما ذكره جماعة من المتأخرين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مراعاة العلوم المنطقية و أمثالها </w:t>
      </w:r>
      <w:r>
        <w:rPr>
          <w:rStyle w:val="FootnoteAnchor"/>
          <w:rtl w:val="true"/>
        </w:rPr>
        <w:footnoteReference w:id="956"/>
      </w:r>
      <w:r>
        <w:rPr>
          <w:rFonts w:ascii="Amiri" w:hAnsi="Amiri" w:eastAsia="Amiri" w:cs="Amiri"/>
          <w:color w:val="111111"/>
          <w:sz w:val="28"/>
          <w:sz w:val="28"/>
          <w:szCs w:val="28"/>
          <w:rtl w:val="true"/>
          <w:lang w:bidi="ar-SA"/>
        </w:rPr>
        <w:t xml:space="preserve">من العلوم التي لم تخرج من هذا البيت، فهو من الاختراعات العامية </w:t>
      </w:r>
      <w:r>
        <w:rPr>
          <w:rStyle w:val="FootnoteAnchor"/>
          <w:rtl w:val="true"/>
        </w:rPr>
        <w:footnoteReference w:id="957"/>
      </w:r>
      <w:r>
        <w:rPr>
          <w:rFonts w:ascii="Amiri" w:hAnsi="Amiri" w:eastAsia="Amiri" w:cs="Amiri"/>
          <w:color w:val="111111"/>
          <w:sz w:val="28"/>
          <w:sz w:val="28"/>
          <w:szCs w:val="28"/>
          <w:rtl w:val="true"/>
          <w:lang w:bidi="ar-SA"/>
        </w:rPr>
        <w:t xml:space="preserve">، فليس المدار إلا على ما شرطناه، و تلك الدعوى يكذبها الاعتبار و مراجعة شرائط الأخبار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75" w:name="__RefHeading___Toc4264854_3804643083"/>
      <w:bookmarkStart w:id="76" w:name="_Toc25"/>
      <w:bookmarkEnd w:id="75"/>
      <w:r>
        <w:rPr>
          <w:rtl w:val="true"/>
        </w:rPr>
        <w:t>المقام الثالث</w:t>
      </w:r>
      <w:bookmarkEnd w:id="76"/>
    </w:p>
    <w:p>
      <w:pPr>
        <w:pStyle w:val="BookText"/>
        <w:rPr/>
      </w:pPr>
      <w:r>
        <w:rPr>
          <w:rFonts w:ascii="IRNazanin" w:hAnsi="IRNazanin" w:eastAsia="IRNazanin"/>
          <w:color w:val="111111"/>
          <w:sz w:val="28"/>
          <w:sz w:val="28"/>
          <w:szCs w:val="28"/>
          <w:rtl w:val="true"/>
          <w:lang w:bidi="fa-IR"/>
        </w:rPr>
        <w:t xml:space="preserve">المقام الثالث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مع وجود ذلك الفقيه المستجمع لتلك الشرائط، لا يجوز لغيره ممن انحط عن رتبته تولي شيء من الأمور الحسبية فضلا عن الحكم والفتوى و إن تلبس بلباس العدالة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جملة بجواز توليته لبعض الأمور الحسبية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الحكم و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جماعة منهم الإجماع على أنه لا يجوز تولي ذلك إلا لمن بلغ تلك الرتبة القصوى، و ممن نقل هذا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ملا محسن الكاشاني في كتاب المفاتيح في بحث القضاء </w:t>
      </w:r>
      <w:r>
        <w:rPr>
          <w:rStyle w:val="FootnoteAnchor"/>
          <w:rtl w:val="true"/>
        </w:rPr>
        <w:footnoteReference w:id="961"/>
      </w:r>
      <w:r>
        <w:rPr>
          <w:rFonts w:ascii="Amiri" w:hAnsi="Amiri" w:eastAsia="Amiri" w:cs="Amiri"/>
          <w:color w:val="111111"/>
          <w:sz w:val="28"/>
          <w:sz w:val="28"/>
          <w:szCs w:val="28"/>
          <w:rtl w:val="true"/>
          <w:lang w:bidi="ar-SA"/>
        </w:rPr>
        <w:t xml:space="preserve">، و الفاضل المحقق ملا محمد صالح المازندراني في شرح الأصول، حيث قال في شرح </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في حَلَالِنَا وَحَرَامِنَا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هو المعبر عنه بالجامع </w:t>
      </w:r>
      <w:r>
        <w:rPr>
          <w:rStyle w:val="FootnoteAnchor"/>
          <w:rtl w:val="true"/>
        </w:rPr>
        <w:footnoteReference w:id="962"/>
      </w:r>
      <w:r>
        <w:rPr>
          <w:rFonts w:ascii="Amiri" w:hAnsi="Amiri" w:eastAsia="Amiri" w:cs="Amiri"/>
          <w:color w:val="111111"/>
          <w:sz w:val="28"/>
          <w:sz w:val="28"/>
          <w:szCs w:val="28"/>
          <w:rtl w:val="true"/>
          <w:lang w:bidi="ar-SA"/>
        </w:rPr>
        <w:t>لشرائط الفتوى و الحكومة بين الناس، و لا يجوز لمن نزل عن مرتبته تصدي الحكومة و إن اطلع على فتوى الفقهاء بلا خلاف عند أصحابنا</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 مثلهما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للآحاد مع تعذر الحكام تولية آحاد التصرفات الحكمية على الأصح، وساق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يتعلق بالدعوى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المدقق الشيخ علي 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مقامه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كلام في أن غير المتصف بالأوصاف المذكورة – التي من جملتها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الفتوى بحيث يسند الفتوى إلى نفسه</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بالغ في ذلك غاية المبالغة، حتى حكم بضمان من يتولى الحكم من هؤلاء القاصرين عن تلك الرتبة للأموال 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المحقق محمد بن علي ابن أبي </w:t>
      </w:r>
      <w:r>
        <w:rPr>
          <w:rStyle w:val="FootnoteAnchor"/>
          <w:rtl w:val="true"/>
        </w:rPr>
        <w:footnoteReference w:id="967"/>
      </w:r>
      <w:r>
        <w:rPr>
          <w:rFonts w:ascii="Amiri" w:hAnsi="Amiri" w:eastAsia="Amiri" w:cs="Amiri"/>
          <w:color w:val="111111"/>
          <w:sz w:val="28"/>
          <w:sz w:val="28"/>
          <w:szCs w:val="28"/>
          <w:rtl w:val="true"/>
          <w:lang w:bidi="ar-SA"/>
        </w:rPr>
        <w:t>جمهور الأحسائي قدس سره في كتاب قبس الاهتداء في آدابي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الافتاء </w:t>
      </w:r>
      <w:r>
        <w:rPr>
          <w:rStyle w:val="FootnoteAnchor"/>
          <w:rtl w:val="true"/>
        </w:rPr>
        <w:footnoteReference w:id="968"/>
      </w:r>
      <w:r>
        <w:rPr>
          <w:rFonts w:ascii="Amiri" w:hAnsi="Amiri" w:eastAsia="Amiri" w:cs="Amiri"/>
          <w:color w:val="111111"/>
          <w:sz w:val="28"/>
          <w:sz w:val="28"/>
          <w:szCs w:val="28"/>
          <w:rtl w:val="true"/>
          <w:lang w:bidi="ar-SA"/>
        </w:rPr>
        <w:t xml:space="preserve">، و نقله عن شيخيه الجليلين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عبد الكريم الفتال النجفي </w:t>
      </w:r>
      <w:r>
        <w:rPr>
          <w:rStyle w:val="FootnoteAnchor"/>
          <w:rtl w:val="true"/>
        </w:rPr>
        <w:footnoteReference w:id="970"/>
      </w:r>
      <w:r>
        <w:rPr>
          <w:rFonts w:ascii="Amiri" w:hAnsi="Amiri" w:eastAsia="Amiri" w:cs="Amiri"/>
          <w:color w:val="111111"/>
          <w:sz w:val="28"/>
          <w:sz w:val="28"/>
          <w:szCs w:val="28"/>
          <w:rtl w:val="true"/>
          <w:lang w:bidi="ar-SA"/>
        </w:rPr>
        <w:t xml:space="preserve">و الشيخ زين الدين علي بن هلال الجزائري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هؤلاء قد سلك شيخنا الشهيد الثاني كما في رسالته التي وضعها في المنع من تقليد الميت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فقهائنا المتأخرين قد نقلوا على </w:t>
      </w:r>
      <w:r>
        <w:rPr>
          <w:rStyle w:val="FootnoteAnchor"/>
          <w:rtl w:val="true"/>
        </w:rPr>
        <w:footnoteReference w:id="973"/>
      </w:r>
      <w:r>
        <w:rPr>
          <w:rFonts w:ascii="Amiri" w:hAnsi="Amiri" w:eastAsia="Amiri" w:cs="Amiri"/>
          <w:color w:val="111111"/>
          <w:sz w:val="28"/>
          <w:sz w:val="28"/>
          <w:szCs w:val="28"/>
          <w:rtl w:val="true"/>
          <w:lang w:bidi="ar-SA"/>
        </w:rPr>
        <w:t xml:space="preserve">ذلك الإجماع </w:t>
      </w:r>
      <w:r>
        <w:rPr>
          <w:rStyle w:val="FootnoteAnchor"/>
          <w:rtl w:val="true"/>
        </w:rPr>
        <w:footnoteReference w:id="974"/>
      </w:r>
      <w:r>
        <w:rPr>
          <w:rFonts w:ascii="Amiri" w:hAnsi="Amiri" w:eastAsia="Amiri" w:cs="Amiri"/>
          <w:color w:val="111111"/>
          <w:sz w:val="28"/>
          <w:sz w:val="28"/>
          <w:szCs w:val="28"/>
          <w:rtl w:val="true"/>
          <w:lang w:bidi="ar-SA"/>
        </w:rPr>
        <w:t>، فظهر أن اتفاق هؤلاء الأجلاء كالبرهان على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إلا أني قد وقفت </w:t>
      </w:r>
      <w:r>
        <w:rPr>
          <w:rStyle w:val="FootnoteAnchor"/>
          <w:rtl w:val="true"/>
        </w:rPr>
        <w:footnoteReference w:id="975"/>
      </w:r>
      <w:r>
        <w:rPr>
          <w:rFonts w:ascii="Amiri" w:hAnsi="Amiri" w:eastAsia="Amiri" w:cs="Amiri"/>
          <w:color w:val="111111"/>
          <w:sz w:val="28"/>
          <w:sz w:val="28"/>
          <w:szCs w:val="28"/>
          <w:rtl w:val="true"/>
          <w:lang w:bidi="ar-SA"/>
        </w:rPr>
        <w:t>على كلام الجملة من الفحول يشعر بالخلاف في ذلك، و جواز تولية غير الفقيه عند فقد الفقيه لمثل القضاء والفتوى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جدي العلامة أبو الحسن الشيخ سليمان بن عبدالله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الفوائد النجفية </w:t>
      </w:r>
      <w:r>
        <w:rPr>
          <w:rStyle w:val="FootnoteAnchor"/>
          <w:rtl w:val="true"/>
        </w:rPr>
        <w:footnoteReference w:id="976"/>
      </w:r>
      <w:r>
        <w:rPr>
          <w:rFonts w:ascii="Amiri" w:hAnsi="Amiri" w:eastAsia="Amiri" w:cs="Amiri"/>
          <w:color w:val="111111"/>
          <w:sz w:val="28"/>
          <w:sz w:val="28"/>
          <w:szCs w:val="28"/>
          <w:rtl w:val="true"/>
          <w:lang w:bidi="ar-SA"/>
        </w:rPr>
        <w:t xml:space="preserve">عن الشيخ الصالح حسين ابن الشيخ مفلح الصيمري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الجواز في رسالة عملها في المسألة </w:t>
      </w:r>
      <w:r>
        <w:rPr>
          <w:rStyle w:val="FootnoteAnchor"/>
          <w:rtl w:val="true"/>
        </w:rPr>
        <w:footnoteReference w:id="978"/>
      </w:r>
      <w:r>
        <w:rPr>
          <w:rFonts w:ascii="Amiri" w:hAnsi="Amiri" w:eastAsia="Amiri" w:cs="Amiri"/>
          <w:color w:val="111111"/>
          <w:sz w:val="28"/>
          <w:sz w:val="28"/>
          <w:szCs w:val="28"/>
          <w:rtl w:val="true"/>
          <w:lang w:bidi="ar-SA"/>
        </w:rPr>
        <w:t xml:space="preserve">، وقد نقل فيها ذلك عن الشيخ حسين بن منصور صاحب الحاوي </w:t>
      </w:r>
      <w:r>
        <w:rPr>
          <w:rStyle w:val="FootnoteAnchor"/>
          <w:rtl w:val="true"/>
        </w:rPr>
        <w:footnoteReference w:id="979"/>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يوجد جامع الشرائط، جاز نصب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فاقد بعضها مع عدالته للحاجة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أيضا في الرسالة المذكورة ذلك عن محرر العامة من كتب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 مشايخنا أنه وجد على ظهر بعض الكتب بخط بعض الفضلاء ما هذه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نقل من خط الشيخ علي بن هلال جواب الشيخ علي بن قاسم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للعدل الإمامي و إن لم يكن متصفا بشرائط الاجتهاد الحكم بين الناس و يجب العمل بما يقوله من صحة و إبطال في حال الغيبة، و عدم المجتهد أم لا </w:t>
      </w:r>
      <w:r>
        <w:rPr>
          <w:rStyle w:val="FootnoteAnchor"/>
          <w:rtl w:val="true"/>
        </w:rPr>
        <w:footnoteReference w:id="9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كذلك له تنفيذ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هذا المذهب للشيخ أحمد بن فهد و قد نقله عنه أيضًا </w:t>
      </w:r>
      <w:r>
        <w:rPr>
          <w:rStyle w:val="FootnoteAnchor"/>
          <w:rtl w:val="true"/>
        </w:rPr>
        <w:footnoteReference w:id="981"/>
      </w:r>
      <w:r>
        <w:rPr>
          <w:rFonts w:ascii="Amiri" w:hAnsi="Amiri" w:eastAsia="Amiri" w:cs="Amiri"/>
          <w:color w:val="111111"/>
          <w:sz w:val="28"/>
          <w:sz w:val="28"/>
          <w:szCs w:val="28"/>
          <w:rtl w:val="true"/>
          <w:lang w:bidi="ar-SA"/>
        </w:rPr>
        <w:t>المولى الأردبيلي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المنقول عن الشيخ علي </w:t>
      </w:r>
      <w:r>
        <w:rPr>
          <w:rStyle w:val="FootnoteAnchor"/>
          <w:rtl w:val="true"/>
        </w:rPr>
        <w:footnoteReference w:id="982"/>
      </w:r>
      <w:r>
        <w:rPr>
          <w:rFonts w:ascii="Amiri" w:hAnsi="Amiri" w:eastAsia="Amiri" w:cs="Amiri"/>
          <w:color w:val="111111"/>
          <w:sz w:val="28"/>
          <w:sz w:val="28"/>
          <w:szCs w:val="28"/>
          <w:rtl w:val="true"/>
          <w:lang w:bidi="ar-SA"/>
        </w:rPr>
        <w:t xml:space="preserve">بن هلال فيما تقدم من كلام ابن أبي جمهور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فإن الشيخ المذكور من مشايخه، مع احتمال فتواه بالقولين باعتبار وقتين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ما عليه المعظم من الأصحاب، فإنه الأصحاب، فإنه هو المعتمدق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الباب، و ليس الإخلاد في ذلك إلى الإجماع، بل إلى السنة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المقبولة، وروايتا </w:t>
      </w:r>
      <w:r>
        <w:rPr>
          <w:rStyle w:val="FootnoteAnchor"/>
          <w:rtl w:val="true"/>
        </w:rPr>
        <w:footnoteReference w:id="984"/>
      </w:r>
      <w:r>
        <w:rPr>
          <w:rFonts w:ascii="Amiri" w:hAnsi="Amiri" w:eastAsia="Amiri" w:cs="Amiri"/>
          <w:color w:val="111111"/>
          <w:sz w:val="28"/>
          <w:sz w:val="28"/>
          <w:szCs w:val="28"/>
          <w:rtl w:val="true"/>
          <w:lang w:bidi="ar-SA"/>
        </w:rPr>
        <w:t>أبي خديجة، ومرسلة الفقيه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التوقيع اليعقوبي </w:t>
      </w:r>
      <w:r>
        <w:rPr>
          <w:rStyle w:val="FootnoteAnchor"/>
          <w:rtl w:val="true"/>
        </w:rPr>
        <w:footnoteReference w:id="985"/>
      </w:r>
      <w:r>
        <w:rPr>
          <w:rFonts w:ascii="Amiri" w:hAnsi="Amiri" w:eastAsia="Amiri" w:cs="Amiri"/>
          <w:color w:val="111111"/>
          <w:sz w:val="28"/>
          <w:sz w:val="28"/>
          <w:szCs w:val="28"/>
          <w:rtl w:val="true"/>
          <w:lang w:bidi="ar-SA"/>
        </w:rPr>
        <w:t>المروي في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الكافي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جَلَسْتَ 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سليمان </w:t>
      </w:r>
      <w:r>
        <w:rPr>
          <w:rStyle w:val="FootnoteAnchor"/>
          <w:rtl w:val="true"/>
        </w:rPr>
        <w:footnoteReference w:id="987"/>
      </w:r>
      <w:r>
        <w:rPr>
          <w:rFonts w:ascii="Amiri" w:hAnsi="Amiri" w:eastAsia="Amiri" w:cs="Amiri"/>
          <w:color w:val="111111"/>
          <w:sz w:val="28"/>
          <w:sz w:val="28"/>
          <w:szCs w:val="28"/>
          <w:rtl w:val="true"/>
          <w:lang w:bidi="ar-SA"/>
        </w:rPr>
        <w:t>بن خالد المروي فيه و في التهذيب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98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فيما ذهب اليه المعظم؛ لقضية </w:t>
      </w:r>
      <w:r>
        <w:rPr>
          <w:rStyle w:val="FootnoteAnchor"/>
          <w:rtl w:val="true"/>
        </w:rPr>
        <w:footnoteReference w:id="989"/>
      </w:r>
      <w:r>
        <w:rPr>
          <w:rFonts w:ascii="Amiri" w:hAnsi="Amiri" w:eastAsia="Amiri" w:cs="Amiri"/>
          <w:color w:val="111111"/>
          <w:sz w:val="28"/>
          <w:sz w:val="28"/>
          <w:szCs w:val="28"/>
          <w:rtl w:val="true"/>
          <w:lang w:bidi="ar-SA"/>
        </w:rPr>
        <w:t>الحصر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منه قصرها على المعصوم بمقتضى الحصر؛ لدخول الفقيه المستجمع لشرائط تلك الرتبة في الصف الثاني من المحصور فيه، أعني وصيه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نبي؛ لما تقدم في مرسلة النهاية الشاهدة بإثبات الخلافة لهم، حيث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بَعْدِي يَرْوُوْنَ حَدِيْثی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رواه ابن أبي جمهور الأحسائي في كتابه غوالي اللآلي عنه صلی الله علیه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الْعَالِمَ الْعَامِلَ بِعِلْمِهِ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إثبات الوصاية له، و يؤيده ما ثبت في تلك المقبولة من أن الراد عليهم كالراد على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أبي بصير </w:t>
      </w:r>
      <w:r>
        <w:rPr>
          <w:rStyle w:val="FootnoteAnchor"/>
          <w:rtl w:val="true"/>
        </w:rPr>
        <w:footnoteReference w:id="991"/>
      </w:r>
      <w:r>
        <w:rPr>
          <w:rFonts w:ascii="Amiri" w:hAnsi="Amiri" w:eastAsia="Amiri" w:cs="Amiri"/>
          <w:color w:val="111111"/>
          <w:sz w:val="28"/>
          <w:sz w:val="28"/>
          <w:szCs w:val="28"/>
          <w:rtl w:val="true"/>
          <w:lang w:bidi="ar-SA"/>
        </w:rPr>
        <w:t>المروية في المحاسن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الرَّادَّ عَلَى هَذَا الْأَمْرِ كَالرَّادٌ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مَنْ رَدَّ عَلَيْكَ هَذَا الْأَمْرَ </w:t>
      </w:r>
      <w:r>
        <w:rPr>
          <w:rStyle w:val="FootnoteAnchor"/>
          <w:rtl w:val="true"/>
        </w:rPr>
        <w:footnoteReference w:id="992"/>
      </w:r>
      <w:r>
        <w:rPr>
          <w:rFonts w:ascii="Amiri" w:hAnsi="Amiri" w:eastAsia="Amiri" w:cs="Amiri"/>
          <w:color w:val="111111"/>
          <w:sz w:val="28"/>
          <w:sz w:val="28"/>
          <w:szCs w:val="28"/>
          <w:rtl w:val="true"/>
          <w:lang w:bidi="ar-SA"/>
        </w:rPr>
        <w:t xml:space="preserve">فَهُوَ كَالرَّادُ عَلى رَسُولِ اللهِ صلی الله علیه و آله وسلم </w:t>
      </w:r>
      <w:r>
        <w:rPr>
          <w:rFonts w:eastAsia="Amiri" w:cs="Amiri" w:ascii="Amiri" w:hAnsi="Amiri"/>
          <w:color w:val="111111"/>
          <w:sz w:val="28"/>
          <w:szCs w:val="28"/>
          <w:rtl w:val="true"/>
          <w:lang w:bidi="ar-SA"/>
        </w:rPr>
        <w:t>.</w:t>
      </w:r>
      <w:r>
        <w:rPr>
          <w:rStyle w:val="FootnoteAnchor"/>
          <w:rtl w:val="true"/>
        </w:rPr>
        <w:footnoteReference w:id="99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الوصاية و النيابة لذلك الفقيه مما </w:t>
      </w:r>
      <w:r>
        <w:rPr>
          <w:rStyle w:val="FootnoteAnchor"/>
          <w:rtl w:val="true"/>
        </w:rPr>
        <w:footnoteReference w:id="994"/>
      </w:r>
      <w:r>
        <w:rPr>
          <w:rFonts w:ascii="Amiri" w:hAnsi="Amiri" w:eastAsia="Amiri" w:cs="Amiri"/>
          <w:color w:val="111111"/>
          <w:sz w:val="28"/>
          <w:sz w:val="28"/>
          <w:szCs w:val="28"/>
          <w:rtl w:val="true"/>
          <w:lang w:bidi="ar-SA"/>
        </w:rPr>
        <w:t>لا يحوم حوله شك و لا ارتياب فثبت وجه الحصر فيه</w:t>
      </w:r>
      <w:r>
        <w:rPr>
          <w:rFonts w:eastAsia="Amiri" w:cs="Amiri" w:ascii="Amiri" w:hAnsi="Amiri"/>
          <w:color w:val="111111"/>
          <w:sz w:val="28"/>
          <w:szCs w:val="28"/>
          <w:rtl w:val="true"/>
          <w:lang w:bidi="ar-SA"/>
        </w:rPr>
        <w:t xml:space="preserve">. . </w:t>
      </w:r>
      <w:bookmarkStart w:id="77" w:name="pg2523_39741"/>
    </w:p>
    <w:p>
      <w:pPr>
        <w:pStyle w:val="Heading3"/>
        <w:numPr>
          <w:ilvl w:val="2"/>
          <w:numId w:val="1"/>
        </w:numPr>
        <w:rPr/>
      </w:pPr>
      <w:bookmarkStart w:id="78" w:name="__RefHeading___Toc4264856_3804643083"/>
      <w:bookmarkStart w:id="79" w:name="_Toc26"/>
      <w:bookmarkEnd w:id="77"/>
      <w:bookmarkEnd w:id="78"/>
      <w:r>
        <w:rPr>
          <w:rtl w:val="true"/>
        </w:rPr>
        <w:t>[</w:t>
      </w:r>
      <w:r>
        <w:rPr>
          <w:rtl w:val="true"/>
        </w:rPr>
        <w:t>بيان حال التفقه في هذا الزمان</w:t>
      </w:r>
      <w:r>
        <w:rPr>
          <w:rtl w:val="true"/>
        </w:rPr>
        <w:t>]</w:t>
      </w:r>
      <w:bookmarkEnd w:id="79"/>
    </w:p>
    <w:p>
      <w:pPr>
        <w:pStyle w:val="Heading4"/>
        <w:numPr>
          <w:ilvl w:val="3"/>
          <w:numId w:val="1"/>
        </w:numPr>
        <w:rPr/>
      </w:pPr>
      <w:bookmarkStart w:id="80" w:name="__RefHeading___Toc4264858_3804643083"/>
      <w:bookmarkStart w:id="81" w:name="_Toc27"/>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إذا تقرر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لك أن هذا المنصب الجليل، والدخول في زمرة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قد سهل في هذه الأوقات و الأحيان، حتى أنه صار أيسر مما تقدمه من الأزمان ، كأوائل الغيبة الكبرى و زمان </w:t>
      </w:r>
      <w:r>
        <w:rPr>
          <w:rStyle w:val="FootnoteAnchor"/>
          <w:rtl w:val="true"/>
        </w:rPr>
        <w:footnoteReference w:id="996"/>
      </w:r>
      <w:r>
        <w:rPr>
          <w:rFonts w:ascii="IRNazanin" w:hAnsi="IRNazanin" w:eastAsia="IRNazanin"/>
          <w:color w:val="111111"/>
          <w:sz w:val="28"/>
          <w:sz w:val="28"/>
          <w:szCs w:val="28"/>
          <w:rtl w:val="true"/>
          <w:lang w:bidi="fa-IR"/>
        </w:rPr>
        <w:t>انقطاع السفراء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فالفقيه في هذه الأعصار متمكن من الاطلاع على أضعاف ما كان مطلعا عليه كل واحد من المحدثين في تلك الأزمان، و كفاك شاهدًا ما قيل إن الكليني لم يتفق له تأليف جامعه الكافي إلا في مدة عشرين سنة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علمائنا المتقدمين و فضلاءنا المتأخرين قد كفونا مؤونة أكثر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لنا الأخبار من كل الجهات، و ألفوها بعد تفرق وشتات و بذلوا جهدهم في تحقيق أحوالها، و صرفوا كدهم في البحث عن رجالها ورواتها، وشعبوا طرق الاستدلال في إنتاجها، و بينوا وجوه الجمع في استخراجها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الاطلاع على ما قرروه و الفكر فيما ألفوه و حرروه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تقاعد الناس عن هذا الشأن، و عكفوا على خراب ذلك البنيان، و غرقت نفوسهم عن تلك المراتب، و تقاعدوا عن الظفر بتلك المناصب، فانتهى الأمر إلى انسداد باب الصراط المصطفوي، وقطع ذلك </w:t>
      </w:r>
    </w:p>
    <w:p>
      <w:pPr>
        <w:pStyle w:val="BookText"/>
        <w:rPr/>
      </w:pPr>
      <w:r>
        <w:rPr>
          <w:rFonts w:ascii="Amiri" w:hAnsi="Amiri" w:eastAsia="Amiri" w:cs="Amiri"/>
          <w:color w:val="111111"/>
          <w:sz w:val="28"/>
          <w:sz w:val="28"/>
          <w:szCs w:val="28"/>
          <w:rtl w:val="true"/>
          <w:lang w:bidi="ar-SA"/>
        </w:rPr>
        <w:t>الطريق المرتضوي، فأنت إذا فتشت عن الفقيه في هذه الأعصار رأيته مقلدًا لا لم له بالأخبار، فلا تسمع منه إلا قال فلان و قال فلان، من غير استمساك بحجة و 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تابع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المنع من تقليد الميت بعد أن بالغ في تسهيل أمر الاجتهاد، مشنعًا على من قال بجواز تقليد الموتى من علماء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أوجب لمعتقدي جواز ذلك هذه الحيرة و نزول هذه البلية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هو تقاعدهم عن تحصيل الحق، و فتور عزيمتهم، و انحطاط نفوسهم عن الغيرة على أصول الدين و تحصيل مدارك </w:t>
      </w:r>
      <w:r>
        <w:rPr>
          <w:rStyle w:val="FootnoteAnchor"/>
          <w:rtl w:val="true"/>
        </w:rPr>
        <w:footnoteReference w:id="999"/>
      </w:r>
      <w:r>
        <w:rPr>
          <w:rFonts w:ascii="Amiri" w:hAnsi="Amiri" w:eastAsia="Amiri" w:cs="Amiri"/>
          <w:color w:val="111111"/>
          <w:sz w:val="28"/>
          <w:sz w:val="28"/>
          <w:szCs w:val="28"/>
          <w:rtl w:val="true"/>
          <w:lang w:bidi="ar-SA"/>
        </w:rPr>
        <w:t xml:space="preserve">اليقين، حتى آل الحال إلى أن انتقض هذا البناء </w:t>
      </w:r>
      <w:r>
        <w:rPr>
          <w:rStyle w:val="FootnoteAnchor"/>
          <w:rtl w:val="true"/>
        </w:rPr>
        <w:footnoteReference w:id="1000"/>
      </w:r>
      <w:r>
        <w:rPr>
          <w:rFonts w:ascii="Amiri" w:hAnsi="Amiri" w:eastAsia="Amiri" w:cs="Amiri"/>
          <w:color w:val="111111"/>
          <w:sz w:val="28"/>
          <w:sz w:val="28"/>
          <w:szCs w:val="28"/>
          <w:rtl w:val="true"/>
          <w:lang w:bidi="ar-SA"/>
        </w:rPr>
        <w:t xml:space="preserve">المبني، و انسد هذا الطريق النبوي </w:t>
      </w:r>
      <w:r>
        <w:rPr>
          <w:rStyle w:val="FootnoteAnchor"/>
          <w:rtl w:val="true"/>
        </w:rPr>
        <w:footnoteReference w:id="1001"/>
      </w:r>
      <w:r>
        <w:rPr>
          <w:rFonts w:ascii="Amiri" w:hAnsi="Amiri" w:eastAsia="Amiri" w:cs="Amiri"/>
          <w:color w:val="111111"/>
          <w:sz w:val="28"/>
          <w:sz w:val="28"/>
          <w:szCs w:val="28"/>
          <w:rtl w:val="true"/>
          <w:lang w:bidi="ar-SA"/>
        </w:rPr>
        <w:t xml:space="preserve">، و اندرست معالم هذا الشأن بين أهل الإيمان، وصار </w:t>
      </w:r>
      <w:r>
        <w:rPr>
          <w:rStyle w:val="FootnoteAnchor"/>
          <w:rtl w:val="true"/>
        </w:rPr>
        <w:footnoteReference w:id="1002"/>
      </w:r>
      <w:r>
        <w:rPr>
          <w:rFonts w:ascii="Amiri" w:hAnsi="Amiri" w:eastAsia="Amiri" w:cs="Amiri"/>
          <w:color w:val="111111"/>
          <w:sz w:val="28"/>
          <w:sz w:val="28"/>
          <w:szCs w:val="28"/>
          <w:rtl w:val="true"/>
          <w:lang w:bidi="ar-SA"/>
        </w:rPr>
        <w:t>كل من قرأ الشرائع أو بعضها أو ما زاد عليها يجلس في زماننا و يتصدر و يفتي الناس في الأحكام و الأموال و الفروج و المواريث و الدماء و لا يعلم أن ذلك غير معروف في مذهبنا، و لا يذهب إليه أحد من علمائنا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كلام طويناه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أقعدهم عن ذلك إلا ضعف هممهم،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اعتقادهم أنه لا يتحقق المجتهد إلا إذا كان مثل العلامة و الشيخ نجم الدين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ضارعهم، و لم يدروا أنه على مراتب لا تتناهى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القلوب المستنطقة </w:t>
      </w:r>
      <w:r>
        <w:rPr>
          <w:rStyle w:val="FootnoteAnchor"/>
          <w:rtl w:val="true"/>
        </w:rPr>
        <w:footnoteReference w:id="1004"/>
      </w:r>
      <w:r>
        <w:rPr>
          <w:rFonts w:ascii="Amiri" w:hAnsi="Amiri" w:eastAsia="Amiri" w:cs="Amiri"/>
          <w:color w:val="111111"/>
          <w:sz w:val="28"/>
          <w:sz w:val="28"/>
          <w:szCs w:val="28"/>
          <w:rtl w:val="true"/>
          <w:lang w:bidi="ar-SA"/>
        </w:rPr>
        <w:t xml:space="preserve">و الألباب المتهيئة </w:t>
      </w:r>
      <w:r>
        <w:rPr>
          <w:rStyle w:val="FootnoteAnchor"/>
          <w:rtl w:val="true"/>
        </w:rPr>
        <w:footnoteReference w:id="1005"/>
      </w:r>
      <w:r>
        <w:rPr>
          <w:rFonts w:ascii="IRNazanin" w:hAnsi="IRNazanin" w:eastAsia="IRNazanin"/>
          <w:color w:val="111111"/>
          <w:sz w:val="28"/>
          <w:sz w:val="28"/>
          <w:szCs w:val="28"/>
          <w:rtl w:val="true"/>
          <w:lang w:bidi="fa-IR"/>
        </w:rPr>
        <w:t xml:space="preserve">و النفوس </w:t>
      </w:r>
      <w:r>
        <w:rPr>
          <w:rStyle w:val="FootnoteAnchor"/>
          <w:rtl w:val="true"/>
        </w:rPr>
        <w:footnoteReference w:id="1006"/>
      </w:r>
      <w:r>
        <w:rPr>
          <w:rFonts w:ascii="Amiri" w:hAnsi="Amiri" w:eastAsia="Amiri" w:cs="Amiri"/>
          <w:color w:val="111111"/>
          <w:sz w:val="28"/>
          <w:sz w:val="28"/>
          <w:szCs w:val="28"/>
          <w:rtl w:val="true"/>
          <w:lang w:bidi="ar-SA"/>
        </w:rPr>
        <w:t xml:space="preserve">المتوجهة،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الهمم العالية</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 لتنوح على هذه المصيبة، و تكثر العويل على هذه الرزية </w:t>
      </w:r>
      <w:r>
        <w:rPr>
          <w:rStyle w:val="FootnoteAnchor"/>
          <w:rtl w:val="true"/>
        </w:rPr>
        <w:footnoteReference w:id="1008"/>
      </w:r>
      <w:r>
        <w:rPr>
          <w:rFonts w:ascii="Amiri" w:hAnsi="Amiri" w:eastAsia="Amiri" w:cs="Amiri"/>
          <w:color w:val="111111"/>
          <w:sz w:val="28"/>
          <w:sz w:val="28"/>
          <w:szCs w:val="28"/>
          <w:rtl w:val="true"/>
          <w:lang w:bidi="ar-SA"/>
        </w:rPr>
        <w:t xml:space="preserve">التي لا يلحظها إلا المتقون، فإنا لله وإنا إليه راجعون، فمن هنا </w:t>
      </w:r>
      <w:r>
        <w:rPr>
          <w:rStyle w:val="FootnoteAnchor"/>
          <w:rtl w:val="true"/>
        </w:rPr>
        <w:footnoteReference w:id="1009"/>
      </w:r>
      <w:r>
        <w:rPr>
          <w:rFonts w:ascii="Amiri" w:hAnsi="Amiri" w:eastAsia="Amiri" w:cs="Amiri"/>
          <w:color w:val="111111"/>
          <w:sz w:val="28"/>
          <w:sz w:val="28"/>
          <w:szCs w:val="28"/>
          <w:rtl w:val="true"/>
          <w:lang w:bidi="ar-SA"/>
        </w:rPr>
        <w:t>اندرست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أوجب </w:t>
      </w:r>
      <w:r>
        <w:rPr>
          <w:rStyle w:val="FootnoteAnchor"/>
          <w:rtl w:val="true"/>
        </w:rPr>
        <w:footnoteReference w:id="1010"/>
      </w:r>
      <w:r>
        <w:rPr>
          <w:rFonts w:ascii="Amiri" w:hAnsi="Amiri" w:eastAsia="Amiri" w:cs="Amiri"/>
          <w:color w:val="111111"/>
          <w:sz w:val="28"/>
          <w:sz w:val="28"/>
          <w:szCs w:val="28"/>
          <w:rtl w:val="true"/>
          <w:lang w:bidi="ar-SA"/>
        </w:rPr>
        <w:t>هذه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التقوى، فكيف لا تتوجه المؤاخذة، و نستحق نزول هذه </w:t>
      </w:r>
      <w:r>
        <w:rPr>
          <w:rStyle w:val="FootnoteAnchor"/>
          <w:rtl w:val="true"/>
        </w:rPr>
        <w:footnoteReference w:id="1011"/>
      </w:r>
      <w:r>
        <w:rPr>
          <w:rFonts w:ascii="Amiri" w:hAnsi="Amiri" w:eastAsia="Amiri" w:cs="Amiri"/>
          <w:color w:val="111111"/>
          <w:sz w:val="28"/>
          <w:sz w:val="28"/>
          <w:szCs w:val="28"/>
          <w:rtl w:val="true"/>
          <w:lang w:bidi="ar-SA"/>
        </w:rPr>
        <w:t>البلية إن لم يتداركنا الله بفضله و رحمته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أعظم من هذا 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يتداوله كثير من أهل العلم، حيث يصرفون عمرهم و يقضون دهرهم على تحصيل علوم الحكمة </w:t>
      </w:r>
      <w:r>
        <w:rPr>
          <w:rStyle w:val="FootnoteAnchor"/>
          <w:rtl w:val="true"/>
        </w:rPr>
        <w:footnoteReference w:id="1012"/>
      </w:r>
      <w:r>
        <w:rPr>
          <w:rFonts w:ascii="IRNazanin" w:hAnsi="IRNazanin" w:eastAsia="IRNazanin"/>
          <w:color w:val="111111"/>
          <w:sz w:val="28"/>
          <w:sz w:val="28"/>
          <w:szCs w:val="28"/>
          <w:rtl w:val="true"/>
          <w:lang w:bidi="fa-IR"/>
        </w:rPr>
        <w:t>و المنطق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الفلسفة و غيرها مما يحرم لذاته، أو لمنافاته الواجب على وجه لو صرفوا منه جزء على تحصيل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الذي يسألهم الله عنه سؤالاً حثيثا لحصلوا ما يجب عليهم من علم الدين، و هم </w:t>
      </w:r>
      <w:r>
        <w:rPr>
          <w:rStyle w:val="FootnoteAnchor"/>
          <w:rtl w:val="true"/>
        </w:rPr>
        <w:footnoteReference w:id="1014"/>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عظم الخطب جماعة إلى الضد مما اعتبرناه، فجعلوه في هذه الأزمان كالصعود إلى السماء، أو كنقط المصحف للأعمى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وهم فاسد و خیال کاسد، منشأه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Style w:val="FootnoteAnchor"/>
          <w:rtl w:val="true"/>
        </w:rPr>
        <w:footnoteReference w:id="1017"/>
      </w:r>
      <w:r>
        <w:rPr>
          <w:rFonts w:ascii="Amiri" w:hAnsi="Amiri" w:eastAsia="Amiri" w:cs="Amiri"/>
          <w:color w:val="111111"/>
          <w:sz w:val="28"/>
          <w:sz w:val="28"/>
          <w:szCs w:val="28"/>
          <w:rtl w:val="true"/>
          <w:lang w:bidi="ar-SA"/>
        </w:rPr>
        <w:t xml:space="preserve">المعاشرة لأهل الكمال، و التقاعد عن المراجعة لطرق الاستدلال، و قلة الممارسة لمدارك الأحكام، و عدم الوقوف على ما قرر في شرائع الإسلام، و عدم الظفر الوافي من الوسائل </w:t>
      </w:r>
      <w:r>
        <w:rPr>
          <w:rStyle w:val="FootnoteAnchor"/>
          <w:rtl w:val="true"/>
        </w:rPr>
        <w:footnoteReference w:id="1018"/>
      </w:r>
      <w:r>
        <w:rPr>
          <w:rFonts w:ascii="Amiri" w:hAnsi="Amiri" w:eastAsia="Amiri" w:cs="Amiri"/>
          <w:color w:val="111111"/>
          <w:sz w:val="28"/>
          <w:sz w:val="28"/>
          <w:szCs w:val="28"/>
          <w:rtl w:val="true"/>
          <w:lang w:bidi="ar-SA"/>
        </w:rPr>
        <w:t>الشرعية، و عدم استخراج تلك الدرر من بحار علومهم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العلامة أبو الحسن سليمان بن عبد الله البحراني في كتاب العشرة الكاملة بعد نقل القولين المذكورين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القولين على طرفي نقيض في </w:t>
      </w:r>
      <w:r>
        <w:rPr>
          <w:rStyle w:val="FootnoteAnchor"/>
          <w:rtl w:val="true"/>
        </w:rPr>
        <w:footnoteReference w:id="1019"/>
      </w:r>
      <w:r>
        <w:rPr>
          <w:rFonts w:ascii="Amiri" w:hAnsi="Amiri" w:eastAsia="Amiri" w:cs="Amiri"/>
          <w:color w:val="111111"/>
          <w:sz w:val="28"/>
          <w:sz w:val="28"/>
          <w:szCs w:val="28"/>
          <w:rtl w:val="true"/>
          <w:lang w:bidi="ar-SA"/>
        </w:rPr>
        <w:t>الإفراط والتفريط، وأنن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الاجتهاد المطلق نادر الوقوع قليل التحقيق يحتاج تحصيله </w:t>
      </w:r>
      <w:r>
        <w:rPr>
          <w:rStyle w:val="FootnoteAnchor"/>
          <w:rtl w:val="true"/>
        </w:rPr>
        <w:footnoteReference w:id="1020"/>
      </w:r>
      <w:r>
        <w:rPr>
          <w:rFonts w:ascii="Amiri" w:hAnsi="Amiri" w:eastAsia="Amiri" w:cs="Amiri"/>
          <w:color w:val="111111"/>
          <w:sz w:val="28"/>
          <w:sz w:val="28"/>
          <w:szCs w:val="28"/>
          <w:rtl w:val="true"/>
          <w:lang w:bidi="ar-SA"/>
        </w:rPr>
        <w:t xml:space="preserve">إلى استغراق أكثر العمر غالبًا في الطلب، و ليس هو من السهولة التي ذكرها الشهيد الثاني </w:t>
      </w:r>
      <w:r>
        <w:rPr>
          <w:rStyle w:val="FootnoteAnchor"/>
          <w:rtl w:val="true"/>
        </w:rPr>
        <w:footnoteReference w:id="1021"/>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التعلّق بأن السلف كفونا مؤنته ضعيف؛ فإنهم مختلفون في الفتوى جدا بحسب </w:t>
      </w:r>
      <w:r>
        <w:rPr>
          <w:rStyle w:val="FootnoteAnchor"/>
          <w:rtl w:val="true"/>
        </w:rPr>
        <w:footnoteReference w:id="1022"/>
      </w:r>
      <w:r>
        <w:rPr>
          <w:rFonts w:ascii="IRNazanin" w:hAnsi="IRNazanin" w:eastAsia="IRNazanin"/>
          <w:color w:val="111111"/>
          <w:sz w:val="28"/>
          <w:sz w:val="28"/>
          <w:szCs w:val="28"/>
          <w:rtl w:val="true"/>
          <w:lang w:bidi="fa-IR"/>
        </w:rPr>
        <w:t xml:space="preserve">اختلاف أفهامهم و أنظارهم، </w:t>
      </w:r>
      <w:r>
        <w:rPr>
          <w:rStyle w:val="FootnoteAnchor"/>
          <w:rtl w:val="true"/>
        </w:rPr>
        <w:footnoteReference w:id="1023"/>
      </w:r>
      <w:r>
        <w:rPr>
          <w:rFonts w:ascii="Amiri" w:hAnsi="Amiri" w:eastAsia="Amiri" w:cs="Amiri"/>
          <w:color w:val="111111"/>
          <w:sz w:val="28"/>
          <w:sz w:val="28"/>
          <w:szCs w:val="28"/>
          <w:rtl w:val="true"/>
          <w:lang w:bidi="ar-SA"/>
        </w:rPr>
        <w:t>و مع هذا فهم غير منكوري الفضل على من تأخر عنهم، فقد قربوا البعيد، و يسّروا القريب، و جمعوا الشتات، و ألّفوا الروايات،شكر الله سعيهم، و والى من حياض شرب الكوثر سقيهم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التجزؤ، فهو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024"/>
      </w:r>
      <w:r>
        <w:rPr>
          <w:rFonts w:ascii="Amiri" w:hAnsi="Amiri" w:eastAsia="Amiri" w:cs="Amiri"/>
          <w:color w:val="111111"/>
          <w:sz w:val="28"/>
          <w:sz w:val="28"/>
          <w:szCs w:val="28"/>
          <w:rtl w:val="true"/>
          <w:lang w:bidi="ar-SA"/>
        </w:rPr>
        <w:t>الأفراد، منتشر الأعداد، و هو على مراتب غير متناهية، كما أشار إليه شيخنا الشهيد الثاني، متفاوت في القرب من المطلق و البعد منه على قدر تفاوت القوى الاستدلالية شدةً و ضعفًا وزيادة ونقصانا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في الفردوس أقدامه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أن كلام هذا الفاضل الجليل و ما جنح إليه من التفصيل متجه بالنسبة إلى ما قرروه من الاجتهاد، وخليق فيما اعتبروه من القواعد الخارجة عن كلام أئمتنا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الأمجاد ؛ إخلادًا إلى شبهات العامة، وغفلة عما يترتب عليها من المفاسد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إلا فعلى ما حققنا فيما تقدم من حال ذلك الفقيه، وما ذكرنا من الشرائط الذي يدركها من الأخبار العالم النبيه، وهو أن النائب عنهم علیهم السلام من روى أخبارهم و اقتص آثارهم، ورجّع الآيات القرآنية تفسيرًا و تأويلا إلى تلك الأخبار، و لم يصغ سمعه إلى قول مفسر أخذ بالاعتبار، ورد المتشابه إلى المحكم الأمتن، و المجمل إلى المبين، و العام إلى الخاص، و الناسخ إلى المنسوخ، و نحو ذلك من الإحاطة بطرق الجمع،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الذي لا تعلق لنظره بسوى ما يتعلق بالأخبار،حيث جعلها العماد في أحكامه و 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Style w:val="FootnoteAnchor"/>
          <w:rtl w:val="true"/>
        </w:rPr>
        <w:footnoteReference w:id="102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w:t>
      </w:r>
      <w:r>
        <w:rPr>
          <w:rStyle w:val="FootnoteAnchor"/>
          <w:rtl w:val="true"/>
        </w:rPr>
        <w:footnoteReference w:id="1028"/>
      </w:r>
      <w:r>
        <w:rPr>
          <w:rFonts w:ascii="Amiri" w:hAnsi="Amiri" w:eastAsia="Amiri" w:cs="Amiri"/>
          <w:color w:val="111111"/>
          <w:sz w:val="28"/>
          <w:sz w:val="28"/>
          <w:szCs w:val="28"/>
          <w:rtl w:val="true"/>
          <w:lang w:bidi="ar-SA"/>
        </w:rPr>
        <w:t xml:space="preserve">سهل بعد وجود تلك الأصول التي عليها مدارهم في هذه الأعصار، كالكافي، ومن لا يحضره الفقيه، و التهذيب، والاستبصار،و الوافي، والوسائل </w:t>
      </w:r>
      <w:r>
        <w:rPr>
          <w:rStyle w:val="FootnoteAnchor"/>
          <w:rtl w:val="true"/>
        </w:rPr>
        <w:footnoteReference w:id="1029"/>
      </w:r>
      <w:r>
        <w:rPr>
          <w:rFonts w:ascii="Amiri" w:hAnsi="Amiri" w:eastAsia="Amiri" w:cs="Amiri"/>
          <w:color w:val="111111"/>
          <w:sz w:val="28"/>
          <w:sz w:val="28"/>
          <w:szCs w:val="28"/>
          <w:rtl w:val="true"/>
          <w:lang w:bidi="ar-SA"/>
        </w:rPr>
        <w:t xml:space="preserve">العاملية، والبحار؛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سعيهم فيما جمعوا و ألفوا وقرظوا مسامع من كان بعدهم و شنفوا – قد سهلت بهم الطريق، و بهم خرجوا من ذلك المضيق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فالتفقه </w:t>
      </w:r>
      <w:r>
        <w:rPr>
          <w:rStyle w:val="FootnoteAnchor"/>
          <w:rtl w:val="true"/>
        </w:rPr>
        <w:footnoteReference w:id="1030"/>
      </w:r>
      <w:r>
        <w:rPr>
          <w:rFonts w:ascii="Amiri" w:hAnsi="Amiri" w:eastAsia="Amiri" w:cs="Amiri"/>
          <w:color w:val="111111"/>
          <w:sz w:val="28"/>
          <w:sz w:val="28"/>
          <w:szCs w:val="28"/>
          <w:rtl w:val="true"/>
          <w:lang w:bidi="ar-SA"/>
        </w:rPr>
        <w:t>في زماننا لمن أدركته العناية الإلهية وانبجست عليه تلك الأنوار القدسية سهل المأخذ والتناول، إلا لمن حجبته ذنوبه و غالته دون ذلك الغوائل، فكم رجل له ربط بالأخبار جيد الفهم فيها و إن لم يكنة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ذلك الفضل، ولا قوة مجادلة تلك الأفاضل، بل كثيرًا ما يفهم الإنسان حكم المسألة من أدلتها، و إن لم يتمكن من إثباته لو جادله خصمه، و ذلك باهتدائه إلى الحق من ربه؛ حيث توجه إلى تحصيله بقصد القربة اليه سبحانه، لا لغرض من الأغراض الباطلة ولغاية من تلك الغايات العاطلة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المستفيض عنهم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بِكَثرَةِ التَّعَلُّم، وَ إِنَّما هُوَ نُوْرٌ يَقْذِفُهُ اللهُ في قَلْبِ مَنْ يُرِيدُ</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 و عنه تنشق تلك الملكة المشار </w:t>
      </w:r>
      <w:r>
        <w:rPr>
          <w:rStyle w:val="FootnoteAnchor"/>
          <w:rtl w:val="true"/>
        </w:rPr>
        <w:footnoteReference w:id="1032"/>
      </w:r>
      <w:r>
        <w:rPr>
          <w:rFonts w:ascii="Amiri" w:hAnsi="Amiri" w:eastAsia="Amiri" w:cs="Amiri"/>
          <w:color w:val="111111"/>
          <w:sz w:val="28"/>
          <w:sz w:val="28"/>
          <w:szCs w:val="28"/>
          <w:rtl w:val="true"/>
          <w:lang w:bidi="ar-SA"/>
        </w:rPr>
        <w:t>اليها، و هي العمدة في تلك الرتبة التي اعتمدنا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المجتهد المطلق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الظاهر عند ذوي الأذهان أنه لا وجود له في الأعيان، و ذلك لما علم من السنة و القرآن أنه ما من واقعة إلا فيها خطاب شرعي، و لا قضية إلا و فيها حكم قطعي، وأن كثيرًا من ذلك بقي في زوايا الخفاء عند أهل العباء، لسنا مكلفين حتى ينتهي إلينا </w:t>
      </w:r>
      <w:r>
        <w:rPr>
          <w:rStyle w:val="FootnoteAnchor"/>
          <w:rtl w:val="true"/>
        </w:rPr>
        <w:footnoteReference w:id="1033"/>
      </w:r>
      <w:r>
        <w:rPr>
          <w:rFonts w:ascii="Amiri" w:hAnsi="Amiri" w:eastAsia="Amiri" w:cs="Amiri"/>
          <w:color w:val="111111"/>
          <w:sz w:val="28"/>
          <w:sz w:val="28"/>
          <w:szCs w:val="28"/>
          <w:rtl w:val="true"/>
          <w:lang w:bidi="ar-SA"/>
        </w:rPr>
        <w:t xml:space="preserve">خطابها و ينفتح إلينا بابها، 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يسهل لنا تلك المطالب، وأن يزيل عنا ذلك المانع والحاجب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إذا لاحظت هذه المقامات الثلاثة انكشف لك المطلوب من السؤال، و تبين لك حقيقة الأمر والحال، وهو أن هذه الرتبة لا تجوز لمن أخذ</w:t>
      </w:r>
      <w:r>
        <w:rPr>
          <w:rFonts w:eastAsia="Amiri" w:cs="Amiri" w:ascii="Amiri" w:hAnsi="Amiri"/>
          <w:color w:val="111111"/>
          <w:sz w:val="28"/>
          <w:szCs w:val="28"/>
          <w:rtl w:val="true"/>
          <w:lang w:bidi="ar-SA"/>
        </w:rPr>
        <w:t xml:space="preserve">). </w:t>
      </w:r>
      <w:bookmarkStart w:id="82" w:name="pg2523_39748"/>
    </w:p>
    <w:p>
      <w:pPr>
        <w:pStyle w:val="BookText"/>
        <w:rPr/>
      </w:pPr>
      <w:bookmarkEnd w:id="82"/>
      <w:r>
        <w:rPr>
          <w:rFonts w:ascii="Amiri" w:hAnsi="Amiri" w:eastAsia="Amiri" w:cs="Amiri"/>
          <w:color w:val="111111"/>
          <w:sz w:val="28"/>
          <w:sz w:val="28"/>
          <w:szCs w:val="28"/>
          <w:rtl w:val="true"/>
          <w:lang w:bidi="ar-SA"/>
        </w:rPr>
        <w:t xml:space="preserve">علومه بطريق التقليد و لم يسلك ذلك المنهج </w:t>
      </w:r>
      <w:r>
        <w:rPr>
          <w:rStyle w:val="FootnoteAnchor"/>
          <w:rtl w:val="true"/>
        </w:rPr>
        <w:footnoteReference w:id="1035"/>
      </w:r>
      <w:r>
        <w:rPr>
          <w:rFonts w:ascii="Amiri" w:hAnsi="Amiri" w:eastAsia="Amiri" w:cs="Amiri"/>
          <w:color w:val="111111"/>
          <w:sz w:val="28"/>
          <w:sz w:val="28"/>
          <w:szCs w:val="28"/>
          <w:rtl w:val="true"/>
          <w:lang w:bidi="ar-SA"/>
        </w:rPr>
        <w:t xml:space="preserve">السديد، سواء كان تقليده للأخباريين أو المجتهدين؛ لانحطاطه عن تلك الرتبة و حصول اليقين، و اعتماده على الظنون و التخمين، و لاينفعه اعتماده على مؤلفات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ككتب الكاشي </w:t>
      </w:r>
      <w:r>
        <w:rPr>
          <w:rStyle w:val="FootnoteAnchor"/>
          <w:rtl w:val="true"/>
        </w:rPr>
        <w:footnoteReference w:id="1036"/>
      </w:r>
      <w:r>
        <w:rPr>
          <w:rFonts w:ascii="Amiri" w:hAnsi="Amiri" w:eastAsia="Amiri" w:cs="Amiri"/>
          <w:color w:val="111111"/>
          <w:sz w:val="28"/>
          <w:sz w:val="28"/>
          <w:szCs w:val="28"/>
          <w:rtl w:val="true"/>
          <w:lang w:bidi="ar-SA"/>
        </w:rPr>
        <w:t xml:space="preserve">و مجموعات فاضل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خلوّه عن تلك الملكة التي عليها المدار في الإيراد </w:t>
      </w:r>
      <w:r>
        <w:rPr>
          <w:rStyle w:val="FootnoteAnchor"/>
          <w:rtl w:val="true"/>
        </w:rPr>
        <w:footnoteReference w:id="1037"/>
      </w:r>
      <w:r>
        <w:rPr>
          <w:rFonts w:ascii="IRNazanin" w:hAnsi="IRNazanin" w:eastAsia="IRNazanin"/>
          <w:color w:val="111111"/>
          <w:sz w:val="28"/>
          <w:sz w:val="28"/>
          <w:szCs w:val="28"/>
          <w:rtl w:val="true"/>
          <w:lang w:bidi="fa-IR"/>
        </w:rPr>
        <w:t>و الاصدار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 ما قلناه في ذلك من التحقيق، و تجافَ عن سلوك ذلك الطريق، فليس للعوام سوى تقليد ذلك الإمام علیه السلام ، سواء كان مشافهة أو بوسائط من الثقات والأعلام</w:t>
      </w:r>
      <w:r>
        <w:rPr>
          <w:rFonts w:eastAsia="IRNazanin" w:cs="IRNazanin"/>
          <w:color w:val="111111"/>
          <w:sz w:val="28"/>
          <w:szCs w:val="28"/>
          <w:rtl w:val="true"/>
          <w:lang w:bidi="fa-IR"/>
        </w:rPr>
        <w:t>.</w:t>
      </w:r>
    </w:p>
    <w:p>
      <w:pPr>
        <w:pStyle w:val="Heading4"/>
        <w:numPr>
          <w:ilvl w:val="3"/>
          <w:numId w:val="1"/>
        </w:numPr>
        <w:rPr/>
      </w:pPr>
      <w:bookmarkStart w:id="83" w:name="__RefHeading___Toc4264860_3804643083"/>
      <w:bookmarkStart w:id="84" w:name="_Toc28"/>
      <w:bookmarkEnd w:id="83"/>
      <w:r>
        <w:rPr>
          <w:rtl w:val="true"/>
        </w:rPr>
        <w:t>[</w:t>
      </w:r>
      <w:r>
        <w:rPr>
          <w:rtl w:val="true"/>
        </w:rPr>
        <w:t>في طريق استعلام الفقاهة</w:t>
      </w:r>
      <w:r>
        <w:rPr>
          <w:rtl w:val="true"/>
        </w:rPr>
        <w:t>]</w:t>
      </w:r>
      <w:bookmarkEnd w:id="84"/>
    </w:p>
    <w:p>
      <w:p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لما ثبت أن المرجع في الأحكام هو ذلك الفقيه لا غير، فلابد من طريق توصل إلى استعلامه </w:t>
      </w:r>
      <w:r>
        <w:rPr>
          <w:rStyle w:val="FootnoteAnchor"/>
          <w:rtl w:val="true"/>
        </w:rPr>
        <w:footnoteReference w:id="1038"/>
      </w:r>
      <w:r>
        <w:rPr>
          <w:rFonts w:ascii="Amiri" w:hAnsi="Amiri" w:eastAsia="Amiri" w:cs="Amiri"/>
          <w:color w:val="111111"/>
          <w:sz w:val="28"/>
          <w:sz w:val="28"/>
          <w:szCs w:val="28"/>
          <w:rtl w:val="true"/>
          <w:lang w:bidi="ar-SA"/>
        </w:rPr>
        <w:t>بحيث ترجع إليه أرباب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المعاشرة التامة ممن كان </w:t>
      </w:r>
      <w:r>
        <w:rPr>
          <w:rStyle w:val="FootnoteAnchor"/>
          <w:rtl w:val="true"/>
        </w:rPr>
        <w:footnoteReference w:id="1039"/>
      </w:r>
      <w:r>
        <w:rPr>
          <w:rFonts w:ascii="Amiri" w:hAnsi="Amiri" w:eastAsia="Amiri" w:cs="Amiri"/>
          <w:color w:val="111111"/>
          <w:sz w:val="28"/>
          <w:sz w:val="28"/>
          <w:szCs w:val="28"/>
          <w:rtl w:val="true"/>
          <w:lang w:bidi="ar-SA"/>
        </w:rPr>
        <w:t xml:space="preserve">مثله في العلم والعمل، أو بشهادة عدلين بذلك، أو عرض فتاواه مع فتاوى من تكون له تلك القوة </w:t>
      </w:r>
    </w:p>
    <w:p>
      <w:pPr>
        <w:pStyle w:val="BookText"/>
        <w:rPr/>
      </w:pPr>
      <w:r>
        <w:rPr>
          <w:rFonts w:ascii="Amiri" w:hAnsi="Amiri" w:eastAsia="Amiri" w:cs="Amiri"/>
          <w:color w:val="111111"/>
          <w:sz w:val="28"/>
          <w:sz w:val="28"/>
          <w:szCs w:val="28"/>
          <w:rtl w:val="true"/>
          <w:lang w:bidi="ar-SA"/>
        </w:rPr>
        <w:t xml:space="preserve">القدسية والملكة العلمية </w:t>
      </w:r>
      <w:r>
        <w:rPr>
          <w:rStyle w:val="FootnoteAnchor"/>
          <w:rtl w:val="true"/>
        </w:rPr>
        <w:footnoteReference w:id="1040"/>
      </w:r>
      <w:r>
        <w:rPr>
          <w:rFonts w:ascii="Amiri" w:hAnsi="Amiri" w:eastAsia="Amiri" w:cs="Amiri"/>
          <w:color w:val="111111"/>
          <w:sz w:val="28"/>
          <w:sz w:val="28"/>
          <w:szCs w:val="28"/>
          <w:rtl w:val="true"/>
          <w:lang w:bidi="ar-SA"/>
        </w:rPr>
        <w:t>، أو عمل أهل العلم بأقواله و فتاويه و ركون العارفين من أهل العدالة إلى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لمجتهدي بعض </w:t>
      </w:r>
      <w:r>
        <w:rPr>
          <w:rStyle w:val="FootnoteAnchor"/>
          <w:rtl w:val="true"/>
        </w:rPr>
        <w:footnoteReference w:id="1041"/>
      </w:r>
      <w:r>
        <w:rPr>
          <w:rFonts w:ascii="Amiri" w:hAnsi="Amiri" w:eastAsia="Amiri" w:cs="Amiri"/>
          <w:color w:val="111111"/>
          <w:sz w:val="28"/>
          <w:sz w:val="28"/>
          <w:szCs w:val="28"/>
          <w:rtl w:val="true"/>
          <w:lang w:bidi="ar-SA"/>
        </w:rPr>
        <w:t xml:space="preserve">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برؤيته متصدرًا ناصبًا نفسه للفتوى أو </w:t>
      </w:r>
      <w:r>
        <w:rPr>
          <w:rStyle w:val="FootnoteAnchor"/>
          <w:rtl w:val="true"/>
        </w:rPr>
        <w:footnoteReference w:id="1042"/>
      </w:r>
      <w:r>
        <w:rPr>
          <w:rFonts w:ascii="Amiri" w:hAnsi="Amiri" w:eastAsia="Amiri" w:cs="Amiri"/>
          <w:color w:val="111111"/>
          <w:sz w:val="28"/>
          <w:sz w:val="28"/>
          <w:szCs w:val="28"/>
          <w:rtl w:val="true"/>
          <w:lang w:bidi="ar-SA"/>
        </w:rPr>
        <w:t xml:space="preserve">الحكم و إقبال الناس عليه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من عظم المحنة و الأمر الأكبر و الفتنة، سيما في هذا الزمان الأغير، الذي عز فيه الورع و التقوى، حتى صار كالكبريت الأحمر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متأخري أصحابنا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 بعد أن ذكر 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عبرة بإجماع العوام عليه و لا</w:t>
      </w:r>
      <w:r>
        <w:rPr>
          <w:rStyle w:val="FootnoteAnchor"/>
          <w:rtl w:val="true"/>
        </w:rPr>
        <w:footnoteReference w:id="1045"/>
      </w:r>
      <w:r>
        <w:rPr>
          <w:rFonts w:ascii="Amiri" w:hAnsi="Amiri" w:eastAsia="Amiri" w:cs="Amiri"/>
          <w:color w:val="111111"/>
          <w:sz w:val="28"/>
          <w:sz w:val="28"/>
          <w:szCs w:val="28"/>
          <w:rtl w:val="true"/>
          <w:lang w:bidi="ar-SA"/>
        </w:rPr>
        <w:t>بسؤالهم له؛ فإن مدارهم الاعتماد على الأمور الظاهرية، من ذلاقة اللسان، و عظم الجسمان، و إقبال السلطان، و كونه ابن فلان و أخا فلان، و غير ذلك من الأسباب و الاعتبارات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لا يعتقد عامي في عالم ورع ساكت غير متجر على الفتاوى كونه عالما أصلا، و يجزم بكون رجل جاهل مدع للعلم مفت بكل ما يسأل عنه أنه أعلم أهل زمانه، خصوصًا إن انضمّ إليه رجحان من </w:t>
      </w:r>
      <w:r>
        <w:rPr>
          <w:rStyle w:val="FootnoteAnchor"/>
          <w:rtl w:val="true"/>
        </w:rPr>
        <w:footnoteReference w:id="1046"/>
      </w:r>
      <w:r>
        <w:rPr>
          <w:rFonts w:ascii="Amiri" w:hAnsi="Amiri" w:eastAsia="Amiri" w:cs="Amiri"/>
          <w:color w:val="111111"/>
          <w:sz w:val="28"/>
          <w:sz w:val="28"/>
          <w:szCs w:val="28"/>
          <w:rtl w:val="true"/>
          <w:lang w:bidi="ar-SA"/>
        </w:rPr>
        <w:t>الجهات الدنيوية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ظاهر و مشاهد في كل الأزمنة و جميع كلامه الأمكنة</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شيخنا الأعظم في كتاب الدرر النجفية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تقاعدت الهمم في هذا الزمان عن نصرة الدين المبين، و السعي في إحياء سنة </w:t>
      </w:r>
      <w:r>
        <w:rPr>
          <w:rStyle w:val="FootnoteAnchor"/>
          <w:rtl w:val="true"/>
        </w:rPr>
        <w:footnoteReference w:id="1048"/>
      </w:r>
      <w:r>
        <w:rPr>
          <w:rFonts w:ascii="IRNazanin" w:hAnsi="IRNazanin" w:eastAsia="IRNazanin"/>
          <w:color w:val="111111"/>
          <w:sz w:val="28"/>
          <w:sz w:val="28"/>
          <w:szCs w:val="28"/>
          <w:rtl w:val="true"/>
          <w:lang w:bidi="fa-IR"/>
        </w:rPr>
        <w:t xml:space="preserve">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1049"/>
      </w:r>
      <w:r>
        <w:rPr>
          <w:rFonts w:ascii="Amiri" w:hAnsi="Amiri" w:eastAsia="Amiri" w:cs="Amiri"/>
          <w:color w:val="111111"/>
          <w:sz w:val="28"/>
          <w:sz w:val="28"/>
          <w:szCs w:val="28"/>
          <w:rtl w:val="true"/>
          <w:lang w:bidi="ar-SA"/>
        </w:rPr>
        <w:t xml:space="preserve">، و تحصيل الأحكام على الوجه الذي ذكرناه في هذا </w:t>
      </w:r>
      <w:r>
        <w:rPr>
          <w:rStyle w:val="FootnoteAnchor"/>
          <w:rtl w:val="true"/>
        </w:rPr>
        <w:footnoteReference w:id="1050"/>
      </w:r>
      <w:r>
        <w:rPr>
          <w:rFonts w:ascii="Amiri" w:hAnsi="Amiri" w:eastAsia="Amiri" w:cs="Amiri"/>
          <w:color w:val="111111"/>
          <w:sz w:val="28"/>
          <w:sz w:val="28"/>
          <w:szCs w:val="28"/>
          <w:rtl w:val="true"/>
          <w:lang w:bidi="ar-SA"/>
        </w:rPr>
        <w:t>المقام، أو ذكره من تقدمنا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قنعوا بما قنعت به منهم الجهال في هذا </w:t>
      </w:r>
      <w:r>
        <w:rPr>
          <w:rStyle w:val="FootnoteAnchor"/>
          <w:rtl w:val="true"/>
        </w:rPr>
        <w:footnoteReference w:id="1051"/>
      </w:r>
      <w:r>
        <w:rPr>
          <w:rFonts w:ascii="Amiri" w:hAnsi="Amiri" w:eastAsia="Amiri" w:cs="Amiri"/>
          <w:color w:val="111111"/>
          <w:sz w:val="28"/>
          <w:sz w:val="28"/>
          <w:szCs w:val="28"/>
          <w:rtl w:val="true"/>
          <w:lang w:bidi="ar-SA"/>
        </w:rPr>
        <w:t>المجال، فتصدَّروا</w:t>
      </w:r>
      <w:r>
        <w:rPr>
          <w:rStyle w:val="FootnoteAnchor"/>
          <w:rtl w:val="true"/>
        </w:rPr>
        <w:footnoteReference w:id="1052"/>
      </w:r>
      <w:r>
        <w:rPr>
          <w:rFonts w:ascii="Amiri" w:hAnsi="Amiri" w:eastAsia="Amiri" w:cs="Amiri"/>
          <w:color w:val="111111"/>
          <w:sz w:val="28"/>
          <w:sz w:val="28"/>
          <w:szCs w:val="28"/>
          <w:rtl w:val="true"/>
          <w:lang w:bidi="ar-SA"/>
        </w:rPr>
        <w:t xml:space="preserve">لهذا المنصب النبوي، فأكثروا </w:t>
      </w:r>
      <w:r>
        <w:rPr>
          <w:rStyle w:val="FootnoteAnchor"/>
          <w:rtl w:val="true"/>
        </w:rPr>
        <w:footnoteReference w:id="1053"/>
      </w:r>
      <w:r>
        <w:rPr>
          <w:rFonts w:ascii="Amiri" w:hAnsi="Amiri" w:eastAsia="Amiri" w:cs="Amiri"/>
          <w:color w:val="111111"/>
          <w:sz w:val="28"/>
          <w:sz w:val="28"/>
          <w:szCs w:val="28"/>
          <w:rtl w:val="true"/>
          <w:lang w:bidi="ar-SA"/>
        </w:rPr>
        <w:t xml:space="preserve">من الفتيا </w:t>
      </w:r>
      <w:r>
        <w:rPr>
          <w:rStyle w:val="FootnoteAnchor"/>
          <w:rtl w:val="true"/>
        </w:rPr>
        <w:footnoteReference w:id="1054"/>
      </w:r>
      <w:r>
        <w:rPr>
          <w:rFonts w:ascii="Amiri" w:hAnsi="Amiri" w:eastAsia="Amiri" w:cs="Amiri"/>
          <w:color w:val="111111"/>
          <w:sz w:val="28"/>
          <w:sz w:val="28"/>
          <w:szCs w:val="28"/>
          <w:rtl w:val="true"/>
          <w:lang w:bidi="ar-SA"/>
        </w:rPr>
        <w:t>في الأحكام، و خبطوا خبط عشواء في موارد الحلال والحرام، من غير معرفة لهم في ذلك بدليل، و لا وقوف على نهج السبيل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ورتصدر </w:t>
      </w:r>
      <w:r>
        <w:rPr>
          <w:rStyle w:val="FootnoteAnchor"/>
          <w:rtl w:val="true"/>
        </w:rPr>
        <w:footnoteReference w:id="1055"/>
      </w:r>
      <w:r>
        <w:rPr>
          <w:rFonts w:ascii="Amiri" w:hAnsi="Amiri" w:eastAsia="Amiri" w:cs="Amiri"/>
          <w:color w:val="111111"/>
          <w:sz w:val="28"/>
          <w:sz w:val="28"/>
          <w:szCs w:val="28"/>
          <w:rtl w:val="true"/>
          <w:lang w:bidi="ar-SA"/>
        </w:rPr>
        <w:t xml:space="preserve">للحكومة بين الناس من لم يبن في ذلك على أصل و لا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اَفَأَمِنَ الذِيْنَ مَكَرُوا السَّيِّئَاتِ أَنْ يَخْسِفَ اللهُ بِهِمُ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الْعَذَابُ مِنْ حَيْثُ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فصاروا إذا أوردت </w:t>
      </w:r>
      <w:r>
        <w:rPr>
          <w:rStyle w:val="FootnoteAnchor"/>
          <w:rtl w:val="true"/>
        </w:rPr>
        <w:footnoteReference w:id="1056"/>
      </w:r>
      <w:r>
        <w:rPr>
          <w:rFonts w:ascii="Amiri" w:hAnsi="Amiri" w:eastAsia="Amiri" w:cs="Amiri"/>
          <w:color w:val="111111"/>
          <w:sz w:val="28"/>
          <w:sz w:val="28"/>
          <w:szCs w:val="28"/>
          <w:rtl w:val="true"/>
          <w:lang w:bidi="ar-SA"/>
        </w:rPr>
        <w:t>على أحدهم القضية هيأ لها حشوا من المقال، و أردف الجواب عاجلا بالسؤال من غير معرفة بصواب أو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المتورع منهم الفاضل بزعمه </w:t>
      </w:r>
      <w:r>
        <w:rPr>
          <w:rStyle w:val="FootnoteAnchor"/>
          <w:rtl w:val="true"/>
        </w:rPr>
        <w:footnoteReference w:id="1057"/>
      </w:r>
      <w:r>
        <w:rPr>
          <w:rFonts w:ascii="Amiri" w:hAnsi="Amiri" w:eastAsia="Amiri" w:cs="Amiri"/>
          <w:color w:val="111111"/>
          <w:sz w:val="28"/>
          <w:sz w:val="28"/>
          <w:szCs w:val="28"/>
          <w:rtl w:val="true"/>
          <w:lang w:bidi="ar-SA"/>
        </w:rPr>
        <w:t xml:space="preserve">بين العباد إذا أوردت </w:t>
      </w:r>
      <w:r>
        <w:rPr>
          <w:rStyle w:val="FootnoteAnchor"/>
          <w:rtl w:val="true"/>
        </w:rPr>
        <w:footnoteReference w:id="1058"/>
      </w:r>
      <w:r>
        <w:rPr>
          <w:rFonts w:ascii="Amiri" w:hAnsi="Amiri" w:eastAsia="Amiri" w:cs="Amiri"/>
          <w:color w:val="111111"/>
          <w:sz w:val="28"/>
          <w:sz w:val="28"/>
          <w:szCs w:val="28"/>
          <w:rtl w:val="true"/>
          <w:lang w:bidi="ar-SA"/>
        </w:rPr>
        <w:t xml:space="preserve">عليه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 لها شرح اللمعة أو </w:t>
      </w:r>
      <w:r>
        <w:rPr>
          <w:rStyle w:val="FootnoteAnchor"/>
          <w:rtl w:val="true"/>
        </w:rPr>
        <w:footnoteReference w:id="1059"/>
      </w:r>
      <w:r>
        <w:rPr>
          <w:rFonts w:ascii="Amiri" w:hAnsi="Amiri" w:eastAsia="Amiri" w:cs="Amiri"/>
          <w:color w:val="111111"/>
          <w:sz w:val="28"/>
          <w:sz w:val="28"/>
          <w:szCs w:val="28"/>
          <w:rtl w:val="true"/>
          <w:lang w:bidi="ar-SA"/>
        </w:rPr>
        <w:t xml:space="preserve">المسالك أو أحد </w:t>
      </w:r>
      <w:r>
        <w:rPr>
          <w:rStyle w:val="FootnoteAnchor"/>
          <w:rtl w:val="true"/>
        </w:rPr>
        <w:footnoteReference w:id="1060"/>
      </w:r>
      <w:r>
        <w:rPr>
          <w:rFonts w:ascii="IRNazanin" w:hAnsi="IRNazanin" w:eastAsia="IRNazanin"/>
          <w:color w:val="111111"/>
          <w:sz w:val="28"/>
          <w:sz w:val="28"/>
          <w:szCs w:val="28"/>
          <w:rtl w:val="true"/>
          <w:lang w:bidi="fa-IR"/>
        </w:rPr>
        <w:t xml:space="preserve">شروح الارشاد و اعتمد </w:t>
      </w:r>
      <w:r>
        <w:rPr>
          <w:rStyle w:val="FootnoteAnchor"/>
          <w:rtl w:val="true"/>
        </w:rPr>
        <w:footnoteReference w:id="1061"/>
      </w:r>
      <w:r>
        <w:rPr>
          <w:rFonts w:ascii="Amiri" w:hAnsi="Amiri" w:eastAsia="Amiri" w:cs="Amiri"/>
          <w:color w:val="111111"/>
          <w:sz w:val="28"/>
          <w:sz w:val="28"/>
          <w:szCs w:val="28"/>
          <w:rtl w:val="true"/>
          <w:lang w:bidi="ar-SA"/>
        </w:rPr>
        <w:t xml:space="preserve">الجواب منها، من غير علم بابتنائه على صحة أو فساد، قل </w:t>
      </w:r>
      <w:r>
        <w:rPr>
          <w:rStyle w:val="FootnoteAnchor"/>
          <w:rtl w:val="true"/>
        </w:rPr>
        <w:footnoteReference w:id="1062"/>
      </w:r>
      <w:r>
        <w:rPr>
          <w:rFonts w:ascii="Amiri" w:hAnsi="Amiri" w:eastAsia="Amiri" w:cs="Amiri"/>
          <w:color w:val="111111"/>
          <w:sz w:val="28"/>
          <w:sz w:val="28"/>
          <w:szCs w:val="28"/>
          <w:rtl w:val="true"/>
          <w:lang w:bidi="ar-SA"/>
        </w:rPr>
        <w:t xml:space="preserve">آلله أذن لكم أم على الله تفترون؟ هذا ، مع أن أصحاب تلك الكتب متفقون على المنع من تقليد الأموات كما صرحوا به في كتبهم الأصولية و الفروعية </w:t>
      </w:r>
      <w:r>
        <w:rPr>
          <w:rStyle w:val="FootnoteAnchor"/>
          <w:rtl w:val="true"/>
        </w:rPr>
        <w:footnoteReference w:id="1063"/>
      </w:r>
      <w:r>
        <w:rPr>
          <w:rFonts w:ascii="IRNazanin" w:hAnsi="IRNazanin" w:eastAsia="IRNazanin"/>
          <w:color w:val="111111"/>
          <w:sz w:val="28"/>
          <w:sz w:val="28"/>
          <w:szCs w:val="28"/>
          <w:rtl w:val="true"/>
          <w:lang w:bidi="fa-IR"/>
        </w:rPr>
        <w:t>من مختصرات و مطولات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كلاما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أكثر منه 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بلاد العجم، التي قد آل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ذلك</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إلى الاضمحلال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أعظم البلاء الذي أوجب لها الانعدام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شريعتهم ودينهم </w:t>
      </w:r>
      <w:r>
        <w:rPr>
          <w:rStyle w:val="FootnoteAnchor"/>
          <w:rtl w:val="true"/>
        </w:rPr>
        <w:footnoteReference w:id="1066"/>
      </w:r>
      <w:r>
        <w:rPr>
          <w:rFonts w:ascii="Amiri" w:hAnsi="Amiri" w:eastAsia="Amiri" w:cs="Amiri"/>
          <w:color w:val="111111"/>
          <w:sz w:val="28"/>
          <w:sz w:val="28"/>
          <w:szCs w:val="28"/>
          <w:rtl w:val="true"/>
          <w:lang w:bidi="ar-SA"/>
        </w:rPr>
        <w:t xml:space="preserve">على من نصبه حاكم الجور </w:t>
      </w:r>
      <w:r>
        <w:rPr>
          <w:rStyle w:val="FootnoteAnchor"/>
          <w:rtl w:val="true"/>
        </w:rPr>
        <w:footnoteReference w:id="1067"/>
      </w:r>
      <w:r>
        <w:rPr>
          <w:rFonts w:ascii="Amiri" w:hAnsi="Amiri" w:eastAsia="Amiri" w:cs="Amiri"/>
          <w:color w:val="111111"/>
          <w:sz w:val="28"/>
          <w:sz w:val="28"/>
          <w:szCs w:val="28"/>
          <w:rtl w:val="true"/>
          <w:lang w:bidi="ar-SA"/>
        </w:rPr>
        <w:t xml:space="preserve">من قاض و شيخ إسلام، و جعل بيده أزمة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في </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الحلال والحرام، جريًا على طريقة العوام </w:t>
      </w:r>
      <w:r>
        <w:rPr>
          <w:rStyle w:val="FootnoteAnchor"/>
          <w:rtl w:val="true"/>
        </w:rPr>
        <w:footnoteReference w:id="1069"/>
      </w:r>
      <w:r>
        <w:rPr>
          <w:rFonts w:ascii="Amiri" w:hAnsi="Amiri" w:eastAsia="Amiri" w:cs="Amiri"/>
          <w:color w:val="111111"/>
          <w:sz w:val="28"/>
          <w:sz w:val="28"/>
          <w:szCs w:val="28"/>
          <w:rtl w:val="true"/>
          <w:lang w:bidi="ar-SA"/>
        </w:rPr>
        <w:t xml:space="preserve">، مع ما شاع و ملأ الأصقاع و الأسماع من تكالب جلهم على أخذ الرشا في الأحكام، مضافًا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عليه</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من الجهل الذي لا يخفى على سائر الأنام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الحامل لهم على ذلك</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حب الرياسة الذي هو رأس كل خطيئة، ومفتاح كل رزية </w:t>
      </w:r>
      <w:r>
        <w:rPr>
          <w:rStyle w:val="FootnoteAnchor"/>
          <w:rtl w:val="true"/>
        </w:rPr>
        <w:footnoteReference w:id="1073"/>
      </w:r>
      <w:r>
        <w:rPr>
          <w:rFonts w:ascii="Amiri" w:hAnsi="Amiri" w:eastAsia="Amiri" w:cs="Amiri"/>
          <w:color w:val="111111"/>
          <w:sz w:val="28"/>
          <w:sz w:val="28"/>
          <w:szCs w:val="28"/>
          <w:rtl w:val="true"/>
          <w:lang w:bidi="ar-SA"/>
        </w:rPr>
        <w:t>و بلية، و الطمع في زخارف هذه الدنيا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أصبحوا تضج منهم الأموال و الفروج و الدماء، و تشكو منهم الشريعة </w:t>
      </w:r>
      <w:r>
        <w:rPr>
          <w:rStyle w:val="FootnoteAnchor"/>
          <w:rtl w:val="true"/>
        </w:rPr>
        <w:footnoteReference w:id="1074"/>
      </w:r>
      <w:r>
        <w:rPr>
          <w:rFonts w:ascii="IRNazanin" w:hAnsi="IRNazanin" w:eastAsia="IRNazanin"/>
          <w:color w:val="111111"/>
          <w:sz w:val="28"/>
          <w:sz w:val="28"/>
          <w:szCs w:val="28"/>
          <w:rtl w:val="true"/>
          <w:lang w:bidi="fa-IR"/>
        </w:rPr>
        <w:t>إلى بارئ الأرض و السماء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ترى الجهال عاكفين عليهم عكوفا، و واقفين حولهم و 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أيديهم صفوفا، مع أنه لو عزل أحدهم من هذا المنصب المشؤوم، بل كان</w:t>
      </w:r>
      <w:r>
        <w:rPr>
          <w:rStyle w:val="FootnoteAnchor"/>
          <w:rtl w:val="true"/>
        </w:rPr>
        <w:footnoteReference w:id="1075"/>
      </w:r>
      <w:r>
        <w:rPr>
          <w:rFonts w:ascii="Amiri" w:hAnsi="Amiri" w:eastAsia="Amiri" w:cs="Amiri"/>
          <w:color w:val="111111"/>
          <w:sz w:val="28"/>
          <w:sz w:val="28"/>
          <w:szCs w:val="28"/>
          <w:rtl w:val="true"/>
          <w:lang w:bidi="ar-SA"/>
        </w:rPr>
        <w:t xml:space="preserve">قبل نصبه فيه كما هو ظاهر معلوم، لم تر له ذكرا بين الأنام، ولم تعثر بمن </w:t>
      </w:r>
      <w:r>
        <w:rPr>
          <w:rStyle w:val="FootnoteAnchor"/>
          <w:rtl w:val="true"/>
        </w:rPr>
        <w:footnoteReference w:id="1076"/>
      </w:r>
      <w:r>
        <w:rPr>
          <w:rFonts w:ascii="Amiri" w:hAnsi="Amiri" w:eastAsia="Amiri" w:cs="Amiri"/>
          <w:color w:val="111111"/>
          <w:sz w:val="28"/>
          <w:sz w:val="28"/>
          <w:szCs w:val="28"/>
          <w:rtl w:val="true"/>
          <w:lang w:bidi="ar-SA"/>
        </w:rPr>
        <w:t xml:space="preserve">يقلده في أظهر الظواهر من الأحكام فيا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Style w:val="FootnoteAnchor"/>
          <w:rtl w:val="true"/>
        </w:rPr>
        <w:footnoteReference w:id="1077"/>
      </w:r>
      <w:r>
        <w:rPr>
          <w:rFonts w:ascii="Amiri" w:hAnsi="Amiri" w:eastAsia="Amiri" w:cs="Amiri"/>
          <w:color w:val="111111"/>
          <w:sz w:val="28"/>
          <w:sz w:val="28"/>
          <w:szCs w:val="28"/>
          <w:rtl w:val="true"/>
          <w:lang w:bidi="ar-SA"/>
        </w:rPr>
        <w:t xml:space="preserve">لم تقرع أسماعهم تلك التقريعات القرآنية و الإنذارات المعصومية، ولم تع </w:t>
      </w:r>
      <w:r>
        <w:rPr>
          <w:rStyle w:val="FootnoteAnchor"/>
          <w:rtl w:val="true"/>
        </w:rPr>
        <w:footnoteReference w:id="1078"/>
      </w:r>
      <w:r>
        <w:rPr>
          <w:rFonts w:ascii="Amiri" w:hAnsi="Amiri" w:eastAsia="Amiri" w:cs="Amiri"/>
          <w:color w:val="111111"/>
          <w:sz w:val="28"/>
          <w:sz w:val="28"/>
          <w:szCs w:val="28"/>
          <w:rtl w:val="true"/>
          <w:lang w:bidi="ar-SA"/>
        </w:rPr>
        <w:t xml:space="preserve">أفهامهم تلك التحذيرات القاصمة للظهور ، بل </w:t>
      </w:r>
      <w:r>
        <w:rPr>
          <w:rStyle w:val="FootnoteAnchor"/>
          <w:rtl w:val="true"/>
        </w:rPr>
        <w:footnoteReference w:id="1079"/>
      </w:r>
      <w:r>
        <w:rPr>
          <w:rFonts w:ascii="Amiri" w:hAnsi="Amiri" w:eastAsia="Amiri" w:cs="Amiri"/>
          <w:color w:val="111111"/>
          <w:sz w:val="28"/>
          <w:sz w:val="28"/>
          <w:szCs w:val="28"/>
          <w:rtl w:val="true"/>
          <w:lang w:bidi="ar-SA"/>
        </w:rPr>
        <w:t>إنها لا تَعْمَى الْأَبْصَارُ وَلَكِنْ تَعْمَى الْقُلُوبُ الَّتِي فِي الصُّدُورِ</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في غاية الظهور، حقيق بأن يكتب بالنور على صفحات خدود الحور، لا بالحبر على أوراق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انتزاع ذلك اللطف من بين أظهرهم، و خفاء ذلك النور من بين ديجورهم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شيوع المعاصي والفسوق، و تضييع الواجبات و الحقوق، و تصديق لما وعد به الحكيم في بيان 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 نَأْتِي الْأَرْضَ نَنْقُصُهَا مِنْ أَطْرَافِهَا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ثقة الإسلام في الكافي بسنده عن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يَقْبِضُ الْعِلْمَ </w:t>
      </w:r>
      <w:r>
        <w:rPr>
          <w:rStyle w:val="FootnoteAnchor"/>
          <w:rtl w:val="true"/>
        </w:rPr>
        <w:footnoteReference w:id="1082"/>
      </w:r>
      <w:r>
        <w:rPr>
          <w:rFonts w:ascii="Amiri" w:hAnsi="Amiri" w:eastAsia="Amiri" w:cs="Amiri"/>
          <w:color w:val="111111"/>
          <w:sz w:val="28"/>
          <w:sz w:val="28"/>
          <w:szCs w:val="28"/>
          <w:rtl w:val="true"/>
          <w:lang w:bidi="ar-SA"/>
        </w:rPr>
        <w:t xml:space="preserve">بَعْدَمَا يُبطه </w:t>
      </w:r>
      <w:r>
        <w:rPr>
          <w:rStyle w:val="FootnoteAnchor"/>
          <w:rtl w:val="true"/>
        </w:rPr>
        <w:footnoteReference w:id="1083"/>
      </w:r>
      <w:r>
        <w:rPr>
          <w:rFonts w:ascii="Amiri" w:hAnsi="Amiri" w:eastAsia="Amiri" w:cs="Amiri"/>
          <w:color w:val="111111"/>
          <w:sz w:val="28"/>
          <w:sz w:val="28"/>
          <w:szCs w:val="28"/>
          <w:rtl w:val="true"/>
          <w:lang w:bidi="ar-SA"/>
        </w:rPr>
        <w:t xml:space="preserve">، وَلَكِنْ يَمُوتُ </w:t>
      </w:r>
      <w:r>
        <w:rPr>
          <w:rStyle w:val="FootnoteAnchor"/>
          <w:rtl w:val="true"/>
        </w:rPr>
        <w:footnoteReference w:id="1084"/>
      </w:r>
      <w:r>
        <w:rPr>
          <w:rFonts w:ascii="Amiri" w:hAnsi="Amiri" w:eastAsia="Amiri" w:cs="Amiri"/>
          <w:color w:val="111111"/>
          <w:sz w:val="28"/>
          <w:sz w:val="28"/>
          <w:szCs w:val="28"/>
          <w:rtl w:val="true"/>
          <w:lang w:bidi="ar-SA"/>
        </w:rPr>
        <w:t xml:space="preserve">الْعُلَماءُ </w:t>
      </w:r>
      <w:r>
        <w:rPr>
          <w:rStyle w:val="FootnoteAnchor"/>
          <w:rtl w:val="true"/>
        </w:rPr>
        <w:footnoteReference w:id="1085"/>
      </w:r>
      <w:r>
        <w:rPr>
          <w:rFonts w:ascii="Amiri" w:hAnsi="Amiri" w:eastAsia="Amiri" w:cs="Amiri"/>
          <w:color w:val="111111"/>
          <w:sz w:val="28"/>
          <w:sz w:val="28"/>
          <w:szCs w:val="28"/>
          <w:rtl w:val="true"/>
          <w:lang w:bidi="ar-SA"/>
        </w:rPr>
        <w:t>فَتَلِيْهِمُ الجَفَاةُ، فَيَضِلُّونَ ويُضِلُّونَ</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في أصحَتِهِم بطرق مستفيضة، عن النبي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يَقْبِضُ العَالِمَ انْتِرَاعًا، وَ لَكِنْ يَقْبِضُ العُلَمَاءَ، حَتَّى إِذَا لَمْ يَبْقَ </w:t>
      </w:r>
      <w:r>
        <w:rPr>
          <w:rStyle w:val="FootnoteAnchor"/>
          <w:rtl w:val="true"/>
        </w:rPr>
        <w:footnoteReference w:id="1087"/>
      </w:r>
      <w:r>
        <w:rPr>
          <w:rFonts w:ascii="Amiri" w:hAnsi="Amiri" w:eastAsia="Amiri" w:cs="Amiri"/>
          <w:color w:val="111111"/>
          <w:sz w:val="28"/>
          <w:sz w:val="28"/>
          <w:szCs w:val="28"/>
          <w:rtl w:val="true"/>
          <w:lang w:bidi="ar-SA"/>
        </w:rPr>
        <w:t xml:space="preserve">عَالمِ اتَّخَذَ النَّاسُ رُؤَسَاءَ جُهَّالاً،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فَأَفْتَوا النَّاسَ مِنْ غَيْرِ عِلْمٍ، فَضَلُّوْا وَأَضَلَوْا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فالحمد لله على ظهور الحق المبين، والتباعد عن جوار أهل الظنون و التخمين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 ما آتيتك وكن من الشاكرين، وَاعْبُدْ رَبَّكَ حَتَّى يَأْتِيَكَ الْيَقِينُ</w:t>
      </w:r>
      <w:r>
        <w:rPr>
          <w:rStyle w:val="FootnoteAnchor"/>
          <w:rtl w:val="true"/>
        </w:rPr>
        <w:footnoteReference w:id="1090"/>
      </w:r>
      <w:r>
        <w:rPr>
          <w:rFonts w:ascii="Amiri" w:hAnsi="Amiri" w:eastAsia="Amiri" w:cs="Amiri"/>
          <w:color w:val="111111"/>
          <w:sz w:val="28"/>
          <w:sz w:val="28"/>
          <w:szCs w:val="28"/>
          <w:rtl w:val="true"/>
          <w:lang w:bidi="ar-SA"/>
        </w:rPr>
        <w:t>، والحمد لله رب العالمين، والصلاة و السلام على محمد و 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2523_39756"/>
      <w:bookmarkStart w:id="86" w:name="pg2523_39756"/>
      <w:bookmarkEnd w:id="86"/>
    </w:p>
    <w:p>
      <w:pPr>
        <w:pStyle w:val="Heading2"/>
        <w:numPr>
          <w:ilvl w:val="1"/>
          <w:numId w:val="1"/>
        </w:numPr>
        <w:rPr/>
      </w:pPr>
      <w:bookmarkStart w:id="87" w:name="pg2523_39756"/>
      <w:bookmarkStart w:id="88" w:name="__RefHeading___Toc4264862_3804643083"/>
      <w:bookmarkStart w:id="89" w:name="_Toc29"/>
      <w:bookmarkEnd w:id="87"/>
      <w:bookmarkEnd w:id="88"/>
      <w:r>
        <w:rPr>
          <w:rtl w:val="true"/>
        </w:rPr>
        <w:t xml:space="preserve">المسألة الثالثة </w:t>
      </w:r>
      <w:r>
        <w:rPr>
          <w:rtl w:val="true"/>
        </w:rPr>
        <w:t>: [</w:t>
      </w:r>
      <w:r>
        <w:rPr>
          <w:rtl w:val="true"/>
        </w:rPr>
        <w:t>في بعض أحكام من يصلي خلف من لا يقتدي به</w:t>
      </w:r>
      <w:r>
        <w:rPr>
          <w:rtl w:val="true"/>
        </w:rPr>
        <w:t>]</w:t>
      </w:r>
      <w:bookmarkEnd w:id="89"/>
    </w:p>
    <w:p>
      <w:pPr>
        <w:pStyle w:val="Heading3"/>
        <w:numPr>
          <w:ilvl w:val="2"/>
          <w:numId w:val="1"/>
        </w:numPr>
        <w:rPr/>
      </w:pPr>
      <w:bookmarkStart w:id="90" w:name="__RefHeading___Toc4264864_3804643083"/>
      <w:bookmarkStart w:id="91" w:name="_Toc30"/>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المسألة الثالثة </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أحكام من يصلي خلف من لا يقتدي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يصلي خلف من لا يقتدي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قد ثبت أنه يقرأ لنفسه، فهل هذا مخصوص بمن يصلي خلف المخالف في التقية، أم عام لمن صلى خلف مؤالف فاسق مداراة و مداهنة؟</w:t>
      </w:r>
    </w:p>
    <w:p>
      <w:pPr>
        <w:pStyle w:val="BookText"/>
        <w:rPr/>
      </w:pPr>
      <w:r>
        <w:rPr>
          <w:rFonts w:ascii="Amiri" w:hAnsi="Amiri" w:eastAsia="Amiri" w:cs="Amiri"/>
          <w:color w:val="111111"/>
          <w:sz w:val="28"/>
          <w:sz w:val="28"/>
          <w:szCs w:val="28"/>
          <w:rtl w:val="true"/>
          <w:lang w:bidi="ar-SA"/>
        </w:rPr>
        <w:t>و هل يكون ذلك الحكم ثابتا في الصلاة الجهرية أم لا؟</w:t>
      </w:r>
    </w:p>
    <w:p>
      <w:pPr>
        <w:pStyle w:val="BookText"/>
        <w:rPr/>
      </w:pPr>
      <w:r>
        <w:rPr>
          <w:rFonts w:ascii="Amiri" w:hAnsi="Amiri" w:eastAsia="Amiri" w:cs="Amiri"/>
          <w:color w:val="111111"/>
          <w:sz w:val="28"/>
          <w:sz w:val="28"/>
          <w:szCs w:val="28"/>
          <w:rtl w:val="true"/>
          <w:lang w:bidi="ar-SA"/>
        </w:rPr>
        <w:t>بينوا لنا طريق الإرشاد؛ لتفوزوا في المعاد بجوائز رب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ومنه سبحانه تحصيل الصواب</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264866_3804643083"/>
      <w:bookmarkStart w:id="93" w:name="_Toc31"/>
      <w:bookmarkEnd w:id="92"/>
      <w:r>
        <w:rPr>
          <w:rtl w:val="true"/>
        </w:rPr>
        <w:t>[</w:t>
      </w:r>
      <w:r>
        <w:rPr>
          <w:rtl w:val="true"/>
        </w:rPr>
        <w:t>عموم روايات الاقتداء للفاسق والناصب وشبههما</w:t>
      </w:r>
      <w:r>
        <w:rPr>
          <w:rtl w:val="true"/>
        </w:rPr>
        <w:t>]</w:t>
      </w:r>
      <w:bookmarkEnd w:id="9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كلام الأصحاب في هذا الباب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الفرق في ذلك بين الصلاة خلف الفاسق و سائر النصاب، و إن كانت أكثر عبائرهم معلنة </w:t>
      </w:r>
    </w:p>
    <w:p>
      <w:pPr>
        <w:pStyle w:val="BookText"/>
        <w:rPr/>
      </w:pPr>
      <w:r>
        <w:rPr>
          <w:rFonts w:ascii="Amiri" w:hAnsi="Amiri" w:eastAsia="Amiri" w:cs="Amiri"/>
          <w:color w:val="111111"/>
          <w:sz w:val="28"/>
          <w:sz w:val="28"/>
          <w:szCs w:val="28"/>
          <w:rtl w:val="true"/>
          <w:lang w:bidi="ar-SA"/>
        </w:rPr>
        <w:t>بحكم المخالف وحده، و لكن قد صرح جماعة وأطلق آخرون، و كلاهما مؤذنان بالمساواة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رحمة الله في كتاب التحرير </w:t>
      </w:r>
      <w:r>
        <w:rPr>
          <w:rStyle w:val="FootnoteAnchor"/>
          <w:rtl w:val="true"/>
        </w:rPr>
        <w:footnoteReference w:id="1094"/>
      </w:r>
      <w:r>
        <w:rPr>
          <w:rFonts w:ascii="Amiri" w:hAnsi="Amiri" w:eastAsia="Amiri" w:cs="Amiri"/>
          <w:color w:val="111111"/>
          <w:sz w:val="28"/>
          <w:sz w:val="28"/>
          <w:szCs w:val="28"/>
          <w:rtl w:val="true"/>
          <w:lang w:bidi="ar-SA"/>
        </w:rPr>
        <w:t xml:space="preserve">، و الفاضل الكاشي في المفاتيح </w:t>
      </w:r>
      <w:r>
        <w:rPr>
          <w:rStyle w:val="FootnoteAnchor"/>
          <w:rtl w:val="true"/>
        </w:rPr>
        <w:footnoteReference w:id="1095"/>
      </w:r>
      <w:r>
        <w:rPr>
          <w:rFonts w:ascii="Amiri" w:hAnsi="Amiri" w:eastAsia="Amiri" w:cs="Amiri"/>
          <w:color w:val="111111"/>
          <w:sz w:val="28"/>
          <w:sz w:val="28"/>
          <w:szCs w:val="28"/>
          <w:rtl w:val="true"/>
          <w:lang w:bidi="ar-SA"/>
        </w:rPr>
        <w:t xml:space="preserve">، و هو ظاهر عنوانه في كتاب الوافي </w:t>
      </w:r>
      <w:r>
        <w:rPr>
          <w:rStyle w:val="FootnoteAnchor"/>
          <w:rtl w:val="true"/>
        </w:rPr>
        <w:footnoteReference w:id="1096"/>
      </w:r>
      <w:r>
        <w:rPr>
          <w:rFonts w:ascii="Amiri" w:hAnsi="Amiri" w:eastAsia="Amiri" w:cs="Amiri"/>
          <w:color w:val="111111"/>
          <w:sz w:val="28"/>
          <w:sz w:val="28"/>
          <w:szCs w:val="28"/>
          <w:rtl w:val="true"/>
          <w:lang w:bidi="ar-SA"/>
        </w:rPr>
        <w:t xml:space="preserve">، وكذا يظهر ذلك من عنوان الحر في الوسائل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الأخبار التي جاءت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في الأكثر واردة في الصلاة خلف المخالف، و لكن قد جاء التبعيض إطلاقا و تخصيصا في ذلك الفرد بخصوصه، فلا توقف حينئذ في المساواة كما وقع لبعض المعاصرين من مشايخنا </w:t>
      </w:r>
      <w:r>
        <w:rPr>
          <w:rStyle w:val="FootnoteAnchor"/>
          <w:rtl w:val="true"/>
        </w:rPr>
        <w:footnoteReference w:id="1098"/>
      </w:r>
      <w:r>
        <w:rPr>
          <w:rFonts w:ascii="Amiri" w:hAnsi="Amiri" w:eastAsia="Amiri" w:cs="Amiri"/>
          <w:color w:val="111111"/>
          <w:sz w:val="28"/>
          <w:sz w:val="28"/>
          <w:szCs w:val="28"/>
          <w:rtl w:val="true"/>
          <w:lang w:bidi="ar-SA"/>
        </w:rPr>
        <w:t>؛ غفلة عن تلك الأدلة التي سنشير إليها و نصرح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الشيخ الطوسي في التهذيب في الصحيح </w:t>
      </w:r>
      <w:r>
        <w:rPr>
          <w:rStyle w:val="FootnoteAnchor"/>
          <w:rtl w:val="true"/>
        </w:rPr>
        <w:footnoteReference w:id="1099"/>
      </w:r>
      <w:r>
        <w:rPr>
          <w:rFonts w:ascii="Amiri" w:hAnsi="Amiri" w:eastAsia="Amiri" w:cs="Amiri"/>
          <w:color w:val="111111"/>
          <w:sz w:val="28"/>
          <w:sz w:val="28"/>
          <w:szCs w:val="28"/>
          <w:rtl w:val="true"/>
          <w:lang w:bidi="ar-SA"/>
        </w:rPr>
        <w:t>عن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w:t>
      </w:r>
      <w:r>
        <w:rPr>
          <w:rStyle w:val="FootnoteAnchor"/>
          <w:rtl w:val="true"/>
        </w:rPr>
        <w:footnoteReference w:id="1100"/>
      </w:r>
      <w:r>
        <w:rPr>
          <w:rFonts w:ascii="Amiri" w:hAnsi="Amiri" w:eastAsia="Amiri" w:cs="Amiri"/>
          <w:color w:val="111111"/>
          <w:sz w:val="28"/>
          <w:sz w:val="28"/>
          <w:szCs w:val="28"/>
          <w:rtl w:val="true"/>
          <w:lang w:bidi="ar-SA"/>
        </w:rPr>
        <w:t xml:space="preserve">أَبَا الْحَسَنِ علیه السلام عَنْ الرَّجُلِ يُصَلِّي خَلْفَ مَنْ لَا يَقْتَدِي </w:t>
      </w:r>
      <w:r>
        <w:rPr>
          <w:rStyle w:val="FootnoteAnchor"/>
          <w:rtl w:val="true"/>
        </w:rPr>
        <w:footnoteReference w:id="1101"/>
      </w:r>
      <w:r>
        <w:rPr>
          <w:rFonts w:ascii="Amiri" w:hAnsi="Amiri" w:eastAsia="Amiri" w:cs="Amiri"/>
          <w:color w:val="111111"/>
          <w:sz w:val="28"/>
          <w:sz w:val="28"/>
          <w:szCs w:val="28"/>
          <w:rtl w:val="true"/>
          <w:lang w:bidi="ar-SA"/>
        </w:rPr>
        <w:t>بِصَلَاتِهِ و الإِمَامُ يَجْهَرُ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لِنَفْسِكَ، و َإِنْ لَمْ تُسْمِعْ نَفْسَكَ فَلَا بَأْسَ</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حسنة الحلبي بل صحيحته المروية في الكافي و التهذيب </w:t>
      </w:r>
      <w:r>
        <w:rPr>
          <w:rStyle w:val="FootnoteAnchor"/>
          <w:rtl w:val="true"/>
        </w:rPr>
        <w:footnoteReference w:id="1103"/>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خَلْفَ مَنْ لَا يُقْتَدَى </w:t>
      </w:r>
      <w:r>
        <w:rPr>
          <w:rStyle w:val="FootnoteAnchor"/>
          <w:rtl w:val="true"/>
        </w:rPr>
        <w:footnoteReference w:id="1104"/>
      </w:r>
      <w:r>
        <w:rPr>
          <w:rFonts w:ascii="Amiri" w:hAnsi="Amiri" w:eastAsia="Amiri" w:cs="Amiri"/>
          <w:color w:val="111111"/>
          <w:sz w:val="28"/>
          <w:sz w:val="28"/>
          <w:szCs w:val="28"/>
          <w:rtl w:val="true"/>
          <w:lang w:bidi="ar-SA"/>
        </w:rPr>
        <w:t xml:space="preserve">بِهِ </w:t>
      </w:r>
      <w:r>
        <w:rPr>
          <w:rStyle w:val="FootnoteAnchor"/>
          <w:rtl w:val="true"/>
        </w:rPr>
        <w:footnoteReference w:id="1105"/>
      </w:r>
      <w:r>
        <w:rPr>
          <w:rFonts w:ascii="Amiri" w:hAnsi="Amiri" w:eastAsia="Amiri" w:cs="Amiri"/>
          <w:color w:val="111111"/>
          <w:sz w:val="28"/>
          <w:sz w:val="28"/>
          <w:szCs w:val="28"/>
          <w:rtl w:val="true"/>
          <w:lang w:bidi="ar-SA"/>
        </w:rPr>
        <w:t xml:space="preserve">فَاقْرَأْ خَلْفَهُ، سَمِعْتَ قِرَاءَتَهُ أَوْ لَمْ تَسْمَعْ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أبي بصير </w:t>
      </w:r>
      <w:r>
        <w:rPr>
          <w:rStyle w:val="FootnoteAnchor"/>
          <w:rtl w:val="true"/>
        </w:rPr>
        <w:footnoteReference w:id="1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مَنْ لَا أَقْتَدِي بِهِ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افْرَغْ قَبْلَ أَنْ يَفْرَغَ؛ فَإِنَّكَ فِي حِصَارٍ،فَإِنْ فَرَغَ قَبْلَكَ فَاقْطَع القِرَاءَةَ وَ ارْكَعْ مَعَهُ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معتبر إسحاق </w:t>
      </w:r>
      <w:r>
        <w:rPr>
          <w:rStyle w:val="FootnoteAnchor"/>
          <w:rtl w:val="true"/>
        </w:rPr>
        <w:footnoteReference w:id="1110"/>
      </w:r>
      <w:r>
        <w:rPr>
          <w:rFonts w:ascii="Amiri" w:hAnsi="Amiri" w:eastAsia="Amiri" w:cs="Amiri"/>
          <w:color w:val="111111"/>
          <w:sz w:val="28"/>
          <w:sz w:val="28"/>
          <w:szCs w:val="28"/>
          <w:rtl w:val="true"/>
          <w:lang w:bidi="ar-SA"/>
        </w:rPr>
        <w:t>عمن سأل أبا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خَلْفَ مَنْ لَا أَقْتَدِي بِهِ </w:t>
      </w:r>
      <w:r>
        <w:rPr>
          <w:rStyle w:val="FootnoteAnchor"/>
          <w:rtl w:val="true"/>
        </w:rPr>
        <w:footnoteReference w:id="1111"/>
      </w:r>
      <w:r>
        <w:rPr>
          <w:rFonts w:ascii="Amiri" w:hAnsi="Amiri" w:eastAsia="Amiri" w:cs="Amiri"/>
          <w:color w:val="111111"/>
          <w:sz w:val="28"/>
          <w:sz w:val="28"/>
          <w:szCs w:val="28"/>
          <w:rtl w:val="true"/>
          <w:lang w:bidi="ar-SA"/>
        </w:rPr>
        <w:t xml:space="preserve">، فَإِذَا فَرَغْتُ مِنْ قِرَاءَتِی وَلم يَفْرَغْ هُوَ ؟ </w:t>
      </w:r>
      <w:r>
        <w:rPr>
          <w:rStyle w:val="FootnoteAnchor"/>
          <w:rtl w:val="true"/>
        </w:rPr>
        <w:footnoteReference w:id="1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يَفْرَغ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الأحاديث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تلك الدعوى؛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صيغ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على هذا أنها عامة و قد جاء في عدة أخبار تخصيص هذا الحكم بالمخالف فيجب رجوع عمومها الى خصوص تلك فيسقط الاحتجاج بها؛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مثل هذه رد عامها الى خاصها؛ لعدم التنافي بينهما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جاءت أخبار ناصة على خصوص ذلك الفرد شاهدة بالمساواة بينهما من كل وجه، فروى الشيخ والصدوق </w:t>
      </w:r>
      <w:r>
        <w:rPr>
          <w:rStyle w:val="FootnoteAnchor"/>
          <w:rtl w:val="true"/>
        </w:rPr>
        <w:footnoteReference w:id="1115"/>
      </w:r>
      <w:r>
        <w:rPr>
          <w:rFonts w:ascii="Amiri" w:hAnsi="Amiri" w:eastAsia="Amiri" w:cs="Amiri"/>
          <w:color w:val="111111"/>
          <w:sz w:val="28"/>
          <w:sz w:val="28"/>
          <w:szCs w:val="28"/>
          <w:rtl w:val="true"/>
          <w:lang w:bidi="ar-SA"/>
        </w:rPr>
        <w:t xml:space="preserve">في الصحيح </w:t>
      </w:r>
      <w:r>
        <w:rPr>
          <w:rStyle w:val="FootnoteAnchor"/>
          <w:rtl w:val="true"/>
        </w:rPr>
        <w:footnoteReference w:id="1116"/>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Style w:val="FootnoteAnchor"/>
          <w:rtl w:val="true"/>
        </w:rPr>
        <w:footnoteReference w:id="1117"/>
      </w:r>
      <w:r>
        <w:rPr>
          <w:rFonts w:ascii="Amiri" w:hAnsi="Amiri" w:eastAsia="Amiri" w:cs="Amiri"/>
          <w:color w:val="111111"/>
          <w:sz w:val="28"/>
          <w:sz w:val="28"/>
          <w:szCs w:val="28"/>
          <w:rtl w:val="true"/>
          <w:lang w:bidi="ar-SA"/>
        </w:rPr>
        <w:t xml:space="preserve">علیه السلام عَنْ إِمَامٍ لَا بَأْسَ بِهِ، فِي جَمِيعِ أُمُوْرِهِ </w:t>
      </w:r>
      <w:r>
        <w:rPr>
          <w:rStyle w:val="FootnoteAnchor"/>
          <w:rtl w:val="true"/>
        </w:rPr>
        <w:footnoteReference w:id="1118"/>
      </w:r>
      <w:r>
        <w:rPr>
          <w:rFonts w:ascii="Amiri" w:hAnsi="Amiri" w:eastAsia="Amiri" w:cs="Amiri"/>
          <w:color w:val="111111"/>
          <w:sz w:val="28"/>
          <w:sz w:val="28"/>
          <w:szCs w:val="28"/>
          <w:rtl w:val="true"/>
          <w:lang w:bidi="ar-SA"/>
        </w:rPr>
        <w:t>عَارِفٌ، غَيْرَ أَنَّهُ يُسْمِعُ أَبَوَيْهِ الْكَلَامَ الْغَلِيظَ الَّذِي يُغِيْظُهُما،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خَلْفَهُ مَا لَمْ يَكُنْ عَاقًا قَاطِعا</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جواز</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القراءة خلف الفاسق؛ لأن غلظ الكلام لما </w:t>
      </w:r>
      <w:r>
        <w:rPr>
          <w:rStyle w:val="FootnoteAnchor"/>
          <w:rtl w:val="true"/>
        </w:rPr>
        <w:footnoteReference w:id="1120"/>
      </w:r>
      <w:r>
        <w:rPr>
          <w:rFonts w:ascii="Amiri" w:hAnsi="Amiri" w:eastAsia="Amiri" w:cs="Amiri"/>
          <w:color w:val="111111"/>
          <w:sz w:val="28"/>
          <w:sz w:val="28"/>
          <w:szCs w:val="28"/>
          <w:rtl w:val="true"/>
          <w:lang w:bidi="ar-SA"/>
        </w:rPr>
        <w:t xml:space="preserve">لم يوجب الفسوق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كونه من باب النصيحة و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w:t>
      </w:r>
      <w:r>
        <w:rPr>
          <w:rStyle w:val="FootnoteAnchor"/>
          <w:rtl w:val="true"/>
        </w:rPr>
        <w:footnoteReference w:id="1121"/>
      </w:r>
      <w:r>
        <w:rPr>
          <w:rFonts w:ascii="Amiri" w:hAnsi="Amiri" w:eastAsia="Amiri" w:cs="Amiri"/>
          <w:color w:val="111111"/>
          <w:sz w:val="28"/>
          <w:sz w:val="28"/>
          <w:szCs w:val="28"/>
          <w:rtl w:val="true"/>
          <w:lang w:bidi="ar-SA"/>
        </w:rPr>
        <w:t>عن القراءة خلفه عند مجرد سماع الكلام الغليظ الذي هو أعم من العقوق، ثم أناط جوازه بالعقوق الموجب للفسق؛ لأنه من الكبائر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المناقشة في هذه الرواية باحتمال أن يراد بالعاق و القاطع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جماعة في تعليقاتهم على هذا الخبر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يلتفت إليها و لا يعول عليها؛ لوضوح صدره و إعلانه بأنه وارد في الإمامي دون غيره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هذا صريحا ما رواه الشيخ في التهذيب في الصحيح </w:t>
      </w:r>
      <w:r>
        <w:rPr>
          <w:rStyle w:val="FootnoteAnchor"/>
          <w:rtl w:val="true"/>
        </w:rPr>
        <w:footnoteReference w:id="1123"/>
      </w:r>
      <w:r>
        <w:rPr>
          <w:rFonts w:ascii="Amiri" w:hAnsi="Amiri" w:eastAsia="Amiri" w:cs="Amiri"/>
          <w:color w:val="111111"/>
          <w:sz w:val="28"/>
          <w:sz w:val="28"/>
          <w:szCs w:val="28"/>
          <w:rtl w:val="true"/>
          <w:lang w:bidi="ar-SA"/>
        </w:rPr>
        <w:t>عن إسماعيل الجعفي، و رواه الصدوق في الحسن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لأَن جَعْفَرٍعلیه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يُحِبُّ أَمِيرَ الْمُؤْمِنِينَ </w:t>
      </w:r>
      <w:r>
        <w:rPr>
          <w:rStyle w:val="FootnoteAnchor"/>
          <w:rtl w:val="true"/>
        </w:rPr>
        <w:footnoteReference w:id="1124"/>
      </w:r>
      <w:r>
        <w:rPr>
          <w:rFonts w:ascii="Amiri" w:hAnsi="Amiri" w:eastAsia="Amiri" w:cs="Amiri"/>
          <w:color w:val="111111"/>
          <w:sz w:val="28"/>
          <w:sz w:val="28"/>
          <w:szCs w:val="28"/>
          <w:rtl w:val="true"/>
          <w:lang w:bidi="ar-SA"/>
        </w:rPr>
        <w:t xml:space="preserve">علیه السلام وَلَا يَتبرأ </w:t>
      </w:r>
      <w:r>
        <w:rPr>
          <w:rStyle w:val="FootnoteAnchor"/>
          <w:rtl w:val="true"/>
        </w:rPr>
        <w:footnoteReference w:id="1125"/>
      </w:r>
      <w:r>
        <w:rPr>
          <w:rFonts w:ascii="Amiri" w:hAnsi="Amiri" w:eastAsia="Amiri" w:cs="Amiri"/>
          <w:color w:val="111111"/>
          <w:sz w:val="28"/>
          <w:sz w:val="28"/>
          <w:szCs w:val="28"/>
          <w:rtl w:val="true"/>
          <w:lang w:bidi="ar-SA"/>
        </w:rPr>
        <w:t>مِنْ عَدُوِّهِ،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أَحَبُّ إِلَيَّ مِمَّنْ خَالَفَهُ؟ فَقَالَ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مُخَلَّطُ، وَ هُوَ عَدُوٌّ ، لَا </w:t>
      </w:r>
      <w:r>
        <w:rPr>
          <w:rStyle w:val="FootnoteAnchor"/>
          <w:rtl w:val="true"/>
        </w:rPr>
        <w:footnoteReference w:id="1127"/>
      </w:r>
      <w:r>
        <w:rPr>
          <w:rFonts w:ascii="Amiri" w:hAnsi="Amiri" w:eastAsia="Amiri" w:cs="Amiri"/>
          <w:color w:val="111111"/>
          <w:sz w:val="28"/>
          <w:sz w:val="28"/>
          <w:szCs w:val="28"/>
          <w:rtl w:val="true"/>
          <w:lang w:bidi="ar-SA"/>
        </w:rPr>
        <w:t>تُصَلَّا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خَلْفَهُ وَ لَا كَرَامَةَ، إِلَّا أَنْ تَتَّقِيَهُ</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لم يكن نصا، إلا أنه مؤيد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منه دلالة على تلك الدعوى ما رواه الشيخ في الصحيح </w:t>
      </w:r>
      <w:r>
        <w:rPr>
          <w:rStyle w:val="FootnoteAnchor"/>
          <w:rtl w:val="true"/>
        </w:rPr>
        <w:footnoteReference w:id="1129"/>
      </w:r>
      <w:r>
        <w:rPr>
          <w:rFonts w:ascii="Amiri" w:hAnsi="Amiri" w:eastAsia="Amiri" w:cs="Amiri"/>
          <w:color w:val="111111"/>
          <w:sz w:val="28"/>
          <w:sz w:val="28"/>
          <w:szCs w:val="28"/>
          <w:rtl w:val="true"/>
          <w:lang w:bidi="ar-SA"/>
        </w:rPr>
        <w:t>عن إبراهيم بن شيبة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علیه السلام أَسْأَلُهُ عَنِ الصَّلَاةِ خَلْفَ مَنْ يَتَوَلَّى أَمِيرَ الْمُؤْمِنِينَ علیه السلام و َهُوَ يَرَى المُسْحَ عَلَى الْخفَّيْنِ، أَوْ خَلْفَ مَنْ يُحَرِّمُ المُسْحَ وَ هُوَ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جَمَعَكَ </w:t>
      </w:r>
      <w:r>
        <w:rPr>
          <w:rStyle w:val="FootnoteAnchor"/>
          <w:rtl w:val="true"/>
        </w:rPr>
        <w:footnoteReference w:id="1130"/>
      </w:r>
      <w:r>
        <w:rPr>
          <w:rFonts w:ascii="Amiri" w:hAnsi="Amiri" w:eastAsia="Amiri" w:cs="Amiri"/>
          <w:color w:val="111111"/>
          <w:sz w:val="28"/>
          <w:sz w:val="28"/>
          <w:szCs w:val="28"/>
          <w:rtl w:val="true"/>
          <w:lang w:bidi="ar-SA"/>
        </w:rPr>
        <w:t xml:space="preserve">وَإِيَّاهُ </w:t>
      </w:r>
      <w:r>
        <w:rPr>
          <w:rStyle w:val="FootnoteAnchor"/>
          <w:rtl w:val="true"/>
        </w:rPr>
        <w:footnoteReference w:id="1131"/>
      </w:r>
      <w:r>
        <w:rPr>
          <w:rFonts w:ascii="Amiri" w:hAnsi="Amiri" w:eastAsia="Amiri" w:cs="Amiri"/>
          <w:color w:val="111111"/>
          <w:sz w:val="28"/>
          <w:sz w:val="28"/>
          <w:szCs w:val="28"/>
          <w:rtl w:val="true"/>
          <w:lang w:bidi="ar-SA"/>
        </w:rPr>
        <w:t xml:space="preserve">مَوْضِعٌ فَلَمْ تَجِدْ بُدًّا مِنَ الصَّلَاةِ فَأَذَّنْ لِنَفْسِكَ و َأَقِمْ، وَإِنْ </w:t>
      </w:r>
      <w:r>
        <w:rPr>
          <w:rStyle w:val="FootnoteAnchor"/>
          <w:rtl w:val="true"/>
        </w:rPr>
        <w:footnoteReference w:id="1132"/>
      </w:r>
      <w:r>
        <w:rPr>
          <w:rFonts w:ascii="Amiri" w:hAnsi="Amiri" w:eastAsia="Amiri" w:cs="Amiri"/>
          <w:color w:val="111111"/>
          <w:sz w:val="28"/>
          <w:sz w:val="28"/>
          <w:szCs w:val="28"/>
          <w:rtl w:val="true"/>
          <w:lang w:bidi="ar-SA"/>
        </w:rPr>
        <w:t xml:space="preserve">سَبَقَكَ إِلَى الْقِرَاءَةِ فَسَبِّحْ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بجواز تلك القدوة و جواز القراءة خلفه،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سَبَقَكَ إِلَى الْقِرَاءَةِ فَسَبِّحْ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إن فرغ قبلك من القراءة فاكتف بالتسبيح عما بقي من قراءتك؛ لأن عليه أن يقطع قراءته في هذه الحالة و لا يتمها، فيجزيه التسبيح عن تمامها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هذا المعنى ما رواه الشيخ في التهذيب مرسلًا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سعد بن عبد الله عن عن محمد بن الحسين بن أبي الخطاب، عن الحسن بن موسى الخشاب ، عن علي بن أسباط ، عن بعض أصحابه، عن أبي عبدالله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و أبي جعفر علیه السلام في الرجل يكون خلف الإمام لا يقتديم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فیسبقه الإمام بالقراءة؟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r>
        <w:rPr>
          <w:rStyle w:val="FootnoteAnchor"/>
          <w:rtl w:val="true"/>
        </w:rPr>
        <w:footnoteReference w:id="1135"/>
      </w:r>
      <w:r>
        <w:rPr>
          <w:rFonts w:ascii="Amiri" w:hAnsi="Amiri" w:eastAsia="Amiri" w:cs="Amiri"/>
          <w:color w:val="111111"/>
          <w:sz w:val="28"/>
          <w:sz w:val="28"/>
          <w:szCs w:val="28"/>
          <w:rtl w:val="true"/>
          <w:lang w:bidi="ar-SA"/>
        </w:rPr>
        <w:t xml:space="preserve">كَانَ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قَرَأَ أُمَّ الْكِتَابِ أَجْزَأَهُ، يَقْطَعُ وَيَرْكَعُ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ظهوره فيما ذكرنا من معنى السبق واضح ، إلا أنه قد ظهر منه الاكتفاء عند سبق الإمام للمأموم </w:t>
      </w:r>
      <w:r>
        <w:rPr>
          <w:rStyle w:val="FootnoteAnchor"/>
          <w:rtl w:val="true"/>
        </w:rPr>
        <w:footnoteReference w:id="1139"/>
      </w:r>
      <w:r>
        <w:rPr>
          <w:rFonts w:ascii="Amiri" w:hAnsi="Amiri" w:eastAsia="Amiri" w:cs="Amiri"/>
          <w:color w:val="111111"/>
          <w:sz w:val="28"/>
          <w:sz w:val="28"/>
          <w:szCs w:val="28"/>
          <w:rtl w:val="true"/>
          <w:lang w:bidi="ar-SA"/>
        </w:rPr>
        <w:t xml:space="preserve">بالقطع للقراءة، وفي ذلك الخبر – الذي نحن بصدد 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بالتسبيح، فلعله على وجه الاستحباب عوضا عن الفائت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إيذان بجواز القراءة خلفه كالصلاة خلف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انضمام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صحيحة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ذينك الصنفين في أحكام القدوة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جاءت المساواة أيضا بينهما في الفتوى، و تولي منصب القضاء، و المنع من الترافع إليهما، كما جاء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Style w:val="FootnoteAnchor"/>
          <w:rtl w:val="true"/>
        </w:rPr>
        <w:footnoteReference w:id="1140"/>
      </w:r>
      <w:r>
        <w:rPr>
          <w:rFonts w:ascii="IRNazanin" w:hAnsi="IRNazanin" w:eastAsia="IRNazanin"/>
          <w:color w:val="111111"/>
          <w:sz w:val="28"/>
          <w:sz w:val="28"/>
          <w:szCs w:val="28"/>
          <w:rtl w:val="true"/>
          <w:lang w:bidi="fa-IR"/>
        </w:rPr>
        <w:t>، فروى الطبرسي رحمه الله في كتاب مجمع البيان من طريق أصحابنا عن السيدين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المعني بالطاغوت كل من يتحاكم إليه ممن يحكم بغير الحق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 </w:t>
      </w:r>
      <w:bookmarkStart w:id="94" w:name="pg2523_39763"/>
    </w:p>
    <w:p>
      <w:pPr>
        <w:pStyle w:val="BookText"/>
        <w:rPr/>
      </w:pPr>
      <w:bookmarkEnd w:id="94"/>
      <w:r>
        <w:rPr>
          <w:rFonts w:ascii="Amiri" w:hAnsi="Amiri" w:eastAsia="Amiri" w:cs="Amiri"/>
          <w:color w:val="111111"/>
          <w:sz w:val="28"/>
          <w:sz w:val="28"/>
          <w:szCs w:val="28"/>
          <w:rtl w:val="true"/>
          <w:lang w:bidi="ar-SA"/>
        </w:rPr>
        <w:t xml:space="preserve">و 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حَاكِم </w:t>
      </w:r>
      <w:r>
        <w:rPr>
          <w:rStyle w:val="FootnoteAnchor"/>
          <w:rtl w:val="true"/>
        </w:rPr>
        <w:footnoteReference w:id="1142"/>
      </w:r>
      <w:r>
        <w:rPr>
          <w:rFonts w:ascii="Amiri" w:hAnsi="Amiri" w:eastAsia="Amiri" w:cs="Amiri"/>
          <w:color w:val="111111"/>
          <w:sz w:val="28"/>
          <w:sz w:val="28"/>
          <w:szCs w:val="28"/>
          <w:rtl w:val="true"/>
          <w:lang w:bidi="ar-SA"/>
        </w:rPr>
        <w:t>حَكَمَ بِغَيْرِ قَوْلِنَا أَهْلِ الْبَيْتِ فَهُوَ طَاغُوْتٌ</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في جواب السؤال الثاني الخبر المروي من الاحتجاج و تفسير العسكري عنه </w:t>
      </w:r>
      <w:r>
        <w:rPr>
          <w:rStyle w:val="FootnoteAnchor"/>
          <w:rtl w:val="true"/>
        </w:rPr>
        <w:footnoteReference w:id="1144"/>
      </w:r>
      <w:r>
        <w:rPr>
          <w:rFonts w:ascii="IRNazanin" w:hAnsi="IRNazanin" w:eastAsia="IRNazanin"/>
          <w:color w:val="111111"/>
          <w:sz w:val="28"/>
          <w:sz w:val="28"/>
          <w:szCs w:val="28"/>
          <w:rtl w:val="true"/>
          <w:lang w:bidi="fa-IR"/>
        </w:rPr>
        <w:t xml:space="preserve">علیه السلام فيه </w:t>
      </w:r>
      <w:r>
        <w:rPr>
          <w:rStyle w:val="FootnoteAnchor"/>
          <w:rtl w:val="true"/>
        </w:rPr>
        <w:footnoteReference w:id="11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w:t>
      </w:r>
      <w:r>
        <w:rPr>
          <w:rStyle w:val="FootnoteAnchor"/>
          <w:rtl w:val="true"/>
        </w:rPr>
        <w:footnoteReference w:id="1146"/>
      </w:r>
      <w:r>
        <w:rPr>
          <w:rFonts w:ascii="Amiri" w:hAnsi="Amiri" w:eastAsia="Amiri" w:cs="Amiri"/>
          <w:color w:val="111111"/>
          <w:sz w:val="28"/>
          <w:sz w:val="28"/>
          <w:szCs w:val="28"/>
          <w:rtl w:val="true"/>
          <w:lang w:bidi="ar-SA"/>
        </w:rPr>
        <w:t>مَنْ رَكَبَ مِنَ القَبَائِحِ و الفَوَاحِشِ مَرَاكِبَ فَسَقَةِ العَامَّةِ فَلا تَقْبَلُوْا مِنْهُمْ عَنَّا شَيْئًا، و َلَا كَرَامَةَ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w:t>
      </w:r>
      <w:r>
        <w:rPr>
          <w:rStyle w:val="FootnoteAnchor"/>
          <w:rtl w:val="true"/>
        </w:rPr>
        <w:footnoteReference w:id="1147"/>
      </w:r>
      <w:r>
        <w:rPr>
          <w:rFonts w:ascii="Amiri" w:hAnsi="Amiri" w:eastAsia="Amiri" w:cs="Amiri"/>
          <w:color w:val="111111"/>
          <w:sz w:val="28"/>
          <w:sz w:val="28"/>
          <w:szCs w:val="28"/>
          <w:rtl w:val="true"/>
          <w:lang w:bidi="ar-SA"/>
        </w:rPr>
        <w:t>إذا تأملت ما جاء في شأن الفاسقين من علمائنا رأيته دالا على مساواته لقضاة المخالفين و علمائهم حتى في وجوب التقية منهم،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للتوقف </w:t>
      </w:r>
      <w:r>
        <w:rPr>
          <w:rStyle w:val="FootnoteAnchor"/>
          <w:rtl w:val="true"/>
        </w:rPr>
        <w:footnoteReference w:id="1148"/>
      </w:r>
      <w:r>
        <w:rPr>
          <w:rFonts w:ascii="Amiri" w:hAnsi="Amiri" w:eastAsia="Amiri" w:cs="Amiri"/>
          <w:color w:val="111111"/>
          <w:sz w:val="28"/>
          <w:sz w:val="28"/>
          <w:szCs w:val="28"/>
          <w:rtl w:val="true"/>
          <w:lang w:bidi="ar-SA"/>
        </w:rPr>
        <w:t>في مشروعية تلك القدوة و ما يترتب عليها من الأحكام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264868_3804643083"/>
      <w:bookmarkStart w:id="96" w:name="_Toc32"/>
      <w:bookmarkEnd w:id="95"/>
      <w:r>
        <w:rPr>
          <w:rtl w:val="true"/>
        </w:rPr>
        <w:t>[</w:t>
      </w:r>
      <w:r>
        <w:rPr>
          <w:rtl w:val="true"/>
        </w:rPr>
        <w:t>أخبار المنع من القدوة ووجه الجمع بينها وبين ما تقدم</w:t>
      </w:r>
      <w:r>
        <w:rPr>
          <w:rtl w:val="true"/>
        </w:rPr>
        <w:t>]</w:t>
      </w:r>
      <w:bookmarkEnd w:id="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جاءت أخبار بالمنع من القدوة بمن هذا شأنه، فلابد من الكلام و بيان وجه الجمع </w:t>
      </w:r>
      <w:r>
        <w:rPr>
          <w:rStyle w:val="FootnoteAnchor"/>
          <w:rtl w:val="true"/>
        </w:rPr>
        <w:footnoteReference w:id="1149"/>
      </w:r>
      <w:r>
        <w:rPr>
          <w:rFonts w:ascii="Amiri" w:hAnsi="Amiri" w:eastAsia="Amiri" w:cs="Amiri"/>
          <w:color w:val="111111"/>
          <w:sz w:val="28"/>
          <w:sz w:val="28"/>
          <w:szCs w:val="28"/>
          <w:rtl w:val="true"/>
          <w:lang w:bidi="ar-SA"/>
        </w:rPr>
        <w:t>بينها و بين ما قدمنا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صحيحة إسماعيل بن سعد الأشعري عن أبيه </w:t>
      </w:r>
      <w:r>
        <w:rPr>
          <w:rStyle w:val="FootnoteAnchor"/>
          <w:rtl w:val="true"/>
        </w:rPr>
        <w:footnoteReference w:id="1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يُقَارِفُ الذُّنُوبَ وَ هُوَ عَارِفٌ بِهَذَا الْأَمْرِ، أَصَلِّي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 مرسلة </w:t>
      </w:r>
      <w:r>
        <w:rPr>
          <w:rStyle w:val="FootnoteAnchor"/>
          <w:rtl w:val="true"/>
        </w:rPr>
        <w:footnoteReference w:id="1152"/>
      </w:r>
      <w:r>
        <w:rPr>
          <w:rFonts w:ascii="Amiri" w:hAnsi="Amiri" w:eastAsia="Amiri" w:cs="Amiri"/>
          <w:color w:val="111111"/>
          <w:sz w:val="28"/>
          <w:sz w:val="28"/>
          <w:szCs w:val="28"/>
          <w:rtl w:val="true"/>
          <w:lang w:bidi="ar-SA"/>
        </w:rPr>
        <w:t>خلف بن حماد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الْغَالِي و َإِنْ كَانَ يَقُولُ بِقَوْلِكَ، و َالمَجْهُولِ، وَ الْمُجَاهِرِ بِالْفِسْقِ وَ إِنْ كَانَ مُقْتَصِدًا</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في الفقيه مرسلاً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 َلَاثَةٌ لَا تُصَلِّ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المجهول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صحيحة محمد بن مسلم </w:t>
      </w:r>
      <w:r>
        <w:rPr>
          <w:rStyle w:val="FootnoteAnchor"/>
          <w:rtl w:val="true"/>
        </w:rPr>
        <w:footnoteReference w:id="1154"/>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مَنْ يَبْغِي عَلَى الْأَذَانِ وَ الصَّلَاةِ بِالنَّاسِ أَجْرًا، و َلَا تَقْبَلْ شَهَادَتَهُ</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بهذا المعنى كثيرة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النهي فيها ليس </w:t>
      </w:r>
      <w:r>
        <w:rPr>
          <w:rStyle w:val="FootnoteAnchor"/>
          <w:rtl w:val="true"/>
        </w:rPr>
        <w:footnoteReference w:id="1156"/>
      </w:r>
      <w:r>
        <w:rPr>
          <w:rFonts w:ascii="Amiri" w:hAnsi="Amiri" w:eastAsia="Amiri" w:cs="Amiri"/>
          <w:color w:val="111111"/>
          <w:sz w:val="28"/>
          <w:sz w:val="28"/>
          <w:szCs w:val="28"/>
          <w:rtl w:val="true"/>
          <w:lang w:bidi="ar-SA"/>
        </w:rPr>
        <w:t>عن مطلق القدوة، بل عن القدوة الصادرة عن وداد و اعتقاد أو غيرهما إذا لم يكن ثمة تقية؛ فإن المسوغس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للاقتداء بالفاسق هو التقية لا غير كما يدل عليه الخبر الذي قدمناه المروي عن إبراهيم بن شيبة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جَمَعَكَ وَ إِيَّاهُم </w:t>
      </w:r>
      <w:r>
        <w:rPr>
          <w:rStyle w:val="FootnoteAnchor"/>
          <w:rtl w:val="true"/>
        </w:rPr>
        <w:footnoteReference w:id="1157"/>
      </w:r>
      <w:r>
        <w:rPr>
          <w:rFonts w:ascii="Amiri" w:hAnsi="Amiri" w:eastAsia="Amiri" w:cs="Amiri"/>
          <w:color w:val="111111"/>
          <w:sz w:val="28"/>
          <w:sz w:val="28"/>
          <w:szCs w:val="28"/>
          <w:rtl w:val="true"/>
          <w:lang w:bidi="ar-SA"/>
        </w:rPr>
        <w:t>مَوْضِعٌ فَلَمْ تَجِدْ بُدا</w:t>
      </w:r>
      <w:r>
        <w:rPr>
          <w:rStyle w:val="FootnoteAnchor"/>
          <w:rtl w:val="true"/>
        </w:rPr>
        <w:footnoteReference w:id="1158"/>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فيكون إطلاق </w:t>
      </w:r>
      <w:r>
        <w:rPr>
          <w:rStyle w:val="FootnoteAnchor"/>
          <w:rtl w:val="true"/>
        </w:rPr>
        <w:footnoteReference w:id="1159"/>
      </w:r>
      <w:r>
        <w:rPr>
          <w:rFonts w:ascii="Amiri" w:hAnsi="Amiri" w:eastAsia="Amiri" w:cs="Amiri"/>
          <w:color w:val="111111"/>
          <w:sz w:val="28"/>
          <w:sz w:val="28"/>
          <w:szCs w:val="28"/>
          <w:rtl w:val="true"/>
          <w:lang w:bidi="ar-SA"/>
        </w:rPr>
        <w:t>غيره محمولا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في هذا الحكم ربما يخالف الناصب </w:t>
      </w:r>
      <w:r>
        <w:rPr>
          <w:rStyle w:val="FootnoteAnchor"/>
          <w:rtl w:val="true"/>
        </w:rPr>
        <w:footnoteReference w:id="1160"/>
      </w:r>
      <w:r>
        <w:rPr>
          <w:rFonts w:ascii="Amiri" w:hAnsi="Amiri" w:eastAsia="Amiri" w:cs="Amiri"/>
          <w:color w:val="111111"/>
          <w:sz w:val="28"/>
          <w:sz w:val="28"/>
          <w:szCs w:val="28"/>
          <w:rtl w:val="true"/>
          <w:lang w:bidi="ar-SA"/>
        </w:rPr>
        <w:t>لمجيء الأخبار بأرجحية إظهار القدوة خلفهم على وجه كاد أن يبلغ حد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w:t>
      </w:r>
      <w:r>
        <w:rPr>
          <w:rStyle w:val="FootnoteAnchor"/>
          <w:rtl w:val="true"/>
        </w:rPr>
        <w:footnoteReference w:id="1161"/>
      </w:r>
      <w:r>
        <w:rPr>
          <w:rFonts w:ascii="Amiri" w:hAnsi="Amiri" w:eastAsia="Amiri" w:cs="Amiri"/>
          <w:color w:val="111111"/>
          <w:sz w:val="28"/>
          <w:sz w:val="28"/>
          <w:szCs w:val="28"/>
          <w:rtl w:val="true"/>
          <w:lang w:bidi="ar-SA"/>
        </w:rPr>
        <w:t xml:space="preserve">حفص بن البختري </w:t>
      </w:r>
      <w:r>
        <w:rPr>
          <w:rStyle w:val="FootnoteAnchor"/>
          <w:rtl w:val="true"/>
        </w:rPr>
        <w:footnoteReference w:id="1162"/>
      </w:r>
      <w:r>
        <w:rPr>
          <w:rFonts w:ascii="Amiri" w:hAnsi="Amiri" w:eastAsia="Amiri" w:cs="Amiri"/>
          <w:color w:val="111111"/>
          <w:sz w:val="28"/>
          <w:sz w:val="28"/>
          <w:szCs w:val="28"/>
          <w:rtl w:val="true"/>
          <w:lang w:bidi="ar-SA"/>
        </w:rPr>
        <w:t>المروية في الكافي و التهذيب و الفقيه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 لَكَ إِذَا دَخَلْتَ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تَقْتَدِ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يُحْسَبُ إِذَا كُنْتَ مَعَ مَنْ تَقْتَدِي بِهِ</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حسنة الحلبي على ما في الكافي </w:t>
      </w:r>
      <w:r>
        <w:rPr>
          <w:rStyle w:val="FootnoteAnchor"/>
          <w:rtl w:val="true"/>
        </w:rPr>
        <w:footnoteReference w:id="1164"/>
      </w:r>
      <w:r>
        <w:rPr>
          <w:rFonts w:ascii="IRNazanin" w:hAnsi="IRNazanin" w:eastAsia="IRNazanin"/>
          <w:color w:val="111111"/>
          <w:sz w:val="28"/>
          <w:sz w:val="28"/>
          <w:szCs w:val="28"/>
          <w:rtl w:val="true"/>
          <w:lang w:bidi="fa-IR"/>
        </w:rPr>
        <w:t>عن أبي عبد الله علیه السلام، و صحيحةم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حماد </w:t>
      </w:r>
      <w:r>
        <w:rPr>
          <w:rStyle w:val="FootnoteAnchor"/>
          <w:rtl w:val="true"/>
        </w:rPr>
        <w:footnoteReference w:id="1165"/>
      </w:r>
      <w:r>
        <w:rPr>
          <w:rFonts w:ascii="Amiri" w:hAnsi="Amiri" w:eastAsia="Amiri" w:cs="Amiri"/>
          <w:color w:val="111111"/>
          <w:sz w:val="28"/>
          <w:sz w:val="28"/>
          <w:szCs w:val="28"/>
          <w:rtl w:val="true"/>
          <w:lang w:bidi="ar-SA"/>
        </w:rPr>
        <w:t>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مَعَهُم فِي الصَّفُ الْأَوَّلِ كَانَ كَمَنْ صَلَّى خَلْفَ رَسُوْلِ اللهِ صلی الله علیه و آله وسلم فِي الصَّفِ الْأَوَّلِ</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مرسلة الفقيه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مَعَهُمْ غُفِرَ لَكَ بِعَدَدِ مَنْ خَالَفَكَ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الأرجاني عن أبي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w:t>
      </w:r>
      <w:r>
        <w:rPr>
          <w:rStyle w:val="FootnoteAnchor"/>
          <w:rtl w:val="true"/>
        </w:rPr>
        <w:footnoteReference w:id="1168"/>
      </w:r>
      <w:r>
        <w:rPr>
          <w:rFonts w:ascii="Amiri" w:hAnsi="Amiri" w:eastAsia="Amiri" w:cs="Amiri"/>
          <w:color w:val="111111"/>
          <w:sz w:val="28"/>
          <w:sz w:val="28"/>
          <w:szCs w:val="28"/>
          <w:rtl w:val="true"/>
          <w:lang w:bidi="ar-SA"/>
        </w:rPr>
        <w:t>أَتَى مَسْجِدًا مِنْ مَسَاجِدِهِمْ فَصَلَّى مَعَهُمْ خَرَجَ بِحَسَنَاتِهِمْ</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الشحام عن الصادق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خَالِقُوا النَّاسَ بِأَخْلَاقِهِم، وَصَلُّوا </w:t>
      </w:r>
      <w:r>
        <w:rPr>
          <w:rStyle w:val="FootnoteAnchor"/>
          <w:rtl w:val="true"/>
        </w:rPr>
        <w:footnoteReference w:id="1170"/>
      </w:r>
      <w:r>
        <w:rPr>
          <w:rFonts w:ascii="Amiri" w:hAnsi="Amiri" w:eastAsia="Amiri" w:cs="Amiri"/>
          <w:color w:val="111111"/>
          <w:sz w:val="28"/>
          <w:sz w:val="28"/>
          <w:szCs w:val="28"/>
          <w:rtl w:val="true"/>
          <w:lang w:bidi="ar-SA"/>
        </w:rPr>
        <w:t>فِي مَسَاجِدِهِمْ، وَ عُوْدُوْا مَرْضَاهُمْ، وَاشْهَدُوا جَنَائِزَهُم ، و َإِن اسْتَطَعْتُمْ أَنْ تَكُونُوا الْمُؤَذِّنِيْنَ فَافْعَلُوا؛ فَإِنَّكُمْ إِذَا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 رَحِمَ اللهُ جَعْفَرًا، مَا كَانَ أَحْسَنَ مَا يُؤَدِّبُ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تَرَكْتُمْ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بِجَعْفَرٍ ، مَا كَانَ أَسْوَأَ مَا يُؤَدِّبُ أَصْحَابَهُ</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7" w:name="pg2523_39769"/>
    </w:p>
    <w:p>
      <w:pPr>
        <w:pStyle w:val="BookText"/>
        <w:rPr/>
      </w:pPr>
      <w:bookmarkEnd w:id="97"/>
      <w:r>
        <w:rPr>
          <w:rFonts w:ascii="Amiri" w:hAnsi="Amiri" w:eastAsia="Amiri" w:cs="Amiri"/>
          <w:color w:val="111111"/>
          <w:sz w:val="28"/>
          <w:sz w:val="28"/>
          <w:szCs w:val="28"/>
          <w:rtl w:val="true"/>
          <w:lang w:bidi="ar-SA"/>
        </w:rPr>
        <w:t xml:space="preserve">و الأخبار التي جاءت في هذا المعنى مما لا تحيط </w:t>
      </w:r>
      <w:r>
        <w:rPr>
          <w:rStyle w:val="FootnoteAnchor"/>
          <w:rtl w:val="true"/>
        </w:rPr>
        <w:footnoteReference w:id="1172"/>
      </w:r>
      <w:r>
        <w:rPr>
          <w:rFonts w:ascii="Amiri" w:hAnsi="Amiri" w:eastAsia="Amiri" w:cs="Amiri"/>
          <w:color w:val="111111"/>
          <w:sz w:val="28"/>
          <w:sz w:val="28"/>
          <w:szCs w:val="28"/>
          <w:rtl w:val="true"/>
          <w:lang w:bidi="ar-SA"/>
        </w:rPr>
        <w:t>به أقلام المؤلفين، و ظهورها في المخالفة بينهما في هذا الحكم مما قد بلغ حد اليقين</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4264870_3804643083"/>
      <w:bookmarkStart w:id="99" w:name="_Toc33"/>
      <w:bookmarkEnd w:id="98"/>
      <w:r>
        <w:rPr>
          <w:rtl w:val="true"/>
        </w:rPr>
        <w:t>[</w:t>
      </w:r>
      <w:r>
        <w:rPr>
          <w:rtl w:val="true"/>
        </w:rPr>
        <w:t>رفع التعارض بين هذه الأخبار وما يعارضها</w:t>
      </w:r>
      <w:r>
        <w:rPr>
          <w:rtl w:val="true"/>
        </w:rPr>
        <w:t>]</w:t>
      </w:r>
      <w:bookmarkEnd w:id="99"/>
    </w:p>
    <w:p>
      <w:pPr>
        <w:pStyle w:val="BookText"/>
        <w:rPr/>
      </w:pPr>
      <w:r>
        <w:rPr>
          <w:rFonts w:ascii="Amiri" w:hAnsi="Amiri" w:eastAsia="Amiri" w:cs="Amiri"/>
          <w:color w:val="111111"/>
          <w:sz w:val="28"/>
          <w:sz w:val="28"/>
          <w:szCs w:val="28"/>
          <w:rtl w:val="true"/>
          <w:lang w:bidi="ar-SA"/>
        </w:rPr>
        <w:t>بقي هنا شيء، و هو أن الأخبار التي قدمناها المؤذنة بجواز القدوة و القراءة خلف ذينك الصنفين ناصة على تحتم تلك القراءة خلفه في حال قراءته و لو جهرية، و أن لا إنصات عليه، لكن قد جاءت أخبار بإزائها معلنة بوجوب الإنصات خلفه في حال قراءته جهرًا إذا سمعها من كان خلفه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صحيحة ابن وهب </w:t>
      </w:r>
      <w:r>
        <w:rPr>
          <w:rStyle w:val="FootnoteAnchor"/>
          <w:rtl w:val="true"/>
        </w:rPr>
        <w:footnoteReference w:id="1173"/>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يَؤُمُّ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لَا تَرْضَى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يَجْهَرُ </w:t>
      </w:r>
      <w:r>
        <w:rPr>
          <w:rStyle w:val="FootnoteAnchor"/>
          <w:rtl w:val="true"/>
        </w:rPr>
        <w:footnoteReference w:id="1174"/>
      </w:r>
      <w:r>
        <w:rPr>
          <w:rFonts w:ascii="Amiri" w:hAnsi="Amiri" w:eastAsia="Amiri" w:cs="Amiri"/>
          <w:color w:val="111111"/>
          <w:sz w:val="28"/>
          <w:sz w:val="28"/>
          <w:szCs w:val="28"/>
          <w:rtl w:val="true"/>
          <w:lang w:bidi="ar-SA"/>
        </w:rPr>
        <w:t>فِيْهَا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كِتَابَ اللهِ يُتْلَى فَأَنْصِتْ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Style w:val="FootnoteAnchor"/>
          <w:rtl w:val="true"/>
        </w:rPr>
        <w:footnoteReference w:id="1175"/>
      </w:r>
      <w:r>
        <w:rPr>
          <w:rFonts w:ascii="Amiri" w:hAnsi="Amiri" w:eastAsia="Amiri" w:cs="Amiri"/>
          <w:color w:val="111111"/>
          <w:sz w:val="28"/>
          <w:sz w:val="28"/>
          <w:szCs w:val="28"/>
          <w:rtl w:val="true"/>
          <w:lang w:bidi="ar-SA"/>
        </w:rPr>
        <w:t xml:space="preserve">يَشْهَدُ عَلَيْهِ </w:t>
      </w:r>
      <w:r>
        <w:rPr>
          <w:rStyle w:val="FootnoteAnchor"/>
          <w:rtl w:val="true"/>
        </w:rPr>
        <w:footnoteReference w:id="1176"/>
      </w:r>
      <w:r>
        <w:rPr>
          <w:rFonts w:ascii="Amiri" w:hAnsi="Amiri" w:eastAsia="Amiri" w:cs="Amiri"/>
          <w:color w:val="111111"/>
          <w:sz w:val="28"/>
          <w:sz w:val="28"/>
          <w:szCs w:val="28"/>
          <w:rtl w:val="true"/>
          <w:lang w:bidi="ar-SA"/>
        </w:rPr>
        <w:t>بِالشِّرْكِ؟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عَصَى اللَّهَ فَأَطِعِ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فَأَبَى أَنْ يُرَخَّصَ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17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إِذَنْ </w:t>
      </w:r>
      <w:r>
        <w:rPr>
          <w:rStyle w:val="FootnoteAnchor"/>
          <w:rtl w:val="true"/>
        </w:rPr>
        <w:footnoteReference w:id="1178"/>
      </w:r>
      <w:r>
        <w:rPr>
          <w:rFonts w:ascii="Amiri" w:hAnsi="Amiri" w:eastAsia="Amiri" w:cs="Amiri"/>
          <w:color w:val="111111"/>
          <w:sz w:val="28"/>
          <w:sz w:val="28"/>
          <w:szCs w:val="28"/>
          <w:rtl w:val="true"/>
          <w:lang w:bidi="ar-SA"/>
        </w:rPr>
        <w:t>فِي بَيْتِي ثُمَّ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عَلِبًا علیه السلام كَانَ فِي صَلَاةِ الصُّبْحِ، فَقَرَأَ ابنُ الكَوَّاءِ وَ هُوَ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 فَأَنْصَتَ عَلِيٌّ علیه السلام تَعْظِيما لِلْقُرْآنِ حَتَّى فَرَغَ مِنَ الْآيَةِ، ثُمَّ عَادَ فِي قِرَاءَتِهِ، ثُمَّ عَادَ ابْنُ الْكَوَّاءِ، فَأَنْصَتَ عَلِيٌّ علیه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 فَأَعَادَ ابْنُ الْكَوَّاءِ فَأَنْصَتَ عَلِيٌّ علیه السلام </w:t>
      </w:r>
      <w:r>
        <w:rPr>
          <w:rStyle w:val="FootnoteAnchor"/>
          <w:rtl w:val="true"/>
        </w:rPr>
        <w:footnoteReference w:id="118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يَسْتَخِفَّتَكَ الَّذِينَ لَا يُوْقِنُوْنَ ، ثُمَّ أَتَمَّ السُّوْرَةَ، ثُمَّ رَكَعَ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ابن بكير بن أعين </w:t>
      </w:r>
      <w:r>
        <w:rPr>
          <w:rStyle w:val="FootnoteAnchor"/>
          <w:rtl w:val="true"/>
        </w:rPr>
        <w:footnoteReference w:id="1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النَّاصِبِ يُؤمُّنَا، مَاذَا تَقُوْلُ فِي الصَّلَاةِ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جَهَرَ فَأَنْصِتْ لِلْقُرْآنِ وَ اسْتَمِعْ ، ثُمَّ ارْكَعْ وَ اسْجُدْ أَنْتَ </w:t>
      </w:r>
      <w:r>
        <w:rPr>
          <w:rStyle w:val="FootnoteAnchor"/>
          <w:rtl w:val="true"/>
        </w:rPr>
        <w:footnoteReference w:id="1183"/>
      </w:r>
      <w:r>
        <w:rPr>
          <w:rFonts w:ascii="Amiri" w:hAnsi="Amiri" w:eastAsia="Amiri" w:cs="Amiri"/>
          <w:color w:val="111111"/>
          <w:sz w:val="28"/>
          <w:sz w:val="28"/>
          <w:szCs w:val="28"/>
          <w:rtl w:val="true"/>
          <w:lang w:bidi="ar-SA"/>
        </w:rPr>
        <w:t xml:space="preserve">لِنَفْسِكَ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زرارة عن أبي جعفر علية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w:t>
      </w:r>
      <w:r>
        <w:rPr>
          <w:rStyle w:val="FootnoteAnchor"/>
          <w:rtl w:val="true"/>
        </w:rPr>
        <w:footnoteReference w:id="1185"/>
      </w:r>
      <w:r>
        <w:rPr>
          <w:rFonts w:ascii="Amiri" w:hAnsi="Amiri" w:eastAsia="Amiri" w:cs="Amiri"/>
          <w:color w:val="111111"/>
          <w:sz w:val="28"/>
          <w:sz w:val="28"/>
          <w:szCs w:val="28"/>
          <w:rtl w:val="true"/>
          <w:lang w:bidi="ar-SA"/>
        </w:rPr>
        <w:t>تُصَلِّي خَلْفَ النَّاصِبِ وَ لَا تَقْرَأَ خَلْفَهُ فِيمَا يَجْهَرُ فِيْهِ؛ فَإِنَّ قِرَاءَتَهُ تُجْزِيْكَ إِذَا سَمِعْتَهَا</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النقيض لما قدمنا ، مخالفة لما عليه الطائفة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علمائنا؛ فإن ظاهرهم الإطباق على وجوب القراءة و عدم وجوب الإنصات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فحملها شيخ التهذيبين </w:t>
      </w:r>
      <w:r>
        <w:rPr>
          <w:rStyle w:val="FootnoteAnchor"/>
          <w:rtl w:val="true"/>
        </w:rPr>
        <w:footnoteReference w:id="1187"/>
      </w:r>
      <w:r>
        <w:rPr>
          <w:rFonts w:ascii="Amiri" w:hAnsi="Amiri" w:eastAsia="Amiri" w:cs="Amiri"/>
          <w:color w:val="111111"/>
          <w:sz w:val="28"/>
          <w:sz w:val="28"/>
          <w:szCs w:val="28"/>
          <w:rtl w:val="true"/>
          <w:lang w:bidi="ar-SA"/>
        </w:rPr>
        <w:t xml:space="preserve">على شدة التقية و الخوف من القراءة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وإن تم في بعضها، لكن صحيحة ابن وهب التي قدمناها الحاكية لقضية ابن الكواء مما لا يتأتى فيها؛ لأن الإنصات وقع من علي علیه السلام لقراءة ابن الكواء مع كونه إماما و ذاك مأموما، و ليس المحل بمحل قراءة، فلا يكون بمحل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هذا الخبر قد رواه العياشي </w:t>
      </w:r>
      <w:r>
        <w:rPr>
          <w:rStyle w:val="FootnoteAnchor"/>
          <w:rtl w:val="true"/>
        </w:rPr>
        <w:footnoteReference w:id="1190"/>
      </w:r>
      <w:r>
        <w:rPr>
          <w:rFonts w:ascii="Amiri" w:hAnsi="Amiri" w:eastAsia="Amiri" w:cs="Amiri"/>
          <w:color w:val="111111"/>
          <w:sz w:val="28"/>
          <w:sz w:val="28"/>
          <w:szCs w:val="28"/>
          <w:rtl w:val="true"/>
          <w:lang w:bidi="ar-SA"/>
        </w:rPr>
        <w:t xml:space="preserve">بعدة طرق متضمن لهذه القضية </w:t>
      </w:r>
      <w:r>
        <w:rPr>
          <w:rStyle w:val="FootnoteAnchor"/>
          <w:rtl w:val="true"/>
        </w:rPr>
        <w:footnoteReference w:id="1191"/>
      </w:r>
      <w:r>
        <w:rPr>
          <w:rFonts w:ascii="Amiri" w:hAnsi="Amiri" w:eastAsia="Amiri" w:cs="Amiri"/>
          <w:color w:val="111111"/>
          <w:sz w:val="28"/>
          <w:sz w:val="28"/>
          <w:szCs w:val="28"/>
          <w:rtl w:val="true"/>
          <w:lang w:bidi="ar-SA"/>
        </w:rPr>
        <w:t>، فلا يكون خبرا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إن هذه الأخبار الأخيرة مؤيدة بظاهر القرآن </w:t>
      </w:r>
      <w:r>
        <w:rPr>
          <w:rStyle w:val="FootnoteAnchor"/>
          <w:rtl w:val="true"/>
        </w:rPr>
        <w:footnoteReference w:id="1192"/>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قُرِئَ الْقُرْآنُ فَاسْتَمِعُوا لَهُ وَأَنْصِتُوا</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زرارة المروية في الفقيه و التهذيب </w:t>
      </w:r>
      <w:r>
        <w:rPr>
          <w:rStyle w:val="FootnoteAnchor"/>
          <w:rtl w:val="true"/>
        </w:rPr>
        <w:footnoteReference w:id="1194"/>
      </w:r>
      <w:r>
        <w:rPr>
          <w:rFonts w:ascii="Amiri" w:hAnsi="Amiri" w:eastAsia="Amiri" w:cs="Amiri"/>
          <w:color w:val="111111"/>
          <w:sz w:val="28"/>
          <w:sz w:val="28"/>
          <w:szCs w:val="28"/>
          <w:rtl w:val="true"/>
          <w:lang w:bidi="ar-SA"/>
        </w:rPr>
        <w:t xml:space="preserve">قد خصصت عموم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Style w:val="FootnoteAnchor"/>
          <w:rtl w:val="true"/>
        </w:rPr>
        <w:footnoteReference w:id="1195"/>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خَلْفَ إِمَامٍ فَلَا تَقْرَأَنَّ شَيْئًا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الْأَخِيرَتَيْنِ </w:t>
      </w:r>
      <w:r>
        <w:rPr>
          <w:rStyle w:val="FootnoteAnchor"/>
          <w:rtl w:val="true"/>
        </w:rPr>
        <w:footnoteReference w:id="1196"/>
      </w:r>
      <w:r>
        <w:rPr>
          <w:rFonts w:ascii="Amiri" w:hAnsi="Amiri" w:eastAsia="Amiri" w:cs="Amiri"/>
          <w:color w:val="111111"/>
          <w:sz w:val="28"/>
          <w:sz w:val="28"/>
          <w:szCs w:val="28"/>
          <w:rtl w:val="true"/>
          <w:lang w:bidi="ar-SA"/>
        </w:rPr>
        <w:t xml:space="preserve">، فَإِنَّ اللَّهَ </w:t>
      </w:r>
      <w:r>
        <w:rPr>
          <w:rStyle w:val="FootnoteAnchor"/>
          <w:rtl w:val="true"/>
        </w:rPr>
        <w:footnoteReference w:id="1197"/>
      </w:r>
      <w:r>
        <w:rPr>
          <w:rFonts w:ascii="Amiri" w:hAnsi="Amiri" w:eastAsia="Amiri" w:cs="Amiri"/>
          <w:color w:val="111111"/>
          <w:sz w:val="28"/>
          <w:sz w:val="28"/>
          <w:szCs w:val="28"/>
          <w:rtl w:val="true"/>
          <w:lang w:bidi="ar-SA"/>
        </w:rPr>
        <w:t>يَقُولُ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يَعْنِي فِي الْفَرِيْضَةِ خَلْفِ الْإِمَامِ </w:t>
      </w:r>
      <w:r>
        <w:rPr>
          <w:rStyle w:val="FootnoteAnchor"/>
          <w:rtl w:val="true"/>
        </w:rPr>
        <w:footnoteReference w:id="1198"/>
      </w:r>
      <w:r>
        <w:rPr>
          <w:rFonts w:ascii="Amiri" w:hAnsi="Amiri" w:eastAsia="Amiri" w:cs="Amiri"/>
          <w:color w:val="111111"/>
          <w:sz w:val="28"/>
          <w:sz w:val="28"/>
          <w:szCs w:val="28"/>
          <w:rtl w:val="true"/>
          <w:lang w:bidi="ar-SA"/>
        </w:rPr>
        <w:t>فَاسْتَمِعُوْا لَهُ وَ أَنْصِتُوا لَعَلَّكُمْ تُرْحَمُونَ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9"/>
      </w:r>
      <w:r>
        <w:rPr>
          <w:rFonts w:ascii="IRNazanin" w:hAnsi="IRNazanin" w:eastAsia="IRNazanin"/>
          <w:color w:val="111111"/>
          <w:sz w:val="28"/>
          <w:sz w:val="28"/>
          <w:szCs w:val="28"/>
          <w:rtl w:val="true"/>
          <w:lang w:bidi="fa-IR"/>
        </w:rPr>
        <w:t xml:space="preserve">، و روى الطبرسي في مجمع البيان مرسلًا عنهم علیهم السلام نحو ذلك </w:t>
      </w:r>
      <w:r>
        <w:rPr>
          <w:rStyle w:val="FootnoteAnchor"/>
          <w:rtl w:val="true"/>
        </w:rPr>
        <w:footnoteReference w:id="1200"/>
      </w:r>
      <w:r>
        <w:rPr>
          <w:rFonts w:ascii="IRNazanin" w:hAnsi="IRNazanin" w:eastAsia="IRNazanin"/>
          <w:color w:val="111111"/>
          <w:sz w:val="28"/>
          <w:sz w:val="28"/>
          <w:szCs w:val="28"/>
          <w:rtl w:val="true"/>
          <w:lang w:bidi="fa-IR"/>
        </w:rPr>
        <w:t xml:space="preserve">، و روى أيضًا استحباب الإنصات في غير هذه الصورة كما عليه المشهور من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الصحيحة و إن كان ظاهرها التخصيص لعموم القرآن مع تأييدها بتينك المرسلتين، لكن روى العياشي و غيره أخبارًا مسندة عنهم علیهم السلام دالة على وجوب الإنصات خلف الإمام و غيره، فيكون </w:t>
      </w:r>
      <w:r>
        <w:rPr>
          <w:rStyle w:val="FootnoteAnchor"/>
          <w:rtl w:val="true"/>
        </w:rPr>
        <w:footnoteReference w:id="1201"/>
      </w:r>
      <w:r>
        <w:rPr>
          <w:rFonts w:ascii="Amiri" w:hAnsi="Amiri" w:eastAsia="Amiri" w:cs="Amiri"/>
          <w:color w:val="111111"/>
          <w:sz w:val="28"/>
          <w:sz w:val="28"/>
          <w:szCs w:val="28"/>
          <w:rtl w:val="true"/>
          <w:lang w:bidi="ar-SA"/>
        </w:rPr>
        <w:t xml:space="preserve">الآية بمقتضاها باقية على العموم، مع احتمال أن </w:t>
      </w:r>
      <w:r>
        <w:rPr>
          <w:rStyle w:val="FootnoteAnchor"/>
          <w:rtl w:val="true"/>
        </w:rPr>
        <w:footnoteReference w:id="120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الصحيحة من كلام الراوي على مقتضى ما ظهر له من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حكاه الطبرسي بتلك المنزلة؛ لأنه نقل الحديث بالمعنى، وكثيرًا ما ينقل في ذلك التفسير أخبارًا مرسلة بالمعنى على مقتضى ما ظهر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بمقتضى هذا التحقيق قوة الاشكال في التئام تلك الأخبار لظهور قوة التعارض من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عندي في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العمل على الأخبار الدالة على وجوب الانصات حال سماعه القراءة الجهرية، و حمل تلك الأخبار الآمرة </w:t>
      </w:r>
      <w:r>
        <w:rPr>
          <w:rStyle w:val="FootnoteAnchor"/>
          <w:rtl w:val="true"/>
        </w:rPr>
        <w:footnoteReference w:id="1203"/>
      </w:r>
      <w:r>
        <w:rPr>
          <w:rFonts w:ascii="IRNazanin" w:hAnsi="IRNazanin" w:eastAsia="IRNazanin"/>
          <w:color w:val="111111"/>
          <w:sz w:val="28"/>
          <w:sz w:val="28"/>
          <w:szCs w:val="28"/>
          <w:rtl w:val="true"/>
          <w:lang w:bidi="fa-IR"/>
        </w:rPr>
        <w:t>بالقراءة على وقت فراغه كما تدل عليه قضية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ينافي تصريحهم علیهم السلام في الأولى بالتنصيص على قراءته سمع أو لم يسمع؛ لأنها لم تكن دالة على تعيين قراءته في ذلك الوقت بعينه، بل ذلك التنصيص منهم علیهم السلام للتنبيه على عدم الاكتفاء بقراءته، بل عليه أن يقرأ لنفسه إذا تمكن من القراءة لنفسه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هذا الجمع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r>
        <w:rPr>
          <w:rStyle w:val="FootnoteAnchor"/>
          <w:rtl w:val="true"/>
        </w:rPr>
        <w:footnoteReference w:id="1205"/>
      </w:r>
      <w:r>
        <w:rPr>
          <w:rFonts w:ascii="Amiri" w:hAnsi="Amiri" w:eastAsia="Amiri" w:cs="Amiri"/>
          <w:color w:val="111111"/>
          <w:sz w:val="28"/>
          <w:sz w:val="28"/>
          <w:szCs w:val="28"/>
          <w:rtl w:val="true"/>
          <w:lang w:bidi="ar-SA"/>
        </w:rPr>
        <w:t xml:space="preserve">تماميته في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الأخبار</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السابقة ما هو شاهد بقراءته في تلك الحال أيضًا، إلا أن الأخبار الأولة لما كانت مشهورة العمل مع كون هذا المصلي المظهر للقدوة منفردًا في الحقيقة، و لا صلاة إلا بفاتحة الكتاب كما هو معلوم من مذهبنا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العمل عليها و طرح ما خالفها أولى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فانكشف لك بهذا التحقيق أمر السؤال، و ما احتوى عليه ذلك المقال من الفروع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من أن المحاباة و المداراة كافية في جواز تلك القدوة ليس كذلك، بل لابد من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الموجبة لذلك، اللهم إلا أن تكون التقية تحصل بتينك الحالتين؛ لأن أسبابها كثيرة في البين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العالم بالصواب، و إليه المرجع و المآب</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2523_39785"/>
      <w:bookmarkStart w:id="101" w:name="pg2523_39785"/>
      <w:bookmarkEnd w:id="101"/>
    </w:p>
    <w:p>
      <w:pPr>
        <w:pStyle w:val="Heading2"/>
        <w:numPr>
          <w:ilvl w:val="1"/>
          <w:numId w:val="1"/>
        </w:numPr>
        <w:rPr/>
      </w:pPr>
      <w:bookmarkStart w:id="102" w:name="pg2523_39785"/>
      <w:bookmarkStart w:id="103" w:name="__RefHeading___Toc4264872_3804643083"/>
      <w:bookmarkStart w:id="104" w:name="_Toc34"/>
      <w:bookmarkEnd w:id="102"/>
      <w:bookmarkEnd w:id="103"/>
      <w:r>
        <w:rPr>
          <w:rtl w:val="true"/>
        </w:rPr>
        <w:t xml:space="preserve">المسألة الرابعة </w:t>
      </w:r>
      <w:r>
        <w:rPr>
          <w:rtl w:val="true"/>
        </w:rPr>
        <w:t>: [</w:t>
      </w:r>
      <w:r>
        <w:rPr>
          <w:rtl w:val="true"/>
        </w:rPr>
        <w:t>في تحقيق معنى العصير المحرم عند غليانه</w:t>
      </w:r>
      <w:r>
        <w:rPr>
          <w:rtl w:val="true"/>
        </w:rPr>
        <w:t>]</w:t>
      </w:r>
      <w:bookmarkEnd w:id="104"/>
    </w:p>
    <w:p>
      <w:pPr>
        <w:pStyle w:val="Heading3"/>
        <w:numPr>
          <w:ilvl w:val="2"/>
          <w:numId w:val="1"/>
        </w:numPr>
        <w:rPr/>
      </w:pPr>
      <w:bookmarkStart w:id="105" w:name="__RefHeading___Toc4264874_3804643083"/>
      <w:bookmarkStart w:id="106" w:name="_Toc35"/>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ثم قال سلمه الله، و أطال بقاه، وجعل في مدارج العلياء ارتقاه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التقي المحدث العاملي رحمه لله ذكر في الوسائل بابًا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تحريم العصير العنبي و التمري و غيرهما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 فما مراده من غيرهما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الزبيب و الحصرم، أو جميع الفواكه رطبًا و يابسًا كالتين و نحوه؟ وهذا مما يؤدي الى الحرج في الدين، و ما سمعنا بهذا قائلا من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و منه </w:t>
      </w:r>
      <w:r>
        <w:rPr>
          <w:rStyle w:val="FootnoteAnchor"/>
          <w:rtl w:val="true"/>
        </w:rPr>
        <w:footnoteReference w:id="1209"/>
      </w:r>
      <w:r>
        <w:rPr>
          <w:rFonts w:ascii="Amiri" w:hAnsi="Amiri" w:eastAsia="Amiri" w:cs="Amiri"/>
          <w:color w:val="111111"/>
          <w:sz w:val="28"/>
          <w:sz w:val="28"/>
          <w:szCs w:val="28"/>
          <w:rtl w:val="true"/>
          <w:lang w:bidi="ar-SA"/>
        </w:rPr>
        <w:t>سبحانه إصابة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و لا مين في أن العبارة محتملة لذينك الوجهين، غير أن الأول هو المناسب لفتوى الطائفة و ما عليه فقهاؤنا كافة، و الثاني هو الظاهر من العبارة المذكورة؛ إخلادًا لما فهم من الأحاديث المشهورة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 رحمه الله في كتابه </w:t>
      </w:r>
      <w:r>
        <w:rPr>
          <w:rStyle w:val="FootnoteAnchor"/>
          <w:rtl w:val="true"/>
        </w:rPr>
        <w:footnoteReference w:id="1210"/>
      </w:r>
      <w:r>
        <w:rPr>
          <w:rFonts w:ascii="Amiri" w:hAnsi="Amiri" w:eastAsia="Amiri" w:cs="Amiri"/>
          <w:color w:val="111111"/>
          <w:sz w:val="28"/>
          <w:sz w:val="28"/>
          <w:szCs w:val="28"/>
          <w:rtl w:val="true"/>
          <w:lang w:bidi="ar-SA"/>
        </w:rPr>
        <w:t>بداية الهداية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كل </w:t>
      </w:r>
      <w:bookmarkStart w:id="107" w:name="pg2523_39787"/>
    </w:p>
    <w:p>
      <w:pPr>
        <w:pStyle w:val="BookText"/>
        <w:rPr/>
      </w:pPr>
      <w:bookmarkEnd w:id="107"/>
      <w:r>
        <w:rPr>
          <w:rFonts w:ascii="Amiri" w:hAnsi="Amiri" w:eastAsia="Amiri" w:cs="Amiri"/>
          <w:color w:val="111111"/>
          <w:sz w:val="28"/>
          <w:sz w:val="28"/>
          <w:szCs w:val="28"/>
          <w:rtl w:val="true"/>
          <w:lang w:bidi="ar-SA"/>
        </w:rPr>
        <w:t>عصير غلى حتى يذهب ثلثاه فيحل</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 من غير أن يتعرض لذكر العنبي و التمري و الزبيبي </w:t>
      </w:r>
      <w:r>
        <w:rPr>
          <w:rStyle w:val="FootnoteAnchor"/>
          <w:rtl w:val="true"/>
        </w:rPr>
        <w:footnoteReference w:id="1212"/>
      </w:r>
      <w:r>
        <w:rPr>
          <w:rFonts w:ascii="Amiri" w:hAnsi="Amiri" w:eastAsia="Amiri" w:cs="Amiri"/>
          <w:color w:val="111111"/>
          <w:sz w:val="28"/>
          <w:sz w:val="28"/>
          <w:szCs w:val="28"/>
          <w:rtl w:val="true"/>
          <w:lang w:bidi="ar-SA"/>
        </w:rPr>
        <w:t>، و ما ذاك إلا لفهمه التعميم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تحقيق هذين الاحتمالين يتوقف على تحقيق ما ذكروه في معنى العصير و حقيقته، و الكشف عن المأخذ في ذلك، وذكر ما استند اليه المشهور و اعتمده هنالك، فنقول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264876_3804643083"/>
      <w:bookmarkStart w:id="109" w:name="_Toc36"/>
      <w:bookmarkEnd w:id="108"/>
      <w:r>
        <w:rPr>
          <w:rtl w:val="true"/>
        </w:rPr>
        <w:t>[</w:t>
      </w:r>
      <w:r>
        <w:rPr>
          <w:rtl w:val="true"/>
        </w:rPr>
        <w:t>ذكر الأدلة الواردة في المسألة</w:t>
      </w:r>
      <w:r>
        <w:rPr>
          <w:rtl w:val="true"/>
        </w:rPr>
        <w:t>]</w:t>
      </w:r>
      <w:bookmarkEnd w:id="109"/>
    </w:p>
    <w:p>
      <w:pPr>
        <w:pStyle w:val="BookText"/>
        <w:rPr/>
      </w:pPr>
      <w:r>
        <w:rPr>
          <w:rFonts w:ascii="Amiri" w:hAnsi="Amiri" w:eastAsia="Amiri" w:cs="Amiri"/>
          <w:color w:val="111111"/>
          <w:sz w:val="28"/>
          <w:sz w:val="28"/>
          <w:szCs w:val="28"/>
          <w:rtl w:val="true"/>
          <w:lang w:bidi="ar-SA"/>
        </w:rPr>
        <w:t>إن الأدلة التي جاءت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عام في العصير بالنظر إلى الحقيقة اللغوية، و منها خاص هو نص في العنبي، و منها خاص و هو ظاهر في الزبيبي، و منها خاص يدعى ظهوره في التمري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صحيحة عبد الله بن سنان </w:t>
      </w:r>
      <w:r>
        <w:rPr>
          <w:rStyle w:val="FootnoteAnchor"/>
          <w:rtl w:val="true"/>
        </w:rPr>
        <w:footnoteReference w:id="1213"/>
      </w:r>
      <w:r>
        <w:rPr>
          <w:rFonts w:ascii="Amiri" w:hAnsi="Amiri" w:eastAsia="Amiri" w:cs="Amiri"/>
          <w:color w:val="111111"/>
          <w:sz w:val="28"/>
          <w:sz w:val="28"/>
          <w:szCs w:val="28"/>
          <w:rtl w:val="true"/>
          <w:lang w:bidi="ar-SA"/>
        </w:rPr>
        <w:t xml:space="preserve">على ما في التهذيب، و حسنته </w:t>
      </w:r>
      <w:r>
        <w:rPr>
          <w:rStyle w:val="FootnoteAnchor"/>
          <w:rtl w:val="true"/>
        </w:rPr>
        <w:footnoteReference w:id="1214"/>
      </w:r>
      <w:r>
        <w:rPr>
          <w:rFonts w:ascii="Amiri" w:hAnsi="Amiri" w:eastAsia="Amiri" w:cs="Amiri"/>
          <w:color w:val="111111"/>
          <w:sz w:val="28"/>
          <w:sz w:val="28"/>
          <w:szCs w:val="28"/>
          <w:rtl w:val="true"/>
          <w:lang w:bidi="ar-SA"/>
        </w:rPr>
        <w:t xml:space="preserve">على ما في الكافي عن أبي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شُرْبِ الْعَصِيْرِ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اشْرَبْهُ </w:t>
      </w:r>
      <w:r>
        <w:rPr>
          <w:rStyle w:val="FootnoteAnchor"/>
          <w:rtl w:val="true"/>
        </w:rPr>
        <w:footnoteReference w:id="1215"/>
      </w:r>
      <w:r>
        <w:rPr>
          <w:rFonts w:ascii="Amiri" w:hAnsi="Amiri" w:eastAsia="Amiri" w:cs="Amiri"/>
          <w:color w:val="111111"/>
          <w:sz w:val="28"/>
          <w:sz w:val="28"/>
          <w:szCs w:val="28"/>
          <w:rtl w:val="true"/>
          <w:lang w:bidi="ar-SA"/>
        </w:rPr>
        <w:t>مَا لم يَغْلِ ، فَإِذَا عَلَى فَلَا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 شيءٍ الغَلَيَانُ؟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حسنته </w:t>
      </w:r>
      <w:r>
        <w:rPr>
          <w:rStyle w:val="FootnoteAnchor"/>
          <w:rtl w:val="true"/>
        </w:rPr>
        <w:footnoteReference w:id="1217"/>
      </w:r>
      <w:r>
        <w:rPr>
          <w:rFonts w:ascii="Amiri" w:hAnsi="Amiri" w:eastAsia="Amiri" w:cs="Amiri"/>
          <w:color w:val="111111"/>
          <w:sz w:val="28"/>
          <w:sz w:val="28"/>
          <w:szCs w:val="28"/>
          <w:rtl w:val="true"/>
          <w:lang w:bidi="ar-SA"/>
        </w:rPr>
        <w:t>على ما في الكافي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ذريح على ما في التهذيب و الكافي </w:t>
      </w:r>
      <w:r>
        <w:rPr>
          <w:rStyle w:val="FootnoteAnchor"/>
          <w:rtl w:val="true"/>
        </w:rPr>
        <w:footnoteReference w:id="1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 الْعَصِيْرُ أَوْ غلَى حَرُمَ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مرسلة محمد بن الهيثم </w:t>
      </w:r>
      <w:r>
        <w:rPr>
          <w:rStyle w:val="FootnoteAnchor"/>
          <w:rtl w:val="true"/>
        </w:rPr>
        <w:footnoteReference w:id="1221"/>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الْعَصِيرِ يُطْبَخُ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يَغْلِيَ مِنْ سَاعَتِهِ، فَيَشْرَبُهُ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عَنْ حَالِهِ وَ غلَى فَلَا خَيْرَ فِيْهِ حَتَّى يَذْهَبَ ثُلُثَاهُ وَ يَبْقَى ثلثه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حسنة عبد الله بن سنان </w:t>
      </w:r>
      <w:r>
        <w:rPr>
          <w:rStyle w:val="FootnoteAnchor"/>
          <w:rtl w:val="true"/>
        </w:rPr>
        <w:footnoteReference w:id="1225"/>
      </w:r>
      <w:r>
        <w:rPr>
          <w:rFonts w:ascii="Amiri" w:hAnsi="Amiri" w:eastAsia="Amiri" w:cs="Amiri"/>
          <w:color w:val="111111"/>
          <w:sz w:val="28"/>
          <w:sz w:val="28"/>
          <w:szCs w:val="28"/>
          <w:rtl w:val="true"/>
          <w:lang w:bidi="ar-SA"/>
        </w:rPr>
        <w:t>على ما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العَصِيْرَ إِذَا طُبِخَ حَتَّى يَذْهَبَ ثُلُثَاهُ و َيَبْقَى ثلثه فَهُوَ حَلَالٌ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أما الثاني فأخباره كثيرة، ولنقتصر على البعض منها لعدم الحاجة الى الإتيان على آخرها؛ إذ لا ريبة في تحريمه؛ للإطباق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w:t>
      </w:r>
      <w:r>
        <w:rPr>
          <w:rStyle w:val="FootnoteAnchor"/>
          <w:rtl w:val="true"/>
        </w:rPr>
        <w:footnoteReference w:id="1227"/>
      </w:r>
      <w:r>
        <w:rPr>
          <w:rFonts w:ascii="Amiri" w:hAnsi="Amiri" w:eastAsia="Amiri" w:cs="Amiri"/>
          <w:color w:val="111111"/>
          <w:sz w:val="28"/>
          <w:sz w:val="28"/>
          <w:szCs w:val="28"/>
          <w:rtl w:val="true"/>
          <w:lang w:bidi="ar-SA"/>
        </w:rPr>
        <w:t>على ما في الكافي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زَادَ الطَّلاءُ </w:t>
      </w:r>
      <w:r>
        <w:rPr>
          <w:rStyle w:val="FootnoteAnchor"/>
          <w:rtl w:val="true"/>
        </w:rPr>
        <w:footnoteReference w:id="1228"/>
      </w:r>
      <w:r>
        <w:rPr>
          <w:rFonts w:ascii="Amiri" w:hAnsi="Amiri" w:eastAsia="Amiri" w:cs="Amiri"/>
          <w:color w:val="111111"/>
          <w:sz w:val="28"/>
          <w:sz w:val="28"/>
          <w:szCs w:val="28"/>
          <w:rtl w:val="true"/>
          <w:lang w:bidi="ar-SA"/>
        </w:rPr>
        <w:t xml:space="preserve">عَلَى الثَّلْثِ </w:t>
      </w:r>
      <w:r>
        <w:rPr>
          <w:rStyle w:val="FootnoteAnchor"/>
          <w:rtl w:val="true"/>
        </w:rPr>
        <w:footnoteReference w:id="1229"/>
      </w:r>
      <w:r>
        <w:rPr>
          <w:rFonts w:ascii="Amiri" w:hAnsi="Amiri" w:eastAsia="Amiri" w:cs="Amiri"/>
          <w:color w:val="111111"/>
          <w:sz w:val="28"/>
          <w:sz w:val="28"/>
          <w:szCs w:val="28"/>
          <w:rtl w:val="true"/>
          <w:lang w:bidi="ar-SA"/>
        </w:rPr>
        <w:t xml:space="preserve">فَهُوَ حَرَامٌ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ومرسلته </w:t>
      </w:r>
      <w:r>
        <w:rPr>
          <w:rStyle w:val="FootnoteAnchor"/>
          <w:rtl w:val="true"/>
        </w:rPr>
        <w:footnoteReference w:id="1231"/>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زَادَ الطَّلاءُ </w:t>
      </w:r>
      <w:r>
        <w:rPr>
          <w:rStyle w:val="FootnoteAnchor"/>
          <w:rtl w:val="true"/>
        </w:rPr>
        <w:footnoteReference w:id="1232"/>
      </w:r>
      <w:r>
        <w:rPr>
          <w:rFonts w:ascii="Amiri" w:hAnsi="Amiri" w:eastAsia="Amiri" w:cs="Amiri"/>
          <w:color w:val="111111"/>
          <w:sz w:val="28"/>
          <w:sz w:val="28"/>
          <w:szCs w:val="28"/>
          <w:rtl w:val="true"/>
          <w:lang w:bidi="ar-SA"/>
        </w:rPr>
        <w:t xml:space="preserve">عَلَى الثَّلَاثِ أُوْقِيَةً فَهُوَ حَرَامٌ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الطَّلاءِ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1236"/>
      </w:r>
      <w:r>
        <w:rPr>
          <w:rFonts w:ascii="Amiri" w:hAnsi="Amiri" w:eastAsia="Amiri" w:cs="Amiri"/>
          <w:color w:val="111111"/>
          <w:sz w:val="28"/>
          <w:sz w:val="28"/>
          <w:szCs w:val="28"/>
          <w:rtl w:val="true"/>
          <w:lang w:bidi="ar-SA"/>
        </w:rPr>
        <w:t>طُبِخَ حَتَّى يَذْهَبَ مِنْهُ اثْنَانِ وَيَبْقَى وَاحِدٌ فَهُوَف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حَلَالٌ، و َمَا كَانَ دُونَ ذَلِكَ فَلَيْسَ فِيهِ خَيْرٌ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ابن وهب </w:t>
      </w:r>
      <w:r>
        <w:rPr>
          <w:rStyle w:val="FootnoteAnchor"/>
          <w:rtl w:val="true"/>
        </w:rPr>
        <w:footnoteReference w:id="1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البُخْتُج </w:t>
      </w:r>
      <w:r>
        <w:rPr>
          <w:rStyle w:val="FootnoteAnchor"/>
          <w:rtl w:val="true"/>
        </w:rPr>
        <w:footnoteReference w:id="1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1240"/>
      </w:r>
      <w:r>
        <w:rPr>
          <w:rFonts w:ascii="Amiri" w:hAnsi="Amiri" w:eastAsia="Amiri" w:cs="Amiri"/>
          <w:color w:val="111111"/>
          <w:sz w:val="28"/>
          <w:sz w:val="28"/>
          <w:szCs w:val="28"/>
          <w:rtl w:val="true"/>
          <w:lang w:bidi="ar-SA"/>
        </w:rPr>
        <w:t xml:space="preserve">كَانَ حُلُوا يُخَضِبُ الإِناءَ و َقَالَ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ثُلُثَاهُ و َبَقِيَ ثُلْتُهُ</w:t>
      </w:r>
    </w:p>
    <w:p>
      <w:pPr>
        <w:pStyle w:val="BookText"/>
        <w:rPr/>
      </w:pPr>
      <w:r>
        <w:rPr>
          <w:rFonts w:ascii="Amiri" w:hAnsi="Amiri" w:eastAsia="Amiri" w:cs="Amiri"/>
          <w:color w:val="111111"/>
          <w:sz w:val="28"/>
          <w:sz w:val="28"/>
          <w:szCs w:val="28"/>
          <w:rtl w:val="true"/>
          <w:lang w:bidi="ar-SA"/>
        </w:rPr>
        <w:t>فَاشْرَب</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1242"/>
      </w:r>
      <w:r>
        <w:rPr>
          <w:rFonts w:ascii="Amiri" w:hAnsi="Amiri" w:eastAsia="Amiri" w:cs="Amiri"/>
          <w:color w:val="111111"/>
          <w:sz w:val="28"/>
          <w:sz w:val="28"/>
          <w:szCs w:val="28"/>
          <w:rtl w:val="true"/>
          <w:lang w:bidi="ar-SA"/>
        </w:rPr>
        <w:t xml:space="preserve">أخبار العلل المروية في الكافي و كتاب العلل </w:t>
      </w:r>
      <w:r>
        <w:rPr>
          <w:rStyle w:val="FootnoteAnchor"/>
          <w:rtl w:val="true"/>
        </w:rPr>
        <w:footnoteReference w:id="1243"/>
      </w:r>
      <w:r>
        <w:rPr>
          <w:rFonts w:ascii="IRNazanin" w:hAnsi="IRNazanin" w:eastAsia="IRNazanin"/>
          <w:color w:val="111111"/>
          <w:sz w:val="28"/>
          <w:sz w:val="28"/>
          <w:szCs w:val="28"/>
          <w:rtl w:val="true"/>
          <w:lang w:bidi="fa-IR"/>
        </w:rPr>
        <w:t xml:space="preserve">بعدة أسانيد عنهم علیه السلام ، فإنها كلها موردها العصير العنبي؛ لسوقها لبيان علة تحريمه إذا غلى إلى أن يذهب ثلثاه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فموثقة عمار الساباطي </w:t>
      </w:r>
      <w:r>
        <w:rPr>
          <w:rStyle w:val="FootnoteAnchor"/>
          <w:rtl w:val="true"/>
        </w:rPr>
        <w:footnoteReference w:id="1245"/>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لي أَبو عَبْدِ اللهِ علیه السلام المطبُوحَ كَيْفَ يُطْبَخُ حَتَّى يَصِيرَ حَلَالًا،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تَأْخُذُ </w:t>
      </w:r>
      <w:r>
        <w:rPr>
          <w:rStyle w:val="FootnoteAnchor"/>
          <w:rtl w:val="true"/>
        </w:rPr>
        <w:footnoteReference w:id="1246"/>
      </w:r>
      <w:r>
        <w:rPr>
          <w:rFonts w:ascii="Amiri" w:hAnsi="Amiri" w:eastAsia="Amiri" w:cs="Amiri"/>
          <w:color w:val="111111"/>
          <w:sz w:val="28"/>
          <w:sz w:val="28"/>
          <w:szCs w:val="28"/>
          <w:rtl w:val="true"/>
          <w:lang w:bidi="ar-SA"/>
        </w:rPr>
        <w:t xml:space="preserve">رُبُعًا مِنْ زَبِيْبٍ وَ تُنَقيْهِ، ثُمَّ تَصُبُّ </w:t>
      </w:r>
      <w:r>
        <w:rPr>
          <w:rStyle w:val="FootnoteAnchor"/>
          <w:rtl w:val="true"/>
        </w:rPr>
        <w:footnoteReference w:id="1247"/>
      </w:r>
      <w:r>
        <w:rPr>
          <w:rFonts w:ascii="Amiri" w:hAnsi="Amiri" w:eastAsia="Amiri" w:cs="Amiri"/>
          <w:color w:val="111111"/>
          <w:sz w:val="28"/>
          <w:sz w:val="28"/>
          <w:szCs w:val="28"/>
          <w:rtl w:val="true"/>
          <w:lang w:bidi="ar-SA"/>
        </w:rPr>
        <w:t xml:space="preserve">عَلَيْهِ اثْنَي عَشَر رُطلًا مِنْ مَاءٍ، ثُمَّ تُنْقِعُهُ </w:t>
      </w:r>
      <w:r>
        <w:rPr>
          <w:rStyle w:val="FootnoteAnchor"/>
          <w:rtl w:val="true"/>
        </w:rPr>
        <w:footnoteReference w:id="1248"/>
      </w:r>
      <w:r>
        <w:rPr>
          <w:rFonts w:ascii="Amiri" w:hAnsi="Amiri" w:eastAsia="Amiri" w:cs="Amiri"/>
          <w:color w:val="111111"/>
          <w:sz w:val="28"/>
          <w:sz w:val="28"/>
          <w:szCs w:val="28"/>
          <w:rtl w:val="true"/>
          <w:lang w:bidi="ar-SA"/>
        </w:rPr>
        <w:t xml:space="preserve">لَيْلا </w:t>
      </w:r>
      <w:r>
        <w:rPr>
          <w:rStyle w:val="FootnoteAnchor"/>
          <w:rtl w:val="true"/>
        </w:rPr>
        <w:footnoteReference w:id="1249"/>
      </w:r>
      <w:r>
        <w:rPr>
          <w:rFonts w:ascii="Amiri" w:hAnsi="Amiri" w:eastAsia="Amiri" w:cs="Amiri"/>
          <w:color w:val="111111"/>
          <w:sz w:val="28"/>
          <w:sz w:val="28"/>
          <w:szCs w:val="28"/>
          <w:rtl w:val="true"/>
          <w:lang w:bidi="ar-SA"/>
        </w:rPr>
        <w:t xml:space="preserve">، فَإِذَا كَانَ أَيَّامُ الصَّيْفِ وَ خَشِيْتَ أَنْ 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فِي تَنُّوْرٍ مُسَخَّنِ </w:t>
      </w:r>
      <w:r>
        <w:rPr>
          <w:rStyle w:val="FootnoteAnchor"/>
          <w:rtl w:val="true"/>
        </w:rPr>
        <w:footnoteReference w:id="1250"/>
      </w:r>
      <w:r>
        <w:rPr>
          <w:rFonts w:ascii="Amiri" w:hAnsi="Amiri" w:eastAsia="Amiri" w:cs="Amiri"/>
          <w:color w:val="111111"/>
          <w:sz w:val="28"/>
          <w:sz w:val="28"/>
          <w:szCs w:val="28"/>
          <w:rtl w:val="true"/>
          <w:lang w:bidi="ar-SA"/>
        </w:rPr>
        <w:t xml:space="preserve">قَلِيْلاً حَتَّى لَا يَنُشَّ، ثُمَّ تَنْزِعُ الماءَ مِنْهُ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إِذَا أَصْبَحْتَ، ثم تصُبُّ </w:t>
      </w:r>
      <w:r>
        <w:rPr>
          <w:rStyle w:val="FootnoteAnchor"/>
          <w:rtl w:val="true"/>
        </w:rPr>
        <w:footnoteReference w:id="1252"/>
      </w:r>
      <w:r>
        <w:rPr>
          <w:rFonts w:ascii="Amiri" w:hAnsi="Amiri" w:eastAsia="Amiri" w:cs="Amiri"/>
          <w:color w:val="111111"/>
          <w:sz w:val="28"/>
          <w:sz w:val="28"/>
          <w:szCs w:val="28"/>
          <w:rtl w:val="true"/>
          <w:lang w:bidi="ar-SA"/>
        </w:rPr>
        <w:t xml:space="preserve">عَلَيْهِ مِنَ الماءِ قَدْرَ </w:t>
      </w:r>
      <w:r>
        <w:rPr>
          <w:rStyle w:val="FootnoteAnchor"/>
          <w:rtl w:val="true"/>
        </w:rPr>
        <w:footnoteReference w:id="1253"/>
      </w:r>
      <w:r>
        <w:rPr>
          <w:rFonts w:ascii="Amiri" w:hAnsi="Amiri" w:eastAsia="Amiri" w:cs="Amiri"/>
          <w:color w:val="111111"/>
          <w:sz w:val="28"/>
          <w:sz w:val="28"/>
          <w:szCs w:val="28"/>
          <w:rtl w:val="true"/>
          <w:lang w:bidi="ar-SA"/>
        </w:rPr>
        <w:t xml:space="preserve">مَا يَغمِرُهُ، ثُمَّ تَغْلِيْهِ حَتَّى تَذْهَبَ حَلَاوَتُهُ، ثُمَّ تَنْزِعُ مَاءَهُ </w:t>
      </w:r>
      <w:r>
        <w:rPr>
          <w:rStyle w:val="FootnoteAnchor"/>
          <w:rtl w:val="true"/>
        </w:rPr>
        <w:footnoteReference w:id="1254"/>
      </w:r>
      <w:r>
        <w:rPr>
          <w:rFonts w:ascii="Amiri" w:hAnsi="Amiri" w:eastAsia="Amiri" w:cs="Amiri"/>
          <w:color w:val="111111"/>
          <w:sz w:val="28"/>
          <w:sz w:val="28"/>
          <w:szCs w:val="28"/>
          <w:rtl w:val="true"/>
          <w:lang w:bidi="ar-SA"/>
        </w:rPr>
        <w:t xml:space="preserve">الْآخَرَ فَتَصُبُّهُ عَلَى المَاءِ الْأَوَّلِ </w:t>
      </w:r>
      <w:r>
        <w:rPr>
          <w:rStyle w:val="FootnoteAnchor"/>
          <w:rtl w:val="true"/>
        </w:rPr>
        <w:footnoteReference w:id="1255"/>
      </w:r>
      <w:r>
        <w:rPr>
          <w:rFonts w:ascii="Amiri" w:hAnsi="Amiri" w:eastAsia="Amiri" w:cs="Amiri"/>
          <w:color w:val="111111"/>
          <w:sz w:val="28"/>
          <w:sz w:val="28"/>
          <w:szCs w:val="28"/>
          <w:rtl w:val="true"/>
          <w:lang w:bidi="ar-SA"/>
        </w:rPr>
        <w:t xml:space="preserve">، ثُمَّ تَكِيْلُهُ كُلَّهُ فَتَنْظُرُ كَم الماءُ، ثُمَّ تَكِيْلُ ثُلُثَهُ فَتَطْرَحُهُ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حديثا طويلا حتى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تَزَالُ تَغْلِيْهِ حَتَّى يَذْهَبَ الثَّلُثَانِ وَ يَبْقَى الثُّلُثُ </w:t>
      </w:r>
      <w:r>
        <w:rPr>
          <w:rFonts w:eastAsia="Amiri" w:cs="Amiri" w:ascii="Amiri" w:hAnsi="Amiri"/>
          <w:color w:val="111111"/>
          <w:sz w:val="28"/>
          <w:szCs w:val="28"/>
          <w:rtl w:val="true"/>
          <w:lang w:bidi="ar-SA"/>
        </w:rPr>
        <w:t>»</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موثقته الأخرى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إسماعيل ابن الفضل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إِلَى أَبِيْ عَبْدِ اللهِ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قَرَاقِرَ تُصِيبُنِي فِي مَعِدَتِي، وَ قِلَّةَ اسْتِمْرَائِي الطَّعَامَ،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تَأْخُذُ </w:t>
      </w:r>
      <w:r>
        <w:rPr>
          <w:rStyle w:val="FootnoteAnchor"/>
          <w:rtl w:val="true"/>
        </w:rPr>
        <w:footnoteReference w:id="1258"/>
      </w:r>
      <w:r>
        <w:rPr>
          <w:rFonts w:ascii="Amiri" w:hAnsi="Amiri" w:eastAsia="Amiri" w:cs="Amiri"/>
          <w:color w:val="111111"/>
          <w:sz w:val="28"/>
          <w:sz w:val="28"/>
          <w:szCs w:val="28"/>
          <w:rtl w:val="true"/>
          <w:lang w:bidi="ar-SA"/>
        </w:rPr>
        <w:t xml:space="preserve">نَبِيْذا تَشْرَبُهُ </w:t>
      </w:r>
      <w:r>
        <w:rPr>
          <w:rStyle w:val="FootnoteAnchor"/>
          <w:rtl w:val="true"/>
        </w:rPr>
        <w:footnoteReference w:id="1259"/>
      </w:r>
      <w:r>
        <w:rPr>
          <w:rFonts w:ascii="Amiri" w:hAnsi="Amiri" w:eastAsia="Amiri" w:cs="Amiri"/>
          <w:color w:val="111111"/>
          <w:sz w:val="28"/>
          <w:sz w:val="28"/>
          <w:szCs w:val="28"/>
          <w:rtl w:val="true"/>
          <w:lang w:bidi="ar-SA"/>
        </w:rPr>
        <w:t>؟ ثم ذكر له أن يأخذ صاعًا من زبيب، وذكر عمله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اطْبَخْ </w:t>
      </w:r>
      <w:r>
        <w:rPr>
          <w:rStyle w:val="FootnoteAnchor"/>
          <w:rtl w:val="true"/>
        </w:rPr>
        <w:footnoteReference w:id="1260"/>
      </w:r>
      <w:r>
        <w:rPr>
          <w:rFonts w:ascii="Amiri" w:hAnsi="Amiri" w:eastAsia="Amiri" w:cs="Amiri"/>
          <w:color w:val="111111"/>
          <w:sz w:val="28"/>
          <w:sz w:val="28"/>
          <w:szCs w:val="28"/>
          <w:rtl w:val="true"/>
          <w:lang w:bidi="ar-SA"/>
        </w:rPr>
        <w:t>طَبْخًا رَفِيقًا حَتَّى يَذْهَبَ ثُلُثَاهُ، و َيَبْقَى ثُلُثُهُ الحديث</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مرسلة إسحاق بن عمار </w:t>
      </w:r>
      <w:r>
        <w:rPr>
          <w:rStyle w:val="FootnoteAnchor"/>
          <w:rtl w:val="true"/>
        </w:rPr>
        <w:footnoteReference w:id="1262"/>
      </w:r>
      <w:r>
        <w:rPr>
          <w:rFonts w:ascii="Amiri" w:hAnsi="Amiri" w:eastAsia="Amiri" w:cs="Amiri"/>
          <w:color w:val="111111"/>
          <w:sz w:val="28"/>
          <w:sz w:val="28"/>
          <w:szCs w:val="28"/>
          <w:rtl w:val="true"/>
          <w:lang w:bidi="ar-SA"/>
        </w:rPr>
        <w:t>المروية في الكافي و كتاب طب الأئمة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إِلَى أَبِي عَبْدِ اللَّهِ علیه السلام بَعْضَ الْوَجَعِ، وَ قُلْتُ لَهُ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وَصَفَ لِي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الزَّبِيْبَ و َأَصُبُّ عَلَيْهِ الماءَ لِلْوَاحِدِ اثْنَيْنِ </w:t>
      </w:r>
      <w:r>
        <w:rPr>
          <w:rStyle w:val="FootnoteAnchor"/>
          <w:rtl w:val="true"/>
        </w:rPr>
        <w:footnoteReference w:id="1264"/>
      </w:r>
      <w:r>
        <w:rPr>
          <w:rFonts w:ascii="Amiri" w:hAnsi="Amiri" w:eastAsia="Amiri" w:cs="Amiri"/>
          <w:color w:val="111111"/>
          <w:sz w:val="28"/>
          <w:sz w:val="28"/>
          <w:szCs w:val="28"/>
          <w:rtl w:val="true"/>
          <w:lang w:bidi="ar-SA"/>
        </w:rPr>
        <w:t xml:space="preserve">، ثُمَّ أَصْبُّ عَلَيْهِ الْعَسَلَ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رواية زيد </w:t>
      </w:r>
      <w:r>
        <w:rPr>
          <w:rStyle w:val="FootnoteAnchor"/>
          <w:rtl w:val="true"/>
        </w:rPr>
        <w:footnoteReference w:id="1266"/>
      </w:r>
      <w:r>
        <w:rPr>
          <w:rFonts w:ascii="Amiri" w:hAnsi="Amiri" w:eastAsia="Amiri" w:cs="Amiri"/>
          <w:color w:val="111111"/>
          <w:sz w:val="28"/>
          <w:sz w:val="28"/>
          <w:szCs w:val="28"/>
          <w:rtl w:val="true"/>
          <w:lang w:bidi="ar-SA"/>
        </w:rPr>
        <w:t>النرسي المروية في أصله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علیه السلام</w:t>
      </w:r>
    </w:p>
    <w:p>
      <w:pPr>
        <w:pStyle w:val="BookText"/>
        <w:rPr/>
      </w:pPr>
      <w:r>
        <w:rPr>
          <w:rFonts w:ascii="Amiri" w:hAnsi="Amiri" w:eastAsia="Amiri" w:cs="Amiri"/>
          <w:color w:val="111111"/>
          <w:sz w:val="28"/>
          <w:sz w:val="28"/>
          <w:szCs w:val="28"/>
          <w:rtl w:val="true"/>
          <w:lang w:bidi="ar-SA"/>
        </w:rPr>
        <w:t>عَن الزَّبَيْبِ يُدَقِّ وَ يُلْقَى فِي الْقِدْرِ، ثُمَّ يُصَبُّ عَلَيْهِ الماءُ وَ يُوْقَدُ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حَتَّى يَذْهَبَ الثَّلُثَانِ و َيَبْقَى الثَّلُثُ، فَإِنَّ النَّارَ قَدْ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فَالزَّبيْبُ كَمَا هُوَ يُلْقَى فِي الْقِدْرِ وَ يُصَبُّ </w:t>
      </w:r>
      <w:r>
        <w:rPr>
          <w:rStyle w:val="FootnoteAnchor"/>
          <w:rtl w:val="true"/>
        </w:rPr>
        <w:footnoteReference w:id="1267"/>
      </w:r>
      <w:r>
        <w:rPr>
          <w:rFonts w:ascii="Amiri" w:hAnsi="Amiri" w:eastAsia="Amiri" w:cs="Amiri"/>
          <w:color w:val="111111"/>
          <w:sz w:val="28"/>
          <w:sz w:val="28"/>
          <w:szCs w:val="28"/>
          <w:rtl w:val="true"/>
          <w:lang w:bidi="ar-SA"/>
        </w:rPr>
        <w:t xml:space="preserve">عَلَيْهِ الماءُ ثُمَّ يُطْبَخُ و َيُصَفّى عَنْهُ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1268"/>
      </w:r>
      <w:r>
        <w:rPr>
          <w:rFonts w:ascii="Amiri" w:hAnsi="Amiri" w:eastAsia="Amiri" w:cs="Amiri"/>
          <w:color w:val="111111"/>
          <w:sz w:val="28"/>
          <w:sz w:val="28"/>
          <w:szCs w:val="28"/>
          <w:rtl w:val="true"/>
          <w:lang w:bidi="ar-SA"/>
        </w:rPr>
        <w:t>هُوَ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أَدَّتِ </w:t>
      </w:r>
      <w:r>
        <w:rPr>
          <w:rStyle w:val="FootnoteAnchor"/>
          <w:rtl w:val="true"/>
        </w:rPr>
        <w:footnoteReference w:id="1269"/>
      </w:r>
      <w:r>
        <w:rPr>
          <w:rFonts w:ascii="Amiri" w:hAnsi="Amiri" w:eastAsia="Amiri" w:cs="Amiri"/>
          <w:color w:val="111111"/>
          <w:sz w:val="28"/>
          <w:sz w:val="28"/>
          <w:szCs w:val="28"/>
          <w:rtl w:val="true"/>
          <w:lang w:bidi="ar-SA"/>
        </w:rPr>
        <w:t xml:space="preserve">الحَلَاوَةُ إِلَى الماءِ وَصَارَ </w:t>
      </w:r>
      <w:r>
        <w:rPr>
          <w:rStyle w:val="FootnoteAnchor"/>
          <w:rtl w:val="true"/>
        </w:rPr>
        <w:footnoteReference w:id="1270"/>
      </w:r>
      <w:r>
        <w:rPr>
          <w:rFonts w:ascii="Amiri" w:hAnsi="Amiri" w:eastAsia="Amiri" w:cs="Amiri"/>
          <w:color w:val="111111"/>
          <w:sz w:val="28"/>
          <w:sz w:val="28"/>
          <w:szCs w:val="28"/>
          <w:rtl w:val="true"/>
          <w:lang w:bidi="ar-SA"/>
        </w:rPr>
        <w:t xml:space="preserve">حُلْوا بِمَنْزِلَةِ الْعَصِيْرِ ثُمَّ نَشَّ مِنْ غَيْرِ أَنْ تُصِيبَهُ النَّارُ فَقَدْ حَرمَ </w:t>
      </w:r>
      <w:r>
        <w:rPr>
          <w:rStyle w:val="FootnoteAnchor"/>
          <w:rtl w:val="true"/>
        </w:rPr>
        <w:footnoteReference w:id="1271"/>
      </w:r>
      <w:r>
        <w:rPr>
          <w:rFonts w:ascii="Amiri" w:hAnsi="Amiri" w:eastAsia="Amiri" w:cs="Amiri"/>
          <w:color w:val="111111"/>
          <w:sz w:val="28"/>
          <w:sz w:val="28"/>
          <w:szCs w:val="28"/>
          <w:rtl w:val="true"/>
          <w:lang w:bidi="ar-SA"/>
        </w:rPr>
        <w:t xml:space="preserve">، وَكَذَلِكَ </w:t>
      </w:r>
      <w:r>
        <w:rPr>
          <w:rStyle w:val="FootnoteAnchor"/>
          <w:rtl w:val="true"/>
        </w:rPr>
        <w:footnoteReference w:id="1272"/>
      </w:r>
      <w:r>
        <w:rPr>
          <w:rFonts w:ascii="Amiri" w:hAnsi="Amiri" w:eastAsia="Amiri" w:cs="Amiri"/>
          <w:color w:val="111111"/>
          <w:sz w:val="28"/>
          <w:sz w:val="28"/>
          <w:szCs w:val="28"/>
          <w:rtl w:val="true"/>
          <w:lang w:bidi="ar-SA"/>
        </w:rPr>
        <w:t xml:space="preserve">إِذَا أَصَابَتْهُ </w:t>
      </w:r>
      <w:r>
        <w:rPr>
          <w:rStyle w:val="FootnoteAnchor"/>
          <w:rtl w:val="true"/>
        </w:rPr>
        <w:footnoteReference w:id="1273"/>
      </w:r>
      <w:r>
        <w:rPr>
          <w:rFonts w:ascii="Amiri" w:hAnsi="Amiri" w:eastAsia="Amiri" w:cs="Amiri"/>
          <w:color w:val="111111"/>
          <w:sz w:val="28"/>
          <w:sz w:val="28"/>
          <w:szCs w:val="28"/>
          <w:rtl w:val="true"/>
          <w:lang w:bidi="ar-SA"/>
        </w:rPr>
        <w:t xml:space="preserve">النَّارُ فَأَغْلَتْهُ </w:t>
      </w:r>
      <w:r>
        <w:rPr>
          <w:rStyle w:val="FootnoteAnchor"/>
          <w:rtl w:val="true"/>
        </w:rPr>
        <w:footnoteReference w:id="1274"/>
      </w:r>
      <w:r>
        <w:rPr>
          <w:rFonts w:ascii="Amiri" w:hAnsi="Amiri" w:eastAsia="Amiri" w:cs="Amiri"/>
          <w:color w:val="111111"/>
          <w:sz w:val="28"/>
          <w:sz w:val="28"/>
          <w:szCs w:val="28"/>
          <w:rtl w:val="true"/>
          <w:lang w:bidi="ar-SA"/>
        </w:rPr>
        <w:t xml:space="preserve">فَقَدْ فَسَدَ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جعفر عن أخيه موسى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الزبِيْبِ هَلْ يَصْلُحُ أَنْ يُطْبَخَ حَتَّى يَخْرُجَ طَعْمُهُ، ثُمَّ يُؤْخَذُ ذَلِكَ الماءُ فَيُطْبَخُ حَتَّى يَخْرُجَ طَعْمُهُ </w:t>
      </w:r>
      <w:r>
        <w:rPr>
          <w:rStyle w:val="FootnoteAnchor"/>
          <w:rtl w:val="true"/>
        </w:rPr>
        <w:footnoteReference w:id="1276"/>
      </w:r>
      <w:r>
        <w:rPr>
          <w:rFonts w:ascii="Amiri" w:hAnsi="Amiri" w:eastAsia="Amiri" w:cs="Amiri"/>
          <w:color w:val="111111"/>
          <w:sz w:val="28"/>
          <w:sz w:val="28"/>
          <w:szCs w:val="28"/>
          <w:rtl w:val="true"/>
          <w:lang w:bidi="ar-SA"/>
        </w:rPr>
        <w:t xml:space="preserve">، ثُمَّ يُؤْخَذُ ذَلِكَ الماءُ فَيُطْبَخُ حَتَّى يَذْهَبَ ثُلُثَاهُ وَ يَبْقَى ثلثه </w:t>
      </w:r>
      <w:r>
        <w:rPr>
          <w:rStyle w:val="FootnoteAnchor"/>
          <w:rtl w:val="true"/>
        </w:rPr>
        <w:footnoteReference w:id="1277"/>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يُرْفَعُ فَيُشْرَبُ </w:t>
      </w:r>
      <w:r>
        <w:rPr>
          <w:rStyle w:val="FootnoteAnchor"/>
          <w:rtl w:val="true"/>
        </w:rPr>
        <w:footnoteReference w:id="1278"/>
      </w:r>
      <w:r>
        <w:rPr>
          <w:rFonts w:ascii="Amiri" w:hAnsi="Amiri" w:eastAsia="Amiri" w:cs="Amiri"/>
          <w:color w:val="111111"/>
          <w:sz w:val="28"/>
          <w:sz w:val="28"/>
          <w:szCs w:val="28"/>
          <w:rtl w:val="true"/>
          <w:lang w:bidi="ar-SA"/>
        </w:rPr>
        <w:t xml:space="preserve">مِنْهُ السُّنَةُ؟ قَالَ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ما وقفت عليه من أخبار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فموثقة عمار الساباطي </w:t>
      </w:r>
      <w:r>
        <w:rPr>
          <w:rStyle w:val="FootnoteAnchor"/>
          <w:rtl w:val="true"/>
        </w:rPr>
        <w:footnoteReference w:id="1281"/>
      </w:r>
      <w:r>
        <w:rPr>
          <w:rFonts w:ascii="Amiri" w:hAnsi="Amiri" w:eastAsia="Amiri" w:cs="Amiri"/>
          <w:color w:val="111111"/>
          <w:sz w:val="28"/>
          <w:sz w:val="28"/>
          <w:szCs w:val="28"/>
          <w:rtl w:val="true"/>
          <w:lang w:bidi="ar-SA"/>
        </w:rPr>
        <w:t>عن أبي عبد الله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النَّضُوْح </w:t>
      </w:r>
      <w:r>
        <w:rPr>
          <w:rStyle w:val="FootnoteAnchor"/>
          <w:rtl w:val="true"/>
        </w:rPr>
        <w:footnoteReference w:id="1282"/>
      </w:r>
      <w:r>
        <w:rPr>
          <w:rFonts w:ascii="Amiri" w:hAnsi="Amiri" w:eastAsia="Amiri" w:cs="Amiri"/>
          <w:color w:val="111111"/>
          <w:sz w:val="28"/>
          <w:sz w:val="28"/>
          <w:szCs w:val="28"/>
          <w:rtl w:val="true"/>
          <w:lang w:bidi="ar-SA"/>
        </w:rPr>
        <w:t xml:space="preserve">المُعَتَّقِ كَيْفَ يُصْنَعُ بِهِ حَتَّى يَحِلَّ </w:t>
      </w:r>
      <w:r>
        <w:rPr>
          <w:rStyle w:val="FootnoteAnchor"/>
          <w:rtl w:val="true"/>
        </w:rPr>
        <w:footnoteReference w:id="12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التَّمْرِ فَأَغْلِهِ حَتَّى يَذْهَبَ ثُلُثَا مَاءِ التَّمْرِ</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حسنة زرارة </w:t>
      </w:r>
      <w:r>
        <w:rPr>
          <w:rStyle w:val="FootnoteAnchor"/>
          <w:rtl w:val="true"/>
        </w:rPr>
        <w:footnoteReference w:id="128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نُوْحًا لما هَبَطَ مِنَ السَّفِينَةِ </w:t>
      </w:r>
      <w:r>
        <w:rPr>
          <w:rStyle w:val="FootnoteAnchor"/>
          <w:rtl w:val="true"/>
        </w:rPr>
        <w:footnoteReference w:id="1286"/>
      </w:r>
      <w:r>
        <w:rPr>
          <w:rFonts w:ascii="Amiri" w:hAnsi="Amiri" w:eastAsia="Amiri" w:cs="Amiri"/>
          <w:color w:val="111111"/>
          <w:sz w:val="28"/>
          <w:sz w:val="28"/>
          <w:szCs w:val="28"/>
          <w:rtl w:val="true"/>
          <w:lang w:bidi="ar-SA"/>
        </w:rPr>
        <w:t xml:space="preserve">غَرَسَ أَغْرُسًا </w:t>
      </w:r>
      <w:r>
        <w:rPr>
          <w:rStyle w:val="FootnoteAnchor"/>
          <w:rtl w:val="true"/>
        </w:rPr>
        <w:footnoteReference w:id="1287"/>
      </w:r>
      <w:r>
        <w:rPr>
          <w:rFonts w:ascii="Amiri" w:hAnsi="Amiri" w:eastAsia="Amiri" w:cs="Amiri"/>
          <w:color w:val="111111"/>
          <w:sz w:val="28"/>
          <w:sz w:val="28"/>
          <w:szCs w:val="28"/>
          <w:rtl w:val="true"/>
          <w:lang w:bidi="ar-SA"/>
        </w:rPr>
        <w:t xml:space="preserve">، وَكَانَ فِيمَا غَرَسَ النَّخْلَهُ </w:t>
      </w:r>
      <w:r>
        <w:rPr>
          <w:rStyle w:val="FootnoteAnchor"/>
          <w:rtl w:val="true"/>
        </w:rPr>
        <w:footnoteReference w:id="1288"/>
      </w:r>
      <w:r>
        <w:rPr>
          <w:rFonts w:ascii="Amiri" w:hAnsi="Amiri" w:eastAsia="Amiri" w:cs="Amiri"/>
          <w:color w:val="111111"/>
          <w:sz w:val="28"/>
          <w:sz w:val="28"/>
          <w:szCs w:val="28"/>
          <w:rtl w:val="true"/>
          <w:lang w:bidi="ar-SA"/>
        </w:rPr>
        <w:t>، فَجَاءَ إِبْلِيسُ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فَقَطَعَهَا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لإِبْلِيسَ</w:t>
      </w:r>
      <w:r>
        <w:rPr>
          <w:rFonts w:eastAsia="Amiri" w:cs="Amiri" w:ascii="Amiri" w:hAnsi="Amiri"/>
          <w:color w:val="111111"/>
          <w:sz w:val="28"/>
          <w:szCs w:val="28"/>
          <w:rtl w:val="true"/>
          <w:lang w:bidi="ar-SA"/>
        </w:rPr>
        <w:t>]</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دَعَاكَ إِلَى قَلْعِهَا، فَوَاللَّهِ مَا غَرَسْتُ غَرْسًا أَحَبَّ إِلَيَّ مِنْهَا، فَوَاللهِ </w:t>
      </w:r>
      <w:r>
        <w:rPr>
          <w:rStyle w:val="FootnoteAnchor"/>
          <w:rtl w:val="true"/>
        </w:rPr>
        <w:footnoteReference w:id="1291"/>
      </w:r>
      <w:r>
        <w:rPr>
          <w:rFonts w:ascii="Amiri" w:hAnsi="Amiri" w:eastAsia="Amiri" w:cs="Amiri"/>
          <w:color w:val="111111"/>
          <w:sz w:val="28"/>
          <w:sz w:val="28"/>
          <w:szCs w:val="28"/>
          <w:rtl w:val="true"/>
          <w:lang w:bidi="ar-SA"/>
        </w:rPr>
        <w:t xml:space="preserve">لَا أَدَعُهَا حَتَّى أَغْرُسَهَا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لَا أَدَعُهَا حَتَّى أَقْلَعَهَا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لَهُ فِيهَا نَصِيبًا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لَهُ فِيْهَا </w:t>
      </w:r>
      <w:r>
        <w:rPr>
          <w:rStyle w:val="FootnoteAnchor"/>
          <w:rtl w:val="true"/>
        </w:rPr>
        <w:footnoteReference w:id="1293"/>
      </w:r>
      <w:r>
        <w:rPr>
          <w:rFonts w:ascii="Amiri" w:hAnsi="Amiri" w:eastAsia="Amiri" w:cs="Amiri"/>
          <w:color w:val="111111"/>
          <w:sz w:val="28"/>
          <w:sz w:val="28"/>
          <w:szCs w:val="28"/>
          <w:rtl w:val="true"/>
          <w:lang w:bidi="ar-SA"/>
        </w:rPr>
        <w:t xml:space="preserve">الثَّلُثَ فَأَبَى أَنْ يَرْضَى، فَجَعَلَ لَهُ النّصْفَ فَأَبَى أَنْ يَرْضَى، وَأَبَى </w:t>
      </w:r>
      <w:r>
        <w:rPr>
          <w:rStyle w:val="FootnoteAnchor"/>
          <w:rtl w:val="true"/>
        </w:rPr>
        <w:footnoteReference w:id="1294"/>
      </w:r>
      <w:r>
        <w:rPr>
          <w:rFonts w:ascii="Amiri" w:hAnsi="Amiri" w:eastAsia="Amiri" w:cs="Amiri"/>
          <w:color w:val="111111"/>
          <w:sz w:val="28"/>
          <w:sz w:val="28"/>
          <w:szCs w:val="28"/>
          <w:rtl w:val="true"/>
          <w:lang w:bidi="ar-SA"/>
        </w:rPr>
        <w:t>نُوْحٌ أَنْ يَزِيدَهُ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رَسُوْلَ اللهِ، فَإِنَّ مِنْكَ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أَنَّهُ قَدْ جَعَلَ لَهُ عَلَيْهَا سُلْطَانًا، فَجَعَلَ 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أَخَذْتَ عَصِيراً فَطَبَخْتَهُ حَتَّى يَذْهَبَ الثَّلُثَانِ نَصِيبٌ الشَّيْطَانِ، فَكُلْ و َاشْرَبْ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أعثر لهم على دليل في التمري سوى ما ذكرناه</w:t>
      </w:r>
      <w:r>
        <w:rPr>
          <w:rFonts w:eastAsia="Amiri" w:cs="Amiri" w:ascii="Amiri" w:hAnsi="Amiri"/>
          <w:color w:val="111111"/>
          <w:sz w:val="28"/>
          <w:szCs w:val="28"/>
          <w:rtl w:val="true"/>
          <w:lang w:bidi="ar-SA"/>
        </w:rPr>
        <w:t xml:space="preserve">. . </w:t>
      </w:r>
      <w:bookmarkStart w:id="110" w:name="pg2523_39808"/>
    </w:p>
    <w:p>
      <w:pPr>
        <w:pStyle w:val="Heading3"/>
        <w:numPr>
          <w:ilvl w:val="2"/>
          <w:numId w:val="1"/>
        </w:numPr>
        <w:rPr/>
      </w:pPr>
      <w:bookmarkStart w:id="111" w:name="__RefHeading___Toc4264878_3804643083"/>
      <w:bookmarkStart w:id="112" w:name="_Toc37"/>
      <w:bookmarkEnd w:id="110"/>
      <w:bookmarkEnd w:id="111"/>
      <w:r>
        <w:rPr>
          <w:rtl w:val="true"/>
        </w:rPr>
        <w:t>[</w:t>
      </w:r>
      <w:r>
        <w:rPr>
          <w:rtl w:val="true"/>
        </w:rPr>
        <w:t>دعوى الوضع الشرعي في لفظ العصير</w:t>
      </w:r>
      <w:r>
        <w:rPr>
          <w:rtl w:val="true"/>
        </w:rPr>
        <w:t>]</w:t>
      </w:r>
      <w:bookmarkEnd w:id="112"/>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العصير المذكور في الأخبار الأولة، و إن كان بالنظر إلى معناه اللغوي عام في كل ما اعتصر ، إلا أن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الفاضل الحر الموما إليه في السؤال، وجدي الشيخ سليمان قدس سره في بعض أجوبه المسائل و في رسالته </w:t>
      </w:r>
      <w:r>
        <w:rPr>
          <w:rStyle w:val="FootnoteAnchor"/>
          <w:rtl w:val="true"/>
        </w:rPr>
        <w:footnoteReference w:id="1301"/>
      </w:r>
      <w:r>
        <w:rPr>
          <w:rFonts w:ascii="Amiri" w:hAnsi="Amiri" w:eastAsia="Amiri" w:cs="Amiri"/>
          <w:color w:val="111111"/>
          <w:sz w:val="28"/>
          <w:sz w:val="28"/>
          <w:szCs w:val="28"/>
          <w:rtl w:val="true"/>
          <w:lang w:bidi="ar-SA"/>
        </w:rPr>
        <w:t xml:space="preserve">الصلاتية، و غيرها من فوائده و حواشيه، بل ربما ظهر من كلامه أن له رسالة أفردها في هذه </w:t>
      </w:r>
      <w:r>
        <w:rPr>
          <w:rStyle w:val="FootnoteAnchor"/>
          <w:rtl w:val="true"/>
        </w:rPr>
        <w:footnoteReference w:id="1302"/>
      </w:r>
      <w:r>
        <w:rPr>
          <w:rFonts w:ascii="Amiri" w:hAnsi="Amiri" w:eastAsia="Amiri" w:cs="Amiri"/>
          <w:color w:val="111111"/>
          <w:sz w:val="28"/>
          <w:sz w:val="28"/>
          <w:szCs w:val="28"/>
          <w:rtl w:val="true"/>
          <w:lang w:bidi="ar-SA"/>
        </w:rPr>
        <w:t xml:space="preserve">المسألة على تخصيصه بالعنبي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مدعين </w:t>
      </w:r>
      <w:r>
        <w:rPr>
          <w:rStyle w:val="FootnoteAnchor"/>
          <w:rtl w:val="true"/>
        </w:rPr>
        <w:footnoteReference w:id="1303"/>
      </w:r>
      <w:r>
        <w:rPr>
          <w:rFonts w:ascii="Amiri" w:hAnsi="Amiri" w:eastAsia="Amiri" w:cs="Amiri"/>
          <w:color w:val="111111"/>
          <w:sz w:val="28"/>
          <w:sz w:val="28"/>
          <w:szCs w:val="28"/>
          <w:rtl w:val="true"/>
          <w:lang w:bidi="ar-SA"/>
        </w:rPr>
        <w:t xml:space="preserve">في ذلك الوضع الشرعي له، فتكون تلك الكلية الثابتة </w:t>
      </w:r>
      <w:r>
        <w:rPr>
          <w:rStyle w:val="FootnoteAnchor"/>
          <w:rtl w:val="true"/>
        </w:rPr>
        <w:footnoteReference w:id="1304"/>
      </w:r>
      <w:r>
        <w:rPr>
          <w:rFonts w:ascii="Amiri" w:hAnsi="Amiri" w:eastAsia="Amiri" w:cs="Amiri"/>
          <w:color w:val="111111"/>
          <w:sz w:val="28"/>
          <w:sz w:val="28"/>
          <w:szCs w:val="28"/>
          <w:rtl w:val="true"/>
          <w:lang w:bidi="ar-SA"/>
        </w:rPr>
        <w:t>في تلك الصحاح نوعية لا جنسية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بذلك المولى المحقق الأردبيلي في شرح الإرشاد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أن التحريم بالغليان مخصوص بالعصير العنبي، و لا خلاف في حلية عصير غير التمر و الزبيب مثل عصير التفاح و الرمان و إن غلى، ما </w:t>
      </w:r>
      <w:r>
        <w:rPr>
          <w:rStyle w:val="FootnoteAnchor"/>
          <w:rtl w:val="true"/>
        </w:rPr>
        <w:footnoteReference w:id="1305"/>
      </w:r>
      <w:r>
        <w:rPr>
          <w:rFonts w:ascii="Amiri" w:hAnsi="Amiri" w:eastAsia="Amiri" w:cs="Amiri"/>
          <w:color w:val="111111"/>
          <w:sz w:val="28"/>
          <w:sz w:val="28"/>
          <w:szCs w:val="28"/>
          <w:rtl w:val="true"/>
          <w:lang w:bidi="ar-SA"/>
        </w:rPr>
        <w:t xml:space="preserve">لم يكن مسكرًا، و كذا سائر الربوبات، والأصل </w:t>
      </w:r>
      <w:r>
        <w:rPr>
          <w:rStyle w:val="FootnoteAnchor"/>
          <w:rtl w:val="true"/>
        </w:rPr>
        <w:footnoteReference w:id="1306"/>
      </w:r>
      <w:r>
        <w:rPr>
          <w:rFonts w:ascii="Amiri" w:hAnsi="Amiri" w:eastAsia="Amiri" w:cs="Amiri"/>
          <w:color w:val="111111"/>
          <w:sz w:val="28"/>
          <w:sz w:val="28"/>
          <w:szCs w:val="28"/>
          <w:rtl w:val="true"/>
          <w:lang w:bidi="ar-SA"/>
        </w:rPr>
        <w:t>والعمومات و حصر المحرمات مؤيدات، ويدل عليه أيضًا بعض الروايات</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كلام طويل في مقام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دليل صالح للتحريم إلا ما مر من عموم العصير و الظاهر أنهما ليسا بداخلين فيه، و المراد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كما يفهم من كلامهم و من ظاهر الأخبار؛ و لهذا ما قال أحد بالعموم إلا ما أخرجه الدليل، و ما استدل القائل بعدم إباحتهما بتلك العمومات، و ما استدل له بهما أيضًا، فكأن العصير عندهم مخصوص بالعنبي </w:t>
      </w:r>
      <w:r>
        <w:rPr>
          <w:rStyle w:val="FootnoteAnchor"/>
          <w:rtl w:val="true"/>
        </w:rPr>
        <w:footnoteReference w:id="1308"/>
      </w:r>
      <w:r>
        <w:rPr>
          <w:rFonts w:ascii="Amiri" w:hAnsi="Amiri" w:eastAsia="Amiri" w:cs="Amiri"/>
          <w:color w:val="111111"/>
          <w:sz w:val="28"/>
          <w:sz w:val="28"/>
          <w:szCs w:val="28"/>
          <w:rtl w:val="true"/>
          <w:lang w:bidi="ar-SA"/>
        </w:rPr>
        <w:t xml:space="preserve">بالوضع الثاني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حدا حدوه في تلك الدعوى المحقق المجلسي في بحاره، حيث قال بعد أن ذكر سؤالًا حاصله أن الروايات دالة على تحريم العصير بعد الغليان، و هي عامة و مطلقة، شاملة لكل عصير خرج عنه ما حل بالإجماع، كعصير </w:t>
      </w:r>
      <w:r>
        <w:rPr>
          <w:rStyle w:val="FootnoteAnchor"/>
          <w:rtl w:val="true"/>
        </w:rPr>
        <w:footnoteReference w:id="1310"/>
      </w:r>
      <w:r>
        <w:rPr>
          <w:rFonts w:ascii="Amiri" w:hAnsi="Amiri" w:eastAsia="Amiri" w:cs="Amiri"/>
          <w:color w:val="111111"/>
          <w:sz w:val="28"/>
          <w:sz w:val="28"/>
          <w:szCs w:val="28"/>
          <w:rtl w:val="true"/>
          <w:lang w:bidi="ar-SA"/>
        </w:rPr>
        <w:t xml:space="preserve">الرمان و أشباهه، فيبقى </w:t>
      </w:r>
      <w:r>
        <w:rPr>
          <w:rStyle w:val="FootnoteAnchor"/>
          <w:rtl w:val="true"/>
        </w:rPr>
        <w:footnoteReference w:id="1311"/>
      </w:r>
      <w:r>
        <w:rPr>
          <w:rFonts w:ascii="Amiri" w:hAnsi="Amiri" w:eastAsia="Amiri" w:cs="Amiri"/>
          <w:color w:val="111111"/>
          <w:sz w:val="28"/>
          <w:sz w:val="28"/>
          <w:szCs w:val="28"/>
          <w:rtl w:val="true"/>
          <w:lang w:bidi="ar-SA"/>
        </w:rPr>
        <w:t>عصير العنب و التمر داخلين تحت العموم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العصير </w:t>
      </w:r>
      <w:r>
        <w:rPr>
          <w:rStyle w:val="FootnoteAnchor"/>
          <w:rtl w:val="true"/>
        </w:rPr>
        <w:footnoteReference w:id="1313"/>
      </w:r>
      <w:r>
        <w:rPr>
          <w:rFonts w:ascii="Amiri" w:hAnsi="Amiri" w:eastAsia="Amiri" w:cs="Amiri"/>
          <w:color w:val="111111"/>
          <w:sz w:val="28"/>
          <w:sz w:val="28"/>
          <w:szCs w:val="28"/>
          <w:rtl w:val="true"/>
          <w:lang w:bidi="ar-SA"/>
        </w:rPr>
        <w:t>حقيقة لما ينفصل عنها ممنوع؛ إذ لا ينفصل منهما شيء إلا بعد نقعهما في الماء، فلا يسمى عصيرًا إلا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نقيع، و ما ينفصل عن النقيع بلا نقع فهو دبس، و لا يطلق عليه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1314"/>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القوي بعد تتبع الأخبار و كلام الأصحاب بشيوع استعمال العصير بما </w:t>
      </w:r>
      <w:r>
        <w:rPr>
          <w:rStyle w:val="FootnoteAnchor"/>
          <w:rtl w:val="true"/>
        </w:rPr>
        <w:footnoteReference w:id="1316"/>
      </w:r>
      <w:r>
        <w:rPr>
          <w:rFonts w:ascii="IRNazanin" w:hAnsi="IRNazanin" w:eastAsia="IRNazanin"/>
          <w:color w:val="111111"/>
          <w:sz w:val="28"/>
          <w:sz w:val="28"/>
          <w:szCs w:val="28"/>
          <w:rtl w:val="true"/>
          <w:lang w:bidi="fa-IR"/>
        </w:rPr>
        <w:t>يختص بالعنب، و يؤيده ما مر في المقنع و فقه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الصدوق في الفقيه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خمسه أسماء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الكرم، و النقيع، و هو من الزبيب، و نحوه ورد في صحيحة عبدالرحمن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تعين حمل العصير في</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الأخبار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و إن كان مجازًا، حذرًا من ارتكاب التخصيص البعيد الذي قد منع </w:t>
      </w:r>
      <w:r>
        <w:rPr>
          <w:rStyle w:val="FootnoteAnchor"/>
          <w:rtl w:val="true"/>
        </w:rPr>
        <w:footnoteReference w:id="1320"/>
      </w:r>
      <w:r>
        <w:rPr>
          <w:rFonts w:ascii="Amiri" w:hAnsi="Amiri" w:eastAsia="Amiri" w:cs="Amiri"/>
          <w:color w:val="111111"/>
          <w:sz w:val="28"/>
          <w:sz w:val="28"/>
          <w:szCs w:val="28"/>
          <w:rtl w:val="true"/>
          <w:lang w:bidi="ar-SA"/>
        </w:rPr>
        <w:t>صحته جماعة من الأصوليين؛ فإن صدور مثل هذه الكلية عنهم عالم مع خروج أكثر أفراد الموضوع عن الحكم بعيد جدًا</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مسالك الشهيد الثاني ما يقرب من ذلك </w:t>
      </w:r>
      <w:r>
        <w:rPr>
          <w:rStyle w:val="FootnoteAnchor"/>
          <w:rtl w:val="true"/>
        </w:rPr>
        <w:footnoteReference w:id="1322"/>
      </w:r>
      <w:r>
        <w:rPr>
          <w:rFonts w:ascii="Amiri" w:hAnsi="Amiri" w:eastAsia="Amiri" w:cs="Amiri"/>
          <w:color w:val="111111"/>
          <w:sz w:val="28"/>
          <w:sz w:val="28"/>
          <w:szCs w:val="28"/>
          <w:rtl w:val="true"/>
          <w:lang w:bidi="ar-SA"/>
        </w:rPr>
        <w:t>، و إن لم يكن بهذا التنصيص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عبارات المشهور في هذا المقام طافحة بدعوى </w:t>
      </w:r>
      <w:r>
        <w:rPr>
          <w:rStyle w:val="FootnoteAnchor"/>
          <w:rtl w:val="true"/>
        </w:rPr>
        <w:footnoteReference w:id="1323"/>
      </w:r>
      <w:r>
        <w:rPr>
          <w:rFonts w:ascii="Amiri" w:hAnsi="Amiri" w:eastAsia="Amiri" w:cs="Amiri"/>
          <w:color w:val="111111"/>
          <w:sz w:val="28"/>
          <w:sz w:val="28"/>
          <w:szCs w:val="28"/>
          <w:rtl w:val="true"/>
          <w:lang w:bidi="ar-SA"/>
        </w:rPr>
        <w:t>اختصاص العصير بالعنبي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 حقيقة شرعية كما هو دعوى البعض، أو مجازا مشهورًا ينصرف إليه عند الإطلاق؛ فإن كثيرًا من المجازات المشهورة ما يسلك بها مسالك الحقيقة، بل </w:t>
      </w:r>
      <w:r>
        <w:rPr>
          <w:rStyle w:val="FootnoteAnchor"/>
          <w:rtl w:val="true"/>
        </w:rPr>
        <w:footnoteReference w:id="1324"/>
      </w:r>
      <w:r>
        <w:rPr>
          <w:rFonts w:ascii="Amiri" w:hAnsi="Amiri" w:eastAsia="Amiri" w:cs="Amiri"/>
          <w:color w:val="111111"/>
          <w:sz w:val="28"/>
          <w:sz w:val="28"/>
          <w:szCs w:val="28"/>
          <w:rtl w:val="true"/>
          <w:lang w:bidi="ar-SA"/>
        </w:rPr>
        <w:t xml:space="preserve">تغير </w:t>
      </w:r>
      <w:r>
        <w:rPr>
          <w:rStyle w:val="FootnoteAnchor"/>
          <w:rtl w:val="true"/>
        </w:rPr>
        <w:footnoteReference w:id="1325"/>
      </w:r>
      <w:r>
        <w:rPr>
          <w:rFonts w:ascii="Amiri" w:hAnsi="Amiri" w:eastAsia="Amiri" w:cs="Amiri"/>
          <w:color w:val="111111"/>
          <w:sz w:val="28"/>
          <w:sz w:val="28"/>
          <w:szCs w:val="28"/>
          <w:rtl w:val="true"/>
          <w:lang w:bidi="ar-SA"/>
        </w:rPr>
        <w:t xml:space="preserve">الحقيقة في جانبها كالمجاز على ما صرح به جماعة منهم الفاضل ملا عبد الله البشروي في رسالته التي وضعها في الأصول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هذين الدعويين لما كان غير متفق على ثبوتهما ناقش في ذلك جماعة من المحققين، منهم الفاضل الحر العاملي على ما يظهر منه صريحًا في العبارة التي نقلناها عنه من كتاب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العلامة جدي الشيخ سليمان قال في بعض تحقيقاته على شرح الإرشاد للأردبيلي على قوله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أنهما ليسا بداخلين في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للزبيبي و التمري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من أين كانت هذه الظاهرية؟ و لا شك في صدق العصير </w:t>
      </w:r>
      <w:r>
        <w:rPr>
          <w:rStyle w:val="FootnoteAnchor"/>
          <w:rtl w:val="true"/>
        </w:rPr>
        <w:footnoteReference w:id="1327"/>
      </w:r>
      <w:r>
        <w:rPr>
          <w:rFonts w:ascii="Amiri" w:hAnsi="Amiri" w:eastAsia="Amiri" w:cs="Amiri"/>
          <w:color w:val="111111"/>
          <w:sz w:val="28"/>
          <w:sz w:val="28"/>
          <w:szCs w:val="28"/>
          <w:rtl w:val="true"/>
          <w:lang w:bidi="ar-SA"/>
        </w:rPr>
        <w:t xml:space="preserve">عليهما لغةً بل </w:t>
      </w:r>
      <w:r>
        <w:rPr>
          <w:rStyle w:val="FootnoteAnchor"/>
          <w:rtl w:val="true"/>
        </w:rPr>
        <w:footnoteReference w:id="1328"/>
      </w:r>
      <w:r>
        <w:rPr>
          <w:rFonts w:ascii="Amiri" w:hAnsi="Amiri" w:eastAsia="Amiri" w:cs="Amiri"/>
          <w:color w:val="111111"/>
          <w:sz w:val="28"/>
          <w:sz w:val="28"/>
          <w:szCs w:val="28"/>
          <w:rtl w:val="true"/>
          <w:lang w:bidi="ar-SA"/>
        </w:rPr>
        <w:t>عرفا؛ أو ما تسمعهم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و أيضًا فلا نزاع في صدقه عليهما لغةً، و الأصل عدم النقل، و شهادة العرف بالاختصاص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bookmarkStart w:id="113" w:name="pg2523_39816"/>
    </w:p>
    <w:p>
      <w:pPr>
        <w:pStyle w:val="BookText"/>
        <w:rPr/>
      </w:pPr>
      <w:bookmarkEnd w:id="113"/>
      <w:r>
        <w:rPr>
          <w:rFonts w:ascii="Amiri" w:hAnsi="Amiri" w:eastAsia="Amiri" w:cs="Amiri"/>
          <w:color w:val="111111"/>
          <w:sz w:val="28"/>
          <w:sz w:val="28"/>
          <w:szCs w:val="28"/>
          <w:rtl w:val="true"/>
          <w:lang w:bidi="ar-SA"/>
        </w:rPr>
        <w:t>و قد صرح السيد المحقق السيد عبد الله الشوشتري في شرحه على نخبة الكاشي بنحو ذلك، بل ناقش فاضل البحار في تلك الأدلة التي لمح إليها في كلامه على ذلك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 في ذلك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اختصاص العصير بالعنبي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سور الرواية الأولى على عموم الأفراد دون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329"/>
      </w:r>
      <w:r>
        <w:rPr>
          <w:rFonts w:ascii="IRNazanin" w:hAnsi="IRNazanin" w:eastAsia="IRNazanin"/>
          <w:color w:val="111111"/>
          <w:sz w:val="28"/>
          <w:sz w:val="28"/>
          <w:szCs w:val="28"/>
          <w:rtl w:val="true"/>
          <w:lang w:bidi="fa-IR"/>
        </w:rPr>
        <w:t xml:space="preserve">بلزوم </w:t>
      </w:r>
      <w:r>
        <w:rPr>
          <w:rStyle w:val="FootnoteAnchor"/>
          <w:rtl w:val="true"/>
        </w:rPr>
        <w:footnoteReference w:id="1330"/>
      </w:r>
      <w:r>
        <w:rPr>
          <w:rFonts w:ascii="Amiri" w:hAnsi="Amiri" w:eastAsia="Amiri" w:cs="Amiri"/>
          <w:color w:val="111111"/>
          <w:sz w:val="28"/>
          <w:sz w:val="28"/>
          <w:szCs w:val="28"/>
          <w:rtl w:val="true"/>
          <w:lang w:bidi="ar-SA"/>
        </w:rPr>
        <w:t xml:space="preserve">التخصيص الكثير بإخراج أنواع الموضوع 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لاندراجها جميعا تحت الجنس، فلابد من التزام وضع خاص حذرًا من </w:t>
      </w:r>
      <w:r>
        <w:rPr>
          <w:rStyle w:val="FootnoteAnchor"/>
          <w:rtl w:val="true"/>
        </w:rPr>
        <w:footnoteReference w:id="1331"/>
      </w:r>
      <w:r>
        <w:rPr>
          <w:rFonts w:ascii="Amiri" w:hAnsi="Amiri" w:eastAsia="Amiri" w:cs="Amiri"/>
          <w:color w:val="111111"/>
          <w:sz w:val="28"/>
          <w:sz w:val="28"/>
          <w:szCs w:val="28"/>
          <w:rtl w:val="true"/>
          <w:lang w:bidi="ar-SA"/>
        </w:rPr>
        <w:t xml:space="preserve">التزام ما منع منه أكثر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ممنوع باحتمال أن يكون الوضع الخاص بإزاء الأنواع الثلاثة جمعا </w:t>
      </w:r>
      <w:r>
        <w:rPr>
          <w:rStyle w:val="FootnoteAnchor"/>
          <w:rtl w:val="true"/>
        </w:rPr>
        <w:footnoteReference w:id="1332"/>
      </w:r>
      <w:r>
        <w:rPr>
          <w:rFonts w:ascii="Amiri" w:hAnsi="Amiri" w:eastAsia="Amiri" w:cs="Amiri"/>
          <w:color w:val="111111"/>
          <w:sz w:val="28"/>
          <w:sz w:val="28"/>
          <w:szCs w:val="28"/>
          <w:rtl w:val="true"/>
          <w:lang w:bidi="ar-SA"/>
        </w:rPr>
        <w:t xml:space="preserve">دون الأول خاصة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خلاصة ما لهم من المناقشات و الدعاوى من الجانبين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264880_3804643083"/>
      <w:bookmarkStart w:id="115" w:name="_Toc38"/>
      <w:bookmarkEnd w:id="114"/>
      <w:r>
        <w:rPr>
          <w:rtl w:val="true"/>
        </w:rPr>
        <w:t>[</w:t>
      </w:r>
      <w:r>
        <w:rPr>
          <w:rtl w:val="true"/>
        </w:rPr>
        <w:t>المذهب المختار فى حقيقة العصير</w:t>
      </w:r>
      <w:r>
        <w:rPr>
          <w:rtl w:val="true"/>
        </w:rPr>
        <w:t>]</w:t>
      </w:r>
      <w:bookmarkEnd w:id="11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يظهر لي من تتبع الأخبار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العصير بالعنبي اختصاصا شرعيا 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ابن الحجاج </w:t>
      </w:r>
      <w:r>
        <w:rPr>
          <w:rStyle w:val="FootnoteAnchor"/>
          <w:rtl w:val="true"/>
        </w:rPr>
        <w:footnoteReference w:id="1335"/>
      </w:r>
      <w:r>
        <w:rPr>
          <w:rFonts w:ascii="Amiri" w:hAnsi="Amiri" w:eastAsia="Amiri" w:cs="Amiri"/>
          <w:color w:val="111111"/>
          <w:sz w:val="28"/>
          <w:sz w:val="28"/>
          <w:szCs w:val="28"/>
          <w:rtl w:val="true"/>
          <w:lang w:bidi="ar-SA"/>
        </w:rPr>
        <w:t>المومأ إليها في كلام فاضل البحار،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مِنْ </w:t>
      </w:r>
      <w:r>
        <w:rPr>
          <w:rStyle w:val="FootnoteAnchor"/>
          <w:rtl w:val="true"/>
        </w:rPr>
        <w:footnoteReference w:id="1336"/>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مِنَ الْكَرْمِ، وَ النَّقِيْعُ مِنَ الزَّبِيْبِ ، و البِتْعُ مِنَ الْعَسَلِ، و المِزْرُ </w:t>
      </w:r>
      <w:r>
        <w:rPr>
          <w:rStyle w:val="FootnoteAnchor"/>
          <w:rtl w:val="true"/>
        </w:rPr>
        <w:footnoteReference w:id="1337"/>
      </w:r>
      <w:r>
        <w:rPr>
          <w:rFonts w:ascii="Amiri" w:hAnsi="Amiri" w:eastAsia="Amiri" w:cs="Amiri"/>
          <w:color w:val="111111"/>
          <w:sz w:val="28"/>
          <w:sz w:val="28"/>
          <w:szCs w:val="28"/>
          <w:rtl w:val="true"/>
          <w:lang w:bidi="ar-SA"/>
        </w:rPr>
        <w:t>مِنَ الشَّعِيْرِ ، وَالنَّبِيْذُ مِنَ التَّمْرِ</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 مع ما يؤيده من الخبرين المرويين في المقنع </w:t>
      </w:r>
      <w:r>
        <w:rPr>
          <w:rStyle w:val="FootnoteAnchor"/>
          <w:rtl w:val="true"/>
        </w:rPr>
        <w:footnoteReference w:id="1339"/>
      </w:r>
      <w:r>
        <w:rPr>
          <w:rFonts w:ascii="Amiri" w:hAnsi="Amiri" w:eastAsia="Amiri" w:cs="Amiri"/>
          <w:color w:val="111111"/>
          <w:sz w:val="28"/>
          <w:sz w:val="28"/>
          <w:szCs w:val="28"/>
          <w:rtl w:val="true"/>
          <w:lang w:bidi="ar-SA"/>
        </w:rPr>
        <w:t xml:space="preserve">والفقه الرضوي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مثل هذه العبارة هو بيان الحقائق الشرعية، كما أن ظاهرهم الإطباق على أن النبيذ حقيقة شرعية في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 الخبر أن العبارة فيهما واحدة، فحمل أحدهما على الحقيقة دون الآخر تحكم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النرسي الذي مر ذكره في أخبار الزبيب، حيث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أَدَّتِ </w:t>
      </w:r>
      <w:r>
        <w:rPr>
          <w:rStyle w:val="FootnoteAnchor"/>
          <w:rtl w:val="true"/>
        </w:rPr>
        <w:footnoteReference w:id="1341"/>
      </w:r>
      <w:r>
        <w:rPr>
          <w:rFonts w:ascii="Amiri" w:hAnsi="Amiri" w:eastAsia="Amiri" w:cs="Amiri"/>
          <w:color w:val="111111"/>
          <w:sz w:val="28"/>
          <w:sz w:val="28"/>
          <w:szCs w:val="28"/>
          <w:rtl w:val="true"/>
          <w:lang w:bidi="ar-SA"/>
        </w:rPr>
        <w:t>الحَلَاوَةُ إِلى الماءِ وَ صَارَ حُلْوا بِمَنْزِلَةِ 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علیه السلام قد حكم بأن الزبيب عند </w:t>
      </w:r>
      <w:r>
        <w:rPr>
          <w:rStyle w:val="FootnoteAnchor"/>
          <w:rtl w:val="true"/>
        </w:rPr>
        <w:footnoteReference w:id="1342"/>
      </w:r>
      <w:r>
        <w:rPr>
          <w:rFonts w:ascii="Amiri" w:hAnsi="Amiri" w:eastAsia="Amiri" w:cs="Amiri"/>
          <w:color w:val="111111"/>
          <w:sz w:val="28"/>
          <w:sz w:val="28"/>
          <w:szCs w:val="28"/>
          <w:rtl w:val="true"/>
          <w:lang w:bidi="ar-SA"/>
        </w:rPr>
        <w:t xml:space="preserve">تأدية حلاوته إلى </w:t>
      </w:r>
      <w:r>
        <w:rPr>
          <w:rStyle w:val="FootnoteAnchor"/>
          <w:rtl w:val="true"/>
        </w:rPr>
        <w:footnoteReference w:id="1343"/>
      </w:r>
      <w:r>
        <w:rPr>
          <w:rFonts w:ascii="Amiri" w:hAnsi="Amiri" w:eastAsia="Amiri" w:cs="Amiri"/>
          <w:color w:val="111111"/>
          <w:sz w:val="28"/>
          <w:sz w:val="28"/>
          <w:szCs w:val="28"/>
          <w:rtl w:val="true"/>
          <w:lang w:bidi="ar-SA"/>
        </w:rPr>
        <w:t>الماء بمنزلة العصير، فيكون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العصير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الوضع الخاص لكان فيه التشبيه غير جارٍ في محله، و ليس هذا </w:t>
      </w:r>
      <w:r>
        <w:rPr>
          <w:rStyle w:val="FootnoteAnchor"/>
          <w:rtl w:val="true"/>
        </w:rPr>
        <w:footnoteReference w:id="1344"/>
      </w:r>
      <w:r>
        <w:rPr>
          <w:rFonts w:ascii="IRNazanin" w:hAnsi="IRNazanin" w:eastAsia="IRNazanin"/>
          <w:color w:val="111111"/>
          <w:sz w:val="28"/>
          <w:sz w:val="28"/>
          <w:szCs w:val="28"/>
          <w:rtl w:val="true"/>
          <w:lang w:bidi="fa-IR"/>
        </w:rPr>
        <w:t xml:space="preserve">مما يليق بكلام أهل العصمة علیهم السلام ، فتجب </w:t>
      </w:r>
      <w:r>
        <w:rPr>
          <w:rStyle w:val="FootnoteAnchor"/>
          <w:rtl w:val="true"/>
        </w:rPr>
        <w:footnoteReference w:id="1345"/>
      </w:r>
      <w:r>
        <w:rPr>
          <w:rFonts w:ascii="Amiri" w:hAnsi="Amiri" w:eastAsia="Amiri" w:cs="Amiri"/>
          <w:color w:val="111111"/>
          <w:sz w:val="28"/>
          <w:sz w:val="28"/>
          <w:szCs w:val="28"/>
          <w:rtl w:val="true"/>
          <w:lang w:bidi="ar-SA"/>
        </w:rPr>
        <w:t>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التزام التعميم يستدعي القول بتحريم كل عصير سوى الثلاثة إلا ما أخرجه الدليل، كالربوبات و السكنجين </w:t>
      </w:r>
      <w:r>
        <w:rPr>
          <w:rStyle w:val="FootnoteAnchor"/>
          <w:rtl w:val="true"/>
        </w:rPr>
        <w:footnoteReference w:id="1346"/>
      </w:r>
      <w:r>
        <w:rPr>
          <w:rFonts w:ascii="Amiri" w:hAnsi="Amiri" w:eastAsia="Amiri" w:cs="Amiri"/>
          <w:color w:val="111111"/>
          <w:sz w:val="28"/>
          <w:sz w:val="28"/>
          <w:szCs w:val="28"/>
          <w:rtl w:val="true"/>
          <w:lang w:bidi="ar-SA"/>
        </w:rPr>
        <w:t xml:space="preserve">و بعض العقاقير المنصوصة، و هذا مما لا يلتزم القول به </w:t>
      </w:r>
      <w:r>
        <w:rPr>
          <w:rStyle w:val="FootnoteAnchor"/>
          <w:rtl w:val="true"/>
        </w:rPr>
        <w:footnoteReference w:id="1347"/>
      </w:r>
      <w:r>
        <w:rPr>
          <w:rFonts w:ascii="Amiri" w:hAnsi="Amiri" w:eastAsia="Amiri" w:cs="Amiri"/>
          <w:color w:val="111111"/>
          <w:sz w:val="28"/>
          <w:sz w:val="28"/>
          <w:szCs w:val="28"/>
          <w:rtl w:val="true"/>
          <w:lang w:bidi="ar-SA"/>
        </w:rPr>
        <w:t xml:space="preserve">أحد، وإن تراءى من عبارة الحر في الوسائل و البداية و لكن لا أظن أنه </w:t>
      </w:r>
      <w:r>
        <w:rPr>
          <w:rStyle w:val="FootnoteAnchor"/>
          <w:rtl w:val="true"/>
        </w:rPr>
        <w:footnoteReference w:id="1348"/>
      </w:r>
      <w:r>
        <w:rPr>
          <w:rFonts w:ascii="Amiri" w:hAnsi="Amiri" w:eastAsia="Amiri" w:cs="Amiri"/>
          <w:color w:val="111111"/>
          <w:sz w:val="28"/>
          <w:sz w:val="28"/>
          <w:szCs w:val="28"/>
          <w:rtl w:val="true"/>
          <w:lang w:bidi="ar-SA"/>
        </w:rPr>
        <w:t>يلتزمه؛ لنقلهم الإجماع على تحليل ما سوى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الإجماع المدعى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لأن قبول الإجماع للتخصيص ممنوع عند هؤلاء الفضلاء؛ لتصريحهم في كتبهم و مؤلفاتهم بعدم حجية الإجماع؛ لعدم تحققه و أنه شهرة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عليها في الاستدلال، فلا تكون معتمدا في التخصيص</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ذلك الوضع المحتمل لم ينقله أحد، وليس من طرق معرفة الوضع الاحتمال بل النقل </w:t>
      </w:r>
      <w:r>
        <w:rPr>
          <w:rStyle w:val="FootnoteAnchor"/>
          <w:rtl w:val="true"/>
        </w:rPr>
        <w:footnoteReference w:id="1350"/>
      </w:r>
      <w:r>
        <w:rPr>
          <w:rFonts w:ascii="Amiri" w:hAnsi="Amiri" w:eastAsia="Amiri" w:cs="Amiri"/>
          <w:color w:val="111111"/>
          <w:sz w:val="28"/>
          <w:sz w:val="28"/>
          <w:szCs w:val="28"/>
          <w:rtl w:val="true"/>
          <w:lang w:bidi="ar-SA"/>
        </w:rPr>
        <w:t>إما آحادا أو تواترا، فلا سلامة من هذا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بالتزام تخصيص الوضع بالعصير العنبي كما ذكرناه، فتكون هذه الأخبار التي أوردناها أولا مساقة لبيان العصير العنبي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يلتزموا تلك القاعدة من التحريم في كل عصير، و ليس فليس، فيكون ما وقع من الحر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التسديد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في عنوان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بالاحتمال الأول </w:t>
      </w:r>
      <w:r>
        <w:rPr>
          <w:rStyle w:val="FootnoteAnchor"/>
          <w:rtl w:val="true"/>
        </w:rPr>
        <w:footnoteReference w:id="1351"/>
      </w:r>
      <w:r>
        <w:rPr>
          <w:rFonts w:ascii="Amiri" w:hAnsi="Amiri" w:eastAsia="Amiri" w:cs="Amiri"/>
          <w:color w:val="111111"/>
          <w:sz w:val="28"/>
          <w:sz w:val="28"/>
          <w:szCs w:val="28"/>
          <w:rtl w:val="true"/>
          <w:lang w:bidi="ar-SA"/>
        </w:rPr>
        <w:t xml:space="preserve">الموماً اليه في السؤال، إلا أنه غير جارٍ في عبارته في البداية؛ لأنك لو حملت العصير فيها على العنبي على أن يكون ما سواه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طائفة من المتأخرين كشهيد المسالك و من تأخر عنه إلا النادر </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فتواه في الوسائل، و ما اشتهر نقله عنه يدافعانه، اللهم إلا أن يكون ما وقع في البداية رجوعًا عن مذهبه المشهور عنه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في الوسائل و إن كان بعيدًا بالنظر إلى ما نُقِلَ عنه ، إلا أنه أولى من التزامه قاعدة التحريم في كل عصير إلا ما أخرجه الدليل، فيكون مما تفرد به في الفتوى؛ لأن جدّي و إن وافقه في دعوى العموم بالنظر الى إطلاق العصير في تلك الأخبار ، إلا أنه يدعي تقييدها بالثلاثة لدعوى الإجماع على تحليل ما سواها من أنواع العصير و لكن عرفت ما يرد عليه في دعوى التخصيص بمثل هذا الإجماع</w:t>
      </w:r>
      <w:r>
        <w:rPr>
          <w:rFonts w:eastAsia="Amiri" w:cs="Amiri" w:ascii="Amiri" w:hAnsi="Amiri"/>
          <w:color w:val="111111"/>
          <w:sz w:val="28"/>
          <w:szCs w:val="28"/>
          <w:rtl w:val="true"/>
          <w:lang w:bidi="ar-SA"/>
        </w:rPr>
        <w:t xml:space="preserve">.. </w:t>
      </w:r>
      <w:bookmarkStart w:id="116" w:name="pg2523_39824"/>
    </w:p>
    <w:p>
      <w:pPr>
        <w:pStyle w:val="Heading3"/>
        <w:numPr>
          <w:ilvl w:val="2"/>
          <w:numId w:val="1"/>
        </w:numPr>
        <w:rPr/>
      </w:pPr>
      <w:bookmarkStart w:id="117" w:name="__RefHeading___Toc4264882_3804643083"/>
      <w:bookmarkStart w:id="118" w:name="_Toc39"/>
      <w:bookmarkEnd w:id="116"/>
      <w:bookmarkEnd w:id="117"/>
      <w:r>
        <w:rPr>
          <w:rtl w:val="true"/>
        </w:rPr>
        <w:t>[</w:t>
      </w:r>
      <w:r>
        <w:rPr>
          <w:rtl w:val="true"/>
        </w:rPr>
        <w:t xml:space="preserve">حكم العصير الزبيبي وأدلته </w:t>
      </w:r>
      <w:r>
        <w:rPr>
          <w:rtl w:val="true"/>
        </w:rPr>
        <w:t>]</w:t>
      </w:r>
      <w:bookmarkEnd w:id="118"/>
    </w:p>
    <w:p>
      <w:pPr>
        <w:pStyle w:val="BookText"/>
        <w:rPr/>
      </w:pPr>
      <w:r>
        <w:rPr>
          <w:rFonts w:ascii="Amiri" w:hAnsi="Amiri" w:eastAsia="Amiri" w:cs="Amiri"/>
          <w:color w:val="111111"/>
          <w:sz w:val="28"/>
          <w:sz w:val="28"/>
          <w:szCs w:val="28"/>
          <w:rtl w:val="true"/>
          <w:lang w:bidi="ar-SA"/>
        </w:rPr>
        <w:t>إذا تقرر هذا و علمت أن أخبار العصير لا دلالة فيها على ما سوى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تحريم الزبيبي ليس ناشئًا عنها، كما عليه جماعة منهم جدي في رسالته في الصلاة و غيرها حيث قال في تلك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إلحاق الزبيبي به قول قوي، بل لا يبعد إلحاق التمري به؛ لصحيحة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استناده في تحريمها إلى تلك الصحيحة المؤذنة بتحريم كل </w:t>
      </w:r>
      <w:r>
        <w:rPr>
          <w:rStyle w:val="FootnoteAnchor"/>
          <w:rtl w:val="true"/>
        </w:rPr>
        <w:footnoteReference w:id="1353"/>
      </w:r>
      <w:r>
        <w:rPr>
          <w:rFonts w:ascii="Amiri" w:hAnsi="Amiri" w:eastAsia="Amiri" w:cs="Amiri"/>
          <w:color w:val="111111"/>
          <w:sz w:val="28"/>
          <w:sz w:val="28"/>
          <w:szCs w:val="28"/>
          <w:rtl w:val="true"/>
          <w:lang w:bidi="ar-SA"/>
        </w:rPr>
        <w:t>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ذهب إليه المشهور من علمائنا هو التحليل، وهو الذي اختاره المجلسي في بحاره </w:t>
      </w:r>
      <w:r>
        <w:rPr>
          <w:rStyle w:val="FootnoteAnchor"/>
          <w:rtl w:val="true"/>
        </w:rPr>
        <w:footnoteReference w:id="1354"/>
      </w:r>
      <w:r>
        <w:rPr>
          <w:rFonts w:ascii="Amiri" w:hAnsi="Amiri" w:eastAsia="Amiri" w:cs="Amiri"/>
          <w:color w:val="111111"/>
          <w:sz w:val="28"/>
          <w:sz w:val="28"/>
          <w:szCs w:val="28"/>
          <w:rtl w:val="true"/>
          <w:lang w:bidi="ar-SA"/>
        </w:rPr>
        <w:t xml:space="preserve">، و المولى الأردبيلي في شرح الارشاد </w:t>
      </w:r>
      <w:r>
        <w:rPr>
          <w:rStyle w:val="FootnoteAnchor"/>
          <w:rtl w:val="true"/>
        </w:rPr>
        <w:footnoteReference w:id="1355"/>
      </w:r>
      <w:r>
        <w:rPr>
          <w:rFonts w:ascii="Amiri" w:hAnsi="Amiri" w:eastAsia="Amiri" w:cs="Amiri"/>
          <w:color w:val="111111"/>
          <w:sz w:val="28"/>
          <w:sz w:val="28"/>
          <w:szCs w:val="28"/>
          <w:rtl w:val="true"/>
          <w:lang w:bidi="ar-SA"/>
        </w:rPr>
        <w:t xml:space="preserve">، و شهيد المسالك فيها </w:t>
      </w:r>
      <w:r>
        <w:rPr>
          <w:rStyle w:val="FootnoteAnchor"/>
          <w:rtl w:val="true"/>
        </w:rPr>
        <w:footnoteReference w:id="1356"/>
      </w:r>
      <w:r>
        <w:rPr>
          <w:rFonts w:ascii="Amiri" w:hAnsi="Amiri" w:eastAsia="Amiri" w:cs="Amiri"/>
          <w:color w:val="111111"/>
          <w:sz w:val="28"/>
          <w:sz w:val="28"/>
          <w:szCs w:val="28"/>
          <w:rtl w:val="true"/>
          <w:lang w:bidi="ar-SA"/>
        </w:rPr>
        <w:t xml:space="preserve">، و هو الظاهر من الشهيد الأول في دروسه </w:t>
      </w:r>
      <w:r>
        <w:rPr>
          <w:rStyle w:val="FootnoteAnchor"/>
          <w:rtl w:val="true"/>
        </w:rPr>
        <w:footnoteReference w:id="1357"/>
      </w:r>
      <w:r>
        <w:rPr>
          <w:rFonts w:ascii="Amiri" w:hAnsi="Amiri" w:eastAsia="Amiri" w:cs="Amiri"/>
          <w:color w:val="111111"/>
          <w:sz w:val="28"/>
          <w:sz w:val="28"/>
          <w:szCs w:val="28"/>
          <w:rtl w:val="true"/>
          <w:lang w:bidi="ar-SA"/>
        </w:rPr>
        <w:t>، إلا أن في استدلاله على ذلك نظرًا ظاهرًا يأتي بيانه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نقله شهيد الدروس فيها عن بعض مشايخه المعاصرين، و أسنده إلى بعض فضلائنا المتقدمين </w:t>
      </w:r>
      <w:r>
        <w:rPr>
          <w:rStyle w:val="FootnoteAnchor"/>
          <w:rtl w:val="true"/>
        </w:rPr>
        <w:footnoteReference w:id="1358"/>
      </w:r>
      <w:r>
        <w:rPr>
          <w:rFonts w:ascii="Amiri" w:hAnsi="Amiri" w:eastAsia="Amiri" w:cs="Amiri"/>
          <w:color w:val="111111"/>
          <w:sz w:val="28"/>
          <w:sz w:val="28"/>
          <w:szCs w:val="28"/>
          <w:rtl w:val="true"/>
          <w:lang w:bidi="ar-SA"/>
        </w:rPr>
        <w:t xml:space="preserve">، و قد عرفت سابقا أنه مذهب شيخنا الحر في الوسائل، وجدي الشيخ سليمان قدس سره في كثير من </w:t>
      </w:r>
    </w:p>
    <w:p>
      <w:pPr>
        <w:pStyle w:val="BookText"/>
        <w:rPr/>
      </w:pPr>
      <w:r>
        <w:rPr>
          <w:rFonts w:ascii="Amiri" w:hAnsi="Amiri" w:eastAsia="Amiri" w:cs="Amiri"/>
          <w:color w:val="111111"/>
          <w:sz w:val="28"/>
          <w:sz w:val="28"/>
          <w:szCs w:val="28"/>
          <w:rtl w:val="true"/>
          <w:lang w:bidi="ar-SA"/>
        </w:rPr>
        <w:t>الفوائد و أجوبة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نُقِلَ عن العلامة التوقف في ذلك و عدم الجزم بشيء من ذينك المذهبين، إلا أن المفهوم من كتبه التي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وقع له في أجوبة</w:t>
      </w:r>
    </w:p>
    <w:p>
      <w:pPr>
        <w:pStyle w:val="BookText"/>
        <w:rPr/>
      </w:pPr>
      <w:r>
        <w:rPr>
          <w:rFonts w:ascii="Amiri" w:hAnsi="Amiri" w:eastAsia="Amiri" w:cs="Amiri"/>
          <w:color w:val="111111"/>
          <w:sz w:val="28"/>
          <w:sz w:val="28"/>
          <w:szCs w:val="28"/>
          <w:rtl w:val="true"/>
          <w:lang w:bidi="ar-SA"/>
        </w:rPr>
        <w:t xml:space="preserve">السيد السعيد مهنا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الجزم بالتحليل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ذهب الى التحريم على سبيل البت السيد المحقق الأواه السيد عبدالله الشوشتري في شرح نخبة الكاشي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دليل القائلين بالتحليل هو أصالة الإباحة، و عدم كونه عصيرا شرعًا،و لصحيحة أبي بصير </w:t>
      </w:r>
      <w:r>
        <w:rPr>
          <w:rStyle w:val="FootnoteAnchor"/>
          <w:rtl w:val="true"/>
        </w:rPr>
        <w:footnoteReference w:id="13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عبد الله علیه السلام تعجبه الزبيبة</w:t>
      </w:r>
      <w:r>
        <w:rPr>
          <w:rFonts w:eastAsia="IRNazanin" w:cs="IRNazanin"/>
          <w:color w:val="111111"/>
          <w:sz w:val="28"/>
          <w:szCs w:val="28"/>
          <w:rtl w:val="true"/>
          <w:lang w:bidi="fa-IR"/>
        </w:rPr>
        <w:t xml:space="preserve">»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في الحل ؛ لأن </w:t>
      </w:r>
      <w:r>
        <w:rPr>
          <w:rStyle w:val="FootnoteAnchor"/>
          <w:rtl w:val="true"/>
        </w:rPr>
        <w:footnoteReference w:id="1363"/>
      </w:r>
      <w:r>
        <w:rPr>
          <w:rFonts w:ascii="Amiri" w:hAnsi="Amiri" w:eastAsia="Amiri" w:cs="Amiri"/>
          <w:color w:val="111111"/>
          <w:sz w:val="28"/>
          <w:sz w:val="28"/>
          <w:szCs w:val="28"/>
          <w:rtl w:val="true"/>
          <w:lang w:bidi="ar-SA"/>
        </w:rPr>
        <w:t xml:space="preserve">الزبيبة لا يذهب فيها ثلثا </w:t>
      </w:r>
      <w:r>
        <w:rPr>
          <w:rStyle w:val="FootnoteAnchor"/>
          <w:rtl w:val="true"/>
        </w:rPr>
        <w:footnoteReference w:id="1364"/>
      </w:r>
      <w:r>
        <w:rPr>
          <w:rFonts w:ascii="Amiri" w:hAnsi="Amiri" w:eastAsia="Amiri" w:cs="Amiri"/>
          <w:color w:val="111111"/>
          <w:sz w:val="28"/>
          <w:sz w:val="28"/>
          <w:szCs w:val="28"/>
          <w:rtl w:val="true"/>
          <w:lang w:bidi="ar-SA"/>
        </w:rPr>
        <w:t xml:space="preserve">الزبيب كما لا يخفى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استدل شهيد الدروس على تلك الدعوى بدعوى ذهاب ثلثيه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حبه </w:t>
      </w:r>
      <w:r>
        <w:rPr>
          <w:rStyle w:val="FootnoteAnchor"/>
          <w:rtl w:val="true"/>
        </w:rPr>
        <w:footnoteReference w:id="1366"/>
      </w:r>
      <w:r>
        <w:rPr>
          <w:rFonts w:ascii="Amiri" w:hAnsi="Amiri" w:eastAsia="Amiri" w:cs="Amiri"/>
          <w:color w:val="111111"/>
          <w:sz w:val="28"/>
          <w:sz w:val="28"/>
          <w:szCs w:val="28"/>
          <w:rtl w:val="true"/>
          <w:lang w:bidi="ar-SA"/>
        </w:rPr>
        <w:t xml:space="preserve">العنبي بالشمس؛ لتجفيفه رأسًا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اقتفى أثره في هذا الاستدلال الشهيد الثاني </w:t>
      </w:r>
      <w:r>
        <w:rPr>
          <w:rStyle w:val="FootnoteAnchor"/>
          <w:rtl w:val="true"/>
        </w:rPr>
        <w:footnoteReference w:id="1368"/>
      </w:r>
      <w:r>
        <w:rPr>
          <w:rFonts w:ascii="Amiri" w:hAnsi="Amiri" w:eastAsia="Amiri" w:cs="Amiri"/>
          <w:color w:val="111111"/>
          <w:sz w:val="28"/>
          <w:sz w:val="28"/>
          <w:szCs w:val="28"/>
          <w:rtl w:val="true"/>
          <w:lang w:bidi="ar-SA"/>
        </w:rPr>
        <w:t>من غير تفطن لما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الحقيقة لا وجه لهذا الاستدلال؛ لأن غليان ماء العنب في حبه لا اعتداد به </w:t>
      </w:r>
      <w:r>
        <w:rPr>
          <w:rStyle w:val="FootnoteAnchor"/>
          <w:rtl w:val="true"/>
        </w:rPr>
        <w:footnoteReference w:id="1369"/>
      </w:r>
      <w:r>
        <w:rPr>
          <w:rFonts w:ascii="Amiri" w:hAnsi="Amiri" w:eastAsia="Amiri" w:cs="Amiri"/>
          <w:color w:val="111111"/>
          <w:sz w:val="28"/>
          <w:sz w:val="28"/>
          <w:szCs w:val="28"/>
          <w:rtl w:val="true"/>
          <w:lang w:bidi="ar-SA"/>
        </w:rPr>
        <w:t>، لعدم صدق العصير عليه، فالأدلة العامة تقتضي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المولى الأردبيلي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Style w:val="FootnoteAnchor"/>
          <w:rtl w:val="true"/>
        </w:rPr>
        <w:footnoteReference w:id="1370"/>
      </w:r>
      <w:r>
        <w:rPr>
          <w:rFonts w:ascii="Amiri" w:hAnsi="Amiri" w:eastAsia="Amiri" w:cs="Amiri"/>
          <w:color w:val="111111"/>
          <w:sz w:val="28"/>
          <w:sz w:val="28"/>
          <w:szCs w:val="28"/>
          <w:rtl w:val="true"/>
          <w:lang w:bidi="ar-SA"/>
        </w:rPr>
        <w:t>اشتراط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غلى</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معصورًا، فلو غلى ماء العنب في حبه لم يصدق عليه </w:t>
      </w:r>
      <w:r>
        <w:rPr>
          <w:rStyle w:val="FootnoteAnchor"/>
          <w:rtl w:val="true"/>
        </w:rPr>
        <w:footnoteReference w:id="1372"/>
      </w:r>
      <w:r>
        <w:rPr>
          <w:rFonts w:ascii="Amiri" w:hAnsi="Amiri" w:eastAsia="Amiri" w:cs="Amiri"/>
          <w:color w:val="111111"/>
          <w:sz w:val="28"/>
          <w:sz w:val="28"/>
          <w:szCs w:val="28"/>
          <w:rtl w:val="true"/>
          <w:lang w:bidi="ar-SA"/>
        </w:rPr>
        <w:t>أنه عصير غلى، ففي تحريمه تأمل، و لكن صرحوا به فتأمل و الأصل و العمومات و حصر المحرمات دليل التحليل حتى يعلم الناقل</w:t>
      </w:r>
      <w:r>
        <w:rPr>
          <w:rFonts w:eastAsia="Amiri" w:cs="Amiri" w:ascii="Amiri" w:hAnsi="Amiri"/>
          <w:color w:val="111111"/>
          <w:sz w:val="28"/>
          <w:szCs w:val="28"/>
          <w:rtl w:val="true"/>
          <w:lang w:bidi="ar-SA"/>
        </w:rPr>
        <w:t xml:space="preserve">» </w:t>
      </w:r>
      <w:r>
        <w:rPr>
          <w:rStyle w:val="FootnoteAnchor"/>
          <w:rtl w:val="true"/>
        </w:rPr>
        <w:footnoteReference w:id="13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سرى كلام الشهيد و من حدا حدوه في نفوس جماعة من معاصري المجلسي </w:t>
      </w:r>
      <w:r>
        <w:rPr>
          <w:rStyle w:val="FootnoteAnchor"/>
          <w:rtl w:val="true"/>
        </w:rPr>
        <w:footnoteReference w:id="1374"/>
      </w:r>
      <w:r>
        <w:rPr>
          <w:rFonts w:ascii="Amiri" w:hAnsi="Amiri" w:eastAsia="Amiri" w:cs="Amiri"/>
          <w:color w:val="111111"/>
          <w:sz w:val="28"/>
          <w:sz w:val="28"/>
          <w:szCs w:val="28"/>
          <w:rtl w:val="true"/>
          <w:lang w:bidi="ar-SA"/>
        </w:rPr>
        <w:t xml:space="preserve">، فاعتبروا أن غليان الماء في الزبيب نفسه على النار و نحوها و إن لم تؤد حلاوته الى الماء يصير </w:t>
      </w:r>
      <w:r>
        <w:rPr>
          <w:rStyle w:val="FootnoteAnchor"/>
          <w:rtl w:val="true"/>
        </w:rPr>
        <w:footnoteReference w:id="1375"/>
      </w:r>
      <w:r>
        <w:rPr>
          <w:rFonts w:ascii="Amiri" w:hAnsi="Amiri" w:eastAsia="Amiri" w:cs="Amiri"/>
          <w:color w:val="111111"/>
          <w:sz w:val="28"/>
          <w:sz w:val="28"/>
          <w:szCs w:val="28"/>
          <w:rtl w:val="true"/>
          <w:lang w:bidi="ar-SA"/>
        </w:rPr>
        <w:t>عصيراً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المجلسي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bookmarkStart w:id="119" w:name="pg2523_39829"/>
    </w:p>
    <w:p>
      <w:pPr>
        <w:pStyle w:val="BookText"/>
        <w:rPr/>
      </w:pPr>
      <w:bookmarkEnd w:id="119"/>
      <w:r>
        <w:rPr>
          <w:rFonts w:ascii="Amiri" w:hAnsi="Amiri" w:eastAsia="Amiri" w:cs="Amiri"/>
          <w:color w:val="111111"/>
          <w:sz w:val="28"/>
          <w:sz w:val="28"/>
          <w:szCs w:val="28"/>
          <w:rtl w:val="true"/>
          <w:lang w:bidi="ar-SA"/>
        </w:rPr>
        <w:t>بعد أن نقل ذلك عمن نقلنا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تابعه بعض من </w:t>
      </w:r>
      <w:r>
        <w:rPr>
          <w:rStyle w:val="FootnoteAnchor"/>
          <w:rtl w:val="true"/>
        </w:rPr>
        <w:footnoteReference w:id="1377"/>
      </w:r>
      <w:r>
        <w:rPr>
          <w:rFonts w:ascii="Amiri" w:hAnsi="Amiri" w:eastAsia="Amiri" w:cs="Amiri"/>
          <w:color w:val="111111"/>
          <w:sz w:val="28"/>
          <w:sz w:val="28"/>
          <w:szCs w:val="28"/>
          <w:rtl w:val="true"/>
          <w:lang w:bidi="ar-SA"/>
        </w:rPr>
        <w:t>لم يشم رائحة العلم و الفقه من المعاصرين، وهو وهن على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يستدل </w:t>
      </w:r>
      <w:r>
        <w:rPr>
          <w:rStyle w:val="FootnoteAnchor"/>
          <w:rtl w:val="true"/>
        </w:rPr>
        <w:footnoteReference w:id="1378"/>
      </w:r>
      <w:r>
        <w:rPr>
          <w:rFonts w:ascii="IRNazanin" w:hAnsi="IRNazanin" w:eastAsia="IRNazanin"/>
          <w:color w:val="111111"/>
          <w:sz w:val="28"/>
          <w:sz w:val="28"/>
          <w:szCs w:val="28"/>
          <w:rtl w:val="true"/>
          <w:lang w:bidi="fa-IR"/>
        </w:rPr>
        <w:t xml:space="preserve">لهم </w:t>
      </w:r>
      <w:r>
        <w:rPr>
          <w:rStyle w:val="FootnoteAnchor"/>
          <w:rtl w:val="true"/>
        </w:rPr>
        <w:footnoteReference w:id="1379"/>
      </w:r>
      <w:r>
        <w:rPr>
          <w:rFonts w:ascii="Amiri" w:hAnsi="Amiri" w:eastAsia="Amiri" w:cs="Amiri"/>
          <w:color w:val="111111"/>
          <w:sz w:val="28"/>
          <w:sz w:val="28"/>
          <w:szCs w:val="28"/>
          <w:rtl w:val="true"/>
          <w:lang w:bidi="ar-SA"/>
        </w:rPr>
        <w:t xml:space="preserve">بخبر زيد النرسي، و قد عرفت حاله، مع </w:t>
      </w:r>
      <w:r>
        <w:rPr>
          <w:rStyle w:val="FootnoteAnchor"/>
          <w:rtl w:val="true"/>
        </w:rPr>
        <w:footnoteReference w:id="1380"/>
      </w:r>
      <w:r>
        <w:rPr>
          <w:rFonts w:ascii="Amiri" w:hAnsi="Amiri" w:eastAsia="Amiri" w:cs="Amiri"/>
          <w:color w:val="111111"/>
          <w:sz w:val="28"/>
          <w:sz w:val="28"/>
          <w:szCs w:val="28"/>
          <w:rtl w:val="true"/>
          <w:lang w:bidi="ar-SA"/>
        </w:rPr>
        <w:t xml:space="preserve">أنه يدل على النقيض من هذه الدعوى </w:t>
      </w:r>
      <w:r>
        <w:rPr>
          <w:rStyle w:val="FootnoteAnchor"/>
          <w:rtl w:val="true"/>
        </w:rPr>
        <w:footnoteReference w:id="1381"/>
      </w:r>
      <w:r>
        <w:rPr>
          <w:rFonts w:ascii="Amiri" w:hAnsi="Amiri" w:eastAsia="Amiri" w:cs="Amiri"/>
          <w:color w:val="111111"/>
          <w:sz w:val="28"/>
          <w:sz w:val="28"/>
          <w:szCs w:val="28"/>
          <w:rtl w:val="true"/>
          <w:lang w:bidi="ar-SA"/>
        </w:rPr>
        <w:t xml:space="preserve">إذ قصارى دلالاته إنما يحرم إذا أدت الحلاوة الى الماء حتى يصير </w:t>
      </w:r>
      <w:r>
        <w:rPr>
          <w:rStyle w:val="FootnoteAnchor"/>
          <w:rtl w:val="true"/>
        </w:rPr>
        <w:footnoteReference w:id="1382"/>
      </w:r>
      <w:r>
        <w:rPr>
          <w:rFonts w:ascii="Amiri" w:hAnsi="Amiri" w:eastAsia="Amiri" w:cs="Amiri"/>
          <w:color w:val="111111"/>
          <w:sz w:val="28"/>
          <w:sz w:val="28"/>
          <w:szCs w:val="28"/>
          <w:rtl w:val="true"/>
          <w:lang w:bidi="ar-SA"/>
        </w:rPr>
        <w:t xml:space="preserve">بمنزلة العصير كما هو غير خفي على من تأمله </w:t>
      </w:r>
      <w:r>
        <w:rPr>
          <w:rStyle w:val="FootnoteAnchor"/>
          <w:rtl w:val="true"/>
        </w:rPr>
        <w:footnoteReference w:id="1383"/>
      </w:r>
      <w:r>
        <w:rPr>
          <w:rFonts w:ascii="Amiri" w:hAnsi="Amiri" w:eastAsia="Amiri" w:cs="Amiri"/>
          <w:color w:val="111111"/>
          <w:sz w:val="28"/>
          <w:sz w:val="28"/>
          <w:szCs w:val="28"/>
          <w:rtl w:val="true"/>
          <w:lang w:bidi="ar-SA"/>
        </w:rPr>
        <w:t>، فالتمسك به أوهن من بيت العنكبوت و إنه لأوهن البيوت، أو التعلق بسلامة الأمير، وهي من أعظم المحاذير</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مما لا ينبغي الالتفات إليه، ولا التعويل عليه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4264884_3804643083"/>
      <w:bookmarkStart w:id="121" w:name="_Toc40"/>
      <w:bookmarkEnd w:id="120"/>
      <w:r>
        <w:rPr>
          <w:rtl w:val="true"/>
        </w:rPr>
        <w:t>[</w:t>
      </w:r>
      <w:r>
        <w:rPr>
          <w:rtl w:val="true"/>
        </w:rPr>
        <w:t>المختار فى المسألة</w:t>
      </w:r>
      <w:r>
        <w:rPr>
          <w:rtl w:val="true"/>
        </w:rPr>
        <w:t>]</w:t>
      </w:r>
      <w:bookmarkEnd w:id="12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الذي ظهر لي من الأدلة التي مرت آنفًا في القسم الثالث هو التحريم كما عليه أولئك الفحول من المتأخرين؛ لأن أصله العنب، و قد عرفت علة التحريم في أصله، فيكون في الفروع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تخصيص العصير في تلك الأخبار بالعنب؛ لأننا لم نستند في تحريمه إليها، بل إلى ما دل </w:t>
      </w:r>
    </w:p>
    <w:p>
      <w:pPr>
        <w:pStyle w:val="BookText"/>
        <w:rPr/>
      </w:pPr>
      <w:r>
        <w:rPr>
          <w:rFonts w:ascii="Amiri" w:hAnsi="Amiri" w:eastAsia="Amiri" w:cs="Amiri"/>
          <w:color w:val="111111"/>
          <w:sz w:val="28"/>
          <w:sz w:val="28"/>
          <w:szCs w:val="28"/>
          <w:rtl w:val="true"/>
          <w:lang w:bidi="ar-SA"/>
        </w:rPr>
        <w:t xml:space="preserve">منها على علة ذلك التحريم من </w:t>
      </w:r>
      <w:r>
        <w:rPr>
          <w:rStyle w:val="FootnoteAnchor"/>
          <w:rtl w:val="true"/>
        </w:rPr>
        <w:footnoteReference w:id="1385"/>
      </w:r>
      <w:r>
        <w:rPr>
          <w:rFonts w:ascii="Amiri" w:hAnsi="Amiri" w:eastAsia="Amiri" w:cs="Amiri"/>
          <w:color w:val="111111"/>
          <w:sz w:val="28"/>
          <w:sz w:val="28"/>
          <w:szCs w:val="28"/>
          <w:rtl w:val="true"/>
          <w:lang w:bidi="ar-SA"/>
        </w:rPr>
        <w:t>مشاركة إبليس لنوح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موثقات الساباطي و ما ضاهاها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لم تكن نصا في التحريم، و لكن تصلح للتأييد؛ لما دل منها على التحريم صريحا كخبر زيد النرسي، فإنه لا كلام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القدح فيه بضعف المستند و عدم </w:t>
      </w:r>
      <w:r>
        <w:rPr>
          <w:rStyle w:val="FootnoteAnchor"/>
          <w:rtl w:val="true"/>
        </w:rPr>
        <w:footnoteReference w:id="1386"/>
      </w:r>
      <w:r>
        <w:rPr>
          <w:rFonts w:ascii="Amiri" w:hAnsi="Amiri" w:eastAsia="Amiri" w:cs="Amiri"/>
          <w:color w:val="111111"/>
          <w:sz w:val="28"/>
          <w:sz w:val="28"/>
          <w:szCs w:val="28"/>
          <w:rtl w:val="true"/>
          <w:lang w:bidi="ar-SA"/>
        </w:rPr>
        <w:t xml:space="preserve">الاعتماد على ذلك الأصل ففي غير محله؛ لما عرفت أنه </w:t>
      </w:r>
      <w:r>
        <w:rPr>
          <w:rStyle w:val="FootnoteAnchor"/>
          <w:rtl w:val="true"/>
        </w:rPr>
        <w:footnoteReference w:id="1387"/>
      </w:r>
      <w:r>
        <w:rPr>
          <w:rFonts w:ascii="Amiri" w:hAnsi="Amiri" w:eastAsia="Amiri" w:cs="Amiri"/>
          <w:color w:val="111111"/>
          <w:sz w:val="28"/>
          <w:sz w:val="28"/>
          <w:szCs w:val="28"/>
          <w:rtl w:val="true"/>
          <w:lang w:bidi="ar-SA"/>
        </w:rPr>
        <w:t xml:space="preserve">من الأصول المعتمدة عندهم، لكثرة الأخبار المنقولة منه في الكتب الأربعة و غيرها و نقول صاحب </w:t>
      </w:r>
      <w:r>
        <w:rPr>
          <w:rStyle w:val="FootnoteAnchor"/>
          <w:rtl w:val="true"/>
        </w:rPr>
        <w:footnoteReference w:id="1388"/>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رواية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 إن دلت على تحريم ماء الزبيب بعد الغليان أو النشيش، و لكن إثبات هذا الحكم بمثل هذه الرواية مشكل </w:t>
      </w:r>
      <w:r>
        <w:rPr>
          <w:rStyle w:val="FootnoteAnchor"/>
          <w:rtl w:val="true"/>
        </w:rPr>
        <w:footnoteReference w:id="1389"/>
      </w:r>
      <w:r>
        <w:rPr>
          <w:rFonts w:ascii="Amiri" w:hAnsi="Amiri" w:eastAsia="Amiri" w:cs="Amiri"/>
          <w:color w:val="111111"/>
          <w:sz w:val="28"/>
          <w:sz w:val="28"/>
          <w:szCs w:val="28"/>
          <w:rtl w:val="true"/>
          <w:lang w:bidi="ar-SA"/>
        </w:rPr>
        <w:t>لا وجه له بعدما عرفت ذلك التحقيق الذي ذكرناه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عبد الله في شرح 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الطعن في أسانيد الروايات الخاصة وارتكاب التكاليف في تأويلها موقوف على وجود المعارض للخاص </w:t>
      </w:r>
      <w:r>
        <w:rPr>
          <w:rStyle w:val="FootnoteAnchor"/>
          <w:rtl w:val="true"/>
        </w:rPr>
        <w:footnoteReference w:id="13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هو مفقود </w:t>
      </w:r>
      <w:r>
        <w:rPr>
          <w:rStyle w:val="FootnoteAnchor"/>
          <w:rtl w:val="true"/>
        </w:rPr>
        <w:footnoteReference w:id="1391"/>
      </w:r>
      <w:r>
        <w:rPr>
          <w:rFonts w:ascii="Amiri" w:hAnsi="Amiri" w:eastAsia="Amiri" w:cs="Amiri"/>
          <w:color w:val="111111"/>
          <w:sz w:val="28"/>
          <w:sz w:val="28"/>
          <w:szCs w:val="28"/>
          <w:rtl w:val="true"/>
          <w:lang w:bidi="ar-SA"/>
        </w:rPr>
        <w:t xml:space="preserve">، فليؤخذ باليقين و الاحتياط للدين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لدلالة خبر علي ابن جعفر عن أخيه موسى علىه السلام ما مر حيث قال فيه </w:t>
      </w:r>
      <w:r>
        <w:rPr>
          <w:rStyle w:val="FootnoteAnchor"/>
          <w:rtl w:val="true"/>
        </w:rPr>
        <w:footnoteReference w:id="1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الزَّبِيْبِ هَلْ يَصْلُحُ أَنْ يُطْبَخَ حَتَّى يَخْرُجَ طَعْمُهُ، ثُمَّ يُؤْخَذُ ذَلِكَ الماءُ فَيُطْبَخُ حَتَّى يَذْهَبَ ثُلُثَاهُ و َيَبْقَى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يرد أن تعليق الحل و الصلوح على ذهاب الثلثين إنما وقع في كلام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طعن به شهيد المسالك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المعتمد في الحجية هو تقرير المعصوم لا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وجه للقدح في الاستدلال بها بأنها </w:t>
      </w:r>
      <w:r>
        <w:rPr>
          <w:rStyle w:val="FootnoteAnchor"/>
          <w:rtl w:val="true"/>
        </w:rPr>
        <w:footnoteReference w:id="1394"/>
      </w:r>
      <w:r>
        <w:rPr>
          <w:rFonts w:ascii="Amiri" w:hAnsi="Amiri" w:eastAsia="Amiri" w:cs="Amiri"/>
          <w:color w:val="111111"/>
          <w:sz w:val="28"/>
          <w:sz w:val="28"/>
          <w:szCs w:val="28"/>
          <w:rtl w:val="true"/>
          <w:lang w:bidi="ar-SA"/>
        </w:rPr>
        <w:t xml:space="preserve">إنما تدل على ذلك بالمفهوم </w:t>
      </w:r>
      <w:r>
        <w:rPr>
          <w:rStyle w:val="FootnoteAnchor"/>
          <w:rtl w:val="true"/>
        </w:rPr>
        <w:footnoteReference w:id="1395"/>
      </w:r>
      <w:r>
        <w:rPr>
          <w:rFonts w:ascii="Amiri" w:hAnsi="Amiri" w:eastAsia="Amiri" w:cs="Amiri"/>
          <w:color w:val="111111"/>
          <w:sz w:val="28"/>
          <w:sz w:val="28"/>
          <w:szCs w:val="28"/>
          <w:rtl w:val="true"/>
          <w:lang w:bidi="ar-SA"/>
        </w:rPr>
        <w:t xml:space="preserve">، و هو ضعيف لا يصلح لإثبات هذا الحكم المخالف للأصل؛ لأنه إنما يرد مثل هذا لو تفرد بها المستدل و ليس فليس؛ لما قد عرفت من الأدلة المعتبرة على أن دلالة المفهوم في مثلها من أقوى الحجج عندنا على ما برهن عليه </w:t>
      </w:r>
      <w:r>
        <w:rPr>
          <w:rStyle w:val="FootnoteAnchor"/>
          <w:rtl w:val="true"/>
        </w:rPr>
        <w:footnoteReference w:id="1396"/>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الأصل المدعى </w:t>
      </w:r>
      <w:r>
        <w:rPr>
          <w:rStyle w:val="FootnoteAnchor"/>
          <w:rtl w:val="true"/>
        </w:rPr>
        <w:footnoteReference w:id="1397"/>
      </w:r>
      <w:r>
        <w:rPr>
          <w:rFonts w:ascii="Amiri" w:hAnsi="Amiri" w:eastAsia="Amiri" w:cs="Amiri"/>
          <w:color w:val="111111"/>
          <w:sz w:val="28"/>
          <w:sz w:val="28"/>
          <w:szCs w:val="28"/>
          <w:rtl w:val="true"/>
          <w:lang w:bidi="ar-SA"/>
        </w:rPr>
        <w:t>عدم مكافأتها له عدم محض لا يستدل به إلا على الأعدام المحضة؛ لما ثبت عندهم أنه عبارة عن عدم الدليل على كذا فيثبت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فلا قوة له على معارضة أسير ذليل من النصوص،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يعدونه من الأدلة المعتبرة في مثل هذه المقامات غفلة عن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لك من هذا الكلام سقوط حجية </w:t>
      </w:r>
      <w:r>
        <w:rPr>
          <w:rStyle w:val="FootnoteAnchor"/>
          <w:rtl w:val="true"/>
        </w:rPr>
        <w:footnoteReference w:id="1398"/>
      </w:r>
      <w:r>
        <w:rPr>
          <w:rFonts w:ascii="Amiri" w:hAnsi="Amiri" w:eastAsia="Amiri" w:cs="Amiri"/>
          <w:color w:val="111111"/>
          <w:sz w:val="28"/>
          <w:sz w:val="28"/>
          <w:szCs w:val="28"/>
          <w:rtl w:val="true"/>
          <w:lang w:bidi="ar-SA"/>
        </w:rPr>
        <w:t>الأصل على الإباحة في الزبيب</w:t>
      </w:r>
    </w:p>
    <w:p>
      <w:pPr>
        <w:pStyle w:val="BookText"/>
        <w:rPr/>
      </w:pPr>
      <w:r>
        <w:rPr>
          <w:rFonts w:ascii="Amiri" w:hAnsi="Amiri" w:eastAsia="Amiri" w:cs="Amiri"/>
          <w:color w:val="111111"/>
          <w:sz w:val="28"/>
          <w:sz w:val="28"/>
          <w:szCs w:val="28"/>
          <w:rtl w:val="true"/>
          <w:lang w:bidi="ar-SA"/>
        </w:rPr>
        <w:t>كما نقلناه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أبي بصير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له في الحل؛ لأن اشتهار الزبيبة في الطعام الذي لا يذهب ثلثا الزبيب فيه لا يجدي نفعا إلا إذا ثبت إرادته في الخبر، لا أن كون هذا الطعام المشهور في هذا الزمان هو بعينه </w:t>
      </w:r>
      <w:r>
        <w:rPr>
          <w:rStyle w:val="FootnoteAnchor"/>
          <w:rtl w:val="true"/>
        </w:rPr>
        <w:footnoteReference w:id="1399"/>
      </w:r>
      <w:r>
        <w:rPr>
          <w:rFonts w:ascii="IRNazanin" w:hAnsi="IRNazanin" w:eastAsia="IRNazanin"/>
          <w:color w:val="111111"/>
          <w:sz w:val="28"/>
          <w:sz w:val="28"/>
          <w:szCs w:val="28"/>
          <w:rtl w:val="true"/>
          <w:lang w:bidi="fa-IR"/>
        </w:rPr>
        <w:t xml:space="preserve">في زمانهم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المؤاخذات على موثقات الساباطي و نحوها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لا دلالة لها على اشتراط ذهاب الثلثين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أن يكون ذلك الاشتراط لترتب </w:t>
      </w:r>
      <w:r>
        <w:rPr>
          <w:rStyle w:val="FootnoteAnchor"/>
          <w:rtl w:val="true"/>
        </w:rPr>
        <w:footnoteReference w:id="1401"/>
      </w:r>
      <w:r>
        <w:rPr>
          <w:rFonts w:ascii="Amiri" w:hAnsi="Amiri" w:eastAsia="Amiri" w:cs="Amiri"/>
          <w:color w:val="111111"/>
          <w:sz w:val="28"/>
          <w:sz w:val="28"/>
          <w:szCs w:val="28"/>
          <w:rtl w:val="true"/>
          <w:lang w:bidi="ar-SA"/>
        </w:rPr>
        <w:t xml:space="preserve">الانتفاع عند المعالجة به كما يدل عليه المورد في ذلك الخبر، أو لبقائه </w:t>
      </w:r>
      <w:r>
        <w:rPr>
          <w:rStyle w:val="FootnoteAnchor"/>
          <w:rtl w:val="true"/>
        </w:rPr>
        <w:footnoteReference w:id="1402"/>
      </w:r>
      <w:r>
        <w:rPr>
          <w:rFonts w:ascii="Amiri" w:hAnsi="Amiri" w:eastAsia="Amiri" w:cs="Amiri"/>
          <w:color w:val="111111"/>
          <w:sz w:val="28"/>
          <w:sz w:val="28"/>
          <w:szCs w:val="28"/>
          <w:rtl w:val="true"/>
          <w:lang w:bidi="ar-SA"/>
        </w:rPr>
        <w:t xml:space="preserve">مدة من الزمان من غير أن يتطرق اليه التخمير و نحو ذلك، فلا تكون فائدته إلا كباقي الأعمال المذكورة في الخمر كالزق </w:t>
      </w:r>
      <w:r>
        <w:rPr>
          <w:rStyle w:val="FootnoteAnchor"/>
          <w:rtl w:val="true"/>
        </w:rPr>
        <w:footnoteReference w:id="1403"/>
      </w:r>
      <w:r>
        <w:rPr>
          <w:rFonts w:ascii="Amiri" w:hAnsi="Amiri" w:eastAsia="Amiri" w:cs="Amiri"/>
          <w:color w:val="111111"/>
          <w:sz w:val="28"/>
          <w:sz w:val="28"/>
          <w:szCs w:val="28"/>
          <w:rtl w:val="true"/>
          <w:lang w:bidi="ar-SA"/>
        </w:rPr>
        <w:t xml:space="preserve">و وضع العسل عليه و الوضع في تنور مسخن و 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ضائرة؛ لما عرفت سابقا</w:t>
      </w:r>
      <w:r>
        <w:rPr>
          <w:rFonts w:eastAsia="Amiri" w:cs="Amiri" w:ascii="Amiri" w:hAnsi="Amiri"/>
          <w:color w:val="111111"/>
          <w:sz w:val="28"/>
          <w:szCs w:val="28"/>
          <w:rtl w:val="true"/>
          <w:lang w:bidi="ar-SA"/>
        </w:rPr>
        <w:t xml:space="preserve">. </w:t>
      </w:r>
      <w:bookmarkStart w:id="122" w:name="pg2523_39833"/>
    </w:p>
    <w:p>
      <w:pPr>
        <w:pStyle w:val="BookText"/>
        <w:rPr/>
      </w:pPr>
      <w:bookmarkEnd w:id="122"/>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أن العمدة في هذا الاستدلال على غيرها، و إنما ذكرناها تأييدا، و لا شك في</w:t>
      </w:r>
    </w:p>
    <w:p>
      <w:pPr>
        <w:pStyle w:val="BookText"/>
        <w:rPr/>
      </w:pPr>
      <w:r>
        <w:rPr>
          <w:rFonts w:ascii="Amiri" w:hAnsi="Amiri" w:eastAsia="Amiri" w:cs="Amiri"/>
          <w:color w:val="111111"/>
          <w:sz w:val="28"/>
          <w:sz w:val="28"/>
          <w:szCs w:val="28"/>
          <w:rtl w:val="true"/>
          <w:lang w:bidi="ar-SA"/>
        </w:rPr>
        <w:t>ظهورها في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هذا التحقيق قوة القول بالتحريم في الزبيبي كالعنبي المتفق عليه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264886_3804643083"/>
      <w:bookmarkStart w:id="124" w:name="_Toc41"/>
      <w:bookmarkEnd w:id="123"/>
      <w:r>
        <w:rPr>
          <w:rtl w:val="true"/>
        </w:rPr>
        <w:t>[</w:t>
      </w:r>
      <w:r>
        <w:rPr>
          <w:rtl w:val="true"/>
        </w:rPr>
        <w:t>حكم العصير التمري و أدلته</w:t>
      </w:r>
      <w:r>
        <w:rPr>
          <w:rtl w:val="true"/>
        </w:rPr>
        <w:t>]</w:t>
      </w:r>
      <w:bookmarkEnd w:id="1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التمري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فيه التحليل، بل ربما نقل عليه جماعة الإجماع </w:t>
      </w:r>
      <w:r>
        <w:rPr>
          <w:rStyle w:val="FootnoteAnchor"/>
          <w:rtl w:val="true"/>
        </w:rPr>
        <w:footnoteReference w:id="1404"/>
      </w:r>
      <w:r>
        <w:rPr>
          <w:rFonts w:ascii="Amiri" w:hAnsi="Amiri" w:eastAsia="Amiri" w:cs="Amiri"/>
          <w:color w:val="111111"/>
          <w:sz w:val="28"/>
          <w:sz w:val="28"/>
          <w:szCs w:val="28"/>
          <w:rtl w:val="true"/>
          <w:lang w:bidi="ar-SA"/>
        </w:rPr>
        <w:t xml:space="preserve">، و هو في غير محله؛ فإن الظاهر من كلام المحقق رحمه الله في الشرائع في كتاب الحدود خلافه، و أن المسألة ليست إجماعية المدعى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الشهيد في الذكرى التحريم </w:t>
      </w:r>
      <w:r>
        <w:rPr>
          <w:rStyle w:val="FootnoteAnchor"/>
          <w:rtl w:val="true"/>
        </w:rPr>
        <w:footnoteReference w:id="1406"/>
      </w:r>
      <w:r>
        <w:rPr>
          <w:rFonts w:ascii="Amiri" w:hAnsi="Amiri" w:eastAsia="Amiri" w:cs="Amiri"/>
          <w:color w:val="111111"/>
          <w:sz w:val="28"/>
          <w:sz w:val="28"/>
          <w:szCs w:val="28"/>
          <w:rtl w:val="true"/>
          <w:lang w:bidi="ar-SA"/>
        </w:rPr>
        <w:t>؛ لحكمه بنجاسته، و هو مستلزم للحكم بالتحريم؛ لما ثبت في مظانه من الملازمة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حرّم </w:t>
      </w:r>
      <w:r>
        <w:rPr>
          <w:rStyle w:val="FootnoteAnchor"/>
          <w:rtl w:val="true"/>
        </w:rPr>
        <w:footnoteReference w:id="1407"/>
      </w:r>
      <w:r>
        <w:rPr>
          <w:rFonts w:ascii="Amiri" w:hAnsi="Amiri" w:eastAsia="Amiri" w:cs="Amiri"/>
          <w:color w:val="111111"/>
          <w:sz w:val="28"/>
          <w:sz w:val="28"/>
          <w:szCs w:val="28"/>
          <w:rtl w:val="true"/>
          <w:lang w:bidi="ar-SA"/>
        </w:rPr>
        <w:t xml:space="preserve">جماعة من المتأخرين مثل الحر في الوسائل، و شيخنا سليمان بن عبد الله على رجحان في ذلك </w:t>
      </w:r>
      <w:r>
        <w:rPr>
          <w:rStyle w:val="FootnoteAnchor"/>
          <w:rtl w:val="true"/>
        </w:rPr>
        <w:footnoteReference w:id="1408"/>
      </w:r>
      <w:r>
        <w:rPr>
          <w:rFonts w:ascii="Amiri" w:hAnsi="Amiri" w:eastAsia="Amiri" w:cs="Amiri"/>
          <w:color w:val="111111"/>
          <w:sz w:val="28"/>
          <w:sz w:val="28"/>
          <w:szCs w:val="28"/>
          <w:rtl w:val="true"/>
          <w:lang w:bidi="ar-SA"/>
        </w:rPr>
        <w:t xml:space="preserve">، و هو الظاهر أيضًا </w:t>
      </w:r>
      <w:r>
        <w:rPr>
          <w:rStyle w:val="FootnoteAnchor"/>
          <w:rtl w:val="true"/>
        </w:rPr>
        <w:footnoteReference w:id="1409"/>
      </w:r>
      <w:r>
        <w:rPr>
          <w:rFonts w:ascii="Amiri" w:hAnsi="Amiri" w:eastAsia="Amiri" w:cs="Amiri"/>
          <w:color w:val="111111"/>
          <w:sz w:val="28"/>
          <w:sz w:val="28"/>
          <w:szCs w:val="28"/>
          <w:rtl w:val="true"/>
          <w:lang w:bidi="ar-SA"/>
        </w:rPr>
        <w:t xml:space="preserve">من السيد عبد الله الشوشتري في شرح النخبة، و أسنده إلى جملة من مشايخه الذين و قارب زمانهم </w:t>
      </w:r>
    </w:p>
    <w:p>
      <w:pPr>
        <w:pStyle w:val="BookText"/>
        <w:rPr/>
      </w:pPr>
      <w:r>
        <w:rPr>
          <w:rFonts w:ascii="Amiri" w:hAnsi="Amiri" w:eastAsia="Amiri" w:cs="Amiri"/>
          <w:color w:val="111111"/>
          <w:sz w:val="28"/>
          <w:sz w:val="28"/>
          <w:szCs w:val="28"/>
          <w:rtl w:val="true"/>
          <w:lang w:bidi="ar-SA"/>
        </w:rPr>
        <w:t xml:space="preserve">من العاملين بالأخبار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بالإباحة هو المعتمد ؛ لأن الدلالة التي على التحريم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العمومات في أخبار العصير و أنت قد عرفت انسلاخها عن الدلالة بما قد برهنا عليه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زرارة التي مرّ ذكرها المروية عن أبي جعفر علیه السلام المتضمنة لغرس النخلة، و مشاركة نوح علیه السلام و أن ثلثيها لإبليس، فإذا أخذت عصيرا فاطبخه حتى يذهب ثلثاه نصيب الشيطان، فكل و اشرب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إنما تدل لو اتفقت النسخ على نقلها بلفظ النخلة، و ليس كذلك؛ فإن في كثير من النسخ المعتبرة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الحبلة، أي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فاضل الوافي لم ينقلها في جامعه المذكور إلا كذلك </w:t>
      </w:r>
      <w:r>
        <w:rPr>
          <w:rStyle w:val="FootnoteAnchor"/>
          <w:rtl w:val="true"/>
        </w:rPr>
        <w:footnoteReference w:id="1412"/>
      </w:r>
      <w:r>
        <w:rPr>
          <w:rFonts w:ascii="Amiri" w:hAnsi="Amiri" w:eastAsia="Amiri" w:cs="Amiri"/>
          <w:color w:val="111111"/>
          <w:sz w:val="28"/>
          <w:sz w:val="28"/>
          <w:szCs w:val="28"/>
          <w:rtl w:val="true"/>
          <w:lang w:bidi="ar-SA"/>
        </w:rPr>
        <w:t>، فيكون لفظ النخلة تصحيفًا، فترجع الى أخبار العنبي، فلا يكون مما نحن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أن القضية بعينها قد رويت في العنب، على وجه ينفي جري تلك القضية في النخلة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فروى الصدوق في العلل بإسناده عن </w:t>
      </w:r>
      <w:r>
        <w:rPr>
          <w:rStyle w:val="FootnoteAnchor"/>
          <w:rtl w:val="true"/>
        </w:rPr>
        <w:footnoteReference w:id="1413"/>
      </w:r>
      <w:r>
        <w:rPr>
          <w:rFonts w:ascii="Amiri" w:hAnsi="Amiri" w:eastAsia="Amiri" w:cs="Amiri"/>
          <w:color w:val="111111"/>
          <w:sz w:val="28"/>
          <w:sz w:val="28"/>
          <w:szCs w:val="28"/>
          <w:rtl w:val="true"/>
          <w:lang w:bidi="ar-SA"/>
        </w:rPr>
        <w:t>محمد بن مسلم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عليه السلام حِيْنَ أُمِرَ بِالْغَرْسِ كَانَ إِبْلِيْسُ إِلَى جَانِبِهِ، فَلَّمَا أَرَادَ أَنْ يَغْرِسَ الْعِنَبَ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مِنْهَا؟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Style w:val="FootnoteAnchor"/>
          <w:rtl w:val="true"/>
        </w:rPr>
        <w:footnoteReference w:id="1415"/>
      </w:r>
      <w:r>
        <w:rPr>
          <w:rFonts w:ascii="Amiri" w:hAnsi="Amiri" w:eastAsia="Amiri" w:cs="Amiri"/>
          <w:color w:val="111111"/>
          <w:sz w:val="28"/>
          <w:sz w:val="28"/>
          <w:szCs w:val="28"/>
          <w:rtl w:val="true"/>
          <w:lang w:bidi="ar-SA"/>
        </w:rPr>
        <w:t>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هُنَاكَ طَابَ الطَّلَاءُ </w:t>
      </w:r>
      <w:r>
        <w:rPr>
          <w:rStyle w:val="FootnoteAnchor"/>
          <w:rtl w:val="true"/>
        </w:rPr>
        <w:footnoteReference w:id="1416"/>
      </w:r>
      <w:r>
        <w:rPr>
          <w:rFonts w:ascii="Amiri" w:hAnsi="Amiri" w:eastAsia="Amiri" w:cs="Amiri"/>
          <w:color w:val="111111"/>
          <w:sz w:val="28"/>
          <w:sz w:val="28"/>
          <w:szCs w:val="28"/>
          <w:rtl w:val="true"/>
          <w:lang w:bidi="ar-SA"/>
        </w:rPr>
        <w:t xml:space="preserve">عَلَى الثلْثِ </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 هذه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بإسناده الى وهب بن المنبه </w:t>
      </w:r>
      <w:r>
        <w:rPr>
          <w:rStyle w:val="FootnoteAnchor"/>
          <w:rtl w:val="true"/>
        </w:rPr>
        <w:footnoteReference w:id="1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 نُوحٌ عليه السلام مِنَ السَّفِيْنَةِ غَرَسَ قُضْبَانًا كَانَتْ مَعَهُ مِنَ النَّخْلِ وَ الْأَعْنَابِ و َسَايِرِ الثَّمارِ، فَأَطْعَمَتْ مِنْ سَاعَتِهَا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مَعَهُ حَبْلَةُ الْعِنَبِ، وَ كَانَ أَخَرَ شَيْءٍ أَخْرَجَهُ </w:t>
      </w:r>
      <w:r>
        <w:rPr>
          <w:rStyle w:val="FootnoteAnchor"/>
          <w:rtl w:val="true"/>
        </w:rPr>
        <w:footnoteReference w:id="1419"/>
      </w:r>
      <w:r>
        <w:rPr>
          <w:rFonts w:ascii="Amiri" w:hAnsi="Amiri" w:eastAsia="Amiri" w:cs="Amiri"/>
          <w:color w:val="111111"/>
          <w:sz w:val="28"/>
          <w:sz w:val="28"/>
          <w:szCs w:val="28"/>
          <w:rtl w:val="true"/>
          <w:lang w:bidi="ar-SA"/>
        </w:rPr>
        <w:t xml:space="preserve">حَبْلَةُ الْعِنَبِ، فَلَمْ يَجدْهَا نُوحُ، وَ كَانَ إِبْلِيْسُ قَدْ أَخَذَهَا فَخَبَّأَهَا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نُوحٌ عليه السلام لِيَدْخُلَ السَّفِينَةَ </w:t>
      </w:r>
      <w:r>
        <w:rPr>
          <w:rStyle w:val="FootnoteAnchor"/>
          <w:rtl w:val="true"/>
        </w:rPr>
        <w:footnoteReference w:id="1421"/>
      </w:r>
      <w:r>
        <w:rPr>
          <w:rFonts w:ascii="Amiri" w:hAnsi="Amiri" w:eastAsia="Amiri" w:cs="Amiri"/>
          <w:color w:val="111111"/>
          <w:sz w:val="28"/>
          <w:sz w:val="28"/>
          <w:szCs w:val="28"/>
          <w:rtl w:val="true"/>
          <w:lang w:bidi="ar-SA"/>
        </w:rPr>
        <w:t xml:space="preserve">، فَيَلْتَمِسَهَا </w:t>
      </w:r>
      <w:r>
        <w:rPr>
          <w:rStyle w:val="FootnoteAnchor"/>
          <w:rtl w:val="true"/>
        </w:rPr>
        <w:footnoteReference w:id="14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Style w:val="FootnoteAnchor"/>
          <w:rtl w:val="true"/>
        </w:rPr>
        <w:footnoteReference w:id="1423"/>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فِيْهَا شَريكًا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عَصِيْرِهَا، فَأَحْسِنْ مُشَارَكَتَهُ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السُّبُعُ وَ لِي ستة اسباع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فَأَنْتَ مُحْسِنٌ</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خُمس </w:t>
      </w:r>
      <w:r>
        <w:rPr>
          <w:rStyle w:val="FootnoteAnchor"/>
          <w:rtl w:val="true"/>
        </w:rPr>
        <w:footnoteReference w:id="1425"/>
      </w:r>
      <w:r>
        <w:rPr>
          <w:rFonts w:ascii="Amiri" w:hAnsi="Amiri" w:eastAsia="Amiri" w:cs="Amiri"/>
          <w:color w:val="111111"/>
          <w:sz w:val="28"/>
          <w:sz w:val="28"/>
          <w:szCs w:val="28"/>
          <w:rtl w:val="true"/>
          <w:lang w:bidi="ar-SA"/>
        </w:rPr>
        <w:t>وَ لِي أَرْبَعَةً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فَأَنْتَ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1426"/>
      </w:r>
      <w:r>
        <w:rPr>
          <w:rFonts w:ascii="Amiri" w:hAnsi="Amiri" w:eastAsia="Amiri" w:cs="Amiri"/>
          <w:color w:val="111111"/>
          <w:sz w:val="28"/>
          <w:sz w:val="28"/>
          <w:szCs w:val="28"/>
          <w:rtl w:val="true"/>
          <w:lang w:bidi="ar-SA"/>
        </w:rPr>
        <w:t>النِّصْفُ وَلِي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فَأَنْتَ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الثلث وَ لَهُ الثَّلُثَانِ، 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فَوْقِ الثَّلُثِ مِنْ طَبْخِهَا فَهُوَ حَظهُ </w:t>
      </w:r>
      <w:r>
        <w:rPr>
          <w:rStyle w:val="FootnoteAnchor"/>
          <w:rtl w:val="true"/>
        </w:rPr>
        <w:footnoteReference w:id="1427"/>
      </w:r>
      <w:r>
        <w:rPr>
          <w:rFonts w:ascii="Amiri" w:hAnsi="Amiri" w:eastAsia="Amiri" w:cs="Amiri"/>
          <w:color w:val="111111"/>
          <w:sz w:val="28"/>
          <w:sz w:val="28"/>
          <w:szCs w:val="28"/>
          <w:rtl w:val="true"/>
          <w:lang w:bidi="ar-SA"/>
        </w:rPr>
        <w:t xml:space="preserve">، وَ مَا كَانَ مِنَ الثَّلُثِ فَاَ دُوْنَهُ فَهُوَ لِنُوحٍ علیه السلام وَ هُوَ حَظِّهُ، و َذَلِكَ الحَلَالُ الطَّيِّبُ يُشْرَبُ </w:t>
      </w:r>
      <w:r>
        <w:rPr>
          <w:rStyle w:val="FootnoteAnchor"/>
          <w:rtl w:val="true"/>
        </w:rPr>
        <w:footnoteReference w:id="1428"/>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فيما ذكرناه من اختصاص تلك القصة بالعنب و انتفائها عن النخلة، فسقط الاحتجاج بها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فيها السؤال عن النضوح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يكون </w:t>
      </w:r>
      <w:r>
        <w:rPr>
          <w:rFonts w:eastAsia="Amiri" w:cs="Amiri" w:ascii="Amiri" w:hAnsi="Amiri"/>
          <w:color w:val="111111"/>
          <w:sz w:val="28"/>
          <w:szCs w:val="28"/>
          <w:rtl w:val="true"/>
          <w:lang w:bidi="ar-SA"/>
        </w:rPr>
        <w:t xml:space="preserve">] </w:t>
      </w:r>
      <w:r>
        <w:rPr>
          <w:rStyle w:val="FootnoteAnchor"/>
          <w:rtl w:val="true"/>
        </w:rPr>
        <w:footnoteReference w:id="1432"/>
      </w:r>
      <w:r>
        <w:rPr>
          <w:rFonts w:ascii="IRNazanin" w:hAnsi="IRNazanin" w:eastAsia="IRNazanin"/>
          <w:color w:val="111111"/>
          <w:sz w:val="28"/>
          <w:sz w:val="28"/>
          <w:szCs w:val="28"/>
          <w:rtl w:val="true"/>
          <w:lang w:bidi="fa-IR"/>
        </w:rPr>
        <w:t xml:space="preserve">حلالا ؛ </w:t>
      </w:r>
      <w:r>
        <w:rPr>
          <w:rStyle w:val="FootnoteAnchor"/>
          <w:rtl w:val="true"/>
        </w:rPr>
        <w:footnoteReference w:id="1433"/>
      </w:r>
      <w:r>
        <w:rPr>
          <w:rFonts w:ascii="Amiri" w:hAnsi="Amiri" w:eastAsia="Amiri" w:cs="Amiri"/>
          <w:color w:val="111111"/>
          <w:sz w:val="28"/>
          <w:sz w:val="28"/>
          <w:szCs w:val="28"/>
          <w:rtl w:val="true"/>
          <w:lang w:bidi="ar-SA"/>
        </w:rPr>
        <w:t>لأنه في الغالب يكون نبيذًا وخمرا؛ إذ النضوح على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ذكرنه جماعة من أهل اللغة و عرّفه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التمر يوضع في إناء حتى يصير خمرا، ثم يوضع فيه أشياء من أنواع الطيب فتجعله النساء في رؤوسها، و ربما اقتصر على مجرد تخميره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فعلمه علیه السلام عملا يبقى معه حلالا و لا يصيرخمرا، فلا يكون الغرض من سوقها إعطاء قاعدة في العصير التمري عند غليانه تحصيلًا لحِلّه كما زعمه المستدل، بل لبيان ذلك الفرد المخصوص منه الموسوم بالنضوح لحل استعماله للنساء و غيرهم، فلا يكون مما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ذلك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الساباطي </w:t>
      </w:r>
      <w:r>
        <w:rPr>
          <w:rStyle w:val="FootnoteAnchor"/>
          <w:rtl w:val="true"/>
        </w:rPr>
        <w:footnoteReference w:id="1434"/>
      </w:r>
      <w:r>
        <w:rPr>
          <w:rFonts w:ascii="Amiri" w:hAnsi="Amiri" w:eastAsia="Amiri" w:cs="Amiri"/>
          <w:color w:val="111111"/>
          <w:sz w:val="28"/>
          <w:sz w:val="28"/>
          <w:szCs w:val="28"/>
          <w:rtl w:val="true"/>
          <w:lang w:bidi="ar-SA"/>
        </w:rPr>
        <w:t xml:space="preserve">نفسه في الموثق </w:t>
      </w:r>
      <w:r>
        <w:rPr>
          <w:rStyle w:val="FootnoteAnchor"/>
          <w:rtl w:val="true"/>
        </w:rPr>
        <w:footnoteReference w:id="1435"/>
      </w:r>
      <w:r>
        <w:rPr>
          <w:rFonts w:ascii="Amiri" w:hAnsi="Amiri" w:eastAsia="Amiri" w:cs="Amiri"/>
          <w:color w:val="111111"/>
          <w:sz w:val="28"/>
          <w:sz w:val="28"/>
          <w:szCs w:val="28"/>
          <w:rtl w:val="true"/>
          <w:lang w:bidi="ar-SA"/>
        </w:rPr>
        <w:t>على ما 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النَّضُوْحِ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التَّمْرُ حَتَّى يَذْهَبَ ثُلُثَاهُ وَ يَبْقَى ثلثهُ ثُمَّ يَتَمَشَّطْنَ</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التهذيب 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w:t>
      </w:r>
      <w:r>
        <w:rPr>
          <w:rStyle w:val="FootnoteAnchor"/>
          <w:rtl w:val="true"/>
        </w:rPr>
        <w:footnoteReference w:id="1437"/>
      </w:r>
      <w:r>
        <w:rPr>
          <w:rFonts w:ascii="Amiri" w:hAnsi="Amiri" w:eastAsia="Amiri" w:cs="Amiri"/>
          <w:color w:val="111111"/>
          <w:sz w:val="28"/>
          <w:sz w:val="28"/>
          <w:szCs w:val="28"/>
          <w:rtl w:val="true"/>
          <w:lang w:bidi="ar-SA"/>
        </w:rPr>
        <w:t>عثيمة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w:t>
      </w:r>
      <w:r>
        <w:rPr>
          <w:rStyle w:val="FootnoteAnchor"/>
          <w:rtl w:val="true"/>
        </w:rPr>
        <w:footnoteReference w:id="1438"/>
      </w:r>
      <w:r>
        <w:rPr>
          <w:rFonts w:ascii="Amiri" w:hAnsi="Amiri" w:eastAsia="Amiri" w:cs="Amiri"/>
          <w:color w:val="111111"/>
          <w:sz w:val="28"/>
          <w:sz w:val="28"/>
          <w:szCs w:val="28"/>
          <w:rtl w:val="true"/>
          <w:lang w:bidi="ar-SA"/>
        </w:rPr>
        <w:t>عَبْدِ اللهِ عَليه السلام وَ عِنْدَهُ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 رَائِحَةَ النَّضُوحٍ،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نَضُوْحٌ يُجْعَلُ فِيْهِ الصَّيَّاحُ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فَأَهْرِيْقَ </w:t>
      </w:r>
      <w:r>
        <w:rPr>
          <w:rStyle w:val="FootnoteAnchor"/>
          <w:rtl w:val="true"/>
        </w:rPr>
        <w:footnoteReference w:id="1440"/>
      </w:r>
      <w:r>
        <w:rPr>
          <w:rFonts w:ascii="Amiri" w:hAnsi="Amiri" w:eastAsia="Amiri" w:cs="Amiri"/>
          <w:color w:val="111111"/>
          <w:sz w:val="28"/>
          <w:sz w:val="28"/>
          <w:szCs w:val="28"/>
          <w:rtl w:val="true"/>
          <w:lang w:bidi="ar-SA"/>
        </w:rPr>
        <w:t xml:space="preserve">فِي الْبَالُوْعَةِ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كتاب الصيد، باب الذبائح و الأطعمة، 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الأمر بإراقته بعد شمه من حيث صيرورته خمرًا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عليه خبر الواسطي </w:t>
      </w:r>
      <w:r>
        <w:rPr>
          <w:rStyle w:val="FootnoteAnchor"/>
          <w:rtl w:val="true"/>
        </w:rPr>
        <w:footnoteReference w:id="14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w:t>
      </w:r>
      <w:r>
        <w:rPr>
          <w:rStyle w:val="FootnoteAnchor"/>
          <w:rtl w:val="true"/>
        </w:rPr>
        <w:footnoteReference w:id="1443"/>
      </w:r>
      <w:r>
        <w:rPr>
          <w:rFonts w:ascii="Amiri" w:hAnsi="Amiri" w:eastAsia="Amiri" w:cs="Amiri"/>
          <w:color w:val="111111"/>
          <w:sz w:val="28"/>
          <w:sz w:val="28"/>
          <w:szCs w:val="28"/>
          <w:rtl w:val="true"/>
          <w:lang w:bidi="ar-SA"/>
        </w:rPr>
        <w:t xml:space="preserve">تَحتَ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عبد اللهِ علیه السلام ، و َكَانَتْ صَاحِةٌ،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444"/>
      </w:r>
      <w:r>
        <w:rPr>
          <w:rFonts w:ascii="Amiri" w:hAnsi="Amiri" w:eastAsia="Amiri" w:cs="Amiri"/>
          <w:color w:val="111111"/>
          <w:sz w:val="28"/>
          <w:sz w:val="28"/>
          <w:szCs w:val="28"/>
          <w:rtl w:val="true"/>
          <w:lang w:bidi="ar-SA"/>
        </w:rPr>
        <w:t xml:space="preserve">أَتَطَيَّبُ </w:t>
      </w:r>
      <w:r>
        <w:rPr>
          <w:rStyle w:val="FootnoteAnchor"/>
          <w:rtl w:val="true"/>
        </w:rPr>
        <w:footnoteReference w:id="1445"/>
      </w:r>
      <w:r>
        <w:rPr>
          <w:rFonts w:ascii="Amiri" w:hAnsi="Amiri" w:eastAsia="Amiri" w:cs="Amiri"/>
          <w:color w:val="111111"/>
          <w:sz w:val="28"/>
          <w:sz w:val="28"/>
          <w:szCs w:val="28"/>
          <w:rtl w:val="true"/>
          <w:lang w:bidi="ar-SA"/>
        </w:rPr>
        <w:t xml:space="preserve">لِزَوْجي، فَيَجْعَلُ </w:t>
      </w:r>
      <w:r>
        <w:rPr>
          <w:rStyle w:val="FootnoteAnchor"/>
          <w:rtl w:val="true"/>
        </w:rPr>
        <w:footnoteReference w:id="1446"/>
      </w:r>
      <w:r>
        <w:rPr>
          <w:rFonts w:ascii="Amiri" w:hAnsi="Amiri" w:eastAsia="Amiri" w:cs="Amiri"/>
          <w:color w:val="111111"/>
          <w:sz w:val="28"/>
          <w:sz w:val="28"/>
          <w:szCs w:val="28"/>
          <w:rtl w:val="true"/>
          <w:lang w:bidi="ar-SA"/>
        </w:rPr>
        <w:t>فِي المِشْطَةِ الَّتِي أَمْتَشِطُ بِهَا الخَمْرَ وَ أَجْعَلُهُ فِي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 لاحتمال أن يراد بالخمر – التي ذكرته له وأخبرته بأنها تجعله في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الخمر المحرم المعهود ، بل ما يخمّر من التمر و إن لم يبلغ إلى </w:t>
      </w:r>
      <w:r>
        <w:rPr>
          <w:rStyle w:val="FootnoteAnchor"/>
          <w:rtl w:val="true"/>
        </w:rPr>
        <w:footnoteReference w:id="1448"/>
      </w:r>
      <w:r>
        <w:rPr>
          <w:rFonts w:ascii="Amiri" w:hAnsi="Amiri" w:eastAsia="Amiri" w:cs="Amiri"/>
          <w:color w:val="111111"/>
          <w:sz w:val="28"/>
          <w:sz w:val="28"/>
          <w:szCs w:val="28"/>
          <w:rtl w:val="true"/>
          <w:lang w:bidi="ar-SA"/>
        </w:rPr>
        <w:t xml:space="preserve">حد الاسكار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حمله الشيخ في التهذيب على طبيخ التمر الذاهب ثلثاه كما في الخبر السابق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التعلّق بمثل هذا الخبر في إثبات التحريم للعصير التمري مما لا ينبغي؛ لما عرفت من عدم دلالته على ذلك، مع كونه من متفردات عمار </w:t>
      </w:r>
      <w:r>
        <w:rPr>
          <w:rFonts w:eastAsia="Amiri" w:cs="Amiri" w:ascii="Amiri" w:hAnsi="Amiri"/>
          <w:color w:val="111111"/>
          <w:sz w:val="28"/>
          <w:szCs w:val="28"/>
          <w:rtl w:val="true"/>
          <w:lang w:bidi="ar-SA"/>
        </w:rPr>
        <w:t xml:space="preserve">. </w:t>
      </w:r>
      <w:bookmarkStart w:id="125" w:name="pg2523_39839"/>
    </w:p>
    <w:p>
      <w:pPr>
        <w:pStyle w:val="BookText"/>
        <w:rPr/>
      </w:pPr>
      <w:bookmarkEnd w:id="125"/>
      <w:r>
        <w:rPr>
          <w:rFonts w:ascii="IRNazanin" w:hAnsi="IRNazanin" w:eastAsia="IRNazanin"/>
          <w:color w:val="111111"/>
          <w:sz w:val="28"/>
          <w:sz w:val="28"/>
          <w:szCs w:val="28"/>
          <w:rtl w:val="true"/>
          <w:lang w:bidi="fa-IR"/>
        </w:rPr>
        <w:t>التي لم يروها غيره فالتأسیس به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قد ثبت بما ذكرنا تحريم العصير العنبي عند إمساسه النار و غليانه، فيكون التحريم مترتبا على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الاشتداد المذكور في كلام كثير من فقهائنا فلا أثر له في الأخبار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264888_3804643083"/>
      <w:bookmarkStart w:id="127" w:name="_Toc42"/>
      <w:bookmarkEnd w:id="126"/>
      <w:r>
        <w:rPr>
          <w:rtl w:val="true"/>
        </w:rPr>
        <w:t>[</w:t>
      </w:r>
      <w:r>
        <w:rPr>
          <w:rtl w:val="true"/>
        </w:rPr>
        <w:t>معنى الغليان و النشيش و ما يرتب الحرمة</w:t>
      </w:r>
      <w:r>
        <w:rPr>
          <w:rtl w:val="true"/>
        </w:rPr>
        <w:t>]</w:t>
      </w:r>
      <w:bookmarkEnd w:id="127"/>
    </w:p>
    <w:p>
      <w:pPr>
        <w:pStyle w:val="BookText"/>
        <w:rPr/>
      </w:pPr>
      <w:r>
        <w:rPr>
          <w:rFonts w:ascii="Amiri" w:hAnsi="Amiri" w:eastAsia="Amiri" w:cs="Amiri"/>
          <w:color w:val="111111"/>
          <w:sz w:val="28"/>
          <w:sz w:val="28"/>
          <w:szCs w:val="28"/>
          <w:rtl w:val="true"/>
          <w:lang w:bidi="ar-SA"/>
        </w:rPr>
        <w:t>و المراد بالغليان هو القلب، كما تدل عليه رواية حماد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مَا لَمْ يَغْلِ، فَإِنْ غلَى فَلَا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الْغَلَيَانُ؟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كما فسره الأكثر أن يصير أسفله أعلاه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هو المقصود أيضًا من النشيش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روي عن ذريح </w:t>
      </w:r>
      <w:r>
        <w:rPr>
          <w:rStyle w:val="FootnoteAnchor"/>
          <w:rtl w:val="true"/>
        </w:rPr>
        <w:footnoteReference w:id="1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 الْعَصِيْرُ وَ غلَى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النشيش هو صوت الماء و غيره عند الغليان، فعلى هذا يكون العطف في هذه الرواية تفسيريًا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المراد بالنشيش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مقاربته للغليان أو متقدمة عليه، فيكون العطف لمحض الجمع أو الترتيب للإشعار بعدم انفكاك أحدهما عن </w:t>
      </w:r>
    </w:p>
    <w:p>
      <w:pPr>
        <w:pStyle w:val="BookText"/>
        <w:rPr/>
      </w:pPr>
      <w:r>
        <w:rPr>
          <w:rFonts w:ascii="Amiri" w:hAnsi="Amiri" w:eastAsia="Amiri" w:cs="Amiri"/>
          <w:color w:val="111111"/>
          <w:sz w:val="28"/>
          <w:sz w:val="28"/>
          <w:szCs w:val="28"/>
          <w:rtl w:val="true"/>
          <w:lang w:bidi="ar-SA"/>
        </w:rPr>
        <w:t>الآخر، أو عدم كفاية النشيش بدون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وقع في بعض النسخ من التهذيب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w:t>
      </w:r>
      <w:r>
        <w:rPr>
          <w:rStyle w:val="FootnoteAnchor"/>
          <w:rtl w:val="true"/>
        </w:rPr>
        <w:footnoteReference w:id="1451"/>
      </w:r>
      <w:r>
        <w:rPr>
          <w:rFonts w:ascii="Amiri" w:hAnsi="Amiri" w:eastAsia="Amiri" w:cs="Amiri"/>
          <w:color w:val="111111"/>
          <w:sz w:val="28"/>
          <w:sz w:val="28"/>
          <w:szCs w:val="28"/>
          <w:rtl w:val="true"/>
          <w:lang w:bidi="ar-SA"/>
        </w:rPr>
        <w:t xml:space="preserve">لعدم الانفكاك </w:t>
      </w:r>
      <w:r>
        <w:rPr>
          <w:rStyle w:val="FootnoteAnchor"/>
          <w:rtl w:val="true"/>
        </w:rPr>
        <w:footnoteReference w:id="1452"/>
      </w:r>
      <w:r>
        <w:rPr>
          <w:rFonts w:ascii="Amiri" w:hAnsi="Amiri" w:eastAsia="Amiri" w:cs="Amiri"/>
          <w:color w:val="111111"/>
          <w:sz w:val="28"/>
          <w:sz w:val="28"/>
          <w:szCs w:val="28"/>
          <w:rtl w:val="true"/>
          <w:lang w:bidi="ar-SA"/>
        </w:rPr>
        <w:t>، فتكون للتخيير في اعتبار أي الطريقين شاء؛ لأن اعتبار أحدهما اعتبار الآخر كما هو مقتضى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التعليق في تلك الصحاح على مجرد الإصابة بعنوان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جملة أسباب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دلالة السبب على المسبب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ترتيب الحرمة على إصابة النار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من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بمقصود؛ لدلالة الروايات الكثيرة على ترتبها على الغليان بنفسه من موجبات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التخصيص المذكور اعتبار الفرد الغالب و الخصوصية المذكورة؛ فإن ذهاب الثلثين هو غاية الحرمة التي تحقق </w:t>
      </w:r>
      <w:r>
        <w:rPr>
          <w:rStyle w:val="FootnoteAnchor"/>
          <w:rtl w:val="true"/>
        </w:rPr>
        <w:footnoteReference w:id="1454"/>
      </w:r>
      <w:r>
        <w:rPr>
          <w:rFonts w:ascii="IRNazanin" w:hAnsi="IRNazanin" w:eastAsia="IRNazanin"/>
          <w:color w:val="111111"/>
          <w:sz w:val="28"/>
          <w:sz w:val="28"/>
          <w:szCs w:val="28"/>
          <w:rtl w:val="true"/>
          <w:lang w:bidi="fa-IR"/>
        </w:rPr>
        <w:t xml:space="preserve">بهذا </w:t>
      </w:r>
      <w:r>
        <w:rPr>
          <w:rStyle w:val="FootnoteAnchor"/>
          <w:rtl w:val="true"/>
        </w:rPr>
        <w:footnoteReference w:id="1455"/>
      </w:r>
      <w:r>
        <w:rPr>
          <w:rFonts w:ascii="Amiri" w:hAnsi="Amiri" w:eastAsia="Amiri" w:cs="Amiri"/>
          <w:color w:val="111111"/>
          <w:sz w:val="28"/>
          <w:sz w:val="28"/>
          <w:szCs w:val="28"/>
          <w:rtl w:val="true"/>
          <w:lang w:bidi="ar-SA"/>
        </w:rPr>
        <w:t xml:space="preserve">السبب الخاص، لا غاية الحرمة مطلقا، فإن ما يحرم غليانه بنفسه إنما </w:t>
      </w:r>
      <w:r>
        <w:rPr>
          <w:rStyle w:val="FootnoteAnchor"/>
          <w:rtl w:val="true"/>
        </w:rPr>
        <w:footnoteReference w:id="1456"/>
      </w:r>
      <w:r>
        <w:rPr>
          <w:rFonts w:ascii="Amiri" w:hAnsi="Amiri" w:eastAsia="Amiri" w:cs="Amiri"/>
          <w:color w:val="111111"/>
          <w:sz w:val="28"/>
          <w:sz w:val="28"/>
          <w:szCs w:val="28"/>
          <w:rtl w:val="true"/>
          <w:lang w:bidi="ar-SA"/>
        </w:rPr>
        <w:t>تكون غاية حرمته هي الخلية بدون اعتبار ذهاب الثلثين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أن كلا من ذهاب الثلثين </w:t>
      </w:r>
      <w:r>
        <w:rPr>
          <w:rStyle w:val="FootnoteAnchor"/>
          <w:rtl w:val="true"/>
        </w:rPr>
        <w:footnoteReference w:id="1457"/>
      </w:r>
      <w:r>
        <w:rPr>
          <w:rFonts w:ascii="Amiri" w:hAnsi="Amiri" w:eastAsia="Amiri" w:cs="Amiri"/>
          <w:color w:val="111111"/>
          <w:sz w:val="28"/>
          <w:sz w:val="28"/>
          <w:szCs w:val="28"/>
          <w:rtl w:val="true"/>
          <w:lang w:bidi="ar-SA"/>
        </w:rPr>
        <w:t xml:space="preserve">و الخلية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الموضع و 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كافيان في الحلية ما لم يصر مسكرًا، و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فلابد من الخلية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ينفع ذهاب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عدم تحقق الخلية بدون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وقع في الأخبار و كلام الأصحاب من التخصيص فإنه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مبني على الغالب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البراج في المهذب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عصير لم يغل فإنه حلال استعماله على كل حال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 xml:space="preserve">معه يحرم استعماله هو أن يصير أسفله أعلاه بالغليان، فإن صار بعد ذلك خلا جاز استعماله </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w:t>
      </w:r>
      <w:r>
        <w:rPr>
          <w:rStyle w:val="FootnoteAnchor"/>
          <w:rtl w:val="true"/>
        </w:rPr>
        <w:footnoteReference w:id="1462"/>
      </w:r>
      <w:r>
        <w:rPr>
          <w:rFonts w:ascii="Amiri" w:hAnsi="Amiri" w:eastAsia="Amiri" w:cs="Amiri"/>
          <w:color w:val="111111"/>
          <w:sz w:val="28"/>
          <w:sz w:val="28"/>
          <w:szCs w:val="28"/>
          <w:rtl w:val="true"/>
          <w:lang w:bidi="ar-SA"/>
        </w:rPr>
        <w:t>طبخ العصير على النار و غلى و لم يذهب ثلثاه لم يجز استعماله، فإن ذهب ثلثاه و بقي ثلثه جاز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ذلك أن يصير حلوا يخضب الإناء</w:t>
      </w:r>
      <w:r>
        <w:rPr>
          <w:rFonts w:eastAsia="Amiri" w:cs="Amiri" w:ascii="Amiri" w:hAnsi="Amiri"/>
          <w:color w:val="111111"/>
          <w:sz w:val="28"/>
          <w:szCs w:val="28"/>
          <w:rtl w:val="true"/>
          <w:lang w:bidi="ar-SA"/>
        </w:rPr>
        <w:t xml:space="preserve">» </w:t>
      </w:r>
      <w:r>
        <w:rPr>
          <w:rStyle w:val="FootnoteAnchor"/>
          <w:rtl w:val="true"/>
        </w:rPr>
        <w:footnoteReference w:id="14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 </w:t>
      </w:r>
      <w:bookmarkStart w:id="128" w:name="pg2523_39842"/>
    </w:p>
    <w:p>
      <w:pPr>
        <w:pStyle w:val="BookText"/>
        <w:rPr/>
      </w:pPr>
      <w:bookmarkEnd w:id="128"/>
      <w:r>
        <w:rPr>
          <w:rFonts w:ascii="Amiri" w:hAnsi="Amiri" w:eastAsia="Amiri" w:cs="Amiri"/>
          <w:color w:val="111111"/>
          <w:sz w:val="28"/>
          <w:sz w:val="28"/>
          <w:szCs w:val="28"/>
          <w:rtl w:val="true"/>
          <w:lang w:bidi="ar-SA"/>
        </w:rPr>
        <w:t>و يدل على اعتبار ذلك التعميم في الغليان خبر زيد النرسي المتقدم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نَشَّ مِنْ غَيْرِ أَنْ تُصِيْبَهُ النَّارُ فَقَدْ حَرُمَ</w:t>
      </w:r>
      <w:r>
        <w:rPr>
          <w:rFonts w:eastAsia="Amiri" w:cs="Amiri" w:ascii="Amiri" w:hAnsi="Amiri"/>
          <w:color w:val="111111"/>
          <w:sz w:val="28"/>
          <w:szCs w:val="28"/>
          <w:rtl w:val="true"/>
          <w:lang w:bidi="ar-SA"/>
        </w:rPr>
        <w:t>» .</w:t>
      </w:r>
    </w:p>
    <w:p>
      <w:pPr>
        <w:pStyle w:val="Heading3"/>
        <w:numPr>
          <w:ilvl w:val="2"/>
          <w:numId w:val="1"/>
        </w:numPr>
        <w:rPr/>
      </w:pPr>
      <w:bookmarkStart w:id="129" w:name="__RefHeading___Toc4264890_3804643083"/>
      <w:bookmarkStart w:id="130" w:name="_Toc43"/>
      <w:bookmarkEnd w:id="129"/>
      <w:r>
        <w:rPr>
          <w:rtl w:val="true"/>
        </w:rPr>
        <w:t>[</w:t>
      </w:r>
      <w:r>
        <w:rPr>
          <w:rtl w:val="true"/>
        </w:rPr>
        <w:t>هل يعتبر في ذهاب الثلثين الوزن أو الكيل؟</w:t>
      </w:r>
      <w:r>
        <w:rPr>
          <w:rtl w:val="true"/>
        </w:rPr>
        <w:t>]</w:t>
      </w:r>
      <w:bookmarkEnd w:id="130"/>
    </w:p>
    <w:p>
      <w:pPr>
        <w:pStyle w:val="BookText"/>
        <w:rPr/>
      </w:pPr>
      <w:r>
        <w:rPr>
          <w:rFonts w:ascii="Amiri" w:hAnsi="Amiri" w:eastAsia="Amiri" w:cs="Amiri"/>
          <w:color w:val="111111"/>
          <w:sz w:val="28"/>
          <w:sz w:val="28"/>
          <w:szCs w:val="28"/>
          <w:rtl w:val="true"/>
          <w:lang w:bidi="ar-SA"/>
        </w:rPr>
        <w:t xml:space="preserve">و حيث قد ثبت أن ذهاب الثلثين بالغليان هو </w:t>
      </w:r>
      <w:r>
        <w:rPr>
          <w:rStyle w:val="FootnoteAnchor"/>
          <w:rtl w:val="true"/>
        </w:rPr>
        <w:footnoteReference w:id="1464"/>
      </w:r>
      <w:r>
        <w:rPr>
          <w:rFonts w:ascii="Amiri" w:hAnsi="Amiri" w:eastAsia="Amiri" w:cs="Amiri"/>
          <w:color w:val="111111"/>
          <w:sz w:val="28"/>
          <w:sz w:val="28"/>
          <w:szCs w:val="28"/>
          <w:rtl w:val="true"/>
          <w:lang w:bidi="ar-SA"/>
        </w:rPr>
        <w:t>غاية تحريمه، فهل المعتبر فيهما التحقيق وزنًا أو كيلا؟</w:t>
      </w:r>
    </w:p>
    <w:p>
      <w:pPr>
        <w:pStyle w:val="BookText"/>
        <w:rPr/>
      </w:pPr>
      <w:r>
        <w:rPr>
          <w:rFonts w:ascii="Amiri" w:hAnsi="Amiri" w:eastAsia="Amiri" w:cs="Amiri"/>
          <w:color w:val="111111"/>
          <w:sz w:val="28"/>
          <w:sz w:val="28"/>
          <w:szCs w:val="28"/>
          <w:rtl w:val="true"/>
          <w:lang w:bidi="ar-SA"/>
        </w:rPr>
        <w:t>فيه كلام؛ لإطلاق كثير من النصوص، فالكل محتمل، بل الروايات في هذا متعارضة، و إن كان الأحوط اعتبار الوزن كما نصره المحقق الأردبيلي رحمه الله</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ولم يتفطن الأكثر للتفاوت بينهما، و لذا لم يتعرضوا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نسبة الذاهب الى الباقي من </w:t>
      </w:r>
      <w:r>
        <w:rPr>
          <w:rStyle w:val="FootnoteAnchor"/>
          <w:rtl w:val="true"/>
        </w:rPr>
        <w:footnoteReference w:id="1466"/>
      </w:r>
      <w:r>
        <w:rPr>
          <w:rFonts w:ascii="Amiri" w:hAnsi="Amiri" w:eastAsia="Amiri" w:cs="Amiri"/>
          <w:color w:val="111111"/>
          <w:sz w:val="28"/>
          <w:sz w:val="28"/>
          <w:szCs w:val="28"/>
          <w:rtl w:val="true"/>
          <w:lang w:bidi="ar-SA"/>
        </w:rPr>
        <w:t>العصير المذكور مختلفة بالتجربة بحسب الاعتبارين؛ لتقدم ذهاب جزء مفروض منه بحسب الكيل على مثل هذا الجزء و بحسب الوزن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يستدل عليه أيضًا بما تفطن له بعض الأفاضل من أن نقصان الوزن مسبب عن انقلاب بعض أجزائه الى الهواء، و معلوم أن المنقلب الى الهواء من تلك الأجزاء هو الألطف فالألطف، و أن اللطيف هو الأقل وزنا </w:t>
      </w:r>
    </w:p>
    <w:p>
      <w:pPr>
        <w:pStyle w:val="BookText"/>
        <w:rPr/>
      </w:pPr>
      <w:r>
        <w:rPr>
          <w:rFonts w:ascii="Amiri" w:hAnsi="Amiri" w:eastAsia="Amiri" w:cs="Amiri"/>
          <w:color w:val="111111"/>
          <w:sz w:val="28"/>
          <w:sz w:val="28"/>
          <w:szCs w:val="28"/>
          <w:rtl w:val="true"/>
          <w:lang w:bidi="ar-SA"/>
        </w:rPr>
        <w:t xml:space="preserve">و أكثر حجما من الكثيف </w:t>
      </w:r>
      <w:r>
        <w:rPr>
          <w:rStyle w:val="FootnoteAnchor"/>
          <w:rtl w:val="true"/>
        </w:rPr>
        <w:footnoteReference w:id="1467"/>
      </w:r>
      <w:r>
        <w:rPr>
          <w:rFonts w:ascii="Amiri" w:hAnsi="Amiri" w:eastAsia="Amiri" w:cs="Amiri"/>
          <w:color w:val="111111"/>
          <w:sz w:val="28"/>
          <w:sz w:val="28"/>
          <w:szCs w:val="28"/>
          <w:rtl w:val="true"/>
          <w:lang w:bidi="ar-SA"/>
        </w:rPr>
        <w:t xml:space="preserve">، مما يُنقص من وزنه بالانقلاب المذكور </w:t>
      </w:r>
      <w:r>
        <w:rPr>
          <w:rStyle w:val="FootnoteAnchor"/>
          <w:rtl w:val="true"/>
        </w:rPr>
        <w:footnoteReference w:id="1468"/>
      </w:r>
      <w:r>
        <w:rPr>
          <w:rFonts w:ascii="Amiri" w:hAnsi="Amiri" w:eastAsia="Amiri" w:cs="Amiri"/>
          <w:color w:val="111111"/>
          <w:sz w:val="28"/>
          <w:sz w:val="28"/>
          <w:szCs w:val="28"/>
          <w:rtl w:val="true"/>
          <w:lang w:bidi="ar-SA"/>
        </w:rPr>
        <w:t xml:space="preserve">، و يلزم أن يكون أقل مما ينقص من كيله به دائما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نقصان الحجم </w:t>
      </w:r>
      <w:r>
        <w:rPr>
          <w:rStyle w:val="FootnoteAnchor"/>
          <w:rtl w:val="true"/>
        </w:rPr>
        <w:footnoteReference w:id="1469"/>
      </w:r>
      <w:r>
        <w:rPr>
          <w:rFonts w:ascii="Amiri" w:hAnsi="Amiri" w:eastAsia="Amiri" w:cs="Amiri"/>
          <w:color w:val="111111"/>
          <w:sz w:val="28"/>
          <w:sz w:val="28"/>
          <w:szCs w:val="28"/>
          <w:rtl w:val="true"/>
          <w:lang w:bidi="ar-SA"/>
        </w:rPr>
        <w:t>قد يكون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كمداخلة بعض الأجزاء في قوام </w:t>
      </w:r>
      <w:r>
        <w:rPr>
          <w:rStyle w:val="FootnoteAnchor"/>
          <w:rtl w:val="true"/>
        </w:rPr>
        <w:footnoteReference w:id="1470"/>
      </w:r>
      <w:r>
        <w:rPr>
          <w:rFonts w:ascii="Amiri" w:hAnsi="Amiri" w:eastAsia="Amiri" w:cs="Amiri"/>
          <w:color w:val="111111"/>
          <w:sz w:val="28"/>
          <w:sz w:val="28"/>
          <w:szCs w:val="28"/>
          <w:rtl w:val="true"/>
          <w:lang w:bidi="ar-SA"/>
        </w:rPr>
        <w:t>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تلك المداخلة لا تمكن </w:t>
      </w:r>
      <w:r>
        <w:rPr>
          <w:rStyle w:val="FootnoteAnchor"/>
          <w:rtl w:val="true"/>
        </w:rPr>
        <w:footnoteReference w:id="1471"/>
      </w:r>
      <w:r>
        <w:rPr>
          <w:rFonts w:ascii="Amiri" w:hAnsi="Amiri" w:eastAsia="Amiri" w:cs="Amiri"/>
          <w:color w:val="111111"/>
          <w:sz w:val="28"/>
          <w:sz w:val="28"/>
          <w:szCs w:val="28"/>
          <w:rtl w:val="true"/>
          <w:lang w:bidi="ar-SA"/>
        </w:rPr>
        <w:t xml:space="preserve">فيما نحن ما فيه بناءً على أن الحرارة موجبة </w:t>
      </w:r>
      <w:r>
        <w:rPr>
          <w:rStyle w:val="FootnoteAnchor"/>
          <w:rtl w:val="true"/>
        </w:rPr>
        <w:footnoteReference w:id="1472"/>
      </w:r>
      <w:r>
        <w:rPr>
          <w:rFonts w:ascii="Amiri" w:hAnsi="Amiri" w:eastAsia="Amiri" w:cs="Amiri"/>
          <w:color w:val="111111"/>
          <w:sz w:val="28"/>
          <w:sz w:val="28"/>
          <w:szCs w:val="28"/>
          <w:rtl w:val="true"/>
          <w:lang w:bidi="ar-SA"/>
        </w:rPr>
        <w:t xml:space="preserve">للتخلخل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بجواز وقوعها من جهة ما يستلزمه انفتاح السدد المانعة عنها، وحصول الفرج المعدة لها، مع ما يمكن هناك من أن يكون في الأجزاء قوة نفور </w:t>
      </w:r>
      <w:r>
        <w:rPr>
          <w:rStyle w:val="FootnoteAnchor"/>
          <w:rtl w:val="true"/>
        </w:rPr>
        <w:footnoteReference w:id="1473"/>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جذب و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الآخر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تبين أن ذهاب الثلثين في العصير المذكور من حيث الكيل و الحجم يتحقق قبل ذهابهما فيه من حيث الوزن، فيحتمل ههنا أن يكون المعيار للثلث و الثلثين ما هو بحسب الكيل؛ لكونه معروفًا بين الناس في امتثال ذلك، و لسهولته عليهم من حيث إمكان هذا النوع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التقدير لهم بالقصعة و القدر و أمثالهما من الأدوات الدائرة، واستغنائه عن ميزان صحيح، أو قبان مجرب لا يطمئن به إلا بعد </w:t>
      </w:r>
      <w:r>
        <w:rPr>
          <w:rStyle w:val="FootnoteAnchor"/>
          <w:rtl w:val="true"/>
        </w:rPr>
        <w:footnoteReference w:id="1476"/>
      </w:r>
      <w:r>
        <w:rPr>
          <w:rFonts w:ascii="Amiri" w:hAnsi="Amiri" w:eastAsia="Amiri" w:cs="Amiri"/>
          <w:color w:val="111111"/>
          <w:sz w:val="28"/>
          <w:sz w:val="28"/>
          <w:szCs w:val="28"/>
          <w:rtl w:val="true"/>
          <w:lang w:bidi="ar-SA"/>
        </w:rPr>
        <w:t>تقويمات و تدقيقات لا يهتدي اليها أكثر الناس، و لتيسر تخمينهم لكيله من الذاهب و الباقي بحسن البصر أيضًا بدون احتياج الى آلة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رواية عقبة بن خالد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أَخَذَ عَشَرَةَ أَرْطَالٍ مِنْ عَصِيْرِ الْعِنَبِ، فَصَبَّ عَلَيْهِ عِشْرِينَ رَطْلًا مِنْ مَاءٍ، ثُمَّ طَبَخَهَا حَتَّى ذَهَبَ مِنْهُ عُشْرُوْنَ رَطْلَا </w:t>
      </w:r>
      <w:r>
        <w:rPr>
          <w:rStyle w:val="FootnoteAnchor"/>
          <w:rtl w:val="true"/>
        </w:rPr>
        <w:footnoteReference w:id="1477"/>
      </w:r>
      <w:r>
        <w:rPr>
          <w:rFonts w:ascii="Amiri" w:hAnsi="Amiri" w:eastAsia="Amiri" w:cs="Amiri"/>
          <w:color w:val="111111"/>
          <w:sz w:val="28"/>
          <w:sz w:val="28"/>
          <w:szCs w:val="28"/>
          <w:rtl w:val="true"/>
          <w:lang w:bidi="ar-SA"/>
        </w:rPr>
        <w:t xml:space="preserve">وَ بَقِيَ عَشَرَةُ أَرْطَالٍ، أَ يَصْلُحُ شُرْبُ تِلْكَ الْعَشَرَةِ </w:t>
      </w:r>
      <w:r>
        <w:rPr>
          <w:rStyle w:val="FootnoteAnchor"/>
          <w:rtl w:val="true"/>
        </w:rPr>
        <w:footnoteReference w:id="1478"/>
      </w:r>
      <w:r>
        <w:rPr>
          <w:rFonts w:ascii="Amiri" w:hAnsi="Amiri" w:eastAsia="Amiri" w:cs="Amiri"/>
          <w:color w:val="111111"/>
          <w:sz w:val="28"/>
          <w:sz w:val="28"/>
          <w:szCs w:val="28"/>
          <w:rtl w:val="true"/>
          <w:lang w:bidi="ar-SA"/>
        </w:rPr>
        <w:t xml:space="preserve">أَمْ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يُطْبَخُ </w:t>
      </w:r>
      <w:r>
        <w:rPr>
          <w:rStyle w:val="FootnoteAnchor"/>
          <w:rtl w:val="true"/>
        </w:rPr>
        <w:footnoteReference w:id="1479"/>
      </w:r>
      <w:r>
        <w:rPr>
          <w:rFonts w:ascii="Amiri" w:hAnsi="Amiri" w:eastAsia="Amiri" w:cs="Amiri"/>
          <w:color w:val="111111"/>
          <w:sz w:val="28"/>
          <w:sz w:val="28"/>
          <w:szCs w:val="28"/>
          <w:rtl w:val="true"/>
          <w:lang w:bidi="ar-SA"/>
        </w:rPr>
        <w:t xml:space="preserve">عَلَى ثُلُثِهِ فَهُوَ حَلَالٌ </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 حيث اعتبر فيها الأرطال ، و الرطل يطلق غالبًا على الكيل لا الوزن كما حققه جماعه منهم المجلسي </w:t>
      </w:r>
      <w:r>
        <w:rPr>
          <w:rStyle w:val="FootnoteAnchor"/>
          <w:rtl w:val="true"/>
        </w:rPr>
        <w:footnoteReference w:id="1481"/>
      </w:r>
      <w:r>
        <w:rPr>
          <w:rFonts w:ascii="Amiri" w:hAnsi="Amiri" w:eastAsia="Amiri" w:cs="Amiri"/>
          <w:color w:val="111111"/>
          <w:sz w:val="28"/>
          <w:sz w:val="28"/>
          <w:szCs w:val="28"/>
          <w:rtl w:val="true"/>
          <w:lang w:bidi="ar-SA"/>
        </w:rPr>
        <w:t xml:space="preserve">رحمه الله في رسالة الأوزان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الروايات المتقدمة في كيفية الشراب الحلال التي رواها الساباطي و غيره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تقرر هذا فيحتمل </w:t>
      </w:r>
      <w:r>
        <w:rPr>
          <w:rStyle w:val="FootnoteAnchor"/>
          <w:rtl w:val="true"/>
        </w:rPr>
        <w:footnoteReference w:id="1483"/>
      </w:r>
      <w:r>
        <w:rPr>
          <w:rFonts w:ascii="Amiri" w:hAnsi="Amiri" w:eastAsia="Amiri" w:cs="Amiri"/>
          <w:color w:val="111111"/>
          <w:sz w:val="28"/>
          <w:sz w:val="28"/>
          <w:szCs w:val="28"/>
          <w:rtl w:val="true"/>
          <w:lang w:bidi="ar-SA"/>
        </w:rPr>
        <w:t>اعتبار اليقين في الحل بعد حصول 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التحريم يقينًا، و هو لا يحصل إلا بيقين ذهابهما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اليقين بذهاب ثلثي العصير مطلقًا موقوفٌ على فناء الثلثين بحسب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يتحقق ذلك يكون الحال مشكوكًا فيها؛ لتعارض الذهاب و عدم الذهاب بحسب اعتباري الصوري و الحقيقة، فلا ترفع الحرمة اليقينية الموقوفة على الذهاب</w:t>
      </w:r>
    </w:p>
    <w:p>
      <w:pPr>
        <w:pStyle w:val="BookText"/>
        <w:rPr/>
      </w:pPr>
      <w:r>
        <w:rPr>
          <w:rFonts w:ascii="Amiri" w:hAnsi="Amiri" w:eastAsia="Amiri" w:cs="Amiri"/>
          <w:color w:val="111111"/>
          <w:sz w:val="28"/>
          <w:sz w:val="28"/>
          <w:szCs w:val="28"/>
          <w:rtl w:val="true"/>
          <w:lang w:bidi="ar-SA"/>
        </w:rPr>
        <w:t>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جعلنا هذا هو الطريق الأحوط، وإن كان للمناقشة في هذا كله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التخيير في كل من الطريقين متجه؛ توسعةٌ للأُمةِ و سهولةً و تخفيفًا عليهم كما هو مقتضى أتيتكم بالشريعة السمحة السهلة </w:t>
      </w:r>
      <w:r>
        <w:rPr>
          <w:rStyle w:val="FootnoteAnchor"/>
          <w:rtl w:val="true"/>
        </w:rPr>
        <w:footnoteReference w:id="1484"/>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وَمَا جَعَلَ عَلَيْكُمْ فِي الدِّينِ مِنْ حَرَج</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ذكرناه من أن كلا من الطريقين منصوص عليه في أخبارهم ،و قد قدمنا ما يدل على اعتبار الكيل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يدل على اعتبار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ابن سنان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إِذَا طُبِخَ حَتَّى يَذْهَبَ مِنْهُ ثَلَاثَهُ دَوَانِيْقَ وَ نِصْفٌ ثُمَّ يُتْرَكُ حَتَّى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ثُلُثَاهُ وَ يَبْقَى تُلْتُهُ</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فإن اعتبار الوزن في هذه الرواية واضح بدليل ذكره الدوانيق في مقام الاستعلام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في هذه شيء، وهو دلالتها على أنه لا يعتبر في ذهاب الثلثين المشروط في التحليل كونه بالغليان؛ لأنه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يَذْهَبَ مِنْهُ ثَلَاثَهُ دَوَانِيْقَ وَ نِصْفُ ثُمَّ يُتْرَكُ حَتَّى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ثُلُثَاهُ وَ يَبْقَى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حكم بذهاب الثلثين بالتبريد والغليان معا </w:t>
      </w:r>
      <w:r>
        <w:rPr>
          <w:rStyle w:val="FootnoteAnchor"/>
          <w:rtl w:val="true"/>
        </w:rPr>
        <w:footnoteReference w:id="1487"/>
      </w:r>
      <w:r>
        <w:rPr>
          <w:rFonts w:ascii="Amiri" w:hAnsi="Amiri" w:eastAsia="Amiri" w:cs="Amiri"/>
          <w:color w:val="111111"/>
          <w:sz w:val="28"/>
          <w:sz w:val="28"/>
          <w:szCs w:val="28"/>
          <w:rtl w:val="true"/>
          <w:lang w:bidi="ar-SA"/>
        </w:rPr>
        <w:t>، 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البرودة مما قد يترتب عليها التجفيف، فيتحقق بها هنا ذهاب الثلثين </w:t>
      </w:r>
      <w:r>
        <w:rPr>
          <w:rStyle w:val="FootnoteAnchor"/>
          <w:rtl w:val="true"/>
        </w:rPr>
        <w:footnoteReference w:id="1488"/>
      </w:r>
      <w:r>
        <w:rPr>
          <w:rFonts w:ascii="Amiri" w:hAnsi="Amiri" w:eastAsia="Amiri" w:cs="Amiri"/>
          <w:color w:val="111111"/>
          <w:sz w:val="28"/>
          <w:sz w:val="28"/>
          <w:szCs w:val="28"/>
          <w:rtl w:val="true"/>
          <w:lang w:bidi="ar-SA"/>
        </w:rPr>
        <w:t>، و كل هذا توسعة من الله على عباده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خبر ابن أبي يعفور المرسل عن أبي عبدالله علیه السلام ، و فيه دلالة على اعتبار الوزن حيث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زَادَ الطَّلاء </w:t>
      </w:r>
      <w:r>
        <w:rPr>
          <w:rStyle w:val="FootnoteAnchor"/>
          <w:rtl w:val="true"/>
        </w:rPr>
        <w:footnoteReference w:id="1489"/>
      </w:r>
      <w:r>
        <w:rPr>
          <w:rFonts w:ascii="Amiri" w:hAnsi="Amiri" w:eastAsia="Amiri" w:cs="Amiri"/>
          <w:color w:val="111111"/>
          <w:sz w:val="28"/>
          <w:sz w:val="28"/>
          <w:szCs w:val="28"/>
          <w:rtl w:val="true"/>
          <w:lang w:bidi="ar-SA"/>
        </w:rPr>
        <w:t xml:space="preserve">عَلَى الثّلث </w:t>
      </w:r>
      <w:r>
        <w:rPr>
          <w:rStyle w:val="FootnoteAnchor"/>
          <w:rtl w:val="true"/>
        </w:rPr>
        <w:footnoteReference w:id="1490"/>
      </w:r>
      <w:r>
        <w:rPr>
          <w:rFonts w:ascii="Amiri" w:hAnsi="Amiri" w:eastAsia="Amiri" w:cs="Amiri"/>
          <w:color w:val="111111"/>
          <w:sz w:val="28"/>
          <w:sz w:val="28"/>
          <w:szCs w:val="28"/>
          <w:rtl w:val="true"/>
          <w:lang w:bidi="ar-SA"/>
        </w:rPr>
        <w:t>أُوْقِيَةً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المعنى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على الثلث بقدر أوقية، و هي سبعة مثاقيل أو </w:t>
      </w:r>
      <w:r>
        <w:rPr>
          <w:rStyle w:val="FootnoteAnchor"/>
          <w:rtl w:val="true"/>
        </w:rPr>
        <w:footnoteReference w:id="1492"/>
      </w:r>
      <w:r>
        <w:rPr>
          <w:rFonts w:ascii="Amiri" w:hAnsi="Amiri" w:eastAsia="Amiri" w:cs="Amiri"/>
          <w:color w:val="111111"/>
          <w:sz w:val="28"/>
          <w:sz w:val="28"/>
          <w:szCs w:val="28"/>
          <w:rtl w:val="true"/>
          <w:lang w:bidi="ar-SA"/>
        </w:rPr>
        <w:t>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إما كناية عن القلة، أو مبني </w:t>
      </w:r>
      <w:r>
        <w:rPr>
          <w:rStyle w:val="FootnoteAnchor"/>
          <w:rtl w:val="true"/>
        </w:rPr>
        <w:footnoteReference w:id="1493"/>
      </w:r>
      <w:r>
        <w:rPr>
          <w:rFonts w:ascii="Amiri" w:hAnsi="Amiri" w:eastAsia="Amiri" w:cs="Amiri"/>
          <w:color w:val="111111"/>
          <w:sz w:val="28"/>
          <w:sz w:val="28"/>
          <w:szCs w:val="28"/>
          <w:rtl w:val="true"/>
          <w:lang w:bidi="ar-SA"/>
        </w:rPr>
        <w:t>على أنه إذا كان أقل من أوقية يذهب بالهواء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يمكن أن يكون هذا فيما إذا كان العصير رطلا؛ فإن الرطل أحد و تسعون مثقالاً، و نصفُ سدسه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سبعة و نصفٌ و نصف </w:t>
      </w:r>
      <w:r>
        <w:rPr>
          <w:rStyle w:val="FootnoteAnchor"/>
          <w:rtl w:val="true"/>
        </w:rPr>
        <w:footnoteReference w:id="1495"/>
      </w:r>
      <w:r>
        <w:rPr>
          <w:rFonts w:ascii="IRNazanin" w:hAnsi="IRNazanin" w:eastAsia="IRNazanin"/>
          <w:color w:val="111111"/>
          <w:sz w:val="28"/>
          <w:sz w:val="28"/>
          <w:szCs w:val="28"/>
          <w:rtl w:val="true"/>
          <w:lang w:bidi="fa-IR"/>
        </w:rPr>
        <w:t>سدس</w:t>
      </w:r>
      <w:r>
        <w:rPr>
          <w:rStyle w:val="FootnoteAnchor"/>
          <w:rtl w:val="true"/>
        </w:rPr>
        <w:footnoteReference w:id="1496"/>
      </w:r>
      <w:r>
        <w:rPr>
          <w:rFonts w:ascii="Amiri" w:hAnsi="Amiri" w:eastAsia="Amiri" w:cs="Amiri"/>
          <w:color w:val="111111"/>
          <w:sz w:val="28"/>
          <w:sz w:val="28"/>
          <w:szCs w:val="28"/>
          <w:rtl w:val="true"/>
          <w:lang w:bidi="ar-SA"/>
        </w:rPr>
        <w:t>، و قد ورد في الخبر المتقدم أن نصف السدس يذهب بالتبريد والهواء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لك بهذا التحقيق و ما تقدمه قوة اعتبار التخيير في التقدير بهما </w:t>
      </w:r>
      <w:r>
        <w:rPr>
          <w:rStyle w:val="FootnoteAnchor"/>
          <w:rtl w:val="true"/>
        </w:rPr>
        <w:footnoteReference w:id="1497"/>
      </w:r>
      <w:r>
        <w:rPr>
          <w:rFonts w:ascii="IRNazanin" w:hAnsi="IRNazanin" w:eastAsia="IRNazanin"/>
          <w:color w:val="111111"/>
          <w:sz w:val="28"/>
          <w:sz w:val="28"/>
          <w:szCs w:val="28"/>
          <w:rtl w:val="true"/>
          <w:lang w:bidi="fa-IR"/>
        </w:rPr>
        <w:t xml:space="preserve">؛ لما </w:t>
      </w:r>
      <w:r>
        <w:rPr>
          <w:rStyle w:val="FootnoteAnchor"/>
          <w:rtl w:val="true"/>
        </w:rPr>
        <w:footnoteReference w:id="1498"/>
      </w:r>
      <w:r>
        <w:rPr>
          <w:rFonts w:ascii="Amiri" w:hAnsi="Amiri" w:eastAsia="Amiri" w:cs="Amiri"/>
          <w:color w:val="111111"/>
          <w:sz w:val="28"/>
          <w:sz w:val="28"/>
          <w:szCs w:val="28"/>
          <w:rtl w:val="true"/>
          <w:lang w:bidi="ar-SA"/>
        </w:rPr>
        <w:t xml:space="preserve">تقدم من العلل، و لقلة التفاوت بينهما، و حصول الغرض الذي هو عدم التغيير و الفساد بالبقاء زمانًا طويلا لكل منهما، كما أن الشارع خيّر </w:t>
      </w:r>
      <w:r>
        <w:rPr>
          <w:rStyle w:val="FootnoteAnchor"/>
          <w:rtl w:val="true"/>
        </w:rPr>
        <w:footnoteReference w:id="1499"/>
      </w:r>
      <w:r>
        <w:rPr>
          <w:rFonts w:ascii="Amiri" w:hAnsi="Amiri" w:eastAsia="Amiri" w:cs="Amiri"/>
          <w:color w:val="111111"/>
          <w:sz w:val="28"/>
          <w:sz w:val="28"/>
          <w:szCs w:val="28"/>
          <w:rtl w:val="true"/>
          <w:lang w:bidi="ar-SA"/>
        </w:rPr>
        <w:t xml:space="preserve">في الكر بين التقدير بالأشبار و الأرطال، و في مسافة القصر بين سير </w:t>
      </w:r>
      <w:r>
        <w:rPr>
          <w:rStyle w:val="FootnoteAnchor"/>
          <w:rtl w:val="true"/>
        </w:rPr>
        <w:footnoteReference w:id="1500"/>
      </w:r>
    </w:p>
    <w:p>
      <w:pPr>
        <w:pStyle w:val="BookText"/>
        <w:rPr/>
      </w:pPr>
      <w:r>
        <w:rPr>
          <w:rFonts w:eastAsia="Times New Roman" w:cs="Times New Roman" w:ascii="Times New Roman" w:hAnsi="Times New Roman"/>
          <w:color w:val="111111"/>
          <w:sz w:val="28"/>
          <w:szCs w:val="28"/>
          <w:lang w:val="en-US" w:bidi="en-US"/>
        </w:rPr>
        <w:t>220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و الأميال، وفي الدية بين ألف دينار و عشرة آلاف درهم، مع حصول التفاوتات الكثيرة في النسبة بينهما باختلاف الأزمان</w:t>
      </w:r>
      <w:r>
        <w:rPr>
          <w:rFonts w:eastAsia="Amiri" w:cs="Amiri" w:ascii="Amiri" w:hAnsi="Amiri"/>
          <w:color w:val="111111"/>
          <w:sz w:val="28"/>
          <w:szCs w:val="28"/>
          <w:lang w:bidi="ar-SA"/>
        </w:rPr>
        <w:t>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الأحوال، و لعله السر </w:t>
      </w:r>
      <w:r>
        <w:rPr>
          <w:rStyle w:val="FootnoteAnchor"/>
          <w:rtl w:val="true"/>
        </w:rPr>
        <w:footnoteReference w:id="1501"/>
      </w:r>
      <w:r>
        <w:rPr>
          <w:rFonts w:ascii="Amiri" w:hAnsi="Amiri" w:eastAsia="Amiri" w:cs="Amiri"/>
          <w:color w:val="111111"/>
          <w:sz w:val="28"/>
          <w:sz w:val="28"/>
          <w:szCs w:val="28"/>
          <w:rtl w:val="true"/>
          <w:lang w:bidi="ar-SA"/>
        </w:rPr>
        <w:t xml:space="preserve">في خلو كلام القدماء و المتأخرين من العلماء الأخيار </w:t>
      </w:r>
      <w:r>
        <w:rPr>
          <w:rStyle w:val="FootnoteAnchor"/>
          <w:rtl w:val="true"/>
        </w:rPr>
        <w:footnoteReference w:id="1502"/>
      </w:r>
      <w:r>
        <w:rPr>
          <w:rFonts w:ascii="IRNazanin" w:hAnsi="IRNazanin" w:eastAsia="IRNazanin"/>
          <w:color w:val="111111"/>
          <w:sz w:val="28"/>
          <w:sz w:val="28"/>
          <w:szCs w:val="28"/>
          <w:rtl w:val="true"/>
          <w:lang w:bidi="fa-IR"/>
        </w:rPr>
        <w:t xml:space="preserve">من </w:t>
      </w:r>
      <w:r>
        <w:rPr>
          <w:rStyle w:val="FootnoteAnchor"/>
          <w:rtl w:val="true"/>
        </w:rPr>
        <w:footnoteReference w:id="1503"/>
      </w:r>
      <w:r>
        <w:rPr>
          <w:rFonts w:ascii="Amiri" w:hAnsi="Amiri" w:eastAsia="Amiri" w:cs="Amiri"/>
          <w:color w:val="111111"/>
          <w:sz w:val="28"/>
          <w:sz w:val="28"/>
          <w:szCs w:val="28"/>
          <w:rtl w:val="true"/>
          <w:lang w:bidi="ar-SA"/>
        </w:rPr>
        <w:t>تعيين أحدهما، و إن كان طريق الاحتياط قد علمته في الوزن، والله العالم</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2523_39850"/>
      <w:bookmarkStart w:id="132" w:name="pg2523_39850"/>
      <w:bookmarkEnd w:id="132"/>
    </w:p>
    <w:p>
      <w:pPr>
        <w:pStyle w:val="Heading2"/>
        <w:numPr>
          <w:ilvl w:val="1"/>
          <w:numId w:val="1"/>
        </w:numPr>
        <w:rPr/>
      </w:pPr>
      <w:bookmarkStart w:id="133" w:name="pg2523_39850"/>
      <w:bookmarkStart w:id="134" w:name="__RefHeading___Toc4264892_3804643083"/>
      <w:bookmarkStart w:id="135" w:name="_Toc44"/>
      <w:bookmarkEnd w:id="133"/>
      <w:bookmarkEnd w:id="134"/>
      <w:r>
        <w:rPr>
          <w:rtl w:val="true"/>
        </w:rPr>
        <w:t xml:space="preserve">المسألة الخامسة </w:t>
      </w:r>
      <w:r>
        <w:rPr>
          <w:rtl w:val="true"/>
        </w:rPr>
        <w:t>: [</w:t>
      </w:r>
      <w:r>
        <w:rPr>
          <w:rtl w:val="true"/>
        </w:rPr>
        <w:t>حكم ممازجة العصير المحرم بغيره</w:t>
      </w:r>
      <w:r>
        <w:rPr>
          <w:rtl w:val="true"/>
        </w:rPr>
        <w:t>]</w:t>
      </w:r>
      <w:bookmarkEnd w:id="135"/>
    </w:p>
    <w:p>
      <w:pPr>
        <w:pStyle w:val="BookText"/>
        <w:rPr/>
      </w:pPr>
      <w:r>
        <w:rPr>
          <w:rFonts w:ascii="Amiri" w:hAnsi="Amiri" w:eastAsia="Amiri" w:cs="Amiri"/>
          <w:color w:val="111111"/>
          <w:sz w:val="28"/>
          <w:sz w:val="28"/>
          <w:szCs w:val="28"/>
          <w:rtl w:val="true"/>
          <w:lang w:bidi="ar-SA"/>
        </w:rPr>
        <w:t xml:space="preserve">المسألة الخامسة </w:t>
      </w:r>
      <w:r>
        <w:rPr>
          <w:rStyle w:val="FootnoteAnchor"/>
          <w:rtl w:val="true"/>
        </w:rPr>
        <w:footnoteReference w:id="1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ممازجة العصير المحرم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رحمه الله بابا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Style w:val="FootnoteAnchor"/>
          <w:rtl w:val="true"/>
        </w:rPr>
        <w:footnoteReference w:id="1505"/>
      </w:r>
      <w:r>
        <w:rPr>
          <w:rFonts w:ascii="IRNazanin" w:hAnsi="IRNazanin" w:eastAsia="IRNazanin"/>
          <w:color w:val="111111"/>
          <w:sz w:val="28"/>
          <w:sz w:val="28"/>
          <w:szCs w:val="28"/>
          <w:rtl w:val="true"/>
          <w:lang w:bidi="fa-IR"/>
        </w:rPr>
        <w:t xml:space="preserve">طبخ اللحم بالحصرم </w:t>
      </w:r>
      <w:r>
        <w:rPr>
          <w:rStyle w:val="FootnoteAnchor"/>
          <w:rtl w:val="true"/>
        </w:rPr>
        <w:footnoteReference w:id="1506"/>
      </w:r>
      <w:r>
        <w:rPr>
          <w:rFonts w:ascii="Amiri" w:hAnsi="Amiri" w:eastAsia="Amiri" w:cs="Amiri"/>
          <w:color w:val="111111"/>
          <w:sz w:val="28"/>
          <w:sz w:val="28"/>
          <w:szCs w:val="28"/>
          <w:rtl w:val="true"/>
          <w:lang w:bidi="ar-SA"/>
        </w:rPr>
        <w:t>و العصير العنبي</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 و ذكر فيه حديثا يدل على الإباحة حينئذ</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بعض تلامذته </w:t>
      </w:r>
      <w:r>
        <w:rPr>
          <w:rStyle w:val="FootnoteAnchor"/>
          <w:rtl w:val="true"/>
        </w:rPr>
        <w:footnoteReference w:id="1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العصير الذي لا يجوز لنا أكله إذا غلى حتى يذهب ثلثاه </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w:t>
      </w:r>
      <w:r>
        <w:rPr>
          <w:rStyle w:val="FootnoteAnchor"/>
          <w:rtl w:val="true"/>
        </w:rPr>
        <w:footnoteReference w:id="1511"/>
      </w:r>
      <w:r>
        <w:rPr>
          <w:rFonts w:ascii="Amiri" w:hAnsi="Amiri" w:eastAsia="Amiri" w:cs="Amiri"/>
          <w:color w:val="111111"/>
          <w:sz w:val="28"/>
          <w:sz w:val="28"/>
          <w:szCs w:val="28"/>
          <w:rtl w:val="true"/>
          <w:lang w:bidi="ar-SA"/>
        </w:rPr>
        <w:t>كان عصيّرا وحده، فمتى طرحنا فيه اللحم و نحوه يجوز لنا أكله؛ مستدلا بما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بالحصرم و العصير العنبي؛ لأن الراوي سأل عن هذين لا غير، فأجابه الإمام بما يرفع الإبهام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السؤال وقع عن هذا، و حكمه </w:t>
      </w:r>
      <w:r>
        <w:rPr>
          <w:rStyle w:val="FootnoteAnchor"/>
          <w:rtl w:val="true"/>
        </w:rPr>
        <w:footnoteReference w:id="1512"/>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فالملتمس من جنابكم أن تغوصوا لنا لآلئ الأخبار من بحار الآثار </w:t>
      </w:r>
      <w:r>
        <w:rPr>
          <w:rStyle w:val="FootnoteAnchor"/>
          <w:rtl w:val="true"/>
        </w:rPr>
        <w:footnoteReference w:id="1513"/>
      </w:r>
      <w:r>
        <w:rPr>
          <w:rFonts w:ascii="Amiri" w:hAnsi="Amiri" w:eastAsia="Amiri" w:cs="Amiri"/>
          <w:color w:val="111111"/>
          <w:sz w:val="28"/>
          <w:sz w:val="28"/>
          <w:szCs w:val="28"/>
          <w:rtl w:val="true"/>
          <w:lang w:bidi="ar-SA"/>
        </w:rPr>
        <w:t xml:space="preserve">و تجيبونا بما يشد الفقار و يرفع عنا الشنار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و منه سبحانه إفاضة الصواب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كلام و لا ارتياب في </w:t>
      </w:r>
      <w:r>
        <w:rPr>
          <w:rStyle w:val="FootnoteAnchor"/>
          <w:rtl w:val="true"/>
        </w:rPr>
        <w:footnoteReference w:id="1515"/>
      </w:r>
      <w:r>
        <w:rPr>
          <w:rFonts w:ascii="Amiri" w:hAnsi="Amiri" w:eastAsia="Amiri" w:cs="Amiri"/>
          <w:color w:val="111111"/>
          <w:sz w:val="28"/>
          <w:sz w:val="28"/>
          <w:szCs w:val="28"/>
          <w:rtl w:val="true"/>
          <w:lang w:bidi="ar-SA"/>
        </w:rPr>
        <w:t xml:space="preserve">أن أخبار العصير </w:t>
      </w:r>
      <w:r>
        <w:rPr>
          <w:rStyle w:val="FootnoteAnchor"/>
          <w:rtl w:val="true"/>
        </w:rPr>
        <w:footnoteReference w:id="1516"/>
      </w:r>
      <w:r>
        <w:rPr>
          <w:rFonts w:ascii="Amiri" w:hAnsi="Amiri" w:eastAsia="Amiri" w:cs="Amiri"/>
          <w:color w:val="111111"/>
          <w:sz w:val="28"/>
          <w:sz w:val="28"/>
          <w:szCs w:val="28"/>
          <w:rtl w:val="true"/>
          <w:lang w:bidi="ar-SA"/>
        </w:rPr>
        <w:t xml:space="preserve">التي قدمناها و ما جاء في هذا </w:t>
      </w:r>
      <w:r>
        <w:rPr>
          <w:rStyle w:val="FootnoteAnchor"/>
          <w:rtl w:val="true"/>
        </w:rPr>
        <w:footnoteReference w:id="1517"/>
      </w:r>
      <w:r>
        <w:rPr>
          <w:rFonts w:ascii="Amiri" w:hAnsi="Amiri" w:eastAsia="Amiri" w:cs="Amiri"/>
          <w:color w:val="111111"/>
          <w:sz w:val="28"/>
          <w:sz w:val="28"/>
          <w:szCs w:val="28"/>
          <w:rtl w:val="true"/>
          <w:lang w:bidi="ar-SA"/>
        </w:rPr>
        <w:t xml:space="preserve">الباب عن الأئمة الأنجاب شاملةً بعمومها لهذا الفرد الذي وقع فيه النزاع، و إن كان بحسب الظاهر مما انعقد عليه الإجماع؛ إذ لم نقف على خلاف بين علمائنا في أن الكلية المحققة في مثل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آنفًا و مضمونها كل عصير مسته النار فهو حرام، و كذا الكلية الظاهرة في غيرها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منطبقة على جميع افراد العنب و ثمر الكرم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عصره؛ إذ الكلية إنما هي بالنظر الى تعدد الأقسام من هذه الجهة و اعتبار</w:t>
      </w:r>
    </w:p>
    <w:p>
      <w:pPr>
        <w:pStyle w:val="BookText"/>
        <w:rPr/>
      </w:pPr>
      <w:r>
        <w:rPr>
          <w:rFonts w:ascii="Amiri" w:hAnsi="Amiri" w:eastAsia="Amiri" w:cs="Amiri"/>
          <w:color w:val="111111"/>
          <w:sz w:val="28"/>
          <w:sz w:val="28"/>
          <w:szCs w:val="28"/>
          <w:rtl w:val="true"/>
          <w:lang w:bidi="ar-SA"/>
        </w:rPr>
        <w:t>مراتبه من الحصرم الى أن ينتهي، أو بالنظر الى كونه عصيرا محضًا أو قد خالطه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يُتوهم من اختصاص الكلية و أنه مخصوص بالبالغ دون غيره من سائر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الإصغاء إليه و لا التعريج عليه و إن توهمه بعض مشايخنا المعاصرين؛ لنص أهل اللغة و العرف على الشمول في العنب، و أنه صادق على ثمر الكرم في كل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العنب مادام أخضر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ظهر من تلك الكلية منها، فإنها إنما تتحقق بالنظر الى تلك المراتب، و إلا صارت كليّتها مقدرة كالشمس، و هو مما لا ينقله أحد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الأخبار التي تضمنت علة التحريم بالغليان حتى يذهب الثلثان مؤذنة بالتعميم؛ لما عرفت من أن </w:t>
      </w:r>
      <w:r>
        <w:rPr>
          <w:rStyle w:val="FootnoteAnchor"/>
          <w:rtl w:val="true"/>
        </w:rPr>
        <w:footnoteReference w:id="1519"/>
      </w:r>
      <w:r>
        <w:rPr>
          <w:rFonts w:ascii="Amiri" w:hAnsi="Amiri" w:eastAsia="Amiri" w:cs="Amiri"/>
          <w:color w:val="111111"/>
          <w:sz w:val="28"/>
          <w:sz w:val="28"/>
          <w:szCs w:val="28"/>
          <w:rtl w:val="true"/>
          <w:lang w:bidi="ar-SA"/>
        </w:rPr>
        <w:t>السبب هو كون الثلثين حظ إبليس فلا يحل إلا بذهابه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يدل عليه صريحًا ما رواه في الكافي بإسناده إلى إبراهيم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w:t>
      </w:r>
      <w:r>
        <w:rPr>
          <w:rStyle w:val="FootnoteAnchor"/>
          <w:rtl w:val="true"/>
        </w:rPr>
        <w:footnoteReference w:id="1520"/>
      </w:r>
      <w:r>
        <w:rPr>
          <w:rFonts w:ascii="Amiri" w:hAnsi="Amiri" w:eastAsia="Amiri" w:cs="Amiri"/>
          <w:color w:val="111111"/>
          <w:sz w:val="28"/>
          <w:sz w:val="28"/>
          <w:szCs w:val="28"/>
          <w:rtl w:val="true"/>
          <w:lang w:bidi="ar-SA"/>
        </w:rPr>
        <w:t xml:space="preserve">لَّا أَهْبَطَ أَدَمَ علیه السلام أَمَرَهُ بِالحَرثِ وَالزَّرْعِ، وَطَرَحَ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 xml:space="preserve">غَرْسًا مِنْ غُرُوْسِ الجنَّةِ، فَأَعْطَاهُ النَّخْلَ و َالْأَعْنَابَ وَ الزَّيْتُونَ وَ الرُّمَانَ، فَغَرَسَهُ لِيَكُونَ لِعَقِبِهِ وَذُرِّيَّتِهِ، وَ أَكَلَ </w:t>
      </w:r>
      <w:r>
        <w:rPr>
          <w:rStyle w:val="FootnoteAnchor"/>
          <w:rtl w:val="true"/>
        </w:rPr>
        <w:footnoteReference w:id="1522"/>
      </w:r>
      <w:r>
        <w:rPr>
          <w:rFonts w:ascii="Amiri" w:hAnsi="Amiri" w:eastAsia="Amiri" w:cs="Amiri"/>
          <w:color w:val="111111"/>
          <w:sz w:val="28"/>
          <w:sz w:val="28"/>
          <w:szCs w:val="28"/>
          <w:rtl w:val="true"/>
          <w:lang w:bidi="ar-SA"/>
        </w:rPr>
        <w:t xml:space="preserve">هُوَ مِنْ 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هَذَا الْغَرْسُ الَّذِي لَمْ أَكُنْ أَعْرِفُهُ فِي الْأَرْضِ، وَقَدْ كُنتُ فِيهَا قَبْلَكَ؟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أَكُلُ مِنْهَا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 فَأَبَى آدَمُ عَلَيه السلام أَنْ يُطْعِمَهُ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إِبْلِيْسُ عِنْدَ أَخَرِ عُمْرِ </w:t>
      </w:r>
      <w:r>
        <w:rPr>
          <w:rStyle w:val="FootnoteAnchor"/>
          <w:rtl w:val="true"/>
        </w:rPr>
        <w:footnoteReference w:id="1526"/>
      </w:r>
      <w:r>
        <w:rPr>
          <w:rFonts w:ascii="Amiri" w:hAnsi="Amiri" w:eastAsia="Amiri" w:cs="Amiri"/>
          <w:color w:val="111111"/>
          <w:sz w:val="28"/>
          <w:sz w:val="28"/>
          <w:szCs w:val="28"/>
          <w:rtl w:val="true"/>
          <w:lang w:bidi="ar-SA"/>
        </w:rPr>
        <w:t xml:space="preserve">أَدَمَ عَليه السلام وَ قَالَ لحَوَّاءَ إِنَّهُ قَدْ أُجْهِدَ فِي </w:t>
      </w:r>
      <w:r>
        <w:rPr>
          <w:rStyle w:val="FootnoteAnchor"/>
          <w:rtl w:val="true"/>
        </w:rPr>
        <w:footnoteReference w:id="1527"/>
      </w:r>
      <w:r>
        <w:rPr>
          <w:rFonts w:ascii="Amiri" w:hAnsi="Amiri" w:eastAsia="Amiri" w:cs="Amiri"/>
          <w:color w:val="111111"/>
          <w:sz w:val="28"/>
          <w:sz w:val="28"/>
          <w:szCs w:val="28"/>
          <w:rtl w:val="true"/>
          <w:lang w:bidi="ar-SA"/>
        </w:rPr>
        <w:t>الجُوعِ وَ الْعَطَشِ ، فَقَالَتْ لَهُ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تُذِيُقِيْنِي مِنْ هَذِهِ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أَدَمَ عَهَدَ إِلَيَّ أَلَّا أُطْعِمَكَ شَيْئًا مِنْ هَذَا الْغَرْس؛ لِأَنَّهُ مِنَ الْجَنَّةِ، و َلَا يَنْبَغِي أَنْ تَأْكُلَ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فَاعْصِرِي فِي كَفِّي شَيْئًا مِنْهُ، فَأَبَتْ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ذَرینِي أَمُصُّهُ و َلَا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عُنْفُوْدًا مِنْ عِنَبٍ فَأَعْطَتْهُ، فَمَصَّهُ وَ لَمْ يَأْكُلْ مِنْهُ لما كَانَتْ حَوَّاءُ قَدْ أَكَدَتْ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بَعْضُهُ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جَذَبَتْهُ حَوَاءُ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إِلَى أَدَمَ </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مَصَّهُ عَدُوِّي وَ عَدُوكَ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حَرَّمْتُ عَلَيْكَ مِنْ عَصِيْرِهِ </w:t>
      </w:r>
      <w:r>
        <w:rPr>
          <w:rStyle w:val="FootnoteAnchor"/>
          <w:rtl w:val="true"/>
        </w:rPr>
        <w:footnoteReference w:id="1530"/>
      </w:r>
      <w:r>
        <w:rPr>
          <w:rFonts w:ascii="Amiri" w:hAnsi="Amiri" w:eastAsia="Amiri" w:cs="Amiri"/>
          <w:color w:val="111111"/>
          <w:sz w:val="28"/>
          <w:sz w:val="28"/>
          <w:szCs w:val="28"/>
          <w:rtl w:val="true"/>
          <w:lang w:bidi="ar-SA"/>
        </w:rPr>
        <w:t>مَا خَالَطَهُ نَفَسُ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فَحَرُمَتِ الْخَمْرُ </w:t>
      </w:r>
      <w:r>
        <w:rPr>
          <w:rStyle w:val="FootnoteAnchor"/>
          <w:rtl w:val="true"/>
        </w:rPr>
        <w:footnoteReference w:id="1531"/>
      </w:r>
      <w:r>
        <w:rPr>
          <w:rFonts w:ascii="Amiri" w:hAnsi="Amiri" w:eastAsia="Amiri" w:cs="Amiri"/>
          <w:color w:val="111111"/>
          <w:sz w:val="28"/>
          <w:sz w:val="28"/>
          <w:szCs w:val="28"/>
          <w:rtl w:val="true"/>
          <w:lang w:bidi="ar-SA"/>
        </w:rPr>
        <w:t>لَأَنَّ عَدُوَّ اللَّهِ إِبْلِيْسَ مَكَرَ بِحَوَّاءَ حَتَّى مَصَّ الْعِنَبَ، وَ لَوْ أَكَلَهَا لَحَرُمَت الْكَرْمَةُ مِنْ أَوَّلِهَا إِلَى أَخِرِهَا، وَ جَمِيْعُ ثَمَرِهَا وَمَا يَخْرُجُ مِنْهَا الحديث</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حديث العلل، وهو خبر وهب بن منبه،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فَوْقَ الثلْثِ مِنْ طَبْخِهَا فَلِإِبْلِيسَ ، فَهُوَ حَظْهُ، وَ مَا كَانَ مِنَ الثَّلْثِ فَمَا دُونَهُ فَهُوَ لِنُوحٍ عَلیه السلام وَهُوَ حَظِّهُ، و َذَلِكَ الحَلَالُ الطَّيِّبُ يُشْرَبُ مِنْهُ</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الحبلة التي هي الكرم، فيدخل ثمرها بقول مطلق في ذلك الحكم كما هو مقتضى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التي جاءت في هذا الباب كلها مؤذنة بالتعميم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الخبر الذي ذكره الحر </w:t>
      </w:r>
      <w:r>
        <w:rPr>
          <w:rStyle w:val="FootnoteAnchor"/>
          <w:rtl w:val="true"/>
        </w:rPr>
        <w:footnoteReference w:id="1534"/>
      </w:r>
      <w:r>
        <w:rPr>
          <w:rFonts w:ascii="Amiri" w:hAnsi="Amiri" w:eastAsia="Amiri" w:cs="Amiri"/>
          <w:color w:val="111111"/>
          <w:sz w:val="28"/>
          <w:sz w:val="28"/>
          <w:szCs w:val="28"/>
          <w:rtl w:val="true"/>
          <w:lang w:bidi="ar-SA"/>
        </w:rPr>
        <w:t>ررحمه الله في هذا الباب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رواه ابن إدريس في مستطرفات السرائر نقلا من كتاب المسائل لمحمد بن علي بن عيسى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أَحْمَدَ بنُ زِيادٍ، وَمُوسَى بنُ مُحَمَّدِ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عِنْدَنَا طبیخُ يُجْعَلُ فِيهِ الْحَصْرِمُ، وَرُبَّما جُعِلَ فِيهِ </w:t>
      </w:r>
      <w:r>
        <w:rPr>
          <w:rStyle w:val="FootnoteAnchor"/>
          <w:rtl w:val="true"/>
        </w:rPr>
        <w:footnoteReference w:id="1535"/>
      </w:r>
      <w:r>
        <w:rPr>
          <w:rFonts w:ascii="Amiri" w:hAnsi="Amiri" w:eastAsia="Amiri" w:cs="Amiri"/>
          <w:color w:val="111111"/>
          <w:sz w:val="28"/>
          <w:sz w:val="28"/>
          <w:szCs w:val="28"/>
          <w:rtl w:val="true"/>
          <w:lang w:bidi="ar-SA"/>
        </w:rPr>
        <w:t>الْعَصِيرُ مِنَ الْعِنَبِ، وَ إِنَّمَا هُوَ لحم يُطْبَخُ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عَنْهُمْ </w:t>
      </w:r>
      <w:r>
        <w:rPr>
          <w:rStyle w:val="FootnoteAnchor"/>
          <w:rtl w:val="true"/>
        </w:rPr>
        <w:footnoteReference w:id="1536"/>
      </w:r>
      <w:r>
        <w:rPr>
          <w:rFonts w:ascii="Amiri" w:hAnsi="Amiri" w:eastAsia="Amiri" w:cs="Amiri"/>
          <w:color w:val="111111"/>
          <w:sz w:val="28"/>
          <w:sz w:val="28"/>
          <w:szCs w:val="28"/>
          <w:rtl w:val="true"/>
          <w:lang w:bidi="ar-SA"/>
        </w:rPr>
        <w:t xml:space="preserve">علیهم السلام فِي الْعَصِيرِ إِذَا جُعِلَ عَلَى النَّارِ لم يُشْرَبْ حَتَّى يَذْهَبَ ثُلُثَاهُ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ثلْثهُ</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 xml:space="preserve">، وَإِنَّ </w:t>
      </w:r>
      <w:r>
        <w:rPr>
          <w:rStyle w:val="FootnoteAnchor"/>
          <w:rtl w:val="true"/>
        </w:rPr>
        <w:footnoteReference w:id="1538"/>
      </w:r>
      <w:r>
        <w:rPr>
          <w:rFonts w:ascii="Amiri" w:hAnsi="Amiri" w:eastAsia="Amiri" w:cs="Amiri"/>
          <w:color w:val="111111"/>
          <w:sz w:val="28"/>
          <w:sz w:val="28"/>
          <w:szCs w:val="28"/>
          <w:rtl w:val="true"/>
          <w:lang w:bidi="ar-SA"/>
        </w:rPr>
        <w:t xml:space="preserve">الَّذِي يَجْعَلُ فِي الْقِدْرِ مِنَ الْعَصِيْر بِتِلْكَ المنزِلَةِ، وَ قَدِ اجْتَنَبُوْا أَكْلَهُ إِلَى أَنْ نَسْتَأْذِنَ </w:t>
      </w:r>
      <w:r>
        <w:rPr>
          <w:rStyle w:val="FootnoteAnchor"/>
          <w:rtl w:val="true"/>
        </w:rPr>
        <w:footnoteReference w:id="1539"/>
      </w:r>
      <w:r>
        <w:rPr>
          <w:rFonts w:ascii="Amiri" w:hAnsi="Amiri" w:eastAsia="Amiri" w:cs="Amiri"/>
          <w:color w:val="111111"/>
          <w:sz w:val="28"/>
          <w:sz w:val="28"/>
          <w:szCs w:val="28"/>
          <w:rtl w:val="true"/>
          <w:lang w:bidi="ar-SA"/>
        </w:rPr>
        <w:t>مَوْلانَا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Style w:val="FootnoteAnchor"/>
          <w:rtl w:val="true"/>
        </w:rPr>
        <w:footnoteReference w:id="1540"/>
      </w:r>
      <w:r>
        <w:rPr>
          <w:rFonts w:ascii="Amiri" w:hAnsi="Amiri" w:eastAsia="Amiri" w:cs="Amiri"/>
          <w:color w:val="111111"/>
          <w:sz w:val="28"/>
          <w:sz w:val="28"/>
          <w:szCs w:val="28"/>
          <w:rtl w:val="true"/>
          <w:lang w:bidi="ar-SA"/>
        </w:rPr>
        <w:t xml:space="preserve">علیه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الجامع ليحيى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w:t>
      </w:r>
      <w:r>
        <w:rPr>
          <w:rStyle w:val="FootnoteAnchor"/>
          <w:rtl w:val="true"/>
        </w:rPr>
        <w:footnoteReference w:id="1542"/>
      </w:r>
      <w:r>
        <w:rPr>
          <w:rFonts w:ascii="Amiri" w:hAnsi="Amiri" w:eastAsia="Amiri" w:cs="Amiri"/>
          <w:color w:val="111111"/>
          <w:sz w:val="28"/>
          <w:sz w:val="28"/>
          <w:szCs w:val="28"/>
          <w:rtl w:val="true"/>
          <w:lang w:bidi="ar-SA"/>
        </w:rPr>
        <w:t xml:space="preserve">مُحَمَّدُ بن عَليَّ بن عِيْسَى إِلَى عَليّ بنِ مُحَمَّدٍ الْهَادِي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عِنْدَنَا طَبِيْخٌ </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 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الخبر الأول بعينه، و إنما وقع فيه نوع تصرف؛ حيث أنه</w:t>
      </w:r>
    </w:p>
    <w:p>
      <w:pPr>
        <w:pStyle w:val="BookText"/>
        <w:rPr/>
      </w:pPr>
      <w:r>
        <w:rPr>
          <w:rFonts w:ascii="Amiri" w:hAnsi="Amiri" w:eastAsia="Amiri" w:cs="Amiri"/>
          <w:color w:val="111111"/>
          <w:sz w:val="28"/>
          <w:sz w:val="28"/>
          <w:szCs w:val="28"/>
          <w:rtl w:val="true"/>
          <w:lang w:bidi="ar-SA"/>
        </w:rPr>
        <w:t>عبر هنا عن الكاتب بالظاهر و هناك بالضمير، وفي المكتوب إليه بالعكس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ذكره سلمه الله تعالى و عزاه الى بعض تلامذته من إشعار هذا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1544"/>
      </w:r>
      <w:r>
        <w:rPr>
          <w:rFonts w:ascii="Amiri" w:hAnsi="Amiri" w:eastAsia="Amiri" w:cs="Amiri"/>
          <w:color w:val="111111"/>
          <w:sz w:val="28"/>
          <w:sz w:val="28"/>
          <w:szCs w:val="28"/>
          <w:rtl w:val="true"/>
          <w:lang w:bidi="ar-SA"/>
        </w:rPr>
        <w:t xml:space="preserve">بالحل في العصير العنبي و الحصرم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نوع من العصير العنبي إذا مازجه غيره مما ليس بعصير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لا يحرم إلا إذا غلى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متفردات هذا القائل، بل قد صرح به جماعة من المحدثين أن ظاهر الحر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غائص البحار، و مستخرج درر الأفكار، المحقق المجلسي في بحاره عند كلامه على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w:t>
      </w:r>
      <w:r>
        <w:rPr>
          <w:rStyle w:val="FootnoteAnchor"/>
          <w:rtl w:val="true"/>
        </w:rPr>
        <w:footnoteReference w:id="1545"/>
      </w:r>
      <w:r>
        <w:rPr>
          <w:rFonts w:ascii="Amiri" w:hAnsi="Amiri" w:eastAsia="Amiri" w:cs="Amiri"/>
          <w:color w:val="111111"/>
          <w:sz w:val="28"/>
          <w:sz w:val="28"/>
          <w:szCs w:val="28"/>
          <w:rtl w:val="true"/>
          <w:lang w:bidi="ar-SA"/>
        </w:rPr>
        <w:t>الرواية تدل على أنه إذا صب العصير في الماء و على الجميع لا يحرم، ولا يشترط في حله ذهاب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قائلا به </w:t>
      </w:r>
      <w:r>
        <w:rPr>
          <w:rStyle w:val="FootnoteAnchor"/>
          <w:rtl w:val="true"/>
        </w:rPr>
        <w:footnoteReference w:id="1546"/>
      </w:r>
      <w:r>
        <w:rPr>
          <w:rFonts w:ascii="IRNazanin" w:hAnsi="IRNazanin" w:eastAsia="IRNazanin"/>
          <w:color w:val="111111"/>
          <w:sz w:val="28"/>
          <w:sz w:val="28"/>
          <w:szCs w:val="28"/>
          <w:rtl w:val="true"/>
          <w:lang w:bidi="fa-IR"/>
        </w:rPr>
        <w:t xml:space="preserve">من الأصحاب </w:t>
      </w:r>
      <w:r>
        <w:rPr>
          <w:rFonts w:eastAsia="IRNazanin" w:cs="IRNazanin"/>
          <w:color w:val="111111"/>
          <w:sz w:val="28"/>
          <w:szCs w:val="28"/>
          <w:rtl w:val="true"/>
          <w:lang w:bidi="fa-IR"/>
        </w:rPr>
        <w:t xml:space="preserve">»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نفي القائل في كلامه إنما هو بالنظر الى من تقدمه من الأصحاب؛ لما عرفت من الإطباق على اعتبار الكلية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صرح بمثل ما </w:t>
      </w:r>
      <w:r>
        <w:rPr>
          <w:rStyle w:val="FootnoteAnchor"/>
          <w:rtl w:val="true"/>
        </w:rPr>
        <w:footnoteReference w:id="1548"/>
      </w:r>
      <w:r>
        <w:rPr>
          <w:rFonts w:ascii="Amiri" w:hAnsi="Amiri" w:eastAsia="Amiri" w:cs="Amiri"/>
          <w:color w:val="111111"/>
          <w:sz w:val="28"/>
          <w:sz w:val="28"/>
          <w:szCs w:val="28"/>
          <w:rtl w:val="true"/>
          <w:lang w:bidi="ar-SA"/>
        </w:rPr>
        <w:t>صرح به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في شرحه على المفاتيح </w:t>
      </w:r>
      <w:r>
        <w:rPr>
          <w:rStyle w:val="FootnoteAnchor"/>
          <w:rtl w:val="true"/>
        </w:rPr>
        <w:footnoteReference w:id="1549"/>
      </w:r>
      <w:r>
        <w:rPr>
          <w:rFonts w:ascii="Amiri" w:hAnsi="Amiri" w:eastAsia="Amiri" w:cs="Amiri"/>
          <w:color w:val="111111"/>
          <w:sz w:val="28"/>
          <w:sz w:val="28"/>
          <w:szCs w:val="28"/>
          <w:rtl w:val="true"/>
          <w:lang w:bidi="ar-SA"/>
        </w:rPr>
        <w:t xml:space="preserve">، إلا أنه قد صرح أيضًا بمعارضته </w:t>
      </w:r>
      <w:r>
        <w:rPr>
          <w:rStyle w:val="FootnoteAnchor"/>
          <w:rtl w:val="true"/>
        </w:rPr>
        <w:footnoteReference w:id="1550"/>
      </w:r>
      <w:r>
        <w:rPr>
          <w:rFonts w:ascii="Amiri" w:hAnsi="Amiri" w:eastAsia="Amiri" w:cs="Amiri"/>
          <w:color w:val="111111"/>
          <w:sz w:val="28"/>
          <w:sz w:val="28"/>
          <w:szCs w:val="28"/>
          <w:rtl w:val="true"/>
          <w:lang w:bidi="ar-SA"/>
        </w:rPr>
        <w:t>لخبر عقبة بن خالد عن أبي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علیه السلام الذي مر ذكره آنفًا، حيث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أخذ عشرة أرطال من عصير العنب، فصب عليه عشرين رطلا من ماء، ثم طبخها حتى ذهب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 عشرون رطلا و بقي عشرة أرطال أيصلح شرب تلك العشرة أم لا؟ قال </w:t>
      </w:r>
      <w:r>
        <w:rPr>
          <w:rStyle w:val="FootnoteAnchor"/>
          <w:rtl w:val="true"/>
        </w:rPr>
        <w:footnoteReference w:id="1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طبخ على ثلثه فهو حلال</w:t>
      </w:r>
      <w:r>
        <w:rPr>
          <w:rFonts w:eastAsia="IRNazanin" w:cs="IRNazanin"/>
          <w:color w:val="111111"/>
          <w:sz w:val="28"/>
          <w:szCs w:val="28"/>
          <w:rtl w:val="true"/>
          <w:lang w:bidi="fa-IR"/>
        </w:rPr>
        <w:t xml:space="preserve">»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إعلانه بما ذكر ظاهر، فيكون اعتبار تلك القاعدة في الممزوج بغير مظاهرة، وأن تلك الكلية لا تخصيص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بذلك المحقق يحيى بن سعيد الحلي في جامعه، قال رحمه الله في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تجمع </w:t>
      </w:r>
      <w:r>
        <w:rPr>
          <w:rStyle w:val="FootnoteAnchor"/>
          <w:rtl w:val="true"/>
        </w:rPr>
        <w:footnoteReference w:id="1553"/>
      </w:r>
      <w:r>
        <w:rPr>
          <w:rFonts w:ascii="Amiri" w:hAnsi="Amiri" w:eastAsia="Amiri" w:cs="Amiri"/>
          <w:color w:val="111111"/>
          <w:sz w:val="28"/>
          <w:sz w:val="28"/>
          <w:szCs w:val="28"/>
          <w:rtl w:val="true"/>
          <w:lang w:bidi="ar-SA"/>
        </w:rPr>
        <w:t>بين عشرة أرطال عصيرا و بين عشرين رطلًا ماء، ثم يغلي حتى يبقى عشره ، فيحل</w:t>
      </w:r>
      <w:r>
        <w:rPr>
          <w:rFonts w:eastAsia="Amiri" w:cs="Amiri" w:ascii="Amiri" w:hAnsi="Amiri"/>
          <w:color w:val="111111"/>
          <w:sz w:val="28"/>
          <w:szCs w:val="28"/>
          <w:rtl w:val="true"/>
          <w:lang w:bidi="ar-SA"/>
        </w:rPr>
        <w:t xml:space="preserve">» </w:t>
      </w:r>
      <w:r>
        <w:rPr>
          <w:rStyle w:val="FootnoteAnchor"/>
          <w:rtl w:val="true"/>
        </w:rPr>
        <w:footnoteReference w:id="15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حدا حدوه جماعة في دعوى تلك الظاهرية في الخبر، مثل الفاضل الحر في وسائله، و المحدث المجلسي في بحاره </w:t>
      </w:r>
      <w:r>
        <w:rPr>
          <w:rStyle w:val="FootnoteAnchor"/>
          <w:rtl w:val="true"/>
        </w:rPr>
        <w:footnoteReference w:id="1556"/>
      </w:r>
      <w:r>
        <w:rPr>
          <w:rFonts w:ascii="Amiri" w:hAnsi="Amiri" w:eastAsia="Amiri" w:cs="Amiri"/>
          <w:color w:val="111111"/>
          <w:sz w:val="28"/>
          <w:sz w:val="28"/>
          <w:szCs w:val="28"/>
          <w:rtl w:val="true"/>
          <w:lang w:bidi="ar-SA"/>
        </w:rPr>
        <w:t xml:space="preserve">، وشارح المفاتيح المذكور كما سمعت، و المحقق الأواه </w:t>
      </w:r>
      <w:r>
        <w:rPr>
          <w:rStyle w:val="FootnoteAnchor"/>
          <w:rtl w:val="true"/>
        </w:rPr>
        <w:footnoteReference w:id="1557"/>
      </w:r>
      <w:r>
        <w:rPr>
          <w:rFonts w:ascii="Amiri" w:hAnsi="Amiri" w:eastAsia="Amiri" w:cs="Amiri"/>
          <w:color w:val="111111"/>
          <w:sz w:val="28"/>
          <w:sz w:val="28"/>
          <w:szCs w:val="28"/>
          <w:rtl w:val="true"/>
          <w:lang w:bidi="ar-SA"/>
        </w:rPr>
        <w:t xml:space="preserve">السيد عبد الله على ذلك </w:t>
      </w:r>
      <w:r>
        <w:rPr>
          <w:rStyle w:val="FootnoteAnchor"/>
          <w:rtl w:val="true"/>
        </w:rPr>
        <w:footnoteReference w:id="1558"/>
      </w:r>
      <w:r>
        <w:rPr>
          <w:rFonts w:ascii="Amiri" w:hAnsi="Amiri" w:eastAsia="Amiri" w:cs="Amiri"/>
          <w:color w:val="111111"/>
          <w:sz w:val="28"/>
          <w:sz w:val="28"/>
          <w:szCs w:val="28"/>
          <w:rtl w:val="true"/>
          <w:lang w:bidi="ar-SA"/>
        </w:rPr>
        <w:t>كما هو مقتضى تلك</w:t>
      </w:r>
    </w:p>
    <w:p>
      <w:pPr>
        <w:pStyle w:val="BookText"/>
        <w:rPr/>
      </w:pPr>
      <w:r>
        <w:rPr>
          <w:rFonts w:ascii="Amiri" w:hAnsi="Amiri" w:eastAsia="Amiri" w:cs="Amiri"/>
          <w:color w:val="111111"/>
          <w:sz w:val="28"/>
          <w:sz w:val="28"/>
          <w:szCs w:val="28"/>
          <w:rtl w:val="true"/>
          <w:lang w:bidi="ar-SA"/>
        </w:rPr>
        <w:t>الكلية المحققة و الظاهرة فيها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الخبر في الدلالة على ذلك خبر علي بن جعفر الذي مر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حكم الزبيب، حيث قال فيه بعد سؤاله عن الزبيب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يَصْلُحُ أَنْ يُطْبَخَ حَتَّى يَخْرُجَ طَعْمُهُ، ثُمَّ يُؤْخَذُ الماءُ فَيُطْبَخُ حَتَّى يَذْهَبَ ثُلُثَاهُ و َيَبْقَى ثلثهُ، ثُمَّ يُرْفَعُ وَيُشْرَبُ مِنْهُ </w:t>
      </w:r>
      <w:r>
        <w:rPr>
          <w:rStyle w:val="FootnoteAnchor"/>
          <w:rtl w:val="true"/>
        </w:rPr>
        <w:footnoteReference w:id="1559"/>
      </w:r>
      <w:r>
        <w:rPr>
          <w:rFonts w:ascii="Amiri" w:hAnsi="Amiri" w:eastAsia="Amiri" w:cs="Amiri"/>
          <w:color w:val="111111"/>
          <w:sz w:val="28"/>
          <w:sz w:val="28"/>
          <w:szCs w:val="28"/>
          <w:rtl w:val="true"/>
          <w:lang w:bidi="ar-SA"/>
        </w:rPr>
        <w:t xml:space="preserve">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60"/>
      </w:r>
      <w:r>
        <w:rPr>
          <w:rFonts w:ascii="IRNazanin" w:hAnsi="IRNazanin" w:eastAsia="IRNazanin"/>
          <w:color w:val="111111"/>
          <w:sz w:val="28"/>
          <w:sz w:val="28"/>
          <w:szCs w:val="28"/>
          <w:rtl w:val="true"/>
          <w:lang w:bidi="fa-IR"/>
        </w:rPr>
        <w:t>، فإن تقريره علیه السلام حجّةٌ كما قدمنا البحث عنه في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خبر زيد النرسي الذي مر آنفًا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فَالزَّيْبُ يُلْقَى فِي الْقِدْرِ يُصَبُّ عَلَيْهِ الماءُ ثُمَّ يُطْبَحُ وَ يُصَفّى </w:t>
      </w:r>
      <w:r>
        <w:rPr>
          <w:rStyle w:val="FootnoteAnchor"/>
          <w:rtl w:val="true"/>
        </w:rPr>
        <w:footnoteReference w:id="1561"/>
      </w:r>
      <w:r>
        <w:rPr>
          <w:rFonts w:ascii="Amiri" w:hAnsi="Amiri" w:eastAsia="Amiri" w:cs="Amiri"/>
          <w:color w:val="111111"/>
          <w:sz w:val="28"/>
          <w:sz w:val="28"/>
          <w:szCs w:val="28"/>
          <w:rtl w:val="true"/>
          <w:lang w:bidi="ar-SA"/>
        </w:rPr>
        <w:t>عَنْهُ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سَوَاءُ إِذَا أَدتِ الْحَلَاوَةُ إِلَى المَاءِ صَارَ حُلْوا بِمَنْزِلَةِ الْعَصِيرِ ثُمَّ نَشَّ </w:t>
      </w:r>
      <w:r>
        <w:rPr>
          <w:rStyle w:val="FootnoteAnchor"/>
          <w:rtl w:val="true"/>
        </w:rPr>
        <w:footnoteReference w:id="1562"/>
      </w:r>
      <w:r>
        <w:rPr>
          <w:rFonts w:ascii="Amiri" w:hAnsi="Amiri" w:eastAsia="Amiri" w:cs="Amiri"/>
          <w:color w:val="111111"/>
          <w:sz w:val="28"/>
          <w:sz w:val="28"/>
          <w:szCs w:val="28"/>
          <w:rtl w:val="true"/>
          <w:lang w:bidi="ar-SA"/>
        </w:rPr>
        <w:t>مِنْ غَيْرِ أَنْ تُصِيبَهُ النَّارُ فَقَدْ حَرُمَ</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أصابته النار – كالمستقل – مما لا كلام فيه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يرد عليها شيء و هو أن تلك القاعدة التي تضمنتها تلك الأخبار المتقدمة في بيان طريق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أن الذاهب هو ثلثا العصير نفسه دون ما مازجه، و أنه لا يكفي الذهاب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أخبار العلل ؛ لأن حظ إبليس إنما هو في العصير لا </w:t>
      </w:r>
      <w:r>
        <w:rPr>
          <w:rStyle w:val="FootnoteAnchor"/>
          <w:rtl w:val="true"/>
        </w:rPr>
        <w:footnoteReference w:id="1564"/>
      </w:r>
      <w:r>
        <w:rPr>
          <w:rFonts w:ascii="Amiri" w:hAnsi="Amiri" w:eastAsia="Amiri" w:cs="Amiri"/>
          <w:color w:val="111111"/>
          <w:sz w:val="28"/>
          <w:sz w:val="28"/>
          <w:szCs w:val="28"/>
          <w:rtl w:val="true"/>
          <w:lang w:bidi="ar-SA"/>
        </w:rPr>
        <w:t>فيما مازجه ، و مقتضى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الأخبار الدالة على الممازجة بغير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الماء حكم العصير عند</w:t>
      </w:r>
    </w:p>
    <w:p>
      <w:pPr>
        <w:pStyle w:val="BookText"/>
        <w:rPr/>
      </w:pPr>
      <w:r>
        <w:rPr>
          <w:rFonts w:ascii="Amiri" w:hAnsi="Amiri" w:eastAsia="Amiri" w:cs="Amiri"/>
          <w:color w:val="111111"/>
          <w:sz w:val="28"/>
          <w:sz w:val="28"/>
          <w:szCs w:val="28"/>
          <w:rtl w:val="true"/>
          <w:lang w:bidi="ar-SA"/>
        </w:rPr>
        <w:t>الشارع، وأنه يكفي ذهاب ثلثي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 القدماء من الأصحاب في هذا المقام غير منقح إلا ما عرفته من كلام صاحب الجامع حيث قد صرح بذلك، وكأنه </w:t>
      </w:r>
      <w:r>
        <w:rPr>
          <w:rStyle w:val="FootnoteAnchor"/>
          <w:rtl w:val="true"/>
        </w:rPr>
        <w:footnoteReference w:id="1566"/>
      </w:r>
      <w:r>
        <w:rPr>
          <w:rFonts w:ascii="Amiri" w:hAnsi="Amiri" w:eastAsia="Amiri" w:cs="Amiri"/>
          <w:color w:val="111111"/>
          <w:sz w:val="28"/>
          <w:sz w:val="28"/>
          <w:szCs w:val="28"/>
          <w:rtl w:val="true"/>
          <w:lang w:bidi="ar-SA"/>
        </w:rPr>
        <w:t>اعتبر أن الأخبار مقيدة لعموم تلك القاعدة، حيث أن هذه خاصة و تلك عامة، و مقتضى الجمع إرجاعها إليها و حملها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الى هذا جماعة منهم الفاضل المجلسي، و المحقق السيد عبد الله في الشرح المذكور، حتى أنه قدس سره عد ذلك من </w:t>
      </w:r>
      <w:r>
        <w:rPr>
          <w:rStyle w:val="FootnoteAnchor"/>
          <w:rtl w:val="true"/>
        </w:rPr>
        <w:footnoteReference w:id="1567"/>
      </w:r>
      <w:r>
        <w:rPr>
          <w:rFonts w:ascii="Amiri" w:hAnsi="Amiri" w:eastAsia="Amiri" w:cs="Amiri"/>
          <w:color w:val="111111"/>
          <w:sz w:val="28"/>
          <w:sz w:val="28"/>
          <w:szCs w:val="28"/>
          <w:rtl w:val="true"/>
          <w:lang w:bidi="ar-SA"/>
        </w:rPr>
        <w:t>الحيل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ناقش بعض المحققين من المعاصرين لشيخنا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p>
    <w:p>
      <w:pPr>
        <w:pStyle w:val="BookText"/>
        <w:rPr/>
      </w:pPr>
      <w:r>
        <w:rPr>
          <w:rFonts w:ascii="Amiri" w:hAnsi="Amiri" w:eastAsia="Amiri" w:cs="Amiri"/>
          <w:color w:val="111111"/>
          <w:sz w:val="28"/>
          <w:sz w:val="28"/>
          <w:szCs w:val="28"/>
          <w:rtl w:val="true"/>
          <w:lang w:bidi="ar-SA"/>
        </w:rPr>
        <w:t xml:space="preserve">نقل عنه في بحاره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رواية أبي خالد على ذلك، حيث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اكتفى عليه السلام في الجواب عن السؤال المذكور بذكر ما هو القاعدة الكلية في هذا الباب و سلوك هذه الطريق عن الجواب غالبًا إنما هو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لظهور اندراج الصورة المسؤول عنها في موضوع </w:t>
      </w:r>
      <w:r>
        <w:rPr>
          <w:rStyle w:val="FootnoteAnchor"/>
          <w:rtl w:val="true"/>
        </w:rPr>
        <w:footnoteReference w:id="1568"/>
      </w:r>
      <w:r>
        <w:rPr>
          <w:rFonts w:ascii="Amiri" w:hAnsi="Amiri" w:eastAsia="Amiri" w:cs="Amiri"/>
          <w:color w:val="111111"/>
          <w:sz w:val="28"/>
          <w:sz w:val="28"/>
          <w:szCs w:val="28"/>
          <w:rtl w:val="true"/>
          <w:lang w:bidi="ar-SA"/>
        </w:rPr>
        <w:t>تلك القاعدة، كما إذا سئل عن حال المشكوك في نجاسته، فأجيب بأن كل شيء طاهر ما لم تعلم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نجاسته و إما لظهور عدم اندراجها فيه </w:t>
      </w:r>
      <w:r>
        <w:rPr>
          <w:rStyle w:val="FootnoteAnchor"/>
          <w:rtl w:val="true"/>
        </w:rPr>
        <w:footnoteReference w:id="1569"/>
      </w:r>
      <w:r>
        <w:rPr>
          <w:rFonts w:ascii="Amiri" w:hAnsi="Amiri" w:eastAsia="Amiri" w:cs="Amiri"/>
          <w:color w:val="111111"/>
          <w:sz w:val="28"/>
          <w:sz w:val="28"/>
          <w:szCs w:val="28"/>
          <w:rtl w:val="true"/>
          <w:lang w:bidi="ar-SA"/>
        </w:rPr>
        <w:t>، كما إذا سئل عن حال الماء القليل الملاقي للنجاسة، فأجيب بأن الماء إذا بلغ كرًا لم يحمل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يحتمل أن يكون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بظهور أن الذاهب من الماء للطافته </w:t>
      </w:r>
      <w:r>
        <w:rPr>
          <w:rStyle w:val="FootnoteAnchor"/>
          <w:rtl w:val="true"/>
        </w:rPr>
        <w:footnoteReference w:id="1570"/>
      </w:r>
      <w:r>
        <w:rPr>
          <w:rFonts w:ascii="Amiri" w:hAnsi="Amiri" w:eastAsia="Amiri" w:cs="Amiri"/>
          <w:color w:val="111111"/>
          <w:sz w:val="28"/>
          <w:sz w:val="28"/>
          <w:szCs w:val="28"/>
          <w:rtl w:val="true"/>
          <w:lang w:bidi="ar-SA"/>
        </w:rPr>
        <w:t xml:space="preserve">أكثر من الذاهب من العصير، مع أن مفاد القاعدة الكلية على طريق </w:t>
      </w:r>
      <w:r>
        <w:rPr>
          <w:rStyle w:val="FootnoteAnchor"/>
          <w:rtl w:val="true"/>
        </w:rPr>
        <w:footnoteReference w:id="1571"/>
      </w:r>
      <w:r>
        <w:rPr>
          <w:rFonts w:ascii="Amiri" w:hAnsi="Amiri" w:eastAsia="Amiri" w:cs="Amiri"/>
          <w:color w:val="111111"/>
          <w:sz w:val="28"/>
          <w:sz w:val="28"/>
          <w:szCs w:val="28"/>
          <w:rtl w:val="true"/>
          <w:lang w:bidi="ar-SA"/>
        </w:rPr>
        <w:t xml:space="preserve">الروايات أن المعتاد </w:t>
      </w:r>
      <w:r>
        <w:rPr>
          <w:rStyle w:val="FootnoteAnchor"/>
          <w:rtl w:val="true"/>
        </w:rPr>
        <w:footnoteReference w:id="1572"/>
      </w:r>
      <w:r>
        <w:rPr>
          <w:rFonts w:ascii="Amiri" w:hAnsi="Amiri" w:eastAsia="Amiri" w:cs="Amiri"/>
          <w:color w:val="111111"/>
          <w:sz w:val="28"/>
          <w:sz w:val="28"/>
          <w:szCs w:val="28"/>
          <w:rtl w:val="true"/>
          <w:lang w:bidi="ar-SA"/>
        </w:rPr>
        <w:t>ذهاب ثلثي العصير، كرواية عبد الله 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العصير إذا طبخ فيذهب </w:t>
      </w:r>
      <w:r>
        <w:rPr>
          <w:rStyle w:val="FootnoteAnchor"/>
          <w:rtl w:val="true"/>
        </w:rPr>
        <w:footnoteReference w:id="1573"/>
      </w:r>
      <w:r>
        <w:rPr>
          <w:rFonts w:ascii="Amiri" w:hAnsi="Amiri" w:eastAsia="Amiri" w:cs="Amiri"/>
          <w:color w:val="111111"/>
          <w:sz w:val="28"/>
          <w:sz w:val="28"/>
          <w:szCs w:val="28"/>
          <w:rtl w:val="true"/>
          <w:lang w:bidi="ar-SA"/>
        </w:rPr>
        <w:t xml:space="preserve">ثلثاه و يبقى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w:t>
      </w:r>
      <w:r>
        <w:rPr>
          <w:rFonts w:eastAsia="Amiri" w:cs="Amiri" w:ascii="Amiri" w:hAnsi="Amiri"/>
          <w:color w:val="111111"/>
          <w:sz w:val="28"/>
          <w:szCs w:val="28"/>
          <w:rtl w:val="true"/>
          <w:lang w:bidi="ar-SA"/>
        </w:rPr>
        <w:t>]</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الظاهر كون الموصول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طبخ على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عنه، لا عن كل شيء أو كل مایع</w:t>
      </w:r>
      <w:r>
        <w:rPr>
          <w:rFonts w:eastAsia="IRNazanin" w:cs="IRNazanin"/>
          <w:color w:val="111111"/>
          <w:sz w:val="28"/>
          <w:szCs w:val="28"/>
          <w:rtl w:val="true"/>
          <w:lang w:bidi="fa-IR"/>
        </w:rPr>
        <w:t xml:space="preserve">»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دقيق متين بالنظر الى اعتبار عموم أخبار تلك القاعدة، لكنه بعيد بالنظر الى ظاهر الخبر المذكور؛ فإن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الماء في هذا المقام بمنزلة العصير و الاكتفاء بذهاب ثلثي المجموع منها، مع اعتضاده بخبر علي بن جعفر وزيد النرسي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هنا قال بعض السادة المحققين بعد ذكره لتلك </w:t>
      </w:r>
      <w:r>
        <w:rPr>
          <w:rStyle w:val="FootnoteAnchor"/>
          <w:rtl w:val="true"/>
        </w:rPr>
        <w:footnoteReference w:id="1576"/>
      </w: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هذا الفاضل تشكيك </w:t>
      </w:r>
      <w:r>
        <w:rPr>
          <w:rStyle w:val="FootnoteAnchor"/>
          <w:rtl w:val="true"/>
        </w:rPr>
        <w:footnoteReference w:id="1577"/>
      </w:r>
      <w:r>
        <w:rPr>
          <w:rFonts w:ascii="Amiri" w:hAnsi="Amiri" w:eastAsia="Amiri" w:cs="Amiri"/>
          <w:color w:val="111111"/>
          <w:sz w:val="28"/>
          <w:sz w:val="28"/>
          <w:szCs w:val="28"/>
          <w:rtl w:val="true"/>
          <w:lang w:bidi="ar-SA"/>
        </w:rPr>
        <w:t>لا يلتفت إليه ؛ إذ بعد الخلط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يصدق على المجموع أنه عصير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ذهاب الثلثين، و هو نظير ما لو سئل عن الماء الكثير الملاقي للنجاسة و أجيب بما ذكر في ظهور اندراج الصورة المسؤول عنها في مناط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ذهاب الثلثين؛ لأنه إنما يشترط في العصير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دعوى تخصيص قاعدة العصير حال غليانه بما إذا كان عصيرًا محضًا كما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تلامذة الحر، بل هو الظاهر من الحر نفسه، و قد عرفت من الأخبار الأخيرة 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بالفرق بين ممازجة الماء محضًا و بين ممازجة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كاللحم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ذلك ببعيد، و لعل السر في بقاء التسمية مع الماء دون غيره على ما يظهر من كلام هذا السيد المحقق في الإيراد المذكور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يجاب عن خبر السرائر بما حققه المجلسي في 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العصير المصبوب فيه قليلًا لا يضمحل فيه، فلا يسمى عصيرا حينئذ، بخلاف ما فرض في الأخبار الأخيرة المشعرة بظهوره و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أجيب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البأس فيه إنما توجه إلى الحصرم دون العصير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فيه نظر؛ لأن الحصرم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وصول مائيته الى الماء و حصول حموضته فيه يدخل في العصير؛ لما حققناه من إطلاق عصير العنب على ثمرة الكرم في جميع مراتبها إلا أن يدعي في هذا عدم وصول مائيته و حموضته الى الماء، فلا يصدق عليه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إرادته من الخبر؛ لإيذانه بالتوقف عن أكله و شربه، و ما ذاك إلا لتأدية حموضته الى الماء، و صيرورته بمنزلة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نفي البأس إنما توجه الى الاجتناب و التوقف، أي لا بأس بذلك التوقف و لا اجتناب له؛ لدخوله في قاعدة التحريم وعدّ </w:t>
      </w:r>
      <w:r>
        <w:rPr>
          <w:rStyle w:val="FootnoteAnchor"/>
          <w:rtl w:val="true"/>
        </w:rPr>
        <w:footnoteReference w:id="1580"/>
      </w:r>
      <w:r>
        <w:rPr>
          <w:rFonts w:ascii="Amiri" w:hAnsi="Amiri" w:eastAsia="Amiri" w:cs="Amiri"/>
          <w:color w:val="111111"/>
          <w:sz w:val="28"/>
          <w:sz w:val="28"/>
          <w:szCs w:val="28"/>
          <w:rtl w:val="true"/>
          <w:lang w:bidi="ar-SA"/>
        </w:rPr>
        <w:t xml:space="preserve">حصول قاعدة التحليل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لما فيه من الإلغاز و الإبهام و التعمية و مخالفة الظاهر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حمله على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بذلك الطعام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مما طبخه المسلم العارف فلا يبحث عن حكم عصيره الواقعي، بل يبني على أصل التحليل فيها عمله؛ لما جاء في الأخبار من التصريح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خبر علي بن جعفر عن أخيه موسى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المُسْلِمِ العَارِفِ يَدْخُلُ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Style w:val="FootnoteAnchor"/>
          <w:rtl w:val="true"/>
        </w:rPr>
        <w:footnoteReference w:id="1581"/>
      </w:r>
      <w:r>
        <w:rPr>
          <w:rFonts w:ascii="Amiri" w:hAnsi="Amiri" w:eastAsia="Amiri" w:cs="Amiri"/>
          <w:color w:val="111111"/>
          <w:sz w:val="28"/>
          <w:sz w:val="28"/>
          <w:szCs w:val="28"/>
          <w:rtl w:val="true"/>
          <w:lang w:bidi="ar-SA"/>
        </w:rPr>
        <w:t xml:space="preserve">بيْتِ أَخِيْهِ فَيَسْقِيْهِ النَّبِيْذَ أَوِ الشَّرَابَ لَا يَعْرِفُهُ، هَلْ يَصْلُحُ لَهُ شُرْبُهُ مِنْ غَيْرِ أَنْ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مُسْلِماً عَارِفًا فَاشْرَبْ مَا أَتَاكَ بِهِ إِلَّا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تُنْكِرَهُ</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هذا الحديث مروي في كتاب علي بن جعفر من الصحيح، و إن كان في قرب الإسناد طريقه من الضعيف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ولكن معمول عليه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الكليني في الصحيح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يُهْدِي إِلَى الْبُخْتُجَ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غَيْرِ أَصْحَابِنَا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يَسْتَحِلُّ الْمُسْكِرَ فَلَا تَشْرَبُهُ، وَإِنْ كَانَ مِمَّنْ لَا يَسْتَحِلُ فَاشْرَبْهُ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صاحب الشراب معرفة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أنه لا يستحل شرب المسكر و إن لم يكن من أصحابنا، فيكون في المسلم العارف غير المستحل بالطريق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يأباه ظاهر الخبر ؛ لأنه يكون ذلك الشراب عنده و أنه مما خالطه العصير و الحصرم على وجه قد يثبت سبب التحريم فيه، و لم يثبت ما يوجبه له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ذهاب ثلثيه ، فلا يكون من باب ما دل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خبر على بن جعفر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المحامل، و التأويلات لا تخلو من وصمة التكلف</w:t>
      </w:r>
      <w:r>
        <w:rPr>
          <w:rStyle w:val="FootnoteAnchor"/>
          <w:rtl w:val="true"/>
        </w:rPr>
        <w:footnoteReference w:id="1584"/>
      </w:r>
      <w:r>
        <w:rPr>
          <w:rFonts w:ascii="Amiri" w:hAnsi="Amiri" w:eastAsia="Amiri" w:cs="Amiri"/>
          <w:color w:val="111111"/>
          <w:sz w:val="28"/>
          <w:sz w:val="28"/>
          <w:szCs w:val="28"/>
          <w:rtl w:val="true"/>
          <w:lang w:bidi="ar-SA"/>
        </w:rPr>
        <w:t xml:space="preserve">، سوى ما ذهبنا إليه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في العصير بين ما مازج الماء منه و بين ما مازج </w:t>
      </w:r>
      <w:r>
        <w:rPr>
          <w:rStyle w:val="FootnoteAnchor"/>
          <w:rtl w:val="true"/>
        </w:rPr>
        <w:footnoteReference w:id="1585"/>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نقلناه آنفًا عن المجلسي رحمه الله من حمل </w:t>
      </w:r>
      <w:r>
        <w:rPr>
          <w:rStyle w:val="FootnoteAnchor"/>
          <w:rtl w:val="true"/>
        </w:rPr>
        <w:footnoteReference w:id="1586"/>
      </w:r>
      <w:r>
        <w:rPr>
          <w:rFonts w:ascii="Amiri" w:hAnsi="Amiri" w:eastAsia="Amiri" w:cs="Amiri"/>
          <w:color w:val="111111"/>
          <w:sz w:val="28"/>
          <w:sz w:val="28"/>
          <w:szCs w:val="28"/>
          <w:rtl w:val="true"/>
          <w:lang w:bidi="ar-SA"/>
        </w:rPr>
        <w:t>خبر السرائر على قليل العصير، و أنه لاضمحلاله في ذلك الطعام لا يصدق عليه أنه عصير، ولكن ما اعتبرناه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يبقى في المقام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خبر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خبر واحد و طريقه غير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لتخصيص تلك القاعدة المؤسسة بالصحاح المعتبرة، المؤيدة بأخبار العلل المساقة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الخبر لا يخلو من تشابه في الجملة؛ لتعدد تلك الاحتمالات فيه، و أن أكثرها غير جلية الظهور إلا أنه بذلك لا يخلو من وصمة الخفاء، فإثبات الحكم بمثله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في مثل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تلك القاعدة في العصير مطلقًا كما عليه الأكثر ، و أنه لا فرق فيه بين العنبي و الزبيبي، بل متى غلى شيء منهما بالنار أو بغيرها ثبت التحريم الى أن يحصل ما يزيله، وهو ذهاب ثلثيه، سواء كان بنفسه أو ممزوجًا بغيره، و سواء كان قليلا أو كثيرًا، وسواء خالطه اللحم والماء أو غيرهما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العالم بالصواب، و إليه المرجع و المآب، و الحمد لله رب العالمين، و صلى الله على محمد وآله الطاهرين</w:t>
      </w:r>
      <w:r>
        <w:rPr>
          <w:rFonts w:eastAsia="Amiri" w:cs="Amiri" w:ascii="Amiri" w:hAnsi="Amiri"/>
          <w:color w:val="111111"/>
          <w:sz w:val="28"/>
          <w:szCs w:val="28"/>
          <w:rtl w:val="true"/>
          <w:lang w:bidi="ar-SA"/>
        </w:rPr>
        <w:t xml:space="preserve">. .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2523_39866"/>
      <w:bookmarkStart w:id="137" w:name="pg2523_39866"/>
      <w:bookmarkEnd w:id="137"/>
    </w:p>
    <w:p>
      <w:pPr>
        <w:pStyle w:val="Heading2"/>
        <w:numPr>
          <w:ilvl w:val="1"/>
          <w:numId w:val="1"/>
        </w:numPr>
        <w:rPr/>
      </w:pPr>
      <w:bookmarkStart w:id="138" w:name="pg2523_39866"/>
      <w:bookmarkStart w:id="139" w:name="__RefHeading___Toc4264894_3804643083"/>
      <w:bookmarkStart w:id="140" w:name="_Toc45"/>
      <w:bookmarkEnd w:id="138"/>
      <w:bookmarkEnd w:id="139"/>
      <w:r>
        <w:rPr>
          <w:rtl w:val="true"/>
        </w:rPr>
        <w:t xml:space="preserve">المسألة السادسة </w:t>
      </w:r>
      <w:r>
        <w:rPr>
          <w:rtl w:val="true"/>
        </w:rPr>
        <w:t>: [</w:t>
      </w:r>
      <w:r>
        <w:rPr>
          <w:rtl w:val="true"/>
        </w:rPr>
        <w:t>المخالفون</w:t>
      </w:r>
      <w:r>
        <w:rPr>
          <w:rtl w:val="true"/>
        </w:rPr>
        <w:t xml:space="preserve">: </w:t>
      </w:r>
      <w:r>
        <w:rPr>
          <w:rtl w:val="true"/>
        </w:rPr>
        <w:t>حكمهم ، و حكم معاملاتهم، و التمتع ببناتهم و نسائهم</w:t>
      </w:r>
      <w:r>
        <w:rPr>
          <w:rtl w:val="true"/>
        </w:rPr>
        <w:t>]</w:t>
      </w:r>
      <w:bookmarkEnd w:id="140"/>
    </w:p>
    <w:p>
      <w:pPr>
        <w:pStyle w:val="Heading3"/>
        <w:numPr>
          <w:ilvl w:val="2"/>
          <w:numId w:val="1"/>
        </w:numPr>
        <w:rPr/>
      </w:pPr>
      <w:bookmarkStart w:id="141" w:name="__RefHeading___Toc4264896_3804643083"/>
      <w:bookmarkStart w:id="142" w:name="_Toc46"/>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المسألة السادسة </w:t>
      </w:r>
      <w:r>
        <w:rPr>
          <w:rStyle w:val="FootnoteAnchor"/>
          <w:rtl w:val="true"/>
        </w:rPr>
        <w:footnoteReference w:id="1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 و حكم معاملاتهم، و التمتع ببناتهم و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عقد المخالفين و طلاقهم و سائر إيقاعاتهم مجوزة أم لا؟</w:t>
      </w:r>
    </w:p>
    <w:p>
      <w:pPr>
        <w:pStyle w:val="BookText"/>
        <w:rPr/>
      </w:pPr>
      <w:r>
        <w:rPr>
          <w:rFonts w:ascii="Amiri" w:hAnsi="Amiri" w:eastAsia="Amiri" w:cs="Amiri"/>
          <w:color w:val="111111"/>
          <w:sz w:val="28"/>
          <w:sz w:val="28"/>
          <w:szCs w:val="28"/>
          <w:rtl w:val="true"/>
          <w:lang w:bidi="ar-SA"/>
        </w:rPr>
        <w:t>و على القول بكفرهم و تنجسيهم أهل التمتع ببناتهم ونسائهم جائز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حكمهن حكم الإماء أم لا؟</w:t>
      </w:r>
    </w:p>
    <w:p>
      <w:pPr>
        <w:pStyle w:val="BookText"/>
        <w:rPr/>
      </w:pPr>
      <w:r>
        <w:rPr>
          <w:rFonts w:ascii="IRNazanin" w:hAnsi="IRNazanin" w:eastAsia="IRNazanin"/>
          <w:color w:val="111111"/>
          <w:sz w:val="28"/>
          <w:sz w:val="28"/>
          <w:szCs w:val="28"/>
          <w:rtl w:val="true"/>
          <w:lang w:bidi="fa-IR"/>
        </w:rPr>
        <w:t>الجواب و منه سبحانه استمداد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خفاء في أن هذا السؤال قد اشتمل على مسائل متعددة، وفروع متبددة، فلا بد من إفراد بعضها على بعض و الذي ظهر لنا منه أن جملة ما اشتمل عليه ثلاث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عقود المخالفين و طلاقهم و سائر إيقاعاتهم، هل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جائزة بالنسبة إليهم و ملتزمة أحكامها عليهم أم لا؟ </w:t>
      </w:r>
      <w:bookmarkStart w:id="143" w:name="pg2523_39867"/>
    </w:p>
    <w:p>
      <w:pPr>
        <w:pStyle w:val="BookText"/>
        <w:rPr/>
      </w:pPr>
      <w:bookmarkEnd w:id="143"/>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بكفرهم و تنجيسهم ، هل التمتع ببناتهم و نسائهم</w:t>
      </w:r>
    </w:p>
    <w:p>
      <w:pPr>
        <w:pStyle w:val="BookText"/>
        <w:rPr/>
      </w:pPr>
      <w:r>
        <w:rPr>
          <w:rFonts w:ascii="IRNazanin" w:hAnsi="IRNazanin" w:eastAsia="IRNazanin"/>
          <w:color w:val="111111"/>
          <w:sz w:val="28"/>
          <w:sz w:val="28"/>
          <w:szCs w:val="28"/>
          <w:rtl w:val="true"/>
          <w:lang w:bidi="fa-IR"/>
        </w:rPr>
        <w:t>جائز أم لا؟</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حكم نسائهم حكم الإماء أم لا؟</w:t>
      </w:r>
    </w:p>
    <w:p>
      <w:pPr>
        <w:pStyle w:val="BookText"/>
        <w:rPr/>
      </w:pPr>
      <w:r>
        <w:rPr>
          <w:rFonts w:ascii="Amiri" w:hAnsi="Amiri" w:eastAsia="Amiri" w:cs="Amiri"/>
          <w:color w:val="111111"/>
          <w:sz w:val="28"/>
          <w:sz w:val="28"/>
          <w:szCs w:val="28"/>
          <w:rtl w:val="true"/>
          <w:lang w:bidi="ar-SA"/>
        </w:rPr>
        <w:t xml:space="preserve">و حيث إن كلها مترتبة على المخالف </w:t>
      </w:r>
      <w:r>
        <w:rPr>
          <w:rStyle w:val="FootnoteAnchor"/>
          <w:rtl w:val="true"/>
        </w:rPr>
        <w:footnoteReference w:id="1589"/>
      </w:r>
      <w:r>
        <w:rPr>
          <w:rFonts w:ascii="Amiri" w:hAnsi="Amiri" w:eastAsia="Amiri" w:cs="Amiri"/>
          <w:color w:val="111111"/>
          <w:sz w:val="28"/>
          <w:sz w:val="28"/>
          <w:szCs w:val="28"/>
          <w:rtl w:val="true"/>
          <w:lang w:bidi="ar-SA"/>
        </w:rPr>
        <w:t>، فلا بد من تحقيق معناه و المراد</w:t>
      </w:r>
    </w:p>
    <w:p>
      <w:pPr>
        <w:pStyle w:val="BookText"/>
        <w:rPr/>
      </w:pPr>
      <w:r>
        <w:rPr>
          <w:rFonts w:ascii="Amiri" w:hAnsi="Amiri" w:eastAsia="Amiri" w:cs="Amiri"/>
          <w:color w:val="111111"/>
          <w:sz w:val="28"/>
          <w:sz w:val="28"/>
          <w:szCs w:val="28"/>
          <w:rtl w:val="true"/>
          <w:lang w:bidi="ar-SA"/>
        </w:rPr>
        <w:t>منه ههنا، و الظاهر منه في كلامه هو الناصب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على علىه السلام غيره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المراد </w:t>
      </w:r>
      <w:r>
        <w:rPr>
          <w:rStyle w:val="FootnoteAnchor"/>
          <w:rtl w:val="true"/>
        </w:rPr>
        <w:footnoteReference w:id="159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بغير دين الشيعة الاثني عشرية من الفِرَق، فتكون الزيدية و الإسماعيلية و أضرابهما داخلة في ذلك</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264898_3804643083"/>
      <w:bookmarkStart w:id="145" w:name="_Toc47"/>
      <w:bookmarkEnd w:id="144"/>
      <w:r>
        <w:rPr>
          <w:rtl w:val="true"/>
        </w:rPr>
        <w:t>[</w:t>
      </w:r>
      <w:r>
        <w:rPr>
          <w:rtl w:val="true"/>
        </w:rPr>
        <w:t>ظهور الأخبار المتواترة في كفر المخالف و شركه</w:t>
      </w:r>
      <w:r>
        <w:rPr>
          <w:rtl w:val="true"/>
        </w:rPr>
        <w:t>]</w:t>
      </w:r>
      <w:bookmarkEnd w:id="145"/>
    </w:p>
    <w:p>
      <w:pPr>
        <w:pStyle w:val="BookText"/>
        <w:rPr/>
      </w:pPr>
      <w:r>
        <w:rPr>
          <w:rFonts w:ascii="Amiri" w:hAnsi="Amiri" w:eastAsia="Amiri" w:cs="Amiri"/>
          <w:color w:val="111111"/>
          <w:sz w:val="28"/>
          <w:sz w:val="28"/>
          <w:szCs w:val="28"/>
          <w:rtl w:val="true"/>
          <w:lang w:bidi="ar-SA"/>
        </w:rPr>
        <w:t xml:space="preserve">و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ظهر </w:t>
      </w:r>
      <w:r>
        <w:rPr>
          <w:rStyle w:val="FootnoteAnchor"/>
          <w:rtl w:val="true"/>
        </w:rPr>
        <w:footnoteReference w:id="1591"/>
      </w:r>
      <w:r>
        <w:rPr>
          <w:rFonts w:ascii="Amiri" w:hAnsi="Amiri" w:eastAsia="Amiri" w:cs="Amiri"/>
          <w:color w:val="111111"/>
          <w:sz w:val="28"/>
          <w:sz w:val="28"/>
          <w:szCs w:val="28"/>
          <w:rtl w:val="true"/>
          <w:lang w:bidi="ar-SA"/>
        </w:rPr>
        <w:t xml:space="preserve">لنا من الأخبار هو كفر كل مخالف و شركه، و أنهم شر </w:t>
      </w:r>
      <w:r>
        <w:rPr>
          <w:rStyle w:val="FootnoteAnchor"/>
          <w:rtl w:val="true"/>
        </w:rPr>
        <w:footnoteReference w:id="1592"/>
      </w:r>
      <w:r>
        <w:rPr>
          <w:rFonts w:ascii="Amiri" w:hAnsi="Amiri" w:eastAsia="Amiri" w:cs="Amiri"/>
          <w:color w:val="111111"/>
          <w:sz w:val="28"/>
          <w:sz w:val="28"/>
          <w:szCs w:val="28"/>
          <w:rtl w:val="true"/>
          <w:lang w:bidi="ar-SA"/>
        </w:rPr>
        <w:t xml:space="preserve">من اليهود و النصارى ، و أن من اعتقد أن </w:t>
      </w:r>
      <w:r>
        <w:rPr>
          <w:rStyle w:val="FootnoteAnchor"/>
          <w:rtl w:val="true"/>
        </w:rPr>
        <w:footnoteReference w:id="1593"/>
      </w:r>
      <w:r>
        <w:rPr>
          <w:rFonts w:ascii="Amiri" w:hAnsi="Amiri" w:eastAsia="Amiri" w:cs="Amiri"/>
          <w:color w:val="111111"/>
          <w:sz w:val="28"/>
          <w:sz w:val="28"/>
          <w:szCs w:val="28"/>
          <w:rtl w:val="true"/>
          <w:lang w:bidi="ar-SA"/>
        </w:rPr>
        <w:t>لهم في الإسلام نصيبا فهو كافر، وفاقًا لجملة من مشايخنا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Style w:val="FootnoteAnchor"/>
          <w:rtl w:val="true"/>
        </w:rPr>
        <w:footnoteReference w:id="1594"/>
      </w:r>
      <w:r>
        <w:rPr>
          <w:rFonts w:ascii="Amiri" w:hAnsi="Amiri" w:eastAsia="Amiri" w:cs="Amiri"/>
          <w:color w:val="111111"/>
          <w:sz w:val="28"/>
          <w:sz w:val="28"/>
          <w:szCs w:val="28"/>
          <w:rtl w:val="true"/>
          <w:lang w:bidi="ar-SA"/>
        </w:rPr>
        <w:t>الشيخ</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جدي رحمه الله في بعض أجوبة المسائل، و في رسالته الموسومة بفصل الخطاب في كفر المخالفين و النصاب و العلامة المنصف شيخنا الشيخ </w:t>
      </w:r>
    </w:p>
    <w:p>
      <w:pPr>
        <w:pStyle w:val="BookText"/>
        <w:rPr/>
      </w:pPr>
      <w:r>
        <w:rPr>
          <w:rFonts w:ascii="Amiri" w:hAnsi="Amiri" w:eastAsia="Amiri" w:cs="Amiri"/>
          <w:color w:val="111111"/>
          <w:sz w:val="28"/>
          <w:sz w:val="28"/>
          <w:szCs w:val="28"/>
          <w:rtl w:val="true"/>
          <w:lang w:bidi="ar-SA"/>
        </w:rPr>
        <w:t xml:space="preserve">يوسف في كتابه الشهاب </w:t>
      </w:r>
      <w:r>
        <w:rPr>
          <w:rStyle w:val="FootnoteAnchor"/>
          <w:rtl w:val="true"/>
        </w:rPr>
        <w:footnoteReference w:id="1595"/>
      </w:r>
      <w:r>
        <w:rPr>
          <w:rFonts w:ascii="IRNazanin" w:hAnsi="IRNazanin" w:eastAsia="IRNazanin"/>
          <w:color w:val="111111"/>
          <w:sz w:val="28"/>
          <w:sz w:val="28"/>
          <w:szCs w:val="28"/>
          <w:rtl w:val="true"/>
          <w:lang w:bidi="fa-IR"/>
        </w:rPr>
        <w:t xml:space="preserve">الثاقب </w:t>
      </w:r>
      <w:r>
        <w:rPr>
          <w:rStyle w:val="FootnoteAnchor"/>
          <w:rtl w:val="true"/>
        </w:rPr>
        <w:footnoteReference w:id="1596"/>
      </w:r>
      <w:r>
        <w:rPr>
          <w:rFonts w:ascii="Amiri" w:hAnsi="Amiri" w:eastAsia="Amiri" w:cs="Amiri"/>
          <w:color w:val="111111"/>
          <w:sz w:val="28"/>
          <w:sz w:val="28"/>
          <w:szCs w:val="28"/>
          <w:rtl w:val="true"/>
          <w:lang w:bidi="ar-SA"/>
        </w:rPr>
        <w:t xml:space="preserve">، و هو الظاهر من الحر العاملي رحم الله في الوسائل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خالف أكثر فقهائنا في ذلك، سيما الفاضل شهيد المسالك </w:t>
      </w:r>
      <w:r>
        <w:rPr>
          <w:rStyle w:val="FootnoteAnchor"/>
          <w:rtl w:val="true"/>
        </w:rPr>
        <w:footnoteReference w:id="1598"/>
      </w:r>
      <w:r>
        <w:rPr>
          <w:rFonts w:ascii="Amiri" w:hAnsi="Amiri" w:eastAsia="Amiri" w:cs="Amiri"/>
          <w:color w:val="111111"/>
          <w:sz w:val="28"/>
          <w:sz w:val="28"/>
          <w:szCs w:val="28"/>
          <w:rtl w:val="true"/>
          <w:lang w:bidi="ar-SA"/>
        </w:rPr>
        <w:t xml:space="preserve">، فقصروا الكفر على النواصب و الخوارج و الغلاة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بما قلناه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الخصال بإسناده إلى أبي مالك الجهني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يَنْظُرُ إِلَيْهِمْ</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وَ لَا يُزَكِّيْهِمْ و َهُمْ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إِمَامًا لَيْسَتْ إِمَامَتُهُ مِنَ اللهِ، وَ مَنْ جَحَدَ إِمَامًا إِمَامَتُهُ مِنْ عِنْدِ اللَّهِ </w:t>
      </w:r>
      <w:r>
        <w:rPr>
          <w:rStyle w:val="FootnoteAnchor"/>
          <w:rtl w:val="true"/>
        </w:rPr>
        <w:footnoteReference w:id="1601"/>
      </w:r>
      <w:r>
        <w:rPr>
          <w:rFonts w:ascii="Amiri" w:hAnsi="Amiri" w:eastAsia="Amiri" w:cs="Amiri"/>
          <w:color w:val="111111"/>
          <w:sz w:val="28"/>
          <w:sz w:val="28"/>
          <w:szCs w:val="28"/>
          <w:rtl w:val="true"/>
          <w:lang w:bidi="ar-SA"/>
        </w:rPr>
        <w:t>، و َمَنْ زَعَمَ أَنَّ هُمْ فِي الْإِسْلَامِ نَصِيبًا</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الغيبة للنعماني بإسناده إلى أبي حمزة الثمالي عن أبي جعفر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المَحْتُوْمِ الَّذِي لَا تَبْدِيلَ فِيهِ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قَائِمِنَا، فَمَنْ شَكٍّ فِيمَا أَقُولُ لَقِيَ اللهَ و َهُوَ بِهِ كَافِرٌ وَ لَهُ جَاحِدٌ</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عمران الأشعري عن جعفر بن محمد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لَا يَنْظُرُ اللَّهُ إِلَيْهِم وَ لَا يُزَكِّيْهِمْ وَ 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إِمَامًا مِنَ اللَّهِ لَيْسَ إِمَامًا، وَ مَنْ زَعَمَ فِي إِمَامٍ لَيْسِ مِنَ اللَّهِ أَنَّهُ إِمَامٌ </w:t>
      </w:r>
      <w:r>
        <w:rPr>
          <w:rStyle w:val="FootnoteAnchor"/>
          <w:rtl w:val="true"/>
        </w:rPr>
        <w:footnoteReference w:id="1605"/>
      </w:r>
      <w:r>
        <w:rPr>
          <w:rFonts w:ascii="Amiri" w:hAnsi="Amiri" w:eastAsia="Amiri" w:cs="Amiri"/>
          <w:color w:val="111111"/>
          <w:sz w:val="28"/>
          <w:sz w:val="28"/>
          <w:szCs w:val="28"/>
          <w:rtl w:val="true"/>
          <w:lang w:bidi="ar-SA"/>
        </w:rPr>
        <w:t>، وَ مَنْ زَعَمَ أَنَّ لَهُمَا فِي الْإِسْلَامِ نَصِيبًا</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ابن أبي يعفور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 لَا يُزَكِّيهِمْ، وَ لَهُمْ عَذَابٌ أَلِيمٌ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إِمَامًا لَيْسَتْ إِمَامَتُهُ مِنَ اللهِ </w:t>
      </w:r>
      <w:r>
        <w:rPr>
          <w:rStyle w:val="FootnoteAnchor"/>
          <w:rtl w:val="true"/>
        </w:rPr>
        <w:footnoteReference w:id="1608"/>
      </w:r>
      <w:r>
        <w:rPr>
          <w:rFonts w:ascii="Amiri" w:hAnsi="Amiri" w:eastAsia="Amiri" w:cs="Amiri"/>
          <w:color w:val="111111"/>
          <w:sz w:val="28"/>
          <w:sz w:val="28"/>
          <w:szCs w:val="28"/>
          <w:rtl w:val="true"/>
          <w:lang w:bidi="ar-SA"/>
        </w:rPr>
        <w:t xml:space="preserve">، وَ مَنْ جَحَدَ إِمَامًا إِمَامَتُهُ مِنْ عِنْدِ اللَّهِ </w:t>
      </w:r>
      <w:r>
        <w:rPr>
          <w:rStyle w:val="FootnoteAnchor"/>
          <w:rtl w:val="true"/>
        </w:rPr>
        <w:footnoteReference w:id="1609"/>
      </w:r>
      <w:r>
        <w:rPr>
          <w:rFonts w:ascii="Amiri" w:hAnsi="Amiri" w:eastAsia="Amiri" w:cs="Amiri"/>
          <w:color w:val="111111"/>
          <w:sz w:val="28"/>
          <w:sz w:val="28"/>
          <w:szCs w:val="28"/>
          <w:rtl w:val="true"/>
          <w:lang w:bidi="ar-SA"/>
        </w:rPr>
        <w:t xml:space="preserve">، و َمَنْ زَعَمَ أَنَّ لهُما فِي الْإِسْلَامِ نَصِيبًا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w:t>
      </w:r>
      <w:r>
        <w:rPr>
          <w:rStyle w:val="FootnoteAnchor"/>
          <w:rtl w:val="true"/>
        </w:rPr>
        <w:footnoteReference w:id="1612"/>
      </w:r>
      <w:r>
        <w:rPr>
          <w:rFonts w:ascii="Amiri" w:hAnsi="Amiri" w:eastAsia="Amiri" w:cs="Amiri"/>
          <w:color w:val="111111"/>
          <w:sz w:val="28"/>
          <w:sz w:val="28"/>
          <w:szCs w:val="28"/>
          <w:rtl w:val="true"/>
          <w:lang w:bidi="ar-SA"/>
        </w:rPr>
        <w:t>الكليني عن ابن أبي يعفور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مثله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غيبة النعماني أيضًا بطريق آخر إلى ابن أبي يعفور، و ذكر مثله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الغيبة </w:t>
      </w:r>
      <w:r>
        <w:rPr>
          <w:rStyle w:val="FootnoteAnchor"/>
          <w:rtl w:val="true"/>
        </w:rPr>
        <w:footnoteReference w:id="1615"/>
      </w:r>
      <w:r>
        <w:rPr>
          <w:rFonts w:ascii="Amiri" w:hAnsi="Amiri" w:eastAsia="Amiri" w:cs="Amiri"/>
          <w:color w:val="111111"/>
          <w:sz w:val="28"/>
          <w:sz w:val="28"/>
          <w:szCs w:val="28"/>
          <w:rtl w:val="true"/>
          <w:lang w:bidi="ar-SA"/>
        </w:rPr>
        <w:t xml:space="preserve">أيضًا بسند </w:t>
      </w:r>
      <w:r>
        <w:rPr>
          <w:rStyle w:val="FootnoteAnchor"/>
          <w:rtl w:val="true"/>
        </w:rPr>
        <w:footnoteReference w:id="1616"/>
      </w:r>
      <w:r>
        <w:rPr>
          <w:rFonts w:ascii="IRNazanin" w:hAnsi="IRNazanin" w:eastAsia="IRNazanin"/>
          <w:color w:val="111111"/>
          <w:sz w:val="28"/>
          <w:sz w:val="28"/>
          <w:szCs w:val="28"/>
          <w:rtl w:val="true"/>
          <w:lang w:bidi="fa-IR"/>
        </w:rPr>
        <w:t xml:space="preserve">معتبر </w:t>
      </w:r>
      <w:r>
        <w:rPr>
          <w:rStyle w:val="FootnoteAnchor"/>
          <w:rtl w:val="true"/>
        </w:rPr>
        <w:footnoteReference w:id="1617"/>
      </w:r>
      <w:r>
        <w:rPr>
          <w:rFonts w:ascii="IRNazanin" w:hAnsi="IRNazanin" w:eastAsia="IRNazanin"/>
          <w:color w:val="111111"/>
          <w:sz w:val="28"/>
          <w:sz w:val="28"/>
          <w:szCs w:val="28"/>
          <w:rtl w:val="true"/>
          <w:lang w:bidi="fa-IR"/>
        </w:rPr>
        <w:t xml:space="preserve">إلى محمد بن مسلم عن أبي جعفر علیه السلام في حديث قال </w:t>
      </w:r>
      <w:r>
        <w:rPr>
          <w:rStyle w:val="FootnoteAnchor"/>
          <w:rtl w:val="true"/>
        </w:rPr>
        <w:footnoteReference w:id="16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مِنْ هَذِهِ الْأُمَّةِ لَا إِمَامَ لَهُ مِنَ اللهِ </w:t>
      </w:r>
      <w:r>
        <w:rPr>
          <w:rStyle w:val="FootnoteAnchor"/>
          <w:rtl w:val="true"/>
        </w:rPr>
        <w:footnoteReference w:id="1619"/>
      </w:r>
      <w:r>
        <w:rPr>
          <w:rFonts w:ascii="Amiri" w:hAnsi="Amiri" w:eastAsia="Amiri" w:cs="Amiri"/>
          <w:color w:val="111111"/>
          <w:sz w:val="28"/>
          <w:sz w:val="28"/>
          <w:szCs w:val="28"/>
          <w:rtl w:val="true"/>
          <w:lang w:bidi="ar-SA"/>
        </w:rPr>
        <w:t xml:space="preserve">أَصْبَحَ تَائِهَا ضَالًا مُتَحَيّرًا </w:t>
      </w:r>
      <w:r>
        <w:rPr>
          <w:rStyle w:val="FootnoteAnchor"/>
          <w:rtl w:val="true"/>
        </w:rPr>
        <w:footnoteReference w:id="1620"/>
      </w:r>
      <w:r>
        <w:rPr>
          <w:rFonts w:ascii="Amiri" w:hAnsi="Amiri" w:eastAsia="Amiri" w:cs="Amiri"/>
          <w:color w:val="111111"/>
          <w:sz w:val="28"/>
          <w:sz w:val="28"/>
          <w:szCs w:val="28"/>
          <w:rtl w:val="true"/>
          <w:lang w:bidi="ar-SA"/>
        </w:rPr>
        <w:t xml:space="preserve">، إِنْ مَاتَ عَلَى هَذِهِ الْحَالَةِ </w:t>
      </w:r>
      <w:r>
        <w:rPr>
          <w:rStyle w:val="FootnoteAnchor"/>
          <w:rtl w:val="true"/>
        </w:rPr>
        <w:footnoteReference w:id="1621"/>
      </w:r>
      <w:r>
        <w:rPr>
          <w:rFonts w:ascii="Amiri" w:hAnsi="Amiri" w:eastAsia="Amiri" w:cs="Amiri"/>
          <w:color w:val="111111"/>
          <w:sz w:val="28"/>
          <w:sz w:val="28"/>
          <w:szCs w:val="28"/>
          <w:rtl w:val="true"/>
          <w:lang w:bidi="ar-SA"/>
        </w:rPr>
        <w:t xml:space="preserve">مَاتَ مَيْتَةَ كُفْرٍ و َنِفَاقٍ </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بالإسناد الصحيح عن محمد بن مسلم </w:t>
      </w:r>
      <w:r>
        <w:rPr>
          <w:rStyle w:val="FootnoteAnchor"/>
          <w:rtl w:val="true"/>
        </w:rPr>
        <w:footnoteReference w:id="1623"/>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جَحَدَ إِمَامًا مِنْكُمْ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امَامًا مِنَ اللهِ </w:t>
      </w:r>
      <w:r>
        <w:rPr>
          <w:rStyle w:val="FootnoteAnchor"/>
          <w:rtl w:val="true"/>
        </w:rPr>
        <w:footnoteReference w:id="1625"/>
      </w:r>
      <w:r>
        <w:rPr>
          <w:rFonts w:ascii="Amiri" w:hAnsi="Amiri" w:eastAsia="Amiri" w:cs="Amiri"/>
          <w:color w:val="111111"/>
          <w:sz w:val="28"/>
          <w:sz w:val="28"/>
          <w:szCs w:val="28"/>
          <w:rtl w:val="true"/>
          <w:lang w:bidi="ar-SA"/>
        </w:rPr>
        <w:t xml:space="preserve">و َبَرَأَ مِنْهُ </w:t>
      </w:r>
      <w:r>
        <w:rPr>
          <w:rStyle w:val="FootnoteAnchor"/>
          <w:rtl w:val="true"/>
        </w:rPr>
        <w:footnoteReference w:id="1626"/>
      </w:r>
      <w:r>
        <w:rPr>
          <w:rFonts w:ascii="Amiri" w:hAnsi="Amiri" w:eastAsia="Amiri" w:cs="Amiri"/>
          <w:color w:val="111111"/>
          <w:sz w:val="28"/>
          <w:sz w:val="28"/>
          <w:szCs w:val="28"/>
          <w:rtl w:val="true"/>
          <w:lang w:bidi="ar-SA"/>
        </w:rPr>
        <w:t xml:space="preserve">وَ مِنْ دِينِهِ فَهُوَ كَافِرٌ مُرْتَةٌ عَنِ الْإِسْلَام؛ لِأَنَّ الْإِمَامَ مِنَ اللَّهِ، و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 xml:space="preserve">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فَدَمُهُ مُبَاحٌ فِي تِلْكَ الْحَالِ، إِلا أَنْ يَرْجِعَ وَ يَتُوبَ مِمَّا قَالَ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عقاب الأعمال للصدوق رحمه الله بإسناده إلى أبي حمزة الثمالي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الْإِمَامُ المَفْرُوْضُ </w:t>
      </w:r>
      <w:r>
        <w:rPr>
          <w:rStyle w:val="FootnoteAnchor"/>
          <w:rtl w:val="true"/>
        </w:rPr>
        <w:footnoteReference w:id="1630"/>
      </w:r>
      <w:r>
        <w:rPr>
          <w:rFonts w:ascii="Amiri" w:hAnsi="Amiri" w:eastAsia="Amiri" w:cs="Amiri"/>
          <w:color w:val="111111"/>
          <w:sz w:val="28"/>
          <w:sz w:val="28"/>
          <w:szCs w:val="28"/>
          <w:rtl w:val="true"/>
          <w:lang w:bidi="ar-SA"/>
        </w:rPr>
        <w:t xml:space="preserve">طَاعَتُهُ، مَنْ </w:t>
      </w:r>
      <w:r>
        <w:rPr>
          <w:rStyle w:val="FootnoteAnchor"/>
          <w:rtl w:val="true"/>
        </w:rPr>
        <w:footnoteReference w:id="1631"/>
      </w:r>
      <w:r>
        <w:rPr>
          <w:rFonts w:ascii="Amiri" w:hAnsi="Amiri" w:eastAsia="Amiri" w:cs="Amiri"/>
          <w:color w:val="111111"/>
          <w:sz w:val="28"/>
          <w:sz w:val="28"/>
          <w:szCs w:val="28"/>
          <w:rtl w:val="true"/>
          <w:lang w:bidi="ar-SA"/>
        </w:rPr>
        <w:t xml:space="preserve">جَحَدَهُ مَاتَ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الَّذِي وَصَفَهُ رَسُولُ اللهِ صلی الله علیه و آله وسلم عَلِيُّ، مَنْ </w:t>
      </w:r>
      <w:r>
        <w:rPr>
          <w:rStyle w:val="FootnoteAnchor"/>
          <w:rtl w:val="true"/>
        </w:rPr>
        <w:footnoteReference w:id="1633"/>
      </w:r>
      <w:r>
        <w:rPr>
          <w:rFonts w:ascii="Amiri" w:hAnsi="Amiri" w:eastAsia="Amiri" w:cs="Amiri"/>
          <w:color w:val="111111"/>
          <w:sz w:val="28"/>
          <w:sz w:val="28"/>
          <w:szCs w:val="28"/>
          <w:rtl w:val="true"/>
          <w:lang w:bidi="ar-SA"/>
        </w:rPr>
        <w:t xml:space="preserve">عَرَفَهُ كَانَ مُؤْمِنًا، وَمَنْ جَحَدَهُ كَانَ كَافِرًا، ثُمَّ كَانَ مِنْ بَعْدِهِ الْحَسَنُ بِتِلْكَ المَنْزِلَةِ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كافرا، ثم كان الحسن عليه السلام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في كتاب كفاية الأثر لعلي بن محمد الخزاز </w:t>
      </w:r>
      <w:r>
        <w:rPr>
          <w:rStyle w:val="FootnoteAnchor"/>
          <w:rtl w:val="true"/>
        </w:rPr>
        <w:footnoteReference w:id="1635"/>
      </w:r>
      <w:r>
        <w:rPr>
          <w:rFonts w:ascii="Amiri" w:hAnsi="Amiri" w:eastAsia="Amiri" w:cs="Amiri"/>
          <w:color w:val="111111"/>
          <w:sz w:val="28"/>
          <w:sz w:val="28"/>
          <w:szCs w:val="28"/>
          <w:rtl w:val="true"/>
          <w:lang w:bidi="ar-SA"/>
        </w:rPr>
        <w:t xml:space="preserve">بإسناده إلى يحيى بن القاسم عن جعفر بن محمد عن أبيه عن آبائه </w:t>
      </w:r>
      <w:r>
        <w:rPr>
          <w:rStyle w:val="FootnoteAnchor"/>
          <w:rtl w:val="true"/>
        </w:rPr>
        <w:footnoteReference w:id="1636"/>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بَعْدِي اثْنَا عَشَرَ إِمَامًا </w:t>
      </w:r>
      <w:r>
        <w:rPr>
          <w:rStyle w:val="FootnoteAnchor"/>
          <w:rtl w:val="true"/>
        </w:rPr>
        <w:footnoteReference w:id="1637"/>
      </w:r>
      <w:r>
        <w:rPr>
          <w:rFonts w:ascii="Amiri" w:hAnsi="Amiri" w:eastAsia="Amiri" w:cs="Amiri"/>
          <w:color w:val="111111"/>
          <w:sz w:val="28"/>
          <w:sz w:val="28"/>
          <w:szCs w:val="28"/>
          <w:rtl w:val="true"/>
          <w:lang w:bidi="ar-SA"/>
        </w:rPr>
        <w:t xml:space="preserve">، أَوَّلهُمْ عَلِيُّ ابْنُ أَبِي طَالِبٍ علیه السلام ، وَأَخِرُهُم </w:t>
      </w:r>
      <w:r>
        <w:rPr>
          <w:rStyle w:val="FootnoteAnchor"/>
          <w:rtl w:val="true"/>
        </w:rPr>
        <w:footnoteReference w:id="1638"/>
      </w:r>
      <w:r>
        <w:rPr>
          <w:rFonts w:ascii="Amiri" w:hAnsi="Amiri" w:eastAsia="Amiri" w:cs="Amiri"/>
          <w:color w:val="111111"/>
          <w:sz w:val="28"/>
          <w:sz w:val="28"/>
          <w:szCs w:val="28"/>
          <w:rtl w:val="true"/>
          <w:lang w:bidi="ar-SA"/>
        </w:rPr>
        <w:t xml:space="preserve">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 بِهِمْ مُؤْمِنٌ، وَ المُنْكِرُ لَهُمْ كَافِرٌ </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بإسناده إلى موسى بن عبد الله </w:t>
      </w:r>
      <w:r>
        <w:rPr>
          <w:rStyle w:val="FootnoteAnchor"/>
          <w:rtl w:val="true"/>
        </w:rPr>
        <w:footnoteReference w:id="1640"/>
      </w:r>
      <w:r>
        <w:rPr>
          <w:rFonts w:ascii="Amiri" w:hAnsi="Amiri" w:eastAsia="Amiri" w:cs="Amiri"/>
          <w:color w:val="111111"/>
          <w:sz w:val="28"/>
          <w:sz w:val="28"/>
          <w:szCs w:val="28"/>
          <w:rtl w:val="true"/>
          <w:lang w:bidi="ar-SA"/>
        </w:rPr>
        <w:t xml:space="preserve">عن الحسين بن علي عليه السلام عن رسول الله صلى الله عليه و آله و سلم في حديث قال فيه </w:t>
      </w:r>
      <w:r>
        <w:rPr>
          <w:rStyle w:val="FootnoteAnchor"/>
          <w:rtl w:val="true"/>
        </w:rPr>
        <w:footnoteReference w:id="16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Style w:val="FootnoteAnchor"/>
          <w:rtl w:val="true"/>
        </w:rPr>
        <w:footnoteReference w:id="1642"/>
      </w:r>
      <w:r>
        <w:rPr>
          <w:rFonts w:ascii="Amiri" w:hAnsi="Amiri" w:eastAsia="Amiri" w:cs="Amiri"/>
          <w:color w:val="111111"/>
          <w:sz w:val="28"/>
          <w:sz w:val="28"/>
          <w:szCs w:val="28"/>
          <w:rtl w:val="true"/>
          <w:lang w:bidi="ar-SA"/>
        </w:rPr>
        <w:t xml:space="preserve">زَعَمَ أَنَّهُ يُحِبُّ النَّبِيَّ وَ لَا يُحِبُّ الْوَصِي فَقَدْ كَذَبَ، وَ مَنْ زَعَمَ أَنَّهُ يَعْرِفُ النَّبِيَّ وَلَا يَعْرِفُ الْوَصِيَّ فَقَدْ كَفَرَ </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الخرائج و الجرائح للراوندي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644"/>
      </w:r>
      <w:r>
        <w:rPr>
          <w:rFonts w:ascii="Amiri" w:hAnsi="Amiri" w:eastAsia="Amiri" w:cs="Amiri"/>
          <w:color w:val="111111"/>
          <w:sz w:val="28"/>
          <w:sz w:val="28"/>
          <w:szCs w:val="28"/>
          <w:rtl w:val="true"/>
          <w:lang w:bidi="ar-SA"/>
        </w:rPr>
        <w:t xml:space="preserve">علیه السلام لا يَسْأَلُهُ عَمَّنْ وَقَفَ عَلَى أَبِي الحَسَنِ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 أَمْ أَتَبَرَّأُ مِنْهُم؟</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Style w:val="FootnoteAnchor"/>
          <w:rtl w:val="true"/>
        </w:rPr>
        <w:footnoteReference w:id="1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رَحِمَ اللهُ عَمَّكَ</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 لَا تَتَرَحَمْ عَلَى عَمِّكَ، فَتَبَرَأَ </w:t>
      </w:r>
      <w:r>
        <w:rPr>
          <w:rStyle w:val="FootnoteAnchor"/>
          <w:rtl w:val="true"/>
        </w:rPr>
        <w:footnoteReference w:id="1648"/>
      </w:r>
      <w:r>
        <w:rPr>
          <w:rFonts w:ascii="Amiri" w:hAnsi="Amiri" w:eastAsia="Amiri" w:cs="Amiri"/>
          <w:color w:val="111111"/>
          <w:sz w:val="28"/>
          <w:sz w:val="28"/>
          <w:szCs w:val="28"/>
          <w:rtl w:val="true"/>
          <w:lang w:bidi="ar-SA"/>
        </w:rPr>
        <w:t xml:space="preserve">مِنْهُ؛ فَإِنَّا إِلَى اللهِ مِنْهُمْ بَرَاءُ </w:t>
      </w:r>
      <w:r>
        <w:rPr>
          <w:rStyle w:val="FootnoteAnchor"/>
          <w:rtl w:val="true"/>
        </w:rPr>
        <w:footnoteReference w:id="1649"/>
      </w:r>
      <w:r>
        <w:rPr>
          <w:rFonts w:ascii="Amiri" w:hAnsi="Amiri" w:eastAsia="Amiri" w:cs="Amiri"/>
          <w:color w:val="111111"/>
          <w:sz w:val="28"/>
          <w:sz w:val="28"/>
          <w:szCs w:val="28"/>
          <w:rtl w:val="true"/>
          <w:lang w:bidi="ar-SA"/>
        </w:rPr>
        <w:t xml:space="preserve">، فَلَا </w:t>
      </w:r>
      <w:r>
        <w:rPr>
          <w:rStyle w:val="FootnoteAnchor"/>
          <w:rtl w:val="true"/>
        </w:rPr>
        <w:footnoteReference w:id="1650"/>
      </w:r>
      <w:r>
        <w:rPr>
          <w:rFonts w:ascii="Amiri" w:hAnsi="Amiri" w:eastAsia="Amiri" w:cs="Amiri"/>
          <w:color w:val="111111"/>
          <w:sz w:val="28"/>
          <w:sz w:val="28"/>
          <w:szCs w:val="28"/>
          <w:rtl w:val="true"/>
          <w:lang w:bidi="ar-SA"/>
        </w:rPr>
        <w:t>تَعُدْ مَرْضَاهُمْ، وَ لَا تَشْهَدْ جَنَائِزَهُمْ، و َلَا تُصَلِّ عَلَى أَحَدٍ مِنْهُمْ مَاتَ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إِمَامًا مِنَ اللَّهِ أَوْ زَادَ إِمَامًا لَيْسَتْ إِمَامَتُهُ مِنَ اللَّهِ كَانَ كَمَنْ قَالَ 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الْجَاحِدَ أَمْرَ أَخِرِنَا جَاحِدٌ أَمْرَ أَوَّلِنَا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بإسناده عن محمد بن الفضيل </w:t>
      </w:r>
      <w:r>
        <w:rPr>
          <w:rStyle w:val="FootnoteAnchor"/>
          <w:rtl w:val="true"/>
        </w:rPr>
        <w:footnoteReference w:id="1653"/>
      </w:r>
      <w:r>
        <w:rPr>
          <w:rFonts w:ascii="Amiri" w:hAnsi="Amiri" w:eastAsia="Amiri" w:cs="Amiri"/>
          <w:color w:val="111111"/>
          <w:sz w:val="28"/>
          <w:sz w:val="28"/>
          <w:szCs w:val="28"/>
          <w:rtl w:val="true"/>
          <w:lang w:bidi="ar-SA"/>
        </w:rPr>
        <w:t>عن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 الْأَئِمَّةُ مِنْ وُلْدِكَ بَعْدِي حُجَجُ اللهِ </w:t>
      </w:r>
      <w:r>
        <w:rPr>
          <w:rStyle w:val="FootnoteAnchor"/>
          <w:rtl w:val="true"/>
        </w:rPr>
        <w:footnoteReference w:id="1654"/>
      </w:r>
      <w:r>
        <w:rPr>
          <w:rFonts w:ascii="Amiri" w:hAnsi="Amiri" w:eastAsia="Amiri" w:cs="Amiri"/>
          <w:color w:val="111111"/>
          <w:sz w:val="28"/>
          <w:sz w:val="28"/>
          <w:szCs w:val="28"/>
          <w:rtl w:val="true"/>
          <w:lang w:bidi="ar-SA"/>
        </w:rPr>
        <w:t xml:space="preserve">عَلَى خَلْقِهِ، وَخَلِيفَتُهُ </w:t>
      </w:r>
      <w:r>
        <w:rPr>
          <w:rStyle w:val="FootnoteAnchor"/>
          <w:rtl w:val="true"/>
        </w:rPr>
        <w:footnoteReference w:id="1655"/>
      </w:r>
      <w:r>
        <w:rPr>
          <w:rFonts w:ascii="Amiri" w:hAnsi="Amiri" w:eastAsia="Amiri" w:cs="Amiri"/>
          <w:color w:val="111111"/>
          <w:sz w:val="28"/>
          <w:sz w:val="28"/>
          <w:szCs w:val="28"/>
          <w:rtl w:val="true"/>
          <w:lang w:bidi="ar-SA"/>
        </w:rPr>
        <w:t xml:space="preserve">فِي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Style w:val="FootnoteAnchor"/>
          <w:rtl w:val="true"/>
        </w:rPr>
        <w:footnoteReference w:id="1656"/>
      </w:r>
      <w:r>
        <w:rPr>
          <w:rFonts w:ascii="Amiri" w:hAnsi="Amiri" w:eastAsia="Amiri" w:cs="Amiri"/>
          <w:color w:val="111111"/>
          <w:sz w:val="28"/>
          <w:sz w:val="28"/>
          <w:szCs w:val="28"/>
          <w:rtl w:val="true"/>
          <w:lang w:bidi="ar-SA"/>
        </w:rPr>
        <w:t>أَنْكَرَ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w:t>
      </w:r>
      <w:r>
        <w:rPr>
          <w:rStyle w:val="FootnoteAnchor"/>
          <w:rtl w:val="true"/>
        </w:rPr>
        <w:footnoteReference w:id="1657"/>
      </w:r>
      <w:r>
        <w:rPr>
          <w:rFonts w:ascii="Amiri" w:hAnsi="Amiri" w:eastAsia="Amiri" w:cs="Amiri"/>
          <w:color w:val="111111"/>
          <w:sz w:val="28"/>
          <w:sz w:val="28"/>
          <w:szCs w:val="28"/>
          <w:rtl w:val="true"/>
          <w:lang w:bidi="ar-SA"/>
        </w:rPr>
        <w:t xml:space="preserve">فَقَدْ أَنْكَرَني وَ مَنْ عَصَى وَاحِدًا مِنْهُمْ </w:t>
      </w:r>
      <w:r>
        <w:rPr>
          <w:rStyle w:val="FootnoteAnchor"/>
          <w:rtl w:val="true"/>
        </w:rPr>
        <w:footnoteReference w:id="1658"/>
      </w:r>
      <w:r>
        <w:rPr>
          <w:rFonts w:ascii="Amiri" w:hAnsi="Amiri" w:eastAsia="Amiri" w:cs="Amiri"/>
          <w:color w:val="111111"/>
          <w:sz w:val="28"/>
          <w:sz w:val="28"/>
          <w:szCs w:val="28"/>
          <w:rtl w:val="true"/>
          <w:lang w:bidi="ar-SA"/>
        </w:rPr>
        <w:t xml:space="preserve">فَقَدْ عَصَانِي، و َمَنْ جَفَا وَاحِدًا مِنْهُمْ </w:t>
      </w:r>
      <w:r>
        <w:rPr>
          <w:rStyle w:val="FootnoteAnchor"/>
          <w:rtl w:val="true"/>
        </w:rPr>
        <w:footnoteReference w:id="1659"/>
      </w:r>
      <w:r>
        <w:rPr>
          <w:rFonts w:ascii="Amiri" w:hAnsi="Amiri" w:eastAsia="Amiri" w:cs="Amiri"/>
          <w:color w:val="111111"/>
          <w:sz w:val="28"/>
          <w:sz w:val="28"/>
          <w:szCs w:val="28"/>
          <w:rtl w:val="true"/>
          <w:lang w:bidi="ar-SA"/>
        </w:rPr>
        <w:t>فَقَدْ جَفَانٍی، وَ مَنْ وَصَلَكُمْ فَقَدْ وَصَلَنِي، وَ مَنْ أَطَاعَكُمْ فَقَدْ أَطَاعَنِي، و َمَنْ وَالَاكُمْ فَقَدْ وَالَاني، وَ مَنْ عَادَاكُمْ فَقَدْ عَادَانِي؛ لِأَنَّكُمْ مِنِّي، خُلِقْتُمْ مِنْ طِيْنتي، وَأَنَا مِنْكُمْ</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بإسناده إلى محمد بن تمام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لأَن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مَوْلَاكَ </w:t>
      </w:r>
      <w:r>
        <w:rPr>
          <w:rStyle w:val="FootnoteAnchor"/>
          <w:rtl w:val="true"/>
        </w:rPr>
        <w:footnoteReference w:id="1661"/>
      </w:r>
      <w:r>
        <w:rPr>
          <w:rFonts w:ascii="Amiri" w:hAnsi="Amiri" w:eastAsia="Amiri" w:cs="Amiri"/>
          <w:color w:val="111111"/>
          <w:sz w:val="28"/>
          <w:sz w:val="28"/>
          <w:szCs w:val="28"/>
          <w:rtl w:val="true"/>
          <w:lang w:bidi="ar-SA"/>
        </w:rPr>
        <w:t>يقرِؤُكَ السَّلَام ،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لي </w:t>
      </w:r>
      <w:r>
        <w:rPr>
          <w:rStyle w:val="FootnoteAnchor"/>
          <w:rtl w:val="true"/>
        </w:rPr>
        <w:footnoteReference w:id="1662"/>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مَوَالِيْنَا؟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أَرْفَعُ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يُوَالِي عَلِيًّا، وَ لَمْ يَعْرِفْ مِنْ بَعْدِهِ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بِالْأَئِمَّةِ جَمِيْعًا وَ جَحَدَ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كَمَنْ أقرَ بِعِيْسَى و َجَحَدَ مُحَمَّدًا، و َأَقَرَّ </w:t>
      </w:r>
      <w:r>
        <w:rPr>
          <w:rStyle w:val="FootnoteAnchor"/>
          <w:rtl w:val="true"/>
        </w:rPr>
        <w:footnoteReference w:id="1663"/>
      </w:r>
      <w:r>
        <w:rPr>
          <w:rFonts w:ascii="Amiri" w:hAnsi="Amiri" w:eastAsia="Amiri" w:cs="Amiri"/>
          <w:color w:val="111111"/>
          <w:sz w:val="28"/>
          <w:sz w:val="28"/>
          <w:szCs w:val="28"/>
          <w:rtl w:val="true"/>
          <w:lang w:bidi="ar-SA"/>
        </w:rPr>
        <w:t xml:space="preserve">بِمُحَمَّدٍ </w:t>
      </w:r>
      <w:r>
        <w:rPr>
          <w:rStyle w:val="FootnoteAnchor"/>
          <w:rtl w:val="true"/>
        </w:rPr>
        <w:footnoteReference w:id="1664"/>
      </w:r>
      <w:r>
        <w:rPr>
          <w:rFonts w:ascii="Amiri" w:hAnsi="Amiri" w:eastAsia="Amiri" w:cs="Amiri"/>
          <w:color w:val="111111"/>
          <w:sz w:val="28"/>
          <w:sz w:val="28"/>
          <w:szCs w:val="28"/>
          <w:rtl w:val="true"/>
          <w:lang w:bidi="ar-SA"/>
        </w:rPr>
        <w:t>وَ جَحَدَ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جَحْدِ حُجَّةٍ مِنْ حُجَجهِ </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666"/>
      </w:r>
      <w:r>
        <w:rPr>
          <w:rFonts w:ascii="Amiri" w:hAnsi="Amiri" w:eastAsia="Amiri" w:cs="Amiri"/>
          <w:color w:val="111111"/>
          <w:sz w:val="28"/>
          <w:sz w:val="28"/>
          <w:szCs w:val="28"/>
          <w:rtl w:val="true"/>
          <w:lang w:bidi="ar-SA"/>
        </w:rPr>
        <w:t>بإسناده إلى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الْأَخِيْرَ مِنَ الْأَئِمَّةِ و َلَا يَضُرُّكَ أَلَّا تَعْرِفَ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هَذَا، فَإِنيِّ أَبْغَضُهُ، وَ لَا أَعْرِفُهُ، و َهَلْ يُعْرَفُ الْأَخِيرُ </w:t>
      </w:r>
      <w:r>
        <w:rPr>
          <w:rStyle w:val="FootnoteAnchor"/>
          <w:rtl w:val="true"/>
        </w:rPr>
        <w:footnoteReference w:id="1669"/>
      </w:r>
      <w:r>
        <w:rPr>
          <w:rFonts w:ascii="Amiri" w:hAnsi="Amiri" w:eastAsia="Amiri" w:cs="Amiri"/>
          <w:color w:val="111111"/>
          <w:sz w:val="28"/>
          <w:sz w:val="28"/>
          <w:szCs w:val="28"/>
          <w:rtl w:val="true"/>
          <w:lang w:bidi="ar-SA"/>
        </w:rPr>
        <w:t xml:space="preserve">إِلَّا بالْأَوَّلِ؟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في الكافي و الغيبة للنعماني بعدة طرق منها الصحيح و غيره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 صحيح إلى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أبان بن تغلب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الْأَئِمَّةَ وَ لَمْ يَعْرِفِ الْإِمَامَ الَّذِي فِي زَمَانِهِ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أَهُوَ 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العلل بإسناده إلى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لَمْ </w:t>
      </w:r>
      <w:r>
        <w:rPr>
          <w:rStyle w:val="FootnoteAnchor"/>
          <w:rtl w:val="true"/>
        </w:rPr>
        <w:footnoteReference w:id="1673"/>
      </w:r>
      <w:r>
        <w:rPr>
          <w:rFonts w:ascii="Amiri" w:hAnsi="Amiri" w:eastAsia="Amiri" w:cs="Amiri"/>
          <w:color w:val="111111"/>
          <w:sz w:val="28"/>
          <w:sz w:val="28"/>
          <w:szCs w:val="28"/>
          <w:rtl w:val="true"/>
          <w:lang w:bidi="ar-SA"/>
        </w:rPr>
        <w:t xml:space="preserve">يَسَعْنَا إِلَّا أَنْ نَعْرِفَ كُلَّ إِمَامٍ </w:t>
      </w:r>
      <w:r>
        <w:rPr>
          <w:rStyle w:val="FootnoteAnchor"/>
          <w:rtl w:val="true"/>
        </w:rPr>
        <w:footnoteReference w:id="1674"/>
      </w:r>
      <w:r>
        <w:rPr>
          <w:rFonts w:ascii="Amiri" w:hAnsi="Amiri" w:eastAsia="Amiri" w:cs="Amiri"/>
          <w:color w:val="111111"/>
          <w:sz w:val="28"/>
          <w:sz w:val="28"/>
          <w:szCs w:val="28"/>
          <w:rtl w:val="true"/>
          <w:lang w:bidi="ar-SA"/>
        </w:rPr>
        <w:t xml:space="preserve">بَعْدَ النَّبِيِّ صلی الله علیه و آله وسلم ، و َيَسَعُنَا أَلَّا نَعْرِفَ كُلَّ إِمَامٍ قَبْلَ النَّبِيِّ صلی الله علیه و 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الشَّرايع </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غيبة النعماني بإسناده إلى محمد بن سنان عن بعض رجاله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أَشْرَكَ مَعَ إِمَامٍ إِمَامَتُهُ </w:t>
      </w:r>
      <w:r>
        <w:rPr>
          <w:rStyle w:val="FootnoteAnchor"/>
          <w:rtl w:val="true"/>
        </w:rPr>
        <w:footnoteReference w:id="1676"/>
      </w:r>
      <w:r>
        <w:rPr>
          <w:rFonts w:ascii="Amiri" w:hAnsi="Amiri" w:eastAsia="Amiri" w:cs="Amiri"/>
          <w:color w:val="111111"/>
          <w:sz w:val="28"/>
          <w:sz w:val="28"/>
          <w:szCs w:val="28"/>
          <w:rtl w:val="true"/>
          <w:lang w:bidi="ar-SA"/>
        </w:rPr>
        <w:t xml:space="preserve">مِنْ عِنْدِ اللهِ تَعَالَى مَنْ لَيْسَتْ إِمَامَتُهُ مِنَ اللهِ كَانَ مُشْرِكًا </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عن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يَتَوَلَّاكُمْ، وَ يَبْرَأُ </w:t>
      </w:r>
      <w:r>
        <w:rPr>
          <w:rStyle w:val="FootnoteAnchor"/>
          <w:rtl w:val="true"/>
        </w:rPr>
        <w:footnoteReference w:id="1678"/>
      </w:r>
      <w:r>
        <w:rPr>
          <w:rFonts w:ascii="Amiri" w:hAnsi="Amiri" w:eastAsia="Amiri" w:cs="Amiri"/>
          <w:color w:val="111111"/>
          <w:sz w:val="28"/>
          <w:sz w:val="28"/>
          <w:szCs w:val="28"/>
          <w:rtl w:val="true"/>
          <w:lang w:bidi="ar-SA"/>
        </w:rPr>
        <w:t xml:space="preserve">مِنْ عَدُوِّكُمْ، و َيُحَلَّلُ حَلَالَكُم وَيُحَرِّمُ حَرَامَكُم، وَ يَزْعَمُ أَنَّ الْأَمْرَ فِيكُمْ لَمْ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إِلَى غَيْرِكُمْ،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اخْتَلَفُوْا فيما بينهم، وَ هُمُ الْأَئِمَّةُ الْقَادَةُ، و َإِذَا اجْتَمَعُوْا عَلَى رَجُل قَالُوا </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عَلى هَذَا فَقَدْ مَاتَ مَيْتَةً جَاهِلِيَّة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الكشي عن أبي عبيدة </w:t>
      </w:r>
      <w:r>
        <w:rPr>
          <w:rStyle w:val="FootnoteAnchor"/>
          <w:rtl w:val="true"/>
        </w:rPr>
        <w:footnoteReference w:id="1684"/>
      </w:r>
      <w:r>
        <w:rPr>
          <w:rFonts w:ascii="Amiri" w:hAnsi="Amiri" w:eastAsia="Amiri" w:cs="Amiri"/>
          <w:color w:val="111111"/>
          <w:sz w:val="28"/>
          <w:sz w:val="28"/>
          <w:szCs w:val="28"/>
          <w:rtl w:val="true"/>
          <w:lang w:bidi="ar-SA"/>
        </w:rPr>
        <w:t>الحذاء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علیه السلام إِنَّ سالم </w:t>
      </w:r>
      <w:r>
        <w:rPr>
          <w:rStyle w:val="FootnoteAnchor"/>
          <w:rtl w:val="true"/>
        </w:rPr>
        <w:footnoteReference w:id="1685"/>
      </w:r>
      <w:r>
        <w:rPr>
          <w:rFonts w:ascii="Amiri" w:hAnsi="Amiri" w:eastAsia="Amiri" w:cs="Amiri"/>
          <w:color w:val="111111"/>
          <w:sz w:val="28"/>
          <w:sz w:val="28"/>
          <w:szCs w:val="28"/>
          <w:rtl w:val="true"/>
          <w:lang w:bidi="ar-SA"/>
        </w:rPr>
        <w:t xml:space="preserve">ابْنَ أَبِي حَفْصَةَ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بَلَغَكَ أَنَّهُ مَنْ </w:t>
      </w:r>
      <w:r>
        <w:rPr>
          <w:rStyle w:val="FootnoteAnchor"/>
          <w:rtl w:val="true"/>
        </w:rPr>
        <w:footnoteReference w:id="1687"/>
      </w:r>
      <w:r>
        <w:rPr>
          <w:rFonts w:ascii="Amiri" w:hAnsi="Amiri" w:eastAsia="Amiri" w:cs="Amiri"/>
          <w:color w:val="111111"/>
          <w:sz w:val="28"/>
          <w:sz w:val="28"/>
          <w:szCs w:val="28"/>
          <w:rtl w:val="true"/>
          <w:lang w:bidi="ar-SA"/>
        </w:rPr>
        <w:t xml:space="preserve">مَاتَ وَ لَيْسَ لَهُ إِمَامٌ كَانَ مَيْتَهُ مَيْتَةٌ </w:t>
      </w:r>
      <w:r>
        <w:rPr>
          <w:rStyle w:val="FootnoteAnchor"/>
          <w:rtl w:val="true"/>
        </w:rPr>
        <w:footnoteReference w:id="1688"/>
      </w:r>
      <w:r>
        <w:rPr>
          <w:rFonts w:ascii="Amiri" w:hAnsi="Amiri" w:eastAsia="Amiri" w:cs="Amiri"/>
          <w:color w:val="111111"/>
          <w:sz w:val="28"/>
          <w:sz w:val="28"/>
          <w:szCs w:val="28"/>
          <w:rtl w:val="true"/>
          <w:lang w:bidi="ar-SA"/>
        </w:rPr>
        <w:t xml:space="preserve">جَاهِلِيَّةً؟ فَأَقُولُ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إِمَامُكَ؟ </w:t>
      </w:r>
      <w:r>
        <w:rPr>
          <w:rStyle w:val="FootnoteAnchor"/>
          <w:rtl w:val="true"/>
        </w:rPr>
        <w:footnoteReference w:id="1689"/>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أَلُ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أَسْمَعُكَ عَرَفْتَ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690"/>
      </w:r>
      <w:r>
        <w:rPr>
          <w:rFonts w:ascii="Amiri" w:hAnsi="Amiri" w:eastAsia="Amiri" w:cs="Amiri"/>
          <w:color w:val="111111"/>
          <w:sz w:val="28"/>
          <w:sz w:val="28"/>
          <w:szCs w:val="28"/>
          <w:rtl w:val="true"/>
          <w:lang w:bidi="ar-SA"/>
        </w:rPr>
        <w:t xml:space="preserve">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 سَالَمُ مَا </w:t>
      </w:r>
      <w:r>
        <w:rPr>
          <w:rStyle w:val="FootnoteAnchor"/>
          <w:rtl w:val="true"/>
        </w:rPr>
        <w:footnoteReference w:id="1691"/>
      </w:r>
      <w:r>
        <w:rPr>
          <w:rFonts w:ascii="Amiri" w:hAnsi="Amiri" w:eastAsia="Amiri" w:cs="Amiri"/>
          <w:color w:val="111111"/>
          <w:sz w:val="28"/>
          <w:sz w:val="28"/>
          <w:szCs w:val="28"/>
          <w:rtl w:val="true"/>
          <w:lang w:bidi="ar-SA"/>
        </w:rPr>
        <w:t>مَنْزِلَةُ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الْإِمَامِ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 أَعْظَمُ </w:t>
      </w:r>
      <w:r>
        <w:rPr>
          <w:rStyle w:val="FootnoteAnchor"/>
          <w:rtl w:val="true"/>
        </w:rPr>
        <w:footnoteReference w:id="1693"/>
      </w:r>
      <w:r>
        <w:rPr>
          <w:rFonts w:ascii="Amiri" w:hAnsi="Amiri" w:eastAsia="Amiri" w:cs="Amiri"/>
          <w:color w:val="111111"/>
          <w:sz w:val="28"/>
          <w:sz w:val="28"/>
          <w:szCs w:val="28"/>
          <w:rtl w:val="true"/>
          <w:lang w:bidi="ar-SA"/>
        </w:rPr>
        <w:t xml:space="preserve">مما يَذْهَبُ إِلَيْهِ سَالِم وَ النَّاسُ أَجْمَعُونَ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في هذا بالغة حد التواتر المعنوي، و كلّها شاهدة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لقول من ذهب </w:t>
      </w:r>
      <w:r>
        <w:rPr>
          <w:rStyle w:val="FootnoteAnchor"/>
          <w:rtl w:val="true"/>
        </w:rPr>
        <w:footnoteReference w:id="1695"/>
      </w:r>
      <w:r>
        <w:rPr>
          <w:rFonts w:ascii="IRNazanin" w:hAnsi="IRNazanin" w:eastAsia="IRNazanin"/>
          <w:color w:val="111111"/>
          <w:sz w:val="28"/>
          <w:sz w:val="28"/>
          <w:szCs w:val="28"/>
          <w:rtl w:val="true"/>
          <w:lang w:bidi="fa-IR"/>
        </w:rPr>
        <w:t xml:space="preserve">إلى إسلامهم إخلادًا إلى إجماع </w:t>
      </w:r>
      <w:r>
        <w:rPr>
          <w:rStyle w:val="FootnoteAnchor"/>
          <w:rtl w:val="true"/>
        </w:rPr>
        <w:footnoteReference w:id="1696"/>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bookmarkStart w:id="146" w:name="pg2523_39878"/>
    </w:p>
    <w:p>
      <w:pPr>
        <w:pStyle w:val="BookText"/>
        <w:rPr/>
      </w:pPr>
      <w:bookmarkEnd w:id="146"/>
      <w:r>
        <w:rPr>
          <w:rFonts w:ascii="Amiri" w:hAnsi="Amiri" w:eastAsia="Amiri" w:cs="Amiri"/>
          <w:color w:val="111111"/>
          <w:sz w:val="28"/>
          <w:sz w:val="28"/>
          <w:szCs w:val="28"/>
          <w:rtl w:val="true"/>
          <w:lang w:bidi="ar-SA"/>
        </w:rPr>
        <w:t xml:space="preserve">يثبت، أو إلى أخبار قد دلَّ غيرها على أنَّ </w:t>
      </w:r>
      <w:r>
        <w:rPr>
          <w:rStyle w:val="FootnoteAnchor"/>
          <w:rtl w:val="true"/>
        </w:rPr>
        <w:footnoteReference w:id="1697"/>
      </w:r>
      <w:r>
        <w:rPr>
          <w:rFonts w:ascii="Amiri" w:hAnsi="Amiri" w:eastAsia="Amiri" w:cs="Amiri"/>
          <w:color w:val="111111"/>
          <w:sz w:val="28"/>
          <w:sz w:val="28"/>
          <w:szCs w:val="28"/>
          <w:rtl w:val="true"/>
          <w:lang w:bidi="ar-SA"/>
        </w:rPr>
        <w:t xml:space="preserve">موردها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ظهور الإسلام، حيث حقنت به </w:t>
      </w:r>
      <w:r>
        <w:rPr>
          <w:rStyle w:val="FootnoteAnchor"/>
          <w:rtl w:val="true"/>
        </w:rPr>
        <w:footnoteReference w:id="1698"/>
      </w:r>
      <w:r>
        <w:rPr>
          <w:rFonts w:ascii="Amiri" w:hAnsi="Amiri" w:eastAsia="Amiri" w:cs="Amiri"/>
          <w:color w:val="111111"/>
          <w:sz w:val="28"/>
          <w:sz w:val="28"/>
          <w:szCs w:val="28"/>
          <w:rtl w:val="true"/>
          <w:lang w:bidi="ar-SA"/>
        </w:rPr>
        <w:t xml:space="preserve">الدماء و الأموال، و استبيحت به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Style w:val="FootnoteAnchor"/>
          <w:rtl w:val="true"/>
        </w:rPr>
        <w:footnoteReference w:id="1699"/>
      </w:r>
      <w:r>
        <w:rPr>
          <w:rFonts w:ascii="Amiri" w:hAnsi="Amiri" w:eastAsia="Amiri" w:cs="Amiri"/>
          <w:color w:val="111111"/>
          <w:sz w:val="28"/>
          <w:sz w:val="28"/>
          <w:szCs w:val="28"/>
          <w:rtl w:val="true"/>
          <w:lang w:bidi="ar-SA"/>
        </w:rPr>
        <w:t xml:space="preserve">أنها جاءت تقيّة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فاطراح هذه الروايات التي ذكرناها إنكار لما علم من الدين ضرورة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264900_3804643083"/>
      <w:bookmarkStart w:id="148" w:name="_Toc48"/>
      <w:bookmarkEnd w:id="147"/>
      <w:r>
        <w:rPr>
          <w:rtl w:val="true"/>
        </w:rPr>
        <w:t>[</w:t>
      </w:r>
      <w:r>
        <w:rPr>
          <w:rtl w:val="true"/>
        </w:rPr>
        <w:t>معنى الناصب</w:t>
      </w:r>
      <w:r>
        <w:rPr>
          <w:rtl w:val="true"/>
        </w:rPr>
        <w:t>]</w:t>
      </w:r>
      <w:bookmarkEnd w:id="148"/>
    </w:p>
    <w:p>
      <w:pPr>
        <w:pStyle w:val="BookText"/>
        <w:rPr/>
      </w:pPr>
      <w:r>
        <w:rPr>
          <w:rFonts w:ascii="Amiri" w:hAnsi="Amiri" w:eastAsia="Amiri" w:cs="Amiri"/>
          <w:color w:val="111111"/>
          <w:sz w:val="28"/>
          <w:sz w:val="28"/>
          <w:szCs w:val="28"/>
          <w:rtl w:val="true"/>
          <w:lang w:bidi="ar-SA"/>
        </w:rPr>
        <w:t xml:space="preserve">و أما تحقيق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كثر فيه القيل و القال، و اتسع فيه المجال و التعرّض للأقوال، و ما يرد عليها و ما يثبتها ليس هذا محله بعدما عرفت كفرَ مطلق المخالف، فما أدراك بالناصب الذي جاءت </w:t>
      </w:r>
      <w:r>
        <w:rPr>
          <w:rStyle w:val="FootnoteAnchor"/>
          <w:rtl w:val="true"/>
        </w:rPr>
        <w:footnoteReference w:id="1701"/>
      </w:r>
      <w:r>
        <w:rPr>
          <w:rFonts w:ascii="Amiri" w:hAnsi="Amiri" w:eastAsia="Amiri" w:cs="Amiri"/>
          <w:color w:val="111111"/>
          <w:sz w:val="28"/>
          <w:sz w:val="28"/>
          <w:szCs w:val="28"/>
          <w:rtl w:val="true"/>
          <w:lang w:bidi="ar-SA"/>
        </w:rPr>
        <w:t>فيه الآيات و الروايات آنه المشرك و الكافر؟ بل ما من آية من كتاب الله فيها ذكر المشرك إلا كان هو المراد منها والمعني بها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معناه الذي دلّت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قدمناه، و هو تقديم غير على الله عليه </w:t>
      </w:r>
      <w:r>
        <w:rPr>
          <w:rStyle w:val="FootnoteAnchor"/>
          <w:rtl w:val="true"/>
        </w:rPr>
        <w:footnoteReference w:id="1702"/>
      </w:r>
      <w:r>
        <w:rPr>
          <w:rFonts w:ascii="IRNazanin" w:hAnsi="IRNazanin" w:eastAsia="IRNazanin"/>
          <w:color w:val="111111"/>
          <w:sz w:val="28"/>
          <w:sz w:val="28"/>
          <w:szCs w:val="28"/>
          <w:rtl w:val="true"/>
          <w:lang w:bidi="fa-IR"/>
        </w:rPr>
        <w:t xml:space="preserve">على </w:t>
      </w:r>
      <w:r>
        <w:rPr>
          <w:rStyle w:val="FootnoteAnchor"/>
          <w:rtl w:val="true"/>
        </w:rPr>
        <w:footnoteReference w:id="1703"/>
      </w:r>
      <w:r>
        <w:rPr>
          <w:rFonts w:ascii="Amiri" w:hAnsi="Amiri" w:eastAsia="Amiri" w:cs="Amiri"/>
          <w:color w:val="111111"/>
          <w:sz w:val="28"/>
          <w:sz w:val="28"/>
          <w:szCs w:val="28"/>
          <w:rtl w:val="true"/>
          <w:lang w:bidi="ar-SA"/>
        </w:rPr>
        <w:t xml:space="preserve">ما رواه ابن إدريس في مستطرفات السرائر نقلًا </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1704"/>
      </w:r>
      <w:r>
        <w:rPr>
          <w:rFonts w:ascii="Amiri" w:hAnsi="Amiri" w:eastAsia="Amiri" w:cs="Amiri"/>
          <w:color w:val="111111"/>
          <w:sz w:val="28"/>
          <w:sz w:val="28"/>
          <w:szCs w:val="28"/>
          <w:rtl w:val="true"/>
          <w:lang w:bidi="ar-SA"/>
        </w:rPr>
        <w:t>کتاب مسائل الرجال بالإسناد إلى محمد بن علي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يُحْتَاجُ </w:t>
      </w:r>
      <w:r>
        <w:rPr>
          <w:rStyle w:val="FootnoteAnchor"/>
          <w:rtl w:val="true"/>
        </w:rPr>
        <w:footnoteReference w:id="1705"/>
      </w:r>
      <w:r>
        <w:rPr>
          <w:rFonts w:ascii="Amiri" w:hAnsi="Amiri" w:eastAsia="Amiri" w:cs="Amiri"/>
          <w:color w:val="111111"/>
          <w:sz w:val="28"/>
          <w:sz w:val="28"/>
          <w:szCs w:val="28"/>
          <w:rtl w:val="true"/>
          <w:lang w:bidi="ar-SA"/>
        </w:rPr>
        <w:t>فِي امْتِحَانِهِ إِلَى أَكْثَرَ مِنْ تَقْدِيمِهِ الْجبْتَ وَ الطَّاغُوْتَ و َاعْتِقَادِ إِمَامَتِهِمَا؟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 xml:space="preserve">» </w:t>
      </w:r>
      <w:r>
        <w:rPr>
          <w:rStyle w:val="FootnoteAnchor"/>
          <w:rtl w:val="true"/>
        </w:rPr>
        <w:footnoteReference w:id="1706"/>
      </w:r>
      <w:r>
        <w:rPr>
          <w:rFonts w:ascii="IRNazanin" w:hAnsi="IRNazanin" w:eastAsia="IRNazanin"/>
          <w:color w:val="111111"/>
          <w:sz w:val="28"/>
          <w:sz w:val="28"/>
          <w:szCs w:val="28"/>
          <w:rtl w:val="true"/>
          <w:lang w:bidi="fa-IR"/>
        </w:rPr>
        <w:t xml:space="preserve">، و ما في شرح نهج البلاغة للراوندي عن النبی صلی الله علیه و آله وسلم أنه سُئل عن الناصب بعده قال </w:t>
      </w:r>
      <w:r>
        <w:rPr>
          <w:rStyle w:val="FootnoteAnchor"/>
          <w:rtl w:val="true"/>
        </w:rPr>
        <w:footnoteReference w:id="17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يُقَدِّمُ عَلى عَلی غَيْرَهُ </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تفسيره بمن أظهر العداوة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أكثر علمائنا </w:t>
      </w:r>
      <w:r>
        <w:rPr>
          <w:rStyle w:val="FootnoteAnchor"/>
          <w:rtl w:val="true"/>
        </w:rPr>
        <w:footnoteReference w:id="1709"/>
      </w:r>
      <w:r>
        <w:rPr>
          <w:rFonts w:ascii="Amiri" w:hAnsi="Amiri" w:eastAsia="Amiri" w:cs="Amiri"/>
          <w:color w:val="111111"/>
          <w:sz w:val="28"/>
          <w:sz w:val="28"/>
          <w:szCs w:val="28"/>
          <w:rtl w:val="true"/>
          <w:lang w:bidi="ar-SA"/>
        </w:rPr>
        <w:t xml:space="preserve">المتأخرين </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يقم عليه دليل، بل في الأخبار ما ينفيه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عقاب الأعمال و العلل، و صفات الشيعة، بأسانيد إلى عبد الله بن سنان و المعلى بن خنيس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النَّاصِبُ مَنْ نَصَبَ لَنَا أَهْلَ الْبَيْتِ ؛ لِأَنَّكَ لَا </w:t>
      </w:r>
      <w:r>
        <w:rPr>
          <w:rStyle w:val="FootnoteAnchor"/>
          <w:rtl w:val="true"/>
        </w:rPr>
        <w:footnoteReference w:id="1711"/>
      </w:r>
      <w:r>
        <w:rPr>
          <w:rFonts w:ascii="Amiri" w:hAnsi="Amiri" w:eastAsia="Amiri" w:cs="Amiri"/>
          <w:color w:val="111111"/>
          <w:sz w:val="28"/>
          <w:sz w:val="28"/>
          <w:szCs w:val="28"/>
          <w:rtl w:val="true"/>
          <w:lang w:bidi="ar-SA"/>
        </w:rPr>
        <w:t xml:space="preserve">تَجدُ رَجُلاً </w:t>
      </w:r>
      <w:r>
        <w:rPr>
          <w:rStyle w:val="FootnoteAnchor"/>
          <w:rtl w:val="true"/>
        </w:rPr>
        <w:footnoteReference w:id="171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أَبْغَضُ مُحَمَّدًا وَ آلَ مُحَمَّد صلی الله علیه و آله وسلم ، و َلَكِنَّ النَّاصِبَ مَنْ نَصَبَ لَكُمْ و َهُوَ يَعْلَمُ</w:t>
      </w:r>
    </w:p>
    <w:p>
      <w:pPr>
        <w:pStyle w:val="BookText"/>
        <w:rPr/>
      </w:pPr>
      <w:r>
        <w:rPr>
          <w:rFonts w:ascii="Amiri" w:hAnsi="Amiri" w:eastAsia="Amiri" w:cs="Amiri"/>
          <w:color w:val="111111"/>
          <w:sz w:val="28"/>
          <w:sz w:val="28"/>
          <w:szCs w:val="28"/>
          <w:rtl w:val="true"/>
          <w:lang w:bidi="ar-SA"/>
        </w:rPr>
        <w:t xml:space="preserve">أنَّكُمْ تَتَوَلَّوْنَا </w:t>
      </w:r>
      <w:r>
        <w:rPr>
          <w:rStyle w:val="FootnoteAnchor"/>
          <w:rtl w:val="true"/>
        </w:rPr>
        <w:footnoteReference w:id="1714"/>
      </w:r>
      <w:r>
        <w:rPr>
          <w:rFonts w:ascii="Amiri" w:hAnsi="Amiri" w:eastAsia="Amiri" w:cs="Amiri"/>
          <w:color w:val="111111"/>
          <w:sz w:val="28"/>
          <w:sz w:val="28"/>
          <w:szCs w:val="28"/>
          <w:rtl w:val="true"/>
          <w:lang w:bidi="ar-SA"/>
        </w:rPr>
        <w:t xml:space="preserve">و َأَنَّكُمْ مِنْ شِيْعَتِنَا </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 و ظهوره في نفي ما اعتمدوه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يتراءى المخالفة بين هذه الأخبار و بين خبري السرائر و شرح النهج ؛ لأن هذه باشتراط العداوة إلى شيعتهم، و الاكتفاء في تينك الروايتين بمجرد تقديم الغير عليه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بينهما؛ لقيام الأدلة العامة و الخاصة على التلازم بين ذلك التقديم و نصب العداوة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العلل عن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السني لا يكون سنيًا حتى يبغض عليا و لو قليلا</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وفيات </w:t>
      </w:r>
      <w:r>
        <w:rPr>
          <w:rStyle w:val="FootnoteAnchor"/>
          <w:rtl w:val="true"/>
        </w:rPr>
        <w:footnoteReference w:id="1717"/>
      </w:r>
      <w:r>
        <w:rPr>
          <w:rFonts w:ascii="Amiri" w:hAnsi="Amiri" w:eastAsia="Amiri" w:cs="Amiri"/>
          <w:color w:val="111111"/>
          <w:sz w:val="28"/>
          <w:sz w:val="28"/>
          <w:szCs w:val="28"/>
          <w:rtl w:val="true"/>
          <w:lang w:bidi="ar-SA"/>
        </w:rPr>
        <w:t>الأعيان لابن خلكان في ترجمة علي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التسنن و حب علي بن أبي طالب </w:t>
      </w:r>
      <w:r>
        <w:rPr>
          <w:rStyle w:val="FootnoteAnchor"/>
          <w:rtl w:val="true"/>
        </w:rPr>
        <w:footnoteReference w:id="1718"/>
      </w:r>
      <w:r>
        <w:rPr>
          <w:rFonts w:ascii="IRNazanin" w:hAnsi="IRNazanin" w:eastAsia="IRNazanin"/>
          <w:color w:val="111111"/>
          <w:sz w:val="28"/>
          <w:sz w:val="28"/>
          <w:szCs w:val="28"/>
          <w:rtl w:val="true"/>
          <w:lang w:bidi="fa-IR"/>
        </w:rPr>
        <w:t>علیه السلام لا يجتمعان</w:t>
      </w:r>
      <w:r>
        <w:rPr>
          <w:rFonts w:eastAsia="IRNazanin" w:cs="IRNazanin"/>
          <w:color w:val="111111"/>
          <w:sz w:val="28"/>
          <w:szCs w:val="28"/>
          <w:rtl w:val="true"/>
          <w:lang w:bidi="fa-IR"/>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تأمل </w:t>
      </w:r>
      <w:r>
        <w:rPr>
          <w:rStyle w:val="FootnoteAnchor"/>
          <w:rtl w:val="true"/>
        </w:rPr>
        <w:footnoteReference w:id="1720"/>
      </w:r>
      <w:r>
        <w:rPr>
          <w:rFonts w:ascii="Amiri" w:hAnsi="Amiri" w:eastAsia="Amiri" w:cs="Amiri"/>
          <w:color w:val="111111"/>
          <w:sz w:val="28"/>
          <w:sz w:val="28"/>
          <w:szCs w:val="28"/>
          <w:rtl w:val="true"/>
          <w:lang w:bidi="ar-SA"/>
        </w:rPr>
        <w:t>أحوالهم و اطلع على بعض صفاتهم و طريقتهم في المعاشرة ظهر له ما قلناه، فإنكاره مكابرة لما اقتضت العادة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أخبارهم علیهم السلام تنادي بأن الناصب هو ما يقال له </w:t>
      </w:r>
      <w:r>
        <w:rPr>
          <w:rStyle w:val="FootnoteAnchor"/>
          <w:rtl w:val="true"/>
        </w:rPr>
        <w:footnoteReference w:id="1721"/>
      </w:r>
      <w:r>
        <w:rPr>
          <w:rFonts w:ascii="Amiri" w:hAnsi="Amiri" w:eastAsia="Amiri" w:cs="Amiri"/>
          <w:color w:val="111111"/>
          <w:sz w:val="28"/>
          <w:sz w:val="28"/>
          <w:szCs w:val="28"/>
          <w:rtl w:val="true"/>
          <w:lang w:bidi="ar-SA"/>
        </w:rPr>
        <w:t xml:space="preserve">عندهم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حسنة ابن أذينة المروية في الكافي </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النَّاصِبَةُ؟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مَاذَا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أَذَانِهِمْ وَ رُكُوعِهِمْ و َسُجُودِهِم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كلام في أن المراد بالناصبة فيه هم أهل التسنن الذين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قالوا إن الأذان رآه أبي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كعب في النوم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أن النزاع و الخلاف بين القائلين بهذه المذاهب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مجرد التقديم، و نصبَ العداوة لشيعتهم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اعتمده محمد أمين في الفوائد المدنية </w:t>
      </w:r>
      <w:r>
        <w:rPr>
          <w:rStyle w:val="FootnoteAnchor"/>
          <w:rtl w:val="true"/>
        </w:rPr>
        <w:footnoteReference w:id="1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نصبَ العداوة 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اختيار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لفظي؛ لما عرفت من التلازم بينها </w:t>
      </w:r>
      <w:r>
        <w:rPr>
          <w:rFonts w:eastAsia="IRNazanin" w:cs="IRNazanin"/>
          <w:color w:val="111111"/>
          <w:sz w:val="28"/>
          <w:szCs w:val="28"/>
          <w:rtl w:val="true"/>
          <w:lang w:bidi="fa-IR"/>
        </w:rPr>
        <w:t xml:space="preserve">. . </w:t>
      </w:r>
      <w:bookmarkStart w:id="149" w:name="pg2523_39882"/>
    </w:p>
    <w:p>
      <w:pPr>
        <w:pStyle w:val="BookText"/>
        <w:rPr/>
      </w:pPr>
      <w:bookmarkEnd w:id="149"/>
      <w:r>
        <w:rPr>
          <w:rFonts w:ascii="Amiri" w:hAnsi="Amiri" w:eastAsia="Amiri" w:cs="Amiri"/>
          <w:color w:val="111111"/>
          <w:sz w:val="28"/>
          <w:sz w:val="28"/>
          <w:szCs w:val="28"/>
          <w:rtl w:val="true"/>
          <w:lang w:bidi="ar-SA"/>
        </w:rPr>
        <w:t>و قد صرّح بهذا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المحقق نور الدين بن </w:t>
      </w:r>
      <w:r>
        <w:rPr>
          <w:rStyle w:val="FootnoteAnchor"/>
          <w:rtl w:val="true"/>
        </w:rPr>
        <w:footnoteReference w:id="1724"/>
      </w:r>
      <w:r>
        <w:rPr>
          <w:rFonts w:ascii="Amiri" w:hAnsi="Amiri" w:eastAsia="Amiri" w:cs="Amiri"/>
          <w:color w:val="111111"/>
          <w:sz w:val="28"/>
          <w:sz w:val="28"/>
          <w:szCs w:val="28"/>
          <w:rtl w:val="true"/>
          <w:lang w:bidi="ar-SA"/>
        </w:rPr>
        <w:t xml:space="preserve">أبي الحسين الموسوي في الفوائد المكية </w:t>
      </w:r>
      <w:r>
        <w:rPr>
          <w:rStyle w:val="FootnoteAnchor"/>
          <w:rtl w:val="true"/>
        </w:rPr>
        <w:footnoteReference w:id="1725"/>
      </w:r>
      <w:r>
        <w:rPr>
          <w:rFonts w:ascii="Amiri" w:hAnsi="Amiri" w:eastAsia="Amiri" w:cs="Amiri"/>
          <w:color w:val="111111"/>
          <w:sz w:val="28"/>
          <w:sz w:val="28"/>
          <w:szCs w:val="28"/>
          <w:rtl w:val="true"/>
          <w:lang w:bidi="ar-SA"/>
        </w:rPr>
        <w:t xml:space="preserve">، و اختاره شيخنا المنصف العلامة الشيخ يوسف في الشهاب الثاقب </w:t>
      </w:r>
      <w:r>
        <w:rPr>
          <w:rStyle w:val="FootnoteAnchor"/>
          <w:rtl w:val="true"/>
        </w:rPr>
        <w:footnoteReference w:id="1726"/>
      </w:r>
      <w:r>
        <w:rPr>
          <w:rFonts w:ascii="Amiri" w:hAnsi="Amiri" w:eastAsia="Amiri" w:cs="Amiri"/>
          <w:color w:val="111111"/>
          <w:sz w:val="28"/>
          <w:sz w:val="28"/>
          <w:szCs w:val="28"/>
          <w:rtl w:val="true"/>
          <w:lang w:bidi="ar-SA"/>
        </w:rPr>
        <w:t xml:space="preserve">، و هو المنقول عن الخواجة </w:t>
      </w:r>
      <w:r>
        <w:rPr>
          <w:rStyle w:val="FootnoteAnchor"/>
          <w:rtl w:val="true"/>
        </w:rPr>
        <w:footnoteReference w:id="1727"/>
      </w:r>
      <w:r>
        <w:rPr>
          <w:rFonts w:ascii="Amiri" w:hAnsi="Amiri" w:eastAsia="Amiri" w:cs="Amiri"/>
          <w:color w:val="111111"/>
          <w:sz w:val="28"/>
          <w:sz w:val="28"/>
          <w:szCs w:val="28"/>
          <w:rtl w:val="true"/>
          <w:lang w:bidi="ar-SA"/>
        </w:rPr>
        <w:t xml:space="preserve">نصير الدين </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كفاك شاهدًا على </w:t>
      </w:r>
      <w:r>
        <w:rPr>
          <w:rStyle w:val="FootnoteAnchor"/>
          <w:rtl w:val="true"/>
        </w:rPr>
        <w:footnoteReference w:id="1729"/>
      </w:r>
      <w:r>
        <w:rPr>
          <w:rFonts w:ascii="Amiri" w:hAnsi="Amiri" w:eastAsia="Amiri" w:cs="Amiri"/>
          <w:color w:val="111111"/>
          <w:sz w:val="28"/>
          <w:sz w:val="28"/>
          <w:szCs w:val="28"/>
          <w:rtl w:val="true"/>
          <w:lang w:bidi="ar-SA"/>
        </w:rPr>
        <w:t>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التئام الأخبار به، و شهادة العادة كما يظهر من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هذا المقام ليس مقام تحقيق معناه و إنما ذكرناه 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اقتصرنا على ما ذكر في التحقيق </w:t>
      </w:r>
      <w:r>
        <w:rPr>
          <w:rStyle w:val="FootnoteAnchor"/>
          <w:rtl w:val="true"/>
        </w:rPr>
        <w:footnoteReference w:id="1730"/>
      </w:r>
      <w:r>
        <w:rPr>
          <w:rFonts w:ascii="Amiri" w:hAnsi="Amiri" w:eastAsia="Amiri" w:cs="Amiri"/>
          <w:color w:val="111111"/>
          <w:sz w:val="28"/>
          <w:sz w:val="28"/>
          <w:szCs w:val="28"/>
          <w:rtl w:val="true"/>
          <w:lang w:bidi="ar-SA"/>
        </w:rPr>
        <w:t>، و إلا فالبحث واسع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فلنرجع إلى ذكر الجواب عن كل مسألة مسألة، فنقول</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264902_3804643083"/>
      <w:bookmarkStart w:id="151" w:name="_Toc49"/>
      <w:bookmarkEnd w:id="150"/>
      <w:r>
        <w:rPr>
          <w:rtl w:val="true"/>
        </w:rPr>
        <w:t>[</w:t>
      </w:r>
      <w:r>
        <w:rPr>
          <w:rtl w:val="true"/>
        </w:rPr>
        <w:t>المسألة الأولى</w:t>
      </w:r>
      <w:r>
        <w:rPr>
          <w:rtl w:val="true"/>
        </w:rPr>
        <w:t xml:space="preserve">: </w:t>
      </w:r>
      <w:r>
        <w:rPr>
          <w:rtl w:val="true"/>
        </w:rPr>
        <w:t>حكم عقود المخالفين و طلاقهم و سائر إيقاعاتهم</w:t>
      </w:r>
      <w:r>
        <w:rPr>
          <w:rtl w:val="true"/>
        </w:rPr>
        <w:t>]</w:t>
      </w:r>
      <w:bookmarkEnd w:id="151"/>
    </w:p>
    <w:p>
      <w:pPr>
        <w:pStyle w:val="BookText"/>
        <w:rPr/>
      </w:pPr>
      <w:r>
        <w:rPr>
          <w:rFonts w:ascii="Amiri" w:hAnsi="Amiri" w:eastAsia="Amiri" w:cs="Amiri"/>
          <w:color w:val="111111"/>
          <w:sz w:val="28"/>
          <w:sz w:val="28"/>
          <w:szCs w:val="28"/>
          <w:rtl w:val="true"/>
          <w:lang w:bidi="ar-SA"/>
        </w:rPr>
        <w:t>أما الجواب عن المسألة الأولى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من فتوى الأصحاب </w:t>
      </w:r>
      <w:r>
        <w:rPr>
          <w:rStyle w:val="FootnoteAnchor"/>
          <w:rtl w:val="true"/>
        </w:rPr>
        <w:footnoteReference w:id="1731"/>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الصدوق في </w:t>
      </w:r>
    </w:p>
    <w:p>
      <w:pPr>
        <w:pStyle w:val="BookText"/>
        <w:rPr/>
      </w:pPr>
      <w:r>
        <w:rPr>
          <w:rFonts w:ascii="Amiri" w:hAnsi="Amiri" w:eastAsia="Amiri" w:cs="Amiri"/>
          <w:color w:val="111111"/>
          <w:sz w:val="28"/>
          <w:sz w:val="28"/>
          <w:szCs w:val="28"/>
          <w:rtl w:val="true"/>
          <w:lang w:bidi="ar-SA"/>
        </w:rPr>
        <w:t xml:space="preserve">فقيهه </w:t>
      </w:r>
      <w:r>
        <w:rPr>
          <w:rStyle w:val="FootnoteAnchor"/>
          <w:rtl w:val="true"/>
        </w:rPr>
        <w:footnoteReference w:id="1732"/>
      </w:r>
      <w:r>
        <w:rPr>
          <w:rFonts w:ascii="Amiri" w:hAnsi="Amiri" w:eastAsia="Amiri" w:cs="Amiri"/>
          <w:color w:val="111111"/>
          <w:sz w:val="28"/>
          <w:sz w:val="28"/>
          <w:szCs w:val="28"/>
          <w:rtl w:val="true"/>
          <w:lang w:bidi="ar-SA"/>
        </w:rPr>
        <w:t xml:space="preserve">، و الكليني في كافيه و الشيخ في تهذيبه </w:t>
      </w:r>
      <w:r>
        <w:rPr>
          <w:rStyle w:val="FootnoteAnchor"/>
          <w:rtl w:val="true"/>
        </w:rPr>
        <w:footnoteReference w:id="1733"/>
      </w:r>
      <w:r>
        <w:rPr>
          <w:rFonts w:ascii="Amiri" w:hAnsi="Amiri" w:eastAsia="Amiri" w:cs="Amiri"/>
          <w:color w:val="111111"/>
          <w:sz w:val="28"/>
          <w:sz w:val="28"/>
          <w:szCs w:val="28"/>
          <w:rtl w:val="true"/>
          <w:lang w:bidi="ar-SA"/>
        </w:rPr>
        <w:t>، و الكاشي في وافيه</w:t>
      </w:r>
      <w:r>
        <w:rPr>
          <w:rStyle w:val="FootnoteAnchor"/>
          <w:rtl w:val="true"/>
        </w:rPr>
        <w:footnoteReference w:id="1734"/>
      </w:r>
      <w:r>
        <w:rPr>
          <w:rFonts w:ascii="Amiri" w:hAnsi="Amiri" w:eastAsia="Amiri" w:cs="Amiri"/>
          <w:color w:val="111111"/>
          <w:sz w:val="28"/>
          <w:sz w:val="28"/>
          <w:szCs w:val="28"/>
          <w:rtl w:val="true"/>
          <w:lang w:bidi="ar-SA"/>
        </w:rPr>
        <w:t xml:space="preserve">، و الحر في وسائله </w:t>
      </w:r>
      <w:r>
        <w:rPr>
          <w:rStyle w:val="FootnoteAnchor"/>
          <w:rtl w:val="true"/>
        </w:rPr>
        <w:footnoteReference w:id="1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عقود </w:t>
      </w:r>
      <w:r>
        <w:rPr>
          <w:rStyle w:val="FootnoteAnchor"/>
          <w:rtl w:val="true"/>
        </w:rPr>
        <w:footnoteReference w:id="1736"/>
      </w:r>
      <w:r>
        <w:rPr>
          <w:rFonts w:ascii="Amiri" w:hAnsi="Amiri" w:eastAsia="Amiri" w:cs="Amiri"/>
          <w:color w:val="111111"/>
          <w:sz w:val="28"/>
          <w:sz w:val="28"/>
          <w:szCs w:val="28"/>
          <w:rtl w:val="true"/>
          <w:lang w:bidi="ar-SA"/>
        </w:rPr>
        <w:t xml:space="preserve">المخالفين و إيقاعاتهم و طلاقاتهم </w:t>
      </w:r>
      <w:r>
        <w:rPr>
          <w:rStyle w:val="FootnoteAnchor"/>
          <w:rtl w:val="true"/>
        </w:rPr>
        <w:footnoteReference w:id="1737"/>
      </w:r>
      <w:r>
        <w:rPr>
          <w:rFonts w:ascii="Amiri" w:hAnsi="Amiri" w:eastAsia="Amiri" w:cs="Amiri"/>
          <w:color w:val="111111"/>
          <w:sz w:val="28"/>
          <w:sz w:val="28"/>
          <w:szCs w:val="28"/>
          <w:rtl w:val="true"/>
          <w:lang w:bidi="ar-SA"/>
        </w:rPr>
        <w:t>و مناكحهم كلها صحيحة بالنسبة إليهم لازمة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المعصومية في ذلك مستفيضة عموما وخصوصا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العام ما استفاض عنهم من أن لكل قوم نكاحا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الخاصة فيهم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رواه الشيخ في التهذيب بإسناده إلى </w:t>
      </w:r>
      <w:r>
        <w:rPr>
          <w:rStyle w:val="FootnoteAnchor"/>
          <w:rtl w:val="true"/>
        </w:rPr>
        <w:footnoteReference w:id="1739"/>
      </w:r>
      <w:r>
        <w:rPr>
          <w:rFonts w:ascii="Amiri" w:hAnsi="Amiri" w:eastAsia="Amiri" w:cs="Amiri"/>
          <w:color w:val="111111"/>
          <w:sz w:val="28"/>
          <w:sz w:val="28"/>
          <w:szCs w:val="28"/>
          <w:rtl w:val="true"/>
          <w:lang w:bidi="ar-SA"/>
        </w:rPr>
        <w:t>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النَّاصِبِ وَكُلُّ شَيْءٍ يَمْلِكُهُ حَلَالٌ لَكَ </w:t>
      </w:r>
      <w:r>
        <w:rPr>
          <w:rStyle w:val="FootnoteAnchor"/>
          <w:rtl w:val="true"/>
        </w:rPr>
        <w:footnoteReference w:id="1740"/>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امْرَأَتُهُ؛ فَإِنَّ نِكَاحَ أَهْلِ الشِّرْكِ جَائِزُ، وَذَلِكَ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الشِّرْكِ، فَإِنَّ لِكُلِّ قَوْمٍ نِكَاحًا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في الصحيح </w:t>
      </w:r>
      <w:r>
        <w:rPr>
          <w:rStyle w:val="FootnoteAnchor"/>
          <w:rtl w:val="true"/>
        </w:rPr>
        <w:footnoteReference w:id="1743"/>
      </w:r>
      <w:r>
        <w:rPr>
          <w:rFonts w:ascii="Amiri" w:hAnsi="Amiri" w:eastAsia="Amiri" w:cs="Amiri"/>
          <w:color w:val="111111"/>
          <w:sz w:val="28"/>
          <w:sz w:val="28"/>
          <w:szCs w:val="28"/>
          <w:rtl w:val="true"/>
          <w:lang w:bidi="ar-SA"/>
        </w:rPr>
        <w:t>عن عبد الله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و َأُخْتَهُ لِأُمِّهِ وَ أَبِيْهِ </w:t>
      </w:r>
      <w:r>
        <w:rPr>
          <w:rStyle w:val="FootnoteAnchor"/>
          <w:rtl w:val="true"/>
        </w:rPr>
        <w:footnoteReference w:id="1744"/>
      </w:r>
      <w:r>
        <w:rPr>
          <w:rFonts w:ascii="Amiri" w:hAnsi="Amiri" w:eastAsia="Amiri" w:cs="Amiri"/>
          <w:color w:val="111111"/>
          <w:sz w:val="28"/>
          <w:sz w:val="28"/>
          <w:szCs w:val="28"/>
          <w:rtl w:val="true"/>
          <w:lang w:bidi="ar-SA"/>
        </w:rPr>
        <w:t xml:space="preserve">، فَقَالَ </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كُلُّهُ لِلابْنَةِ </w:t>
      </w:r>
      <w:r>
        <w:rPr>
          <w:rStyle w:val="FootnoteAnchor"/>
          <w:rtl w:val="true"/>
        </w:rPr>
        <w:footnoteReference w:id="1746"/>
      </w:r>
      <w:r>
        <w:rPr>
          <w:rFonts w:ascii="Amiri" w:hAnsi="Amiri" w:eastAsia="Amiri" w:cs="Amiri"/>
          <w:color w:val="111111"/>
          <w:sz w:val="28"/>
          <w:sz w:val="28"/>
          <w:szCs w:val="28"/>
          <w:rtl w:val="true"/>
          <w:lang w:bidi="ar-SA"/>
        </w:rPr>
        <w:t xml:space="preserve">، و َلَيْسَ لِلأُخْتِ مِنَ الْأَبِ وَالْأُمِّ </w:t>
      </w:r>
      <w:r>
        <w:rPr>
          <w:rStyle w:val="FootnoteAnchor"/>
          <w:rtl w:val="true"/>
        </w:rPr>
        <w:footnoteReference w:id="1747"/>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w:t>
      </w:r>
      <w:r>
        <w:rPr>
          <w:rStyle w:val="FootnoteAnchor"/>
          <w:rtl w:val="true"/>
        </w:rPr>
        <w:footnoteReference w:id="1749"/>
      </w:r>
      <w:r>
        <w:rPr>
          <w:rFonts w:ascii="Amiri" w:hAnsi="Amiri" w:eastAsia="Amiri" w:cs="Amiri"/>
          <w:color w:val="111111"/>
          <w:sz w:val="28"/>
          <w:sz w:val="28"/>
          <w:szCs w:val="28"/>
          <w:rtl w:val="true"/>
          <w:lang w:bidi="ar-SA"/>
        </w:rPr>
        <w:t xml:space="preserve">احْتَجْنَا إِلَى هَذَا، و َالرَّجُلُ مَيْتُ </w:t>
      </w:r>
      <w:r>
        <w:rPr>
          <w:rStyle w:val="FootnoteAnchor"/>
          <w:rtl w:val="true"/>
        </w:rPr>
        <w:footnoteReference w:id="1750"/>
      </w:r>
      <w:r>
        <w:rPr>
          <w:rFonts w:ascii="Amiri" w:hAnsi="Amiri" w:eastAsia="Amiri" w:cs="Amiri"/>
          <w:color w:val="111111"/>
          <w:sz w:val="28"/>
          <w:sz w:val="28"/>
          <w:szCs w:val="28"/>
          <w:rtl w:val="true"/>
          <w:lang w:bidi="ar-SA"/>
        </w:rPr>
        <w:t xml:space="preserve">مِنْ هَؤُلَاءِ النَّاس </w:t>
      </w:r>
      <w:r>
        <w:rPr>
          <w:rStyle w:val="FootnoteAnchor"/>
          <w:rtl w:val="true"/>
        </w:rPr>
        <w:footnoteReference w:id="1751"/>
      </w:r>
      <w:r>
        <w:rPr>
          <w:rFonts w:ascii="Amiri" w:hAnsi="Amiri" w:eastAsia="Amiri" w:cs="Amiri"/>
          <w:color w:val="111111"/>
          <w:sz w:val="28"/>
          <w:sz w:val="28"/>
          <w:szCs w:val="28"/>
          <w:rtl w:val="true"/>
          <w:lang w:bidi="ar-SA"/>
        </w:rPr>
        <w:t>، وَ أُخْتُهُ مُؤْمِنَةٌ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Style w:val="FootnoteAnchor"/>
          <w:rtl w:val="true"/>
        </w:rPr>
        <w:footnoteReference w:id="1752"/>
      </w:r>
      <w:r>
        <w:rPr>
          <w:rFonts w:ascii="Amiri" w:hAnsi="Amiri" w:eastAsia="Amiri" w:cs="Amiri"/>
          <w:color w:val="111111"/>
          <w:sz w:val="28"/>
          <w:sz w:val="28"/>
          <w:szCs w:val="28"/>
          <w:rtl w:val="true"/>
          <w:lang w:bidi="ar-SA"/>
        </w:rPr>
        <w:t xml:space="preserve">لَهَا النَّصْفَ </w:t>
      </w:r>
      <w:r>
        <w:rPr>
          <w:rStyle w:val="FootnoteAnchor"/>
          <w:rtl w:val="true"/>
        </w:rPr>
        <w:footnoteReference w:id="17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كَمَا يَأْخُذُونَ مِنْكُمْ فِي سُنَّتِهِمْ وَ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لِزُرَارَةَ،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مَا جَاءَ بِهِ ابنُ مُحْرِزِ </w:t>
      </w:r>
      <w:r>
        <w:rPr>
          <w:rStyle w:val="FootnoteAnchor"/>
          <w:rtl w:val="true"/>
        </w:rPr>
        <w:footnoteReference w:id="1755"/>
      </w:r>
      <w:r>
        <w:rPr>
          <w:rFonts w:ascii="Amiri" w:hAnsi="Amiri" w:eastAsia="Amiri" w:cs="Amiri"/>
          <w:color w:val="111111"/>
          <w:sz w:val="28"/>
          <w:sz w:val="28"/>
          <w:szCs w:val="28"/>
          <w:rtl w:val="true"/>
          <w:lang w:bidi="ar-SA"/>
        </w:rPr>
        <w:t xml:space="preserve">نُوْرًا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في التهذيب في الموثق عن عبد الله بن محرز مثله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خُذْهُمْ بِحَقِّكَ فِي أَحْكَامِهِمْ وَ سُنَّتِهِمْ كَمَا يَأْخُذُونَ مِنْكُمْ فِيهِ</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في الموثق </w:t>
      </w:r>
      <w:r>
        <w:rPr>
          <w:rStyle w:val="FootnoteAnchor"/>
          <w:rtl w:val="true"/>
        </w:rPr>
        <w:footnoteReference w:id="1758"/>
      </w:r>
      <w:r>
        <w:rPr>
          <w:rFonts w:ascii="Amiri" w:hAnsi="Amiri" w:eastAsia="Amiri" w:cs="Amiri"/>
          <w:color w:val="111111"/>
          <w:sz w:val="28"/>
          <w:sz w:val="28"/>
          <w:szCs w:val="28"/>
          <w:rtl w:val="true"/>
          <w:lang w:bidi="ar-SA"/>
        </w:rPr>
        <w:t>عن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عَلیه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نَأْخُذُ فِي أَحْكَامِ الْمُخَالِفِيْنَ مَا </w:t>
      </w:r>
      <w:r>
        <w:rPr>
          <w:rStyle w:val="FootnoteAnchor"/>
          <w:rtl w:val="true"/>
        </w:rPr>
        <w:footnoteReference w:id="1759"/>
      </w:r>
      <w:r>
        <w:rPr>
          <w:rFonts w:ascii="Amiri" w:hAnsi="Amiri" w:eastAsia="Amiri" w:cs="Amiri"/>
          <w:color w:val="111111"/>
          <w:sz w:val="28"/>
          <w:sz w:val="28"/>
          <w:szCs w:val="28"/>
          <w:rtl w:val="true"/>
          <w:lang w:bidi="ar-SA"/>
        </w:rPr>
        <w:t>يَأْخُذُوْنَ مِنَّا فِي</w:t>
      </w:r>
    </w:p>
    <w:p>
      <w:pPr>
        <w:pStyle w:val="BookText"/>
        <w:rPr/>
      </w:pPr>
      <w:r>
        <w:rPr>
          <w:rFonts w:ascii="Amiri" w:hAnsi="Amiri" w:eastAsia="Amiri" w:cs="Amiri"/>
          <w:color w:val="111111"/>
          <w:sz w:val="28"/>
          <w:sz w:val="28"/>
          <w:szCs w:val="28"/>
          <w:rtl w:val="true"/>
          <w:lang w:bidi="ar-SA"/>
        </w:rPr>
        <w:t xml:space="preserve">أَحْكَامِنَا </w:t>
      </w:r>
      <w:r>
        <w:rPr>
          <w:rStyle w:val="FootnoteAnchor"/>
          <w:rtl w:val="true"/>
        </w:rPr>
        <w:footnoteReference w:id="1760"/>
      </w:r>
      <w:r>
        <w:rPr>
          <w:rFonts w:ascii="Amiri" w:hAnsi="Amiri" w:eastAsia="Amiri" w:cs="Amiri"/>
          <w:color w:val="111111"/>
          <w:sz w:val="28"/>
          <w:sz w:val="28"/>
          <w:szCs w:val="28"/>
          <w:rtl w:val="true"/>
          <w:lang w:bidi="ar-SA"/>
        </w:rPr>
        <w:t xml:space="preserve">أَمْ لَا؟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لَكُمْ ذَلِكَ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الموثق </w:t>
      </w:r>
      <w:r>
        <w:rPr>
          <w:rStyle w:val="FootnoteAnchor"/>
          <w:rtl w:val="true"/>
        </w:rPr>
        <w:footnoteReference w:id="1763"/>
      </w:r>
      <w:r>
        <w:rPr>
          <w:rFonts w:ascii="Amiri" w:hAnsi="Amiri" w:eastAsia="Amiri" w:cs="Amiri"/>
          <w:color w:val="111111"/>
          <w:sz w:val="28"/>
          <w:sz w:val="28"/>
          <w:szCs w:val="28"/>
          <w:rtl w:val="true"/>
          <w:lang w:bidi="ar-SA"/>
        </w:rPr>
        <w:t>عن محمد بن مسلم عن أبي جعفر عليله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764"/>
      </w:r>
      <w:r>
        <w:rPr>
          <w:rFonts w:ascii="Amiri" w:hAnsi="Amiri" w:eastAsia="Amiri" w:cs="Amiri"/>
          <w:color w:val="111111"/>
          <w:sz w:val="28"/>
          <w:sz w:val="28"/>
          <w:szCs w:val="28"/>
          <w:rtl w:val="true"/>
          <w:lang w:bidi="ar-SA"/>
        </w:rPr>
        <w:t xml:space="preserve">يَجُوزُ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كُلِّ ذِي دِيْنِ مَا يَسْتَحِلُّوْنَ</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علي ابن أبي حمزة عن أبي الحسن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في الكافي في الصحيح </w:t>
      </w:r>
      <w:r>
        <w:rPr>
          <w:rStyle w:val="FootnoteAnchor"/>
          <w:rtl w:val="true"/>
        </w:rPr>
        <w:footnoteReference w:id="1768"/>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يُزَوِّجُ أَمَتَهُ مِنْ رَجُلٍ حُرِّ، ثُمَّ </w:t>
      </w:r>
      <w:r>
        <w:rPr>
          <w:rStyle w:val="FootnoteAnchor"/>
          <w:rtl w:val="true"/>
        </w:rPr>
        <w:footnoteReference w:id="1770"/>
      </w:r>
      <w:r>
        <w:rPr>
          <w:rFonts w:ascii="Amiri" w:hAnsi="Amiri" w:eastAsia="Amiri" w:cs="Amiri"/>
          <w:color w:val="111111"/>
          <w:sz w:val="28"/>
          <w:sz w:val="28"/>
          <w:szCs w:val="28"/>
          <w:rtl w:val="true"/>
          <w:lang w:bidi="ar-SA"/>
        </w:rPr>
        <w:t xml:space="preserve">يُرِيْدُ أَنْ يَنْزَعَهَا مِنْهُ </w:t>
      </w:r>
      <w:r>
        <w:rPr>
          <w:rStyle w:val="FootnoteAnchor"/>
          <w:rtl w:val="true"/>
        </w:rPr>
        <w:footnoteReference w:id="1771"/>
      </w:r>
      <w:r>
        <w:rPr>
          <w:rFonts w:ascii="Amiri" w:hAnsi="Amiri" w:eastAsia="Amiri" w:cs="Amiri"/>
          <w:color w:val="111111"/>
          <w:sz w:val="28"/>
          <w:sz w:val="28"/>
          <w:szCs w:val="28"/>
          <w:rtl w:val="true"/>
          <w:lang w:bidi="ar-SA"/>
        </w:rPr>
        <w:t xml:space="preserve">و َيَأْخُذَ مِنْهُ نِصْفَ الصَّدَاقِ ؟ قَالَ </w:t>
      </w:r>
      <w:r>
        <w:rPr>
          <w:rStyle w:val="FootnoteAnchor"/>
          <w:rtl w:val="true"/>
        </w:rPr>
        <w:footnoteReference w:id="1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 xml:space="preserve">يُبْصِرُ مَا أَنْتُمْ عَلَيْهِ وَ يَدِيْنُ بِهِ فَلَهُ أَنْ يَنْزَعَهَا وَ يَأْخُذَ مِنْهُ نِصْفَ الصَّدَاقِ؛ لِأَنَّهُ </w:t>
      </w:r>
      <w:r>
        <w:rPr>
          <w:rStyle w:val="FootnoteAnchor"/>
          <w:rtl w:val="true"/>
        </w:rPr>
        <w:footnoteReference w:id="1775"/>
      </w:r>
      <w:r>
        <w:rPr>
          <w:rFonts w:ascii="Amiri" w:hAnsi="Amiri" w:eastAsia="Amiri" w:cs="Amiri"/>
          <w:color w:val="111111"/>
          <w:sz w:val="28"/>
          <w:sz w:val="28"/>
          <w:szCs w:val="28"/>
          <w:rtl w:val="true"/>
          <w:lang w:bidi="ar-SA"/>
        </w:rPr>
        <w:t xml:space="preserve">قَدْ تَقَدَّمَ فِي ذَلِكَ عَلَى مَعْرِفَةِ أَنَّ ذَلِكَ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الزَّوْجُ لَا يَعْرِفُ هَذَا وَ هُوَ مِنْ جُمْهُورِ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يُعَامِلُهُ الموْلَى عَلَى مَا يُعَامِلُ بِهِ مِثْلَهُ؛ فَقَدْ تَقَدَّمَ عَلَى مَعْرِفَةِ </w:t>
      </w:r>
      <w:r>
        <w:rPr>
          <w:rStyle w:val="FootnoteAnchor"/>
          <w:rtl w:val="true"/>
        </w:rPr>
        <w:footnoteReference w:id="1776"/>
      </w:r>
      <w:r>
        <w:rPr>
          <w:rFonts w:ascii="Amiri" w:hAnsi="Amiri" w:eastAsia="Amiri" w:cs="Amiri"/>
          <w:color w:val="111111"/>
          <w:sz w:val="28"/>
          <w:sz w:val="28"/>
          <w:szCs w:val="28"/>
          <w:rtl w:val="true"/>
          <w:lang w:bidi="ar-SA"/>
        </w:rPr>
        <w:t>ذَلِكَ مِنْهُ</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إذا تأملت هذه الأخبار رأيتها دالّة على ذلك الدعوى في كلّ الأحكام و العقود و الإيقاعات، فلا محيد عن العمل 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الطلاق بخصوصه فقد نصَّ الأصحاب عليه في مؤلفاتهم </w:t>
      </w:r>
      <w:r>
        <w:rPr>
          <w:rStyle w:val="FootnoteAnchor"/>
          <w:rtl w:val="true"/>
        </w:rPr>
        <w:footnoteReference w:id="1778"/>
      </w:r>
      <w:r>
        <w:rPr>
          <w:rFonts w:ascii="Amiri" w:hAnsi="Amiri" w:eastAsia="Amiri" w:cs="Amiri"/>
          <w:color w:val="111111"/>
          <w:sz w:val="28"/>
          <w:sz w:val="28"/>
          <w:szCs w:val="28"/>
          <w:rtl w:val="true"/>
          <w:lang w:bidi="ar-SA"/>
        </w:rPr>
        <w:t>، و أنه متى أوقع المخالف الطلاق باعتقاده لزمه و ترتب عليه البينونة وإن 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مستكمل الشرائط عندنا، و كذا الأخبار بهذا مستفيضة لا تعارض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في الصحيح </w:t>
      </w:r>
      <w:r>
        <w:rPr>
          <w:rStyle w:val="FootnoteAnchor"/>
          <w:rtl w:val="true"/>
        </w:rPr>
        <w:footnoteReference w:id="1779"/>
      </w:r>
      <w:r>
        <w:rPr>
          <w:rFonts w:ascii="Amiri" w:hAnsi="Amiri" w:eastAsia="Amiri" w:cs="Amiri"/>
          <w:color w:val="111111"/>
          <w:sz w:val="28"/>
          <w:sz w:val="28"/>
          <w:szCs w:val="28"/>
          <w:rtl w:val="true"/>
          <w:lang w:bidi="ar-SA"/>
        </w:rPr>
        <w:t>عن إبراهيم بن محمد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الثَّانِی مَعَ بَعْضٍ أَصْحَابِنَا، فَأَتَانِي </w:t>
      </w:r>
      <w:r>
        <w:rPr>
          <w:rStyle w:val="FootnoteAnchor"/>
          <w:rtl w:val="true"/>
        </w:rPr>
        <w:footnoteReference w:id="1780"/>
      </w:r>
      <w:r>
        <w:rPr>
          <w:rFonts w:ascii="Amiri" w:hAnsi="Amiri" w:eastAsia="Amiri" w:cs="Amiri"/>
          <w:color w:val="111111"/>
          <w:sz w:val="28"/>
          <w:sz w:val="28"/>
          <w:szCs w:val="28"/>
          <w:rtl w:val="true"/>
          <w:lang w:bidi="ar-SA"/>
        </w:rPr>
        <w:t xml:space="preserve">الْجَوَابُ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w:t>
      </w:r>
      <w:r>
        <w:rPr>
          <w:rStyle w:val="FootnoteAnchor"/>
          <w:rtl w:val="true"/>
        </w:rPr>
        <w:footnoteReference w:id="1781"/>
      </w:r>
      <w:r>
        <w:rPr>
          <w:rFonts w:ascii="Amiri" w:hAnsi="Amiri" w:eastAsia="Amiri" w:cs="Amiri"/>
          <w:color w:val="111111"/>
          <w:sz w:val="28"/>
          <w:sz w:val="28"/>
          <w:szCs w:val="28"/>
          <w:rtl w:val="true"/>
          <w:lang w:bidi="ar-SA"/>
        </w:rPr>
        <w:t xml:space="preserve">مَا ذَكَرْتَ مِنْ أَمْرِ ابْنَتِكَ وَ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حَنْثِهِ </w:t>
      </w:r>
      <w:r>
        <w:rPr>
          <w:rStyle w:val="FootnoteAnchor"/>
          <w:rtl w:val="true"/>
        </w:rPr>
        <w:footnoteReference w:id="1782"/>
      </w:r>
      <w:r>
        <w:rPr>
          <w:rFonts w:ascii="Amiri" w:hAnsi="Amiri" w:eastAsia="Amiri" w:cs="Amiri"/>
          <w:color w:val="111111"/>
          <w:sz w:val="28"/>
          <w:sz w:val="28"/>
          <w:szCs w:val="28"/>
          <w:rtl w:val="true"/>
          <w:lang w:bidi="ar-SA"/>
        </w:rPr>
        <w:t>بِطَلَاقِهَا غَيْرَ</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1783"/>
      </w:r>
      <w:r>
        <w:rPr>
          <w:rFonts w:ascii="Amiri" w:hAnsi="Amiri" w:eastAsia="Amiri" w:cs="Amiri"/>
          <w:color w:val="111111"/>
          <w:sz w:val="28"/>
          <w:sz w:val="28"/>
          <w:szCs w:val="28"/>
          <w:rtl w:val="true"/>
          <w:lang w:bidi="ar-SA"/>
        </w:rPr>
        <w:t xml:space="preserve">كَانَ كَمَنْ يَتَوَلانَا وَ يَقُوْلُ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طَلَاقَ عَلَيْهِ؛ لَإِنَّهُ لم يَأْتِ أَمْرًا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مِمَّنْ لَا يَتَوَلَّانَا و َلَا يَقُوْلُ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فَاخْتَلِعْهَا مِنْهُ؛ فَإِنَّهُ إِنَّمَا نَوَى</w:t>
      </w:r>
    </w:p>
    <w:p>
      <w:pPr>
        <w:pStyle w:val="BookText"/>
        <w:rPr/>
      </w:pPr>
      <w:r>
        <w:rPr>
          <w:rFonts w:ascii="Amiri" w:hAnsi="Amiri" w:eastAsia="Amiri" w:cs="Amiri"/>
          <w:color w:val="111111"/>
          <w:sz w:val="28"/>
          <w:sz w:val="28"/>
          <w:szCs w:val="28"/>
          <w:rtl w:val="true"/>
          <w:lang w:bidi="ar-SA"/>
        </w:rPr>
        <w:t xml:space="preserve">الْفِرَاقَ بِعَيْنِهِ </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مرسلًا </w:t>
      </w:r>
      <w:r>
        <w:rPr>
          <w:rStyle w:val="FootnoteAnchor"/>
          <w:rtl w:val="true"/>
        </w:rPr>
        <w:footnoteReference w:id="1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الرّضَا بَعْضُ العَلَوِيِّينَ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 xml:space="preserve">يَنتَقِصُهُ </w:t>
      </w:r>
      <w:r>
        <w:rPr>
          <w:rStyle w:val="FootnoteAnchor"/>
          <w:rtl w:val="true"/>
        </w:rPr>
        <w:footnoteReference w:id="178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مُقِيمٌ عَلَى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Style w:val="FootnoteAnchor"/>
          <w:rtl w:val="true"/>
        </w:rPr>
        <w:footnoteReference w:id="1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کَيْفَ </w:t>
      </w:r>
      <w:r>
        <w:rPr>
          <w:rStyle w:val="FootnoteAnchor"/>
          <w:rtl w:val="true"/>
        </w:rPr>
        <w:footnoteReference w:id="1789"/>
      </w:r>
      <w:r>
        <w:rPr>
          <w:rFonts w:ascii="Amiri" w:hAnsi="Amiri" w:eastAsia="Amiri" w:cs="Amiri"/>
          <w:color w:val="111111"/>
          <w:sz w:val="28"/>
          <w:sz w:val="28"/>
          <w:szCs w:val="28"/>
          <w:rtl w:val="true"/>
          <w:lang w:bidi="ar-SA"/>
        </w:rPr>
        <w:t>و هِيَ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طَلَّقَهَا؟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طَلَّقَهَا و َذَلِكَ دِينُهُ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1792"/>
      </w:r>
      <w:r>
        <w:rPr>
          <w:rFonts w:ascii="Amiri" w:hAnsi="Amiri" w:eastAsia="Amiri" w:cs="Amiri"/>
          <w:color w:val="111111"/>
          <w:sz w:val="28"/>
          <w:sz w:val="28"/>
          <w:szCs w:val="28"/>
          <w:rtl w:val="true"/>
          <w:lang w:bidi="ar-SA"/>
        </w:rPr>
        <w:t>عن عبد الرحمن ابن أبي عبد الله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طُلَّقَتْ عَلَى غَيْرِ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تَتَزَوَّجُ هَذِهِ المَرْأَةُ </w:t>
      </w:r>
      <w:r>
        <w:rPr>
          <w:rStyle w:val="FootnoteAnchor"/>
          <w:rtl w:val="true"/>
        </w:rPr>
        <w:footnoteReference w:id="1793"/>
      </w:r>
      <w:r>
        <w:rPr>
          <w:rFonts w:ascii="Amiri" w:hAnsi="Amiri" w:eastAsia="Amiri" w:cs="Amiri"/>
          <w:color w:val="111111"/>
          <w:sz w:val="28"/>
          <w:sz w:val="28"/>
          <w:szCs w:val="28"/>
          <w:rtl w:val="true"/>
          <w:lang w:bidi="ar-SA"/>
        </w:rPr>
        <w:t xml:space="preserve">، لَا </w:t>
      </w:r>
      <w:r>
        <w:rPr>
          <w:rStyle w:val="FootnoteAnchor"/>
          <w:rtl w:val="true"/>
        </w:rPr>
        <w:footnoteReference w:id="1794"/>
      </w:r>
      <w:r>
        <w:rPr>
          <w:rFonts w:ascii="Amiri" w:hAnsi="Amiri" w:eastAsia="Amiri" w:cs="Amiri"/>
          <w:color w:val="111111"/>
          <w:sz w:val="28"/>
          <w:sz w:val="28"/>
          <w:szCs w:val="28"/>
          <w:rtl w:val="true"/>
          <w:lang w:bidi="ar-SA"/>
        </w:rPr>
        <w:t>تُتَرَک بِغَيْرِ زَوْجِ</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هذان الموثقان، و إن كان مطلقين، إلا أنه يجب حملهما على تلك الأخبار كما هو مقتضى القاعدة </w:t>
      </w:r>
      <w:r>
        <w:rPr>
          <w:rStyle w:val="FootnoteAnchor"/>
          <w:rtl w:val="true"/>
        </w:rPr>
        <w:footnoteReference w:id="1796"/>
      </w:r>
      <w:r>
        <w:rPr>
          <w:rFonts w:ascii="Amiri" w:hAnsi="Amiri" w:eastAsia="Amiri" w:cs="Amiri"/>
          <w:color w:val="111111"/>
          <w:sz w:val="28"/>
          <w:sz w:val="28"/>
          <w:szCs w:val="28"/>
          <w:rtl w:val="true"/>
          <w:lang w:bidi="ar-SA"/>
        </w:rPr>
        <w:t>الشرعية من وجوب إرجاع المطلق إلى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بإسناده إلى علي ابن أبي حمزة أنه سأل أبا الحسن علیه السلام عن المطلقة على غير السنة، أيتزوجها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أَلْزِمُوْهُمْ مِنْ ذَلِكَ مَا أَلْزَمُوهُ </w:t>
      </w:r>
      <w:r>
        <w:rPr>
          <w:rStyle w:val="FootnoteAnchor"/>
          <w:rtl w:val="true"/>
        </w:rPr>
        <w:footnoteReference w:id="1797"/>
      </w:r>
      <w:r>
        <w:rPr>
          <w:rFonts w:ascii="Amiri" w:hAnsi="Amiri" w:eastAsia="Amiri" w:cs="Amiri"/>
          <w:color w:val="111111"/>
          <w:sz w:val="28"/>
          <w:sz w:val="28"/>
          <w:szCs w:val="28"/>
          <w:rtl w:val="true"/>
          <w:lang w:bidi="ar-SA"/>
        </w:rPr>
        <w:t xml:space="preserve">أَنْفُسَهُمْ، وَ تَزَوَّجُوْهُنَّ ، فَلَا بَأْسَ بِذَلِكَ </w:t>
      </w:r>
      <w:r>
        <w:rPr>
          <w:rFonts w:eastAsia="Amiri" w:cs="Amiri" w:ascii="Amiri" w:hAnsi="Amiri"/>
          <w:color w:val="111111"/>
          <w:sz w:val="28"/>
          <w:szCs w:val="28"/>
          <w:rtl w:val="true"/>
          <w:lang w:bidi="ar-SA"/>
        </w:rPr>
        <w:t xml:space="preserve">» </w:t>
      </w:r>
      <w:r>
        <w:rPr>
          <w:rStyle w:val="FootnoteAnchor"/>
          <w:rtl w:val="true"/>
        </w:rPr>
        <w:footnoteReference w:id="179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في الموثق </w:t>
      </w:r>
      <w:r>
        <w:rPr>
          <w:rStyle w:val="FootnoteAnchor"/>
          <w:rtl w:val="true"/>
        </w:rPr>
        <w:footnoteReference w:id="1799"/>
      </w:r>
      <w:r>
        <w:rPr>
          <w:rFonts w:ascii="Amiri" w:hAnsi="Amiri" w:eastAsia="Amiri" w:cs="Amiri"/>
          <w:color w:val="111111"/>
          <w:sz w:val="28"/>
          <w:sz w:val="28"/>
          <w:szCs w:val="28"/>
          <w:rtl w:val="true"/>
          <w:lang w:bidi="ar-SA"/>
        </w:rPr>
        <w:t>عن جعفر بن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Style w:val="FootnoteAnchor"/>
          <w:rtl w:val="true"/>
        </w:rPr>
        <w:footnoteReference w:id="1800"/>
      </w:r>
      <w:r>
        <w:rPr>
          <w:rFonts w:ascii="Amiri" w:hAnsi="Amiri" w:eastAsia="Amiri" w:cs="Amiri"/>
          <w:color w:val="111111"/>
          <w:sz w:val="28"/>
          <w:sz w:val="28"/>
          <w:szCs w:val="28"/>
          <w:rtl w:val="true"/>
          <w:lang w:bidi="ar-SA"/>
        </w:rPr>
        <w:t>سُئِلَ عَن امْرَأَةٍ طُلِّقَتْ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غَيْرِ السُّنَّةِ أَلِيَ أَنْ</w:t>
      </w:r>
      <w:r>
        <w:rPr>
          <w:rStyle w:val="FootnoteAnchor"/>
          <w:rtl w:val="true"/>
        </w:rPr>
        <w:footnoteReference w:id="1801"/>
      </w:r>
      <w:r>
        <w:rPr>
          <w:rFonts w:ascii="Amiri" w:hAnsi="Amiri" w:eastAsia="Amiri" w:cs="Amiri"/>
          <w:color w:val="111111"/>
          <w:sz w:val="28"/>
          <w:sz w:val="28"/>
          <w:szCs w:val="28"/>
          <w:rtl w:val="true"/>
          <w:lang w:bidi="ar-SA"/>
        </w:rPr>
        <w:t xml:space="preserve">أَتَزَوَّجَهَا؟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Style w:val="FootnoteAnchor"/>
          <w:rtl w:val="true"/>
        </w:rPr>
        <w:footnoteReference w:id="1802"/>
      </w:r>
      <w:r>
        <w:rPr>
          <w:rFonts w:ascii="Amiri" w:hAnsi="Amiri" w:eastAsia="Amiri" w:cs="Amiri"/>
          <w:color w:val="111111"/>
          <w:sz w:val="28"/>
          <w:sz w:val="28"/>
          <w:szCs w:val="28"/>
          <w:rtl w:val="true"/>
          <w:lang w:bidi="ar-SA"/>
        </w:rPr>
        <w:t xml:space="preserve">أَلَسْتَ </w:t>
      </w:r>
      <w:r>
        <w:rPr>
          <w:rStyle w:val="FootnoteAnchor"/>
          <w:rtl w:val="true"/>
        </w:rPr>
        <w:footnoteReference w:id="1803"/>
      </w:r>
      <w:r>
        <w:rPr>
          <w:rFonts w:ascii="Amiri" w:hAnsi="Amiri" w:eastAsia="Amiri" w:cs="Amiri"/>
          <w:color w:val="111111"/>
          <w:sz w:val="28"/>
          <w:sz w:val="28"/>
          <w:szCs w:val="28"/>
          <w:rtl w:val="true"/>
          <w:lang w:bidi="ar-SA"/>
        </w:rPr>
        <w:t>تَعْلَمُ أَنَّ عَليَّ بنَ حَنْظَلَةَ رَوَى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 الْمُطَلَّقَةَ </w:t>
      </w:r>
      <w:r>
        <w:rPr>
          <w:rStyle w:val="FootnoteAnchor"/>
          <w:rtl w:val="true"/>
        </w:rPr>
        <w:footnoteReference w:id="1804"/>
      </w:r>
      <w:r>
        <w:rPr>
          <w:rFonts w:ascii="Amiri" w:hAnsi="Amiri" w:eastAsia="Amiri" w:cs="Amiri"/>
          <w:color w:val="111111"/>
          <w:sz w:val="28"/>
          <w:sz w:val="28"/>
          <w:szCs w:val="28"/>
          <w:rtl w:val="true"/>
          <w:lang w:bidi="ar-SA"/>
        </w:rPr>
        <w:t>ثَلَاثًا عَلى غَيْرِ السُّنَّةِ؛ فَإِنَّهُنَّ ذَوَاتُ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رِوَايَةُ </w:t>
      </w:r>
      <w:r>
        <w:rPr>
          <w:rStyle w:val="FootnoteAnchor"/>
          <w:rtl w:val="true"/>
        </w:rPr>
        <w:footnoteReference w:id="1805"/>
      </w:r>
      <w:r>
        <w:rPr>
          <w:rFonts w:ascii="Amiri" w:hAnsi="Amiri" w:eastAsia="Amiri" w:cs="Amiri"/>
          <w:color w:val="111111"/>
          <w:sz w:val="28"/>
          <w:sz w:val="28"/>
          <w:szCs w:val="28"/>
          <w:rtl w:val="true"/>
          <w:lang w:bidi="ar-SA"/>
        </w:rPr>
        <w:t>ابْنِ أَبِي حَمْزَةَ أَوْسَعُ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رَوَى عَلِيُّ ابْنُ أَبِي حَمْزَةَ ؟ قَالَ </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 xml:space="preserve">رَوَى </w:t>
      </w:r>
      <w:r>
        <w:rPr>
          <w:rStyle w:val="FootnoteAnchor"/>
          <w:rtl w:val="true"/>
        </w:rPr>
        <w:footnoteReference w:id="1807"/>
      </w:r>
      <w:r>
        <w:rPr>
          <w:rFonts w:ascii="Amiri" w:hAnsi="Amiri" w:eastAsia="Amiri" w:cs="Amiri"/>
          <w:color w:val="111111"/>
          <w:sz w:val="28"/>
          <w:sz w:val="28"/>
          <w:szCs w:val="28"/>
          <w:rtl w:val="true"/>
          <w:lang w:bidi="ar-SA"/>
        </w:rPr>
        <w:t>عَنْ أَبِي الحَسَنِ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مِنْ ذَلِكَ مَا أَلْزَمُوْهُ </w:t>
      </w:r>
      <w:r>
        <w:rPr>
          <w:rStyle w:val="FootnoteAnchor"/>
          <w:rtl w:val="true"/>
        </w:rPr>
        <w:footnoteReference w:id="1808"/>
      </w:r>
      <w:r>
        <w:rPr>
          <w:rFonts w:ascii="Amiri" w:hAnsi="Amiri" w:eastAsia="Amiri" w:cs="Amiri"/>
          <w:color w:val="111111"/>
          <w:sz w:val="28"/>
          <w:sz w:val="28"/>
          <w:szCs w:val="28"/>
          <w:rtl w:val="true"/>
          <w:lang w:bidi="ar-SA"/>
        </w:rPr>
        <w:t xml:space="preserve">أَنْفُسَهُمْ، و َتَزَوَّجُوْهُنَّ ، فَلَا </w:t>
      </w:r>
      <w:r>
        <w:rPr>
          <w:rStyle w:val="FootnoteAnchor"/>
          <w:rtl w:val="true"/>
        </w:rPr>
        <w:footnoteReference w:id="1809"/>
      </w:r>
      <w:r>
        <w:rPr>
          <w:rFonts w:ascii="Amiri" w:hAnsi="Amiri" w:eastAsia="Amiri" w:cs="Amiri"/>
          <w:color w:val="111111"/>
          <w:sz w:val="28"/>
          <w:sz w:val="28"/>
          <w:szCs w:val="28"/>
          <w:rtl w:val="true"/>
          <w:lang w:bidi="ar-SA"/>
        </w:rPr>
        <w:t>بَأْسَ بِذَلِكَ</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عبد الأعلى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يُطَلِّقُ امْرَأَتَهُ ثَلَاثًا؟ </w:t>
      </w:r>
      <w:r>
        <w:rPr>
          <w:rStyle w:val="FootnoteAnchor"/>
          <w:rtl w:val="true"/>
        </w:rPr>
        <w:footnoteReference w:id="18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مُسْتَخِفًا بِالطَّلَاقِ أَلْزَمْتُهُ ذَلِكَ </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بإسناده عن جعفر بن عبد الله </w:t>
      </w:r>
      <w:r>
        <w:rPr>
          <w:rStyle w:val="FootnoteAnchor"/>
          <w:rtl w:val="true"/>
        </w:rPr>
        <w:footnoteReference w:id="181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تَزْوِيجِ المُطَلَّقَاتِ </w:t>
      </w:r>
      <w:r>
        <w:rPr>
          <w:rStyle w:val="FootnoteAnchor"/>
          <w:rtl w:val="true"/>
        </w:rPr>
        <w:footnoteReference w:id="1814"/>
      </w:r>
      <w:r>
        <w:rPr>
          <w:rFonts w:ascii="Amiri" w:hAnsi="Amiri" w:eastAsia="Amiri" w:cs="Amiri"/>
          <w:color w:val="111111"/>
          <w:sz w:val="28"/>
          <w:sz w:val="28"/>
          <w:szCs w:val="28"/>
          <w:rtl w:val="true"/>
          <w:lang w:bidi="ar-SA"/>
        </w:rPr>
        <w:t xml:space="preserve">ثَلَاثًا ، فَقَالَ </w:t>
      </w:r>
      <w:r>
        <w:rPr>
          <w:rStyle w:val="FootnoteAnchor"/>
          <w:rtl w:val="true"/>
        </w:rPr>
        <w:footnoteReference w:id="1815"/>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طَلَاقَكُمْ لَا يَحِلُّ لِغَيْرِكُم، و َطَلَاقُهُم يَحِلُّ لَكُم؛ لِأَنَّكُمْ لَا تَرَوْنَ الثَّلَاثَ شَيْئًا، وَهُمْ يُوجِبُوْنَهَا </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الصدوق مرسلًا </w:t>
      </w:r>
      <w:r>
        <w:rPr>
          <w:rStyle w:val="FootnoteAnchor"/>
          <w:rtl w:val="true"/>
        </w:rPr>
        <w:footnoteReference w:id="1817"/>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w:t>
      </w:r>
      <w:r>
        <w:rPr>
          <w:rStyle w:val="FootnoteAnchor"/>
          <w:rtl w:val="true"/>
        </w:rPr>
        <w:footnoteReference w:id="1818"/>
      </w:r>
      <w:r>
        <w:rPr>
          <w:rFonts w:ascii="Amiri" w:hAnsi="Amiri" w:eastAsia="Amiri" w:cs="Amiri"/>
          <w:color w:val="111111"/>
          <w:sz w:val="28"/>
          <w:sz w:val="28"/>
          <w:szCs w:val="28"/>
          <w:rtl w:val="true"/>
          <w:lang w:bidi="ar-SA"/>
        </w:rPr>
        <w:t>بِدِيْنِ قَوْمٍ 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العيون بإسناده إلى جعفر بن محمد الأشعري عن أبيه عن الرضا علیه السلام مثله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إلى عبد الله بن طاووس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أَخِ زَوَّجْتُهُ ابْنَتِي، وَهُوَ يَشْرَبُ الشَّرَابَ، وَ يُكْثِرُ ذِكْرَ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إِخْوَانِكَ فَلَا شَيْءَ عَلَيْهِ، و إِنْ كَانَ مِنْ هَؤُلَاءِ فَأَبِنْهَا مِنْهُ؛ فَإِنَّهُ عَنَى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w:t>
      </w:r>
      <w:r>
        <w:rPr>
          <w:rStyle w:val="FootnoteAnchor"/>
          <w:rtl w:val="true"/>
        </w:rPr>
        <w:footnoteReference w:id="1820"/>
      </w:r>
      <w:r>
        <w:rPr>
          <w:rFonts w:ascii="Amiri" w:hAnsi="Amiri" w:eastAsia="Amiri" w:cs="Amiri"/>
          <w:color w:val="111111"/>
          <w:sz w:val="28"/>
          <w:sz w:val="28"/>
          <w:szCs w:val="28"/>
          <w:rtl w:val="true"/>
          <w:lang w:bidi="ar-SA"/>
        </w:rPr>
        <w:t>رُوِيَ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َالمُطَلَّقَاتِ ثَلَاثًا فِي مَجْلِسٍ وَاحِدٍ </w:t>
      </w:r>
      <w:r>
        <w:rPr>
          <w:rStyle w:val="FootnoteAnchor"/>
          <w:rtl w:val="true"/>
        </w:rPr>
        <w:footnoteReference w:id="1821"/>
      </w:r>
      <w:r>
        <w:rPr>
          <w:rFonts w:ascii="Amiri" w:hAnsi="Amiri" w:eastAsia="Amiri" w:cs="Amiri"/>
          <w:color w:val="111111"/>
          <w:sz w:val="28"/>
          <w:sz w:val="28"/>
          <w:szCs w:val="28"/>
          <w:rtl w:val="true"/>
          <w:lang w:bidi="ar-SA"/>
        </w:rPr>
        <w:t>، فَإِنَّهُنَّ ذَوَاتُ 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إِخْوَانِكُمْ </w:t>
      </w:r>
      <w:r>
        <w:rPr>
          <w:rStyle w:val="FootnoteAnchor"/>
          <w:rtl w:val="true"/>
        </w:rPr>
        <w:footnoteReference w:id="1822"/>
      </w:r>
      <w:r>
        <w:rPr>
          <w:rFonts w:ascii="Amiri" w:hAnsi="Amiri" w:eastAsia="Amiri" w:cs="Amiri"/>
          <w:color w:val="111111"/>
          <w:sz w:val="28"/>
          <w:sz w:val="28"/>
          <w:szCs w:val="28"/>
          <w:rtl w:val="true"/>
          <w:lang w:bidi="ar-SA"/>
        </w:rPr>
        <w:t xml:space="preserve">، لَا مِنْ </w:t>
      </w:r>
      <w:r>
        <w:rPr>
          <w:rStyle w:val="FootnoteAnchor"/>
          <w:rtl w:val="true"/>
        </w:rPr>
        <w:footnoteReference w:id="1823"/>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دَانَ بِدِيْنِ قَوْمٍ لَزِمَتْهُ أَحْكَامُهُم</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الكشي في كتاب الرجال بإسناده عن الحسن بن أحمد المالكي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المضامين و الدلالة على صحة طلاقهم و إلزامهم به وإن وقع مخالفًا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دعوى الاتفاق من علمائنا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به كذلك الشهيد الثاني في المسالك، و غيره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إيراده بعض تلك الأخبار التي ذكرناها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فرق في الحكم على المخالفين </w:t>
      </w:r>
      <w:r>
        <w:rPr>
          <w:rStyle w:val="FootnoteAnchor"/>
          <w:rtl w:val="true"/>
        </w:rPr>
        <w:footnoteReference w:id="1826"/>
      </w:r>
      <w:r>
        <w:rPr>
          <w:rFonts w:ascii="Amiri" w:hAnsi="Amiri" w:eastAsia="Amiri" w:cs="Amiri"/>
          <w:color w:val="111111"/>
          <w:sz w:val="28"/>
          <w:sz w:val="28"/>
          <w:szCs w:val="28"/>
          <w:rtl w:val="true"/>
          <w:lang w:bidi="ar-SA"/>
        </w:rPr>
        <w:t xml:space="preserve">بوقوع ما يعتقده من الطلاق بين الثلاث و غيرها مما لا يجتمع </w:t>
      </w:r>
      <w:r>
        <w:rPr>
          <w:rStyle w:val="FootnoteAnchor"/>
          <w:rtl w:val="true"/>
        </w:rPr>
        <w:footnoteReference w:id="1827"/>
      </w:r>
      <w:r>
        <w:rPr>
          <w:rFonts w:ascii="Amiri" w:hAnsi="Amiri" w:eastAsia="Amiri" w:cs="Amiri"/>
          <w:color w:val="111111"/>
          <w:sz w:val="28"/>
          <w:sz w:val="28"/>
          <w:szCs w:val="28"/>
          <w:rtl w:val="true"/>
          <w:lang w:bidi="ar-SA"/>
        </w:rPr>
        <w:t xml:space="preserve">شرائطه عندنا و يقع عندهم، كتعليقه على الشرط و وقوعه بغير إشهاد و مع الحيض واليمين </w:t>
      </w:r>
      <w:r>
        <w:rPr>
          <w:rStyle w:val="FootnoteAnchor"/>
          <w:rtl w:val="true"/>
        </w:rPr>
        <w:footnoteReference w:id="1828"/>
      </w:r>
      <w:r>
        <w:rPr>
          <w:rFonts w:ascii="Amiri" w:hAnsi="Amiri" w:eastAsia="Amiri" w:cs="Amiri"/>
          <w:color w:val="111111"/>
          <w:sz w:val="28"/>
          <w:sz w:val="28"/>
          <w:szCs w:val="28"/>
          <w:rtl w:val="true"/>
          <w:lang w:bidi="ar-SA"/>
        </w:rPr>
        <w:t xml:space="preserve">و بالكتابة مع النيّة و غير ذلك من الأحكام التي يلتزمونها </w:t>
      </w:r>
      <w:r>
        <w:rPr>
          <w:rStyle w:val="FootnoteAnchor"/>
          <w:rtl w:val="true"/>
        </w:rPr>
        <w:footnoteReference w:id="1829"/>
      </w:r>
      <w:r>
        <w:rPr>
          <w:rFonts w:ascii="Amiri" w:hAnsi="Amiri" w:eastAsia="Amiri" w:cs="Amiri"/>
          <w:color w:val="111111"/>
          <w:sz w:val="28"/>
          <w:sz w:val="28"/>
          <w:szCs w:val="28"/>
          <w:rtl w:val="true"/>
          <w:lang w:bidi="ar-SA"/>
        </w:rPr>
        <w:t>، و ظاهر الأصحاب الاتفاق على الحكم</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قد صرح الفاضل الهندي في كشف اللثام على قواعد الأحكام </w:t>
      </w:r>
      <w:r>
        <w:rPr>
          <w:rStyle w:val="FootnoteAnchor"/>
          <w:rtl w:val="true"/>
        </w:rPr>
        <w:footnoteReference w:id="18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السيد نعمة الله الجزائري في شرح عوالي اللآلئ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نظفر على مخالف في ذلك، بل في سائر الأحكام التي أشار إليها في السؤال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الأخبار الأخيرة التي أوردناها في الطلاق، قد دلّت دلالةً واضحة على سائر 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لقولهم علیهم السلام في كثير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أَلْزِمُوْهُمْ مِنْ ذَلِكَ مَا أَلْزَمُوا بِهِ </w:t>
      </w:r>
      <w:r>
        <w:rPr>
          <w:rStyle w:val="FootnoteAnchor"/>
          <w:rtl w:val="true"/>
        </w:rPr>
        <w:footnoteReference w:id="1833"/>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 منها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بِدِيْنِ قَوْمٍ 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لأَنَّكُمْ لَا تَرَوْنَ الثَّلَاثَ شَيْئًا و َهُمْ يُوجبُوْنَهَا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هذا دلالة على التعميم في الأحكام كلّها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رواه الشيخ في التهذيب و الكشي في كتاب الرجال، و الصدوق في العلل بأسانيد متعددة </w:t>
      </w:r>
      <w:r>
        <w:rPr>
          <w:rStyle w:val="FootnoteAnchor"/>
          <w:rtl w:val="true"/>
        </w:rPr>
        <w:footnoteReference w:id="1834"/>
      </w:r>
      <w:r>
        <w:rPr>
          <w:rFonts w:ascii="Amiri" w:hAnsi="Amiri" w:eastAsia="Amiri" w:cs="Amiri"/>
          <w:color w:val="111111"/>
          <w:sz w:val="28"/>
          <w:sz w:val="28"/>
          <w:szCs w:val="28"/>
          <w:rtl w:val="true"/>
          <w:lang w:bidi="ar-SA"/>
        </w:rPr>
        <w:t>، منها الصحيح و غيره، عن معاذ بن مسلم النحوي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أَنَّكَ تَقْعُدُ فِي الْجَامِعِ فَتُفْتِي النَّاسَ؟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w:t>
      </w:r>
      <w:r>
        <w:rPr>
          <w:rStyle w:val="FootnoteAnchor"/>
          <w:rtl w:val="true"/>
        </w:rPr>
        <w:footnoteReference w:id="1835"/>
      </w:r>
      <w:r>
        <w:rPr>
          <w:rFonts w:ascii="Amiri" w:hAnsi="Amiri" w:eastAsia="Amiri" w:cs="Amiri"/>
          <w:color w:val="111111"/>
          <w:sz w:val="28"/>
          <w:sz w:val="28"/>
          <w:szCs w:val="28"/>
          <w:rtl w:val="true"/>
          <w:lang w:bidi="ar-SA"/>
        </w:rPr>
        <w:t xml:space="preserve">َ أَرَدْتُ أَنْ أَسْأَلَكَ عَنْ ذَلِكَ قَبْلَ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أَقْعُدُ في المَسْجِدِ فَيَجيءُ الرَّجُلُ فَيَسْأَلْنِي </w:t>
      </w:r>
      <w:r>
        <w:rPr>
          <w:rStyle w:val="FootnoteAnchor"/>
          <w:rtl w:val="true"/>
        </w:rPr>
        <w:footnoteReference w:id="1836"/>
      </w:r>
      <w:r>
        <w:rPr>
          <w:rFonts w:ascii="Amiri" w:hAnsi="Amiri" w:eastAsia="Amiri" w:cs="Amiri"/>
          <w:color w:val="111111"/>
          <w:sz w:val="28"/>
          <w:sz w:val="28"/>
          <w:szCs w:val="28"/>
          <w:rtl w:val="true"/>
          <w:lang w:bidi="ar-SA"/>
        </w:rPr>
        <w:t>عَنِ الشَّيْءِ، فَإِذَا عَرفْتُهُ بِالخَلَافِ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َيَجيءُ الرَّجُلُ أَعْرِفُهُ بِمَوَدَّتِكُمْ وَحُبِّكُم </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w:t>
      </w:r>
      <w:r>
        <w:rPr>
          <w:rFonts w:eastAsia="Amiri" w:cs="Amiri" w:ascii="Amiri" w:hAnsi="Amiri"/>
          <w:color w:val="111111"/>
          <w:sz w:val="28"/>
          <w:szCs w:val="28"/>
          <w:rtl w:val="true"/>
          <w:lang w:bidi="ar-SA"/>
        </w:rPr>
        <w:t xml:space="preserve">. </w:t>
      </w:r>
      <w:bookmarkStart w:id="152" w:name="pg2523_39893"/>
    </w:p>
    <w:p>
      <w:pPr>
        <w:pStyle w:val="BookText"/>
        <w:rPr/>
      </w:pPr>
      <w:bookmarkEnd w:id="152"/>
      <w:r>
        <w:rPr>
          <w:rFonts w:ascii="Amiri" w:hAnsi="Amiri" w:eastAsia="Amiri" w:cs="Amiri"/>
          <w:color w:val="111111"/>
          <w:sz w:val="28"/>
          <w:sz w:val="28"/>
          <w:szCs w:val="28"/>
          <w:rtl w:val="true"/>
          <w:lang w:bidi="ar-SA"/>
        </w:rPr>
        <w:t>جَاءَ عَنْكُم و َيَجيءُ الرَّجُلُ لَا أَعْرِفُهُ و َلَا أَدْرِي مَنْ هُوَ،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فُلَانٍ 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عَنْ فُلَانِ كَذَا</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فَأُدْخِلُ قَوْلَكُمْ فِيْمَا بَيْنَ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839"/>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كَذَا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إذنه علیه السلام في هذه المراتب الثلاث من الفتوى، و إخباره علیه السلام بأن ذلك فعله، شاهد </w:t>
      </w:r>
      <w:r>
        <w:rPr>
          <w:rStyle w:val="FootnoteAnchor"/>
          <w:rtl w:val="true"/>
        </w:rPr>
        <w:footnoteReference w:id="1842"/>
      </w:r>
      <w:r>
        <w:rPr>
          <w:rFonts w:ascii="Amiri" w:hAnsi="Amiri" w:eastAsia="Amiri" w:cs="Amiri"/>
          <w:color w:val="111111"/>
          <w:sz w:val="28"/>
          <w:sz w:val="28"/>
          <w:szCs w:val="28"/>
          <w:rtl w:val="true"/>
          <w:lang w:bidi="ar-SA"/>
        </w:rPr>
        <w:t>صدق على تلك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ارتياب بعد تكثر تلك الأدلة و تعددها عموما و خصوصًا في إلزامهم تلك الأحكام و صحة وقوعها منهم في كل محل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264904_3804643083"/>
      <w:bookmarkStart w:id="154" w:name="_Toc50"/>
      <w:bookmarkEnd w:id="153"/>
      <w:r>
        <w:rPr>
          <w:rtl w:val="true"/>
        </w:rPr>
        <w:t>[</w:t>
      </w:r>
      <w:r>
        <w:rPr>
          <w:rtl w:val="true"/>
        </w:rPr>
        <w:t>المسألة الثانية</w:t>
      </w:r>
      <w:r>
        <w:rPr>
          <w:rtl w:val="true"/>
        </w:rPr>
        <w:t xml:space="preserve">: </w:t>
      </w:r>
      <w:r>
        <w:rPr>
          <w:rtl w:val="true"/>
        </w:rPr>
        <w:t>حكم التمتع بنسائهن على القول بكفرهم و نجاستهم</w:t>
      </w:r>
      <w:r>
        <w:rPr>
          <w:rtl w:val="true"/>
        </w:rPr>
        <w:t>]</w:t>
      </w:r>
      <w:bookmarkEnd w:id="154"/>
    </w:p>
    <w:p>
      <w:pPr>
        <w:pStyle w:val="BookText"/>
        <w:rPr/>
      </w:pPr>
      <w:r>
        <w:rPr>
          <w:rFonts w:ascii="Amiri" w:hAnsi="Amiri" w:eastAsia="Amiri" w:cs="Amiri"/>
          <w:color w:val="111111"/>
          <w:sz w:val="28"/>
          <w:sz w:val="28"/>
          <w:szCs w:val="28"/>
          <w:rtl w:val="true"/>
          <w:lang w:bidi="ar-SA"/>
        </w:rPr>
        <w:t>و أما الجواب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 على القول بكفرهم و تنجيسهم هل التمتع ببناتهم و نسائهم جائز أم لا؟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كل من قال بكفرهم و نجاستهم لا ارتياب عنده في المنع من التمتع ببناتهم و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عطف العام على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ذكر الأصحاب في هذا المقام بالنسبة إلى جواز التمتع من الناصبة المنع، إلا أنّهم بين قولين </w:t>
      </w:r>
      <w:r>
        <w:rPr>
          <w:rStyle w:val="FootnoteAnchor"/>
          <w:rtl w:val="true"/>
        </w:rPr>
        <w:footnoteReference w:id="1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فقائل بالمنع فيها مطلقا </w:t>
      </w:r>
      <w:r>
        <w:rPr>
          <w:rStyle w:val="FootnoteAnchor"/>
          <w:rtl w:val="true"/>
        </w:rPr>
        <w:footnoteReference w:id="1844"/>
      </w:r>
      <w:r>
        <w:rPr>
          <w:rFonts w:ascii="Amiri" w:hAnsi="Amiri" w:eastAsia="Amiri" w:cs="Amiri"/>
          <w:color w:val="111111"/>
          <w:sz w:val="28"/>
          <w:sz w:val="28"/>
          <w:szCs w:val="28"/>
          <w:rtl w:val="true"/>
          <w:lang w:bidi="ar-SA"/>
        </w:rPr>
        <w:t xml:space="preserve">، و قائل بتقييدها بالمعلنة </w:t>
      </w:r>
      <w:r>
        <w:rPr>
          <w:rStyle w:val="FootnoteAnchor"/>
          <w:rtl w:val="true"/>
        </w:rPr>
        <w:footnoteReference w:id="1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w:t>
      </w:r>
      <w:r>
        <w:rPr>
          <w:rStyle w:val="FootnoteAnchor"/>
          <w:rtl w:val="true"/>
        </w:rPr>
        <w:footnoteReference w:id="1846"/>
      </w:r>
      <w:r>
        <w:rPr>
          <w:rFonts w:ascii="IRNazanin" w:hAnsi="IRNazanin" w:eastAsia="IRNazanin"/>
          <w:color w:val="111111"/>
          <w:sz w:val="28"/>
          <w:sz w:val="28"/>
          <w:szCs w:val="28"/>
          <w:rtl w:val="true"/>
          <w:lang w:bidi="fa-IR"/>
        </w:rPr>
        <w:t>أنهم أرادوا بها من تحقق نصبها بالمعنى الذي ذكرناه عنهم، و هو نصب العداوة لأهل البيت علیهم السلام ، دون مطلق المخالفة كما اخترناه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التعميم؛ لدلالة الأخبار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w:t>
      </w:r>
      <w:r>
        <w:rPr>
          <w:rStyle w:val="FootnoteAnchor"/>
          <w:rtl w:val="true"/>
        </w:rPr>
        <w:footnoteReference w:id="1847"/>
      </w:r>
      <w:r>
        <w:rPr>
          <w:rFonts w:ascii="Amiri" w:hAnsi="Amiri" w:eastAsia="Amiri" w:cs="Amiri"/>
          <w:color w:val="111111"/>
          <w:sz w:val="28"/>
          <w:sz w:val="28"/>
          <w:szCs w:val="28"/>
          <w:rtl w:val="true"/>
          <w:lang w:bidi="ar-SA"/>
        </w:rPr>
        <w:t xml:space="preserve">صرح بالتعميم المفيد الله في رسالة المتعة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ذلك مستفيضة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الفضيل </w:t>
      </w:r>
      <w:r>
        <w:rPr>
          <w:rStyle w:val="FootnoteAnchor"/>
          <w:rtl w:val="true"/>
        </w:rPr>
        <w:footnoteReference w:id="1849"/>
      </w:r>
      <w:r>
        <w:rPr>
          <w:rFonts w:ascii="Amiri" w:hAnsi="Amiri" w:eastAsia="Amiri" w:cs="Amiri"/>
          <w:color w:val="111111"/>
          <w:sz w:val="28"/>
          <w:sz w:val="28"/>
          <w:szCs w:val="28"/>
          <w:rtl w:val="true"/>
          <w:lang w:bidi="ar-SA"/>
        </w:rPr>
        <w:t xml:space="preserve">بن يسار كما في الكافي </w:t>
      </w:r>
      <w:r>
        <w:rPr>
          <w:rStyle w:val="FootnoteAnchor"/>
          <w:rtl w:val="true"/>
        </w:rPr>
        <w:footnoteReference w:id="1850"/>
      </w:r>
      <w:r>
        <w:rPr>
          <w:rFonts w:ascii="Amiri" w:hAnsi="Amiri" w:eastAsia="Amiri" w:cs="Amiri"/>
          <w:color w:val="111111"/>
          <w:sz w:val="28"/>
          <w:sz w:val="28"/>
          <w:szCs w:val="28"/>
          <w:rtl w:val="true"/>
          <w:lang w:bidi="ar-SA"/>
        </w:rPr>
        <w:t xml:space="preserve">، و موثقته كما في التهذيب </w:t>
      </w:r>
      <w:r>
        <w:rPr>
          <w:rStyle w:val="FootnoteAnchor"/>
          <w:rtl w:val="true"/>
        </w:rPr>
        <w:footnoteReference w:id="1851"/>
      </w:r>
      <w:r>
        <w:rPr>
          <w:rFonts w:ascii="Amiri" w:hAnsi="Amiri" w:eastAsia="Amiri" w:cs="Amiri"/>
          <w:color w:val="111111"/>
          <w:sz w:val="28"/>
          <w:sz w:val="28"/>
          <w:szCs w:val="28"/>
          <w:rtl w:val="true"/>
          <w:lang w:bidi="ar-SA"/>
        </w:rPr>
        <w:t>،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يَتَزَوَّجُ المُؤمِنُ النَّاصِبَةَ المَعْرُوفَةَ بذلِكَ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صحيحة عبد الله بن سنان على ما في الكافي </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النَّاصِبِ الَّذِي عُرِفَ نُصْبُهُ وَ عَدَاوَتُهُ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يُزَوِّجُهُ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قَادِرٌ عَلَى ردهِ وَ هُوَ لَا يَعْلَمُ بِرَدِّهِ؟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المُؤْمِنُ النَّاصِبَةَ، وَ لَا يَتَزَوَّجُ النَّاصِبُ مُؤْمِنَةٌ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يَتَزَوَّجُ المُسْتَضْعَفُ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الفضيل بن يسار قال </w:t>
      </w:r>
      <w:r>
        <w:rPr>
          <w:rStyle w:val="FootnoteAnchor"/>
          <w:rtl w:val="true"/>
        </w:rPr>
        <w:footnoteReference w:id="18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لاِمْرَأَتِي أُخْتَا عَارِفَةٌ عَلَى رَأَيْنَا، و َلَيْسَ عَلَى رَأْيِنَا بِالْبَصْرَةِ </w:t>
      </w:r>
      <w:r>
        <w:rPr>
          <w:rStyle w:val="FootnoteAnchor"/>
          <w:rtl w:val="true"/>
        </w:rPr>
        <w:footnoteReference w:id="1856"/>
      </w:r>
      <w:r>
        <w:rPr>
          <w:rFonts w:ascii="Amiri" w:hAnsi="Amiri" w:eastAsia="Amiri" w:cs="Amiri"/>
          <w:color w:val="111111"/>
          <w:sz w:val="28"/>
          <w:sz w:val="28"/>
          <w:szCs w:val="28"/>
          <w:rtl w:val="true"/>
          <w:lang w:bidi="ar-SA"/>
        </w:rPr>
        <w:t xml:space="preserve">إِلَّا قَلِيلٌ، أَفَأَزَوِّجُهَا </w:t>
      </w:r>
      <w:r>
        <w:rPr>
          <w:rStyle w:val="FootnoteAnchor"/>
          <w:rtl w:val="true"/>
        </w:rPr>
        <w:footnoteReference w:id="1857"/>
      </w:r>
      <w:r>
        <w:rPr>
          <w:rFonts w:ascii="Amiri" w:hAnsi="Amiri" w:eastAsia="Amiri" w:cs="Amiri"/>
          <w:color w:val="111111"/>
          <w:sz w:val="28"/>
          <w:sz w:val="28"/>
          <w:szCs w:val="28"/>
          <w:rtl w:val="true"/>
          <w:lang w:bidi="ar-SA"/>
        </w:rPr>
        <w:t>بِمَنْ لَا يَرَى رَأْتِهَا؟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لَا نِعْمَةَ </w:t>
      </w:r>
      <w:r>
        <w:rPr>
          <w:rStyle w:val="FootnoteAnchor"/>
          <w:rtl w:val="true"/>
        </w:rPr>
        <w:footnoteReference w:id="1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تُرْجعُوهُنَّ إِلَى الْكُفَّارِ لا هُنَّ حِلٌّ لهُمْ و َلَا هُمْ يَحِلُّونَ لهنَّ</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موثقته </w:t>
      </w:r>
      <w:r>
        <w:rPr>
          <w:rStyle w:val="FootnoteAnchor"/>
          <w:rtl w:val="true"/>
        </w:rPr>
        <w:footnoteReference w:id="1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نِكَاحِ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w:t>
      </w:r>
      <w:r>
        <w:rPr>
          <w:rStyle w:val="FootnoteAnchor"/>
          <w:rtl w:val="true"/>
        </w:rPr>
        <w:footnoteReference w:id="1862"/>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سَأَلْتُهُ مَرَّةً أُخْرَى وَ قُلْتُ </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w:t>
      </w:r>
      <w:r>
        <w:rPr>
          <w:rStyle w:val="FootnoteAnchor"/>
          <w:rtl w:val="true"/>
        </w:rPr>
        <w:footnoteReference w:id="1864"/>
      </w:r>
      <w:r>
        <w:rPr>
          <w:rFonts w:ascii="Amiri" w:hAnsi="Amiri" w:eastAsia="Amiri" w:cs="Amiri"/>
          <w:color w:val="111111"/>
          <w:sz w:val="28"/>
          <w:sz w:val="28"/>
          <w:szCs w:val="28"/>
          <w:rtl w:val="true"/>
          <w:lang w:bidi="ar-SA"/>
        </w:rPr>
        <w:t xml:space="preserve">فِي نِكَاحِهِمْ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عَارِفَةٌ؟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الْعَارِفَةَ لَا تُوْضَعُ إِلَّا عِنْدَ عَارِفٍ</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عبد الله بن سنان </w:t>
      </w:r>
      <w:r>
        <w:rPr>
          <w:rStyle w:val="FootnoteAnchor"/>
          <w:rtl w:val="true"/>
        </w:rPr>
        <w:footnoteReference w:id="1866"/>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نِكَاحُهُمَا أَحَبُّ إِلَيَّ مِنْ نِكَاحِ النَّاصِبيَّة</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w:t>
      </w:r>
      <w:r>
        <w:rPr>
          <w:rStyle w:val="FootnoteAnchor"/>
          <w:rtl w:val="true"/>
        </w:rPr>
        <w:footnoteReference w:id="1868"/>
      </w:r>
      <w:r>
        <w:rPr>
          <w:rFonts w:ascii="Amiri" w:hAnsi="Amiri" w:eastAsia="Amiri" w:cs="Amiri"/>
          <w:color w:val="111111"/>
          <w:sz w:val="28"/>
          <w:sz w:val="28"/>
          <w:szCs w:val="28"/>
          <w:rtl w:val="true"/>
          <w:lang w:bidi="ar-SA"/>
        </w:rPr>
        <w:t xml:space="preserve">اليَهُودِيَّةَ أَفْضَلُ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أَنْ أَتَزَوَّجَ </w:t>
      </w:r>
      <w:r>
        <w:rPr>
          <w:rStyle w:val="FootnoteAnchor"/>
          <w:rtl w:val="true"/>
        </w:rPr>
        <w:footnoteReference w:id="1870"/>
      </w:r>
      <w:r>
        <w:rPr>
          <w:rFonts w:ascii="Amiri" w:hAnsi="Amiri" w:eastAsia="Amiri" w:cs="Amiri"/>
          <w:color w:val="111111"/>
          <w:sz w:val="28"/>
          <w:sz w:val="28"/>
          <w:szCs w:val="28"/>
          <w:rtl w:val="true"/>
          <w:lang w:bidi="ar-SA"/>
        </w:rPr>
        <w:t xml:space="preserve">النَّاصِبِيَّ </w:t>
      </w:r>
      <w:r>
        <w:rPr>
          <w:rStyle w:val="FootnoteAnchor"/>
          <w:rtl w:val="true"/>
        </w:rPr>
        <w:footnoteReference w:id="1871"/>
      </w:r>
      <w:r>
        <w:rPr>
          <w:rFonts w:ascii="Amiri" w:hAnsi="Amiri" w:eastAsia="Amiri" w:cs="Amiri"/>
          <w:color w:val="111111"/>
          <w:sz w:val="28"/>
          <w:sz w:val="28"/>
          <w:szCs w:val="28"/>
          <w:rtl w:val="true"/>
          <w:lang w:bidi="ar-SA"/>
        </w:rPr>
        <w:t xml:space="preserve">و َالنَّاصِيَّةَ </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الحلبي </w:t>
      </w:r>
      <w:r>
        <w:rPr>
          <w:rStyle w:val="FootnoteAnchor"/>
          <w:rtl w:val="true"/>
        </w:rPr>
        <w:footnoteReference w:id="1873"/>
      </w:r>
      <w:r>
        <w:rPr>
          <w:rFonts w:ascii="Amiri" w:hAnsi="Amiri" w:eastAsia="Amiri" w:cs="Amiri"/>
          <w:color w:val="111111"/>
          <w:sz w:val="28"/>
          <w:sz w:val="28"/>
          <w:szCs w:val="28"/>
          <w:rtl w:val="true"/>
          <w:lang w:bidi="ar-SA"/>
        </w:rPr>
        <w:t xml:space="preserve">عن 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أَتَاهُ قَوْمٌ مِنْ أَهْل خُرَاسَانَ مِنْ وَرَاءِ النَّهْرِ،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تُصَافِحُوْنَ أَهْلَ بِلَادِكُمْ وَتُنَاكِحُونَهُمْ </w:t>
      </w:r>
      <w:r>
        <w:rPr>
          <w:rStyle w:val="FootnoteAnchor"/>
          <w:rtl w:val="true"/>
        </w:rPr>
        <w:footnoteReference w:id="1874"/>
      </w:r>
      <w:r>
        <w:rPr>
          <w:rFonts w:ascii="Amiri" w:hAnsi="Amiri" w:eastAsia="Amiri" w:cs="Amiri"/>
          <w:color w:val="111111"/>
          <w:sz w:val="28"/>
          <w:sz w:val="28"/>
          <w:szCs w:val="28"/>
          <w:rtl w:val="true"/>
          <w:lang w:bidi="ar-SA"/>
        </w:rPr>
        <w:t xml:space="preserve">؟ أَمَا إِنَّكُمْ إِذَا صَافَحْتُمُوهُم انْقَطَعَتْ عُرْوَةٌ مِنْ عُرَى الْإِسْلَام، وَ إِذَا نَاكَحْتُمُوهُم انْهَتَكَ الحِجَابُ بَيْنَكُمْ و َبَيْنَ اللهِ عَزَّ وَجَلَّ </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سليمان الحمار </w:t>
      </w:r>
      <w:r>
        <w:rPr>
          <w:rStyle w:val="FootnoteAnchor"/>
          <w:rtl w:val="true"/>
        </w:rPr>
        <w:footnoteReference w:id="1876"/>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 xml:space="preserve">مِنْكُمْ أَنْ يَتَزَوَّجَ النَّاصِبِيَّةَ، و َلَا يُزَوِّجُ ابْنَتَهُ نَاصِبيًّا </w:t>
      </w:r>
      <w:r>
        <w:rPr>
          <w:rStyle w:val="FootnoteAnchor"/>
          <w:rtl w:val="true"/>
        </w:rPr>
        <w:footnoteReference w:id="1878"/>
      </w:r>
      <w:r>
        <w:rPr>
          <w:rFonts w:ascii="Amiri" w:hAnsi="Amiri" w:eastAsia="Amiri" w:cs="Amiri"/>
          <w:color w:val="111111"/>
          <w:sz w:val="28"/>
          <w:sz w:val="28"/>
          <w:szCs w:val="28"/>
          <w:rtl w:val="true"/>
          <w:lang w:bidi="ar-SA"/>
        </w:rPr>
        <w:t xml:space="preserve">، و َلَا یَطْرَحُهما </w:t>
      </w:r>
      <w:r>
        <w:rPr>
          <w:rStyle w:val="FootnoteAnchor"/>
          <w:rtl w:val="true"/>
        </w:rPr>
        <w:footnoteReference w:id="1879"/>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Style w:val="FootnoteAnchor"/>
          <w:rtl w:val="true"/>
        </w:rPr>
        <w:footnoteReference w:id="1881"/>
      </w:r>
      <w:r>
        <w:rPr>
          <w:rFonts w:ascii="Amiri" w:hAnsi="Amiri" w:eastAsia="Amiri" w:cs="Amiri"/>
          <w:color w:val="111111"/>
          <w:sz w:val="28"/>
          <w:sz w:val="28"/>
          <w:szCs w:val="28"/>
          <w:rtl w:val="true"/>
          <w:lang w:bidi="ar-SA"/>
        </w:rPr>
        <w:t xml:space="preserve">مَنْ نَصَبَ حَرْبًا لِآلِ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نَصِيبَ لَهُ فِي الْإِسْلَامِ؛ فَلِهَذَا حَرُمَ مُنَاكَحَتُهُمْ </w:t>
      </w:r>
      <w:r>
        <w:rPr>
          <w:rStyle w:val="FootnoteAnchor"/>
          <w:rtl w:val="true"/>
        </w:rPr>
        <w:footnoteReference w:id="1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لَا نَصِيبَ لَهُمْ فِي الْإِسْلَامِ</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النَّبِيُّ صلی الله علیه و آله و سلم</w:t>
      </w:r>
      <w:r>
        <w:rPr>
          <w:rFonts w:eastAsia="Amiri" w:cs="Amiri" w:ascii="Amiri" w:hAnsi="Amiri"/>
          <w:color w:val="111111"/>
          <w:sz w:val="28"/>
          <w:szCs w:val="28"/>
          <w:rtl w:val="true"/>
          <w:lang w:bidi="ar-SA"/>
        </w:rPr>
        <w:t>:</w:t>
      </w:r>
      <w:r>
        <w:rPr>
          <w:rStyle w:val="FootnoteAnchor"/>
          <w:rtl w:val="true"/>
        </w:rPr>
        <w:footnoteReference w:id="1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النَّاصِبُ لِأَهْلِ بَيْتِي حَرْبًا، وَغَالِ </w:t>
      </w:r>
      <w:r>
        <w:rPr>
          <w:rStyle w:val="FootnoteAnchor"/>
          <w:rtl w:val="true"/>
        </w:rPr>
        <w:footnoteReference w:id="1885"/>
      </w:r>
      <w:r>
        <w:rPr>
          <w:rFonts w:ascii="Amiri" w:hAnsi="Amiri" w:eastAsia="Amiri" w:cs="Amiri"/>
          <w:color w:val="111111"/>
          <w:sz w:val="28"/>
          <w:sz w:val="28"/>
          <w:szCs w:val="28"/>
          <w:rtl w:val="true"/>
          <w:lang w:bidi="ar-SA"/>
        </w:rPr>
        <w:t>فِي الدِّيْنِ مَارِقٌ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اسْتَحَلَّ لَعْنَ أَمِيرِ الْمُؤْمِنِينَ عَلَيْه السلام و َالْخُرُوجَ عَنِ الْمُسْلِمِينَ وَ قَتْلَهُمْ حَرُمَتْ مُنَاكَحَتُهُمْ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 عَن المَرْأَةِ الْعَارِفَةِ</w:t>
      </w:r>
    </w:p>
    <w:p>
      <w:pPr>
        <w:pStyle w:val="BookText"/>
        <w:rPr/>
      </w:pPr>
      <w:r>
        <w:rPr>
          <w:rFonts w:ascii="Amiri" w:hAnsi="Amiri" w:eastAsia="Amiri" w:cs="Amiri"/>
          <w:color w:val="111111"/>
          <w:sz w:val="28"/>
          <w:sz w:val="28"/>
          <w:szCs w:val="28"/>
          <w:rtl w:val="true"/>
          <w:lang w:bidi="ar-SA"/>
        </w:rPr>
        <w:t>هَلْ أَزَوِّجُها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النَّاصِبَ كَافِرُ الحديث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موثقته </w:t>
      </w:r>
      <w:r>
        <w:rPr>
          <w:rStyle w:val="FootnoteAnchor"/>
          <w:rtl w:val="true"/>
        </w:rPr>
        <w:footnoteReference w:id="1889"/>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النُّصَابُ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تُنَاكِحْهُمْ، وَ لَا تَأْكُل ذَبِيْحَتَهُمْ، وَلَا تَسْكُنْ مَعَهُمْ </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فَإِنْ لم تَكُنْ 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عَلَيْهَا وَ قُلْ لَهَا، فَإِن قَبَلَتْ فَتَزَوَّجْهَا، و َإِنْ أَبَتْ أَنْ تَرْضَى بِقَوْلِكَ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محمد بن إسماعيل </w:t>
      </w:r>
      <w:r>
        <w:rPr>
          <w:rStyle w:val="FootnoteAnchor"/>
          <w:rtl w:val="true"/>
        </w:rPr>
        <w:footnoteReference w:id="1893"/>
      </w:r>
      <w:r>
        <w:rPr>
          <w:rFonts w:ascii="IRNazanin" w:hAnsi="IRNazanin" w:eastAsia="IRNazanin"/>
          <w:color w:val="111111"/>
          <w:sz w:val="28"/>
          <w:sz w:val="28"/>
          <w:szCs w:val="28"/>
          <w:rtl w:val="true"/>
          <w:lang w:bidi="fa-IR"/>
        </w:rPr>
        <w:t>عن الرّضَا علیه السلام في حديث أنه سئل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أَنْ تَتَزَوَّجَ إِلَّا بِمُؤْمِنَةٍ </w:t>
      </w:r>
      <w:r>
        <w:rPr>
          <w:rStyle w:val="FootnoteAnchor"/>
          <w:rtl w:val="true"/>
        </w:rPr>
        <w:footnoteReference w:id="1894"/>
      </w:r>
      <w:r>
        <w:rPr>
          <w:rFonts w:ascii="Amiri" w:hAnsi="Amiri" w:eastAsia="Amiri" w:cs="Amiri"/>
          <w:color w:val="111111"/>
          <w:sz w:val="28"/>
          <w:sz w:val="28"/>
          <w:szCs w:val="28"/>
          <w:rtl w:val="true"/>
          <w:lang w:bidi="ar-SA"/>
        </w:rPr>
        <w:t xml:space="preserve">أَوْ مُسْلِمَةٍ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خبر محمّد بن الفيض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عَلَيْهَا وَ قُلْ لَهَا، فَإِنْ قَبَلَتْ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تكن المرأة معروفة بالتشيع فاعرض عليها أمره ، فإن قبلته في تلك الحال صح مناكحتها؛ للحكم عليها بالإيمان بذلك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المعروض عليها أمر المتعة، فإذا قبلتها فإن </w:t>
      </w:r>
      <w:r>
        <w:rPr>
          <w:rStyle w:val="FootnoteAnchor"/>
          <w:rtl w:val="true"/>
        </w:rPr>
        <w:footnoteReference w:id="1897"/>
      </w:r>
      <w:r>
        <w:rPr>
          <w:rFonts w:ascii="Amiri" w:hAnsi="Amiri" w:eastAsia="Amiri" w:cs="Amiri"/>
          <w:color w:val="111111"/>
          <w:sz w:val="28"/>
          <w:sz w:val="28"/>
          <w:szCs w:val="28"/>
          <w:rtl w:val="true"/>
          <w:lang w:bidi="ar-SA"/>
        </w:rPr>
        <w:t xml:space="preserve">قبولها لها دليل على أنها ليست ناصبيّة </w:t>
      </w:r>
      <w:r>
        <w:rPr>
          <w:rStyle w:val="FootnoteAnchor"/>
          <w:rtl w:val="true"/>
        </w:rPr>
        <w:footnoteReference w:id="1898"/>
      </w:r>
      <w:r>
        <w:rPr>
          <w:rFonts w:ascii="Amiri" w:hAnsi="Amiri" w:eastAsia="Amiri" w:cs="Amiri"/>
          <w:color w:val="111111"/>
          <w:sz w:val="28"/>
          <w:sz w:val="28"/>
          <w:szCs w:val="28"/>
          <w:rtl w:val="true"/>
          <w:lang w:bidi="ar-SA"/>
        </w:rPr>
        <w:t>بل مستضعفة؛ لأنَّ المعلوم من مذهب أهل النصب تحريم المتعة، و هذا كله من باب التخفيف و الرحمة بالعباد في مناكحهم وغيرها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أنت إذا تأمّلت هذه الأحاديث من أولها 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لك منها الجزم بالتحريم في التمتع بالناصبية على وجه لا يحوم حوله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قد عرفت سابقا أنه ليس الناصب إلّا عبارة عن التقديم على علي علیه السلام غيره، سواء أعلنت بالعداوة لهم أو لشيعتهم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فتعليق التحريم على الإعلان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ادعاه أكثر فقهائنا </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تحقق العداوة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آخرون </w:t>
      </w:r>
      <w:r>
        <w:rPr>
          <w:rStyle w:val="FootnoteAnchor"/>
          <w:rtl w:val="true"/>
        </w:rPr>
        <w:footnoteReference w:id="1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لهذه النصوص من غير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جاء من الأخبار الدالة على جواز مناكحتهم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رواه الشيخ في التهذيب في الصحيح </w:t>
      </w:r>
      <w:r>
        <w:rPr>
          <w:rStyle w:val="FootnoteAnchor"/>
          <w:rtl w:val="true"/>
        </w:rPr>
        <w:footnoteReference w:id="1901"/>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w:t>
      </w:r>
      <w:r>
        <w:rPr>
          <w:rStyle w:val="FootnoteAnchor"/>
          <w:rtl w:val="true"/>
        </w:rPr>
        <w:footnoteReference w:id="1902"/>
      </w:r>
      <w:r>
        <w:rPr>
          <w:rFonts w:ascii="Amiri" w:hAnsi="Amiri" w:eastAsia="Amiri" w:cs="Amiri"/>
          <w:color w:val="111111"/>
          <w:sz w:val="28"/>
          <w:sz w:val="28"/>
          <w:szCs w:val="28"/>
          <w:rtl w:val="true"/>
          <w:lang w:bidi="ar-SA"/>
        </w:rPr>
        <w:t xml:space="preserve">يَكُونُ الرَّجُلُ مُسْلِم تَحِلَّ </w:t>
      </w:r>
      <w:r>
        <w:rPr>
          <w:rStyle w:val="FootnoteAnchor"/>
          <w:rtl w:val="true"/>
        </w:rPr>
        <w:footnoteReference w:id="1903"/>
      </w:r>
      <w:r>
        <w:rPr>
          <w:rFonts w:ascii="Amiri" w:hAnsi="Amiri" w:eastAsia="Amiri" w:cs="Amiri"/>
          <w:color w:val="111111"/>
          <w:sz w:val="28"/>
          <w:sz w:val="28"/>
          <w:szCs w:val="28"/>
          <w:rtl w:val="true"/>
          <w:lang w:bidi="ar-SA"/>
        </w:rPr>
        <w:t>مُنَاكَحَتُهُ وَ مُوَارَثَتُهُ، وَ بِمَ يَحْرُمُ 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دَمُهُ بِالْإِسْلامِ إِذَا ظَهَرَ </w:t>
      </w:r>
      <w:r>
        <w:rPr>
          <w:rStyle w:val="FootnoteAnchor"/>
          <w:rtl w:val="true"/>
        </w:rPr>
        <w:footnoteReference w:id="1904"/>
      </w:r>
      <w:r>
        <w:rPr>
          <w:rFonts w:ascii="Amiri" w:hAnsi="Amiri" w:eastAsia="Amiri" w:cs="Amiri"/>
          <w:color w:val="111111"/>
          <w:sz w:val="28"/>
          <w:sz w:val="28"/>
          <w:szCs w:val="28"/>
          <w:rtl w:val="true"/>
          <w:lang w:bidi="ar-SA"/>
        </w:rPr>
        <w:t xml:space="preserve">، و َتحِلُّ مُنَاكَحَتُهُ وَ مُوَارَثَتُه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الكليني في الموثق </w:t>
      </w:r>
      <w:r>
        <w:rPr>
          <w:rStyle w:val="FootnoteAnchor"/>
          <w:rtl w:val="true"/>
        </w:rPr>
        <w:footnoteReference w:id="1907"/>
      </w:r>
      <w:r>
        <w:rPr>
          <w:rFonts w:ascii="IRNazanin" w:hAnsi="IRNazanin" w:eastAsia="IRNazanin"/>
          <w:color w:val="111111"/>
          <w:sz w:val="28"/>
          <w:sz w:val="28"/>
          <w:szCs w:val="28"/>
          <w:rtl w:val="true"/>
          <w:lang w:bidi="fa-IR"/>
        </w:rPr>
        <w:t>عن زرارة عن أبي جعفر علیه السلام قال</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تَحْتَهُ امْرَأَةٌ مِنْ ثَقِيفِ، وَ لَهُ مِنْهَا وَلَدٌ </w:t>
      </w:r>
      <w:r>
        <w:rPr>
          <w:rStyle w:val="FootnoteAnchor"/>
          <w:rtl w:val="true"/>
        </w:rPr>
        <w:footnoteReference w:id="1908"/>
      </w:r>
      <w:r>
        <w:rPr>
          <w:rFonts w:ascii="Amiri" w:hAnsi="Amiri" w:eastAsia="Amiri" w:cs="Amiri"/>
          <w:color w:val="111111"/>
          <w:sz w:val="28"/>
          <w:sz w:val="28"/>
          <w:szCs w:val="28"/>
          <w:rtl w:val="true"/>
          <w:lang w:bidi="ar-SA"/>
        </w:rPr>
        <w:t xml:space="preserve">يُقَالُ لَهُ إِبْرَاهِيمُ، فدخلت عَلَيْهِ </w:t>
      </w:r>
      <w:r>
        <w:rPr>
          <w:rStyle w:val="FootnoteAnchor"/>
          <w:rtl w:val="true"/>
        </w:rPr>
        <w:footnoteReference w:id="1909"/>
      </w:r>
      <w:r>
        <w:rPr>
          <w:rFonts w:ascii="Amiri" w:hAnsi="Amiri" w:eastAsia="Amiri" w:cs="Amiri"/>
          <w:color w:val="111111"/>
          <w:sz w:val="28"/>
          <w:sz w:val="28"/>
          <w:szCs w:val="28"/>
          <w:rtl w:val="true"/>
          <w:lang w:bidi="ar-SA"/>
        </w:rPr>
        <w:t>مَوْلَاةٌ لِثقِيْف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زَوْجُكِ هَذَا؟ قَالَ </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لِذَلِكَ أَصْحَابٌ </w:t>
      </w:r>
      <w:r>
        <w:rPr>
          <w:rStyle w:val="FootnoteAnchor"/>
          <w:rtl w:val="true"/>
        </w:rPr>
        <w:footnoteReference w:id="1911"/>
      </w:r>
      <w:r>
        <w:rPr>
          <w:rFonts w:ascii="Amiri" w:hAnsi="Amiri" w:eastAsia="Amiri" w:cs="Amiri"/>
          <w:color w:val="111111"/>
          <w:sz w:val="28"/>
          <w:sz w:val="28"/>
          <w:szCs w:val="28"/>
          <w:rtl w:val="true"/>
          <w:lang w:bidi="ar-SA"/>
        </w:rPr>
        <w:t xml:space="preserve">بِالْكُوفَةِ، قَوْمٌ </w:t>
      </w:r>
      <w:r>
        <w:rPr>
          <w:rStyle w:val="FootnoteAnchor"/>
          <w:rtl w:val="true"/>
        </w:rPr>
        <w:footnoteReference w:id="1912"/>
      </w:r>
      <w:r>
        <w:rPr>
          <w:rFonts w:ascii="Amiri" w:hAnsi="Amiri" w:eastAsia="Amiri" w:cs="Amiri"/>
          <w:color w:val="111111"/>
          <w:sz w:val="28"/>
          <w:sz w:val="28"/>
          <w:szCs w:val="28"/>
          <w:rtl w:val="true"/>
          <w:lang w:bidi="ar-SA"/>
        </w:rPr>
        <w:t xml:space="preserve">يَشْتِمُوْنَ السَّلَفَ وَ يَتَوَلَّوْنَ وَ يَقُوْلُوْنَ </w:t>
      </w:r>
      <w:r>
        <w:rPr>
          <w:rStyle w:val="FootnoteAnchor"/>
          <w:rtl w:val="true"/>
        </w:rPr>
        <w:footnoteReference w:id="1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فَخَلَّى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بَعْدَ ذَلِكَ قَدِ اسْتَبَانَ عَلَيْهِ وَ تَضَعْضَعَ مِنْ جِسْمِهِ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اسْتَبانَ عَلَيْكَ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ذَلِكَ </w:t>
      </w:r>
      <w:r>
        <w:rPr>
          <w:rStyle w:val="FootnoteAnchor"/>
          <w:rtl w:val="true"/>
        </w:rPr>
        <w:footnoteReference w:id="1915"/>
      </w:r>
      <w:r>
        <w:rPr>
          <w:rFonts w:ascii="IRNazanin" w:hAnsi="IRNazanin" w:eastAsia="IRNazanin"/>
          <w:color w:val="111111"/>
          <w:sz w:val="28"/>
          <w:sz w:val="28"/>
          <w:szCs w:val="28"/>
          <w:rtl w:val="true"/>
          <w:lang w:bidi="fa-IR"/>
        </w:rPr>
        <w:t xml:space="preserve">؟ </w:t>
      </w:r>
      <w:r>
        <w:rPr>
          <w:rStyle w:val="FootnoteAnchor"/>
          <w:rtl w:val="true"/>
        </w:rPr>
        <w:footnoteReference w:id="1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الموثق أيضًا </w:t>
      </w:r>
      <w:r>
        <w:rPr>
          <w:rStyle w:val="FootnoteAnchor"/>
          <w:rtl w:val="true"/>
        </w:rPr>
        <w:footnoteReference w:id="1918"/>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عَلَى عَلِيِّ بنِ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الشَّيْبَانِيَّةَ خَارِجِيَّةٌ تَشْتُمُ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w:t>
      </w:r>
      <w:r>
        <w:rPr>
          <w:rStyle w:val="FootnoteAnchor"/>
          <w:rtl w:val="true"/>
        </w:rPr>
        <w:footnoteReference w:id="1919"/>
      </w:r>
      <w:r>
        <w:rPr>
          <w:rFonts w:ascii="Amiri" w:hAnsi="Amiri" w:eastAsia="Amiri" w:cs="Amiri"/>
          <w:color w:val="111111"/>
          <w:sz w:val="28"/>
          <w:sz w:val="28"/>
          <w:szCs w:val="28"/>
          <w:rtl w:val="true"/>
          <w:lang w:bidi="ar-SA"/>
        </w:rPr>
        <w:t>علیه السلام ، فَإِنْ سَرَّكَ أَنْ أُسْمِعَكَ ذَلِكَ مِنْهَا أَسْمَعْتُكَ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حيْنَ تُرِيْدُ أَنْ تَخْرُجَ كَمَا كُنْتَ تَخْرُجُ فَاكْمُنْ فِي جَانِبِ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 الْغَدِ كَمَنَ فِي جَنْبِ الدَّارِ ، وَ جَاءَ </w:t>
      </w:r>
      <w:r>
        <w:rPr>
          <w:rStyle w:val="FootnoteAnchor"/>
          <w:rtl w:val="true"/>
        </w:rPr>
        <w:footnoteReference w:id="1920"/>
      </w:r>
      <w:r>
        <w:rPr>
          <w:rFonts w:ascii="Amiri" w:hAnsi="Amiri" w:eastAsia="Amiri" w:cs="Amiri"/>
          <w:color w:val="111111"/>
          <w:sz w:val="28"/>
          <w:sz w:val="28"/>
          <w:szCs w:val="28"/>
          <w:rtl w:val="true"/>
          <w:lang w:bidi="ar-SA"/>
        </w:rPr>
        <w:t>الرَّجُلُ فَكَلَّمَهَا ،فَتَبَيَّن مِنْهَا ذَلِكَ،</w:t>
      </w:r>
    </w:p>
    <w:p>
      <w:pPr>
        <w:pStyle w:val="BookText"/>
        <w:rPr/>
      </w:pPr>
      <w:r>
        <w:rPr>
          <w:rFonts w:ascii="Amiri" w:hAnsi="Amiri" w:eastAsia="Amiri" w:cs="Amiri"/>
          <w:color w:val="111111"/>
          <w:sz w:val="28"/>
          <w:sz w:val="28"/>
          <w:szCs w:val="28"/>
          <w:rtl w:val="true"/>
          <w:lang w:bidi="ar-SA"/>
        </w:rPr>
        <w:t>فَخَلَّى سَبِيْلَهَا، و َكَانَتْ تُعْجبُهُ</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مالك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دَخَلَ عَلَى أَبِي </w:t>
      </w:r>
      <w:r>
        <w:rPr>
          <w:rStyle w:val="FootnoteAnchor"/>
          <w:rtl w:val="true"/>
        </w:rPr>
        <w:footnoteReference w:id="1922"/>
      </w:r>
      <w:r>
        <w:rPr>
          <w:rFonts w:ascii="Amiri" w:hAnsi="Amiri" w:eastAsia="Amiri" w:cs="Amiri"/>
          <w:color w:val="111111"/>
          <w:sz w:val="28"/>
          <w:sz w:val="28"/>
          <w:szCs w:val="28"/>
          <w:rtl w:val="true"/>
          <w:lang w:bidi="ar-SA"/>
        </w:rPr>
        <w:t xml:space="preserve">جَعْفَرٍ علیه السلام وَ عَلَيْهِ مِلْحَفَةٌ حَمْرَاءُ </w:t>
      </w:r>
      <w:r>
        <w:rPr>
          <w:rStyle w:val="FootnoteAnchor"/>
          <w:rtl w:val="true"/>
        </w:rPr>
        <w:footnoteReference w:id="192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الثَّقَفِيَّةَ أَكْرَهَتْنِي عَلَى لِبْسِهَا و َأَنَا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دَخَلْتُ عَلَيْهِ وَ قَدْ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تَبْرَأُ مِنْ عَلِيٌّ علیه السلام، فَلَمْ يَسَعْنِي أَنْ أُمْسِكَهَا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تَبْرَأُ مِنْهُ</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أبي الجارود عن أبي جعفر علیه السلام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له امرأة يقال لها أم علي، و كانت ترى رأي الخوارج،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فَأَرَدْتُها </w:t>
      </w:r>
      <w:r>
        <w:rPr>
          <w:rStyle w:val="FootnoteAnchor"/>
          <w:rtl w:val="true"/>
        </w:rPr>
        <w:footnoteReference w:id="1926"/>
      </w:r>
      <w:r>
        <w:rPr>
          <w:rFonts w:ascii="Amiri" w:hAnsi="Amiri" w:eastAsia="Amiri" w:cs="Amiri"/>
          <w:color w:val="111111"/>
          <w:sz w:val="28"/>
          <w:sz w:val="28"/>
          <w:szCs w:val="28"/>
          <w:rtl w:val="true"/>
          <w:lang w:bidi="ar-SA"/>
        </w:rPr>
        <w:t xml:space="preserve">لَيْلَةً إِلى الصُّبْح </w:t>
      </w:r>
      <w:r>
        <w:rPr>
          <w:rStyle w:val="FootnoteAnchor"/>
          <w:rtl w:val="true"/>
        </w:rPr>
        <w:footnoteReference w:id="1927"/>
      </w:r>
      <w:r>
        <w:rPr>
          <w:rFonts w:ascii="Amiri" w:hAnsi="Amiri" w:eastAsia="Amiri" w:cs="Amiri"/>
          <w:color w:val="111111"/>
          <w:sz w:val="28"/>
          <w:sz w:val="28"/>
          <w:szCs w:val="28"/>
          <w:rtl w:val="true"/>
          <w:lang w:bidi="ar-SA"/>
        </w:rPr>
        <w:t xml:space="preserve">أَنْ تَرْجِعَ عَنْ رَأْتِهَا و َتَتَوَلَّى أَمِيرَ الْمُؤْمِنِيْنَ عَلیه السلام فَامْتَنَعَتْ عَلَيَّ </w:t>
      </w:r>
      <w:r>
        <w:rPr>
          <w:rStyle w:val="FootnoteAnchor"/>
          <w:rtl w:val="true"/>
        </w:rPr>
        <w:footnoteReference w:id="1928"/>
      </w:r>
      <w:r>
        <w:rPr>
          <w:rFonts w:ascii="Amiri" w:hAnsi="Amiri" w:eastAsia="Amiri" w:cs="Amiri"/>
          <w:color w:val="111111"/>
          <w:sz w:val="28"/>
          <w:sz w:val="28"/>
          <w:szCs w:val="28"/>
          <w:rtl w:val="true"/>
          <w:lang w:bidi="ar-SA"/>
        </w:rPr>
        <w:t xml:space="preserve">،فَلَما أَصْبَحَتْ طَلَّقْتُها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الأخبار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منافية لما اخترناه </w:t>
      </w:r>
      <w:r>
        <w:rPr>
          <w:rStyle w:val="FootnoteAnchor"/>
          <w:rtl w:val="true"/>
        </w:rPr>
        <w:footnoteReference w:id="1931"/>
      </w:r>
      <w:r>
        <w:rPr>
          <w:rFonts w:ascii="Amiri" w:hAnsi="Amiri" w:eastAsia="Amiri" w:cs="Amiri"/>
          <w:color w:val="111111"/>
          <w:sz w:val="28"/>
          <w:sz w:val="28"/>
          <w:szCs w:val="28"/>
          <w:rtl w:val="true"/>
          <w:lang w:bidi="ar-SA"/>
        </w:rPr>
        <w:t>لأن الخبر الصحيح الأوّل منها ليس نصًا في ذلك، لإمكان حمل الإسلام فيه على المعنى المتعارف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الإقرار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عرفت أن الناصب لا حظ 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التهذيب بعد </w:t>
      </w:r>
      <w:r>
        <w:rPr>
          <w:rStyle w:val="FootnoteAnchor"/>
          <w:rtl w:val="true"/>
        </w:rPr>
        <w:footnoteReference w:id="1932"/>
      </w:r>
      <w:r>
        <w:rPr>
          <w:rFonts w:ascii="Amiri" w:hAnsi="Amiri" w:eastAsia="Amiri" w:cs="Amiri"/>
          <w:color w:val="111111"/>
          <w:sz w:val="28"/>
          <w:sz w:val="28"/>
          <w:szCs w:val="28"/>
          <w:rtl w:val="true"/>
          <w:lang w:bidi="ar-SA"/>
        </w:rPr>
        <w:t>ذكره لهذا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بمناف </w:t>
      </w:r>
      <w:r>
        <w:rPr>
          <w:rStyle w:val="FootnoteAnchor"/>
          <w:rtl w:val="true"/>
        </w:rPr>
        <w:footnoteReference w:id="1933"/>
      </w:r>
      <w:r>
        <w:rPr>
          <w:rFonts w:ascii="IRNazanin" w:hAnsi="IRNazanin" w:eastAsia="IRNazanin"/>
          <w:color w:val="111111"/>
          <w:sz w:val="28"/>
          <w:sz w:val="28"/>
          <w:szCs w:val="28"/>
          <w:rtl w:val="true"/>
          <w:lang w:bidi="fa-IR"/>
        </w:rPr>
        <w:t xml:space="preserve">لما </w:t>
      </w:r>
      <w:r>
        <w:rPr>
          <w:rStyle w:val="FootnoteAnchor"/>
          <w:rtl w:val="true"/>
        </w:rPr>
        <w:footnoteReference w:id="1934"/>
      </w:r>
      <w:r>
        <w:rPr>
          <w:rFonts w:ascii="IRNazanin" w:hAnsi="IRNazanin" w:eastAsia="IRNazanin"/>
          <w:color w:val="111111"/>
          <w:sz w:val="28"/>
          <w:sz w:val="28"/>
          <w:szCs w:val="28"/>
          <w:rtl w:val="true"/>
          <w:lang w:bidi="fa-IR"/>
        </w:rPr>
        <w:t xml:space="preserve">قدمناه </w:t>
      </w:r>
      <w:r>
        <w:rPr>
          <w:rStyle w:val="FootnoteAnchor"/>
          <w:rtl w:val="true"/>
        </w:rPr>
        <w:footnoteReference w:id="1935"/>
      </w:r>
      <w:r>
        <w:rPr>
          <w:rFonts w:ascii="Amiri" w:hAnsi="Amiri" w:eastAsia="Amiri" w:cs="Amiri"/>
          <w:color w:val="111111"/>
          <w:sz w:val="28"/>
          <w:sz w:val="28"/>
          <w:szCs w:val="28"/>
          <w:rtl w:val="true"/>
          <w:lang w:bidi="ar-SA"/>
        </w:rPr>
        <w:t xml:space="preserve">؛ لأنَّ من ظهر منه </w:t>
      </w:r>
      <w:r>
        <w:rPr>
          <w:rStyle w:val="FootnoteAnchor"/>
          <w:rtl w:val="true"/>
        </w:rPr>
        <w:footnoteReference w:id="1936"/>
      </w:r>
      <w:r>
        <w:rPr>
          <w:rFonts w:ascii="Amiri" w:hAnsi="Amiri" w:eastAsia="Amiri" w:cs="Amiri"/>
          <w:color w:val="111111"/>
          <w:sz w:val="28"/>
          <w:sz w:val="28"/>
          <w:szCs w:val="28"/>
          <w:rtl w:val="true"/>
          <w:lang w:bidi="ar-SA"/>
        </w:rPr>
        <w:t xml:space="preserve">النصب و العداوة </w:t>
      </w:r>
      <w:r>
        <w:rPr>
          <w:rStyle w:val="FootnoteAnchor"/>
          <w:rtl w:val="true"/>
        </w:rPr>
        <w:footnoteReference w:id="1937"/>
      </w:r>
      <w:r>
        <w:rPr>
          <w:rFonts w:ascii="Amiri" w:hAnsi="Amiri" w:eastAsia="Amiri" w:cs="Amiri"/>
          <w:color w:val="111111"/>
          <w:sz w:val="28"/>
          <w:sz w:val="28"/>
          <w:szCs w:val="28"/>
          <w:rtl w:val="true"/>
          <w:lang w:bidi="ar-SA"/>
        </w:rPr>
        <w:t xml:space="preserve">لأهل البيت </w:t>
      </w:r>
      <w:r>
        <w:rPr>
          <w:rStyle w:val="FootnoteAnchor"/>
          <w:rtl w:val="true"/>
        </w:rPr>
        <w:footnoteReference w:id="1938"/>
      </w:r>
      <w:r>
        <w:rPr>
          <w:rFonts w:ascii="IRNazanin" w:hAnsi="IRNazanin" w:eastAsia="IRNazanin"/>
          <w:color w:val="111111"/>
          <w:sz w:val="28"/>
          <w:sz w:val="28"/>
          <w:szCs w:val="28"/>
          <w:rtl w:val="true"/>
          <w:lang w:bidi="fa-IR"/>
        </w:rPr>
        <w:t xml:space="preserve">علیهم السلام لا يكون قد أظهر الإسلام، بل يكون على غاية في </w:t>
      </w:r>
      <w:r>
        <w:rPr>
          <w:rStyle w:val="FootnoteAnchor"/>
          <w:rtl w:val="true"/>
        </w:rPr>
        <w:footnoteReference w:id="1939"/>
      </w:r>
      <w:r>
        <w:rPr>
          <w:rFonts w:ascii="IRNazanin" w:hAnsi="IRNazanin" w:eastAsia="IRNazanin"/>
          <w:color w:val="111111"/>
          <w:sz w:val="28"/>
          <w:sz w:val="28"/>
          <w:szCs w:val="28"/>
          <w:rtl w:val="true"/>
          <w:lang w:bidi="fa-IR"/>
        </w:rPr>
        <w:t xml:space="preserve">إظهار </w:t>
      </w:r>
      <w:r>
        <w:rPr>
          <w:rStyle w:val="FootnoteAnchor"/>
          <w:rtl w:val="true"/>
        </w:rPr>
        <w:footnoteReference w:id="1940"/>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الأخبار التي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ما </w:t>
      </w:r>
      <w:r>
        <w:rPr>
          <w:rStyle w:val="FootnoteAnchor"/>
          <w:rtl w:val="true"/>
        </w:rPr>
        <w:footnoteReference w:id="1942"/>
      </w:r>
      <w:r>
        <w:rPr>
          <w:rFonts w:ascii="IRNazanin" w:hAnsi="IRNazanin" w:eastAsia="IRNazanin"/>
          <w:color w:val="111111"/>
          <w:sz w:val="28"/>
          <w:sz w:val="28"/>
          <w:szCs w:val="28"/>
          <w:rtl w:val="true"/>
          <w:lang w:bidi="fa-IR"/>
        </w:rPr>
        <w:t>ظهر منها من مناكحتهم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دلالة على تلك الدعوى؛ لما ظهر منها من أنهم علیهم السلام إنَّما نكحوهن بالنظر إلى ظاهر الحالِ منهُنَّ؛ لإظهارهِنَّ الإسلام، و لهذا لما ظهر منهنَّ النصب</w:t>
      </w:r>
    </w:p>
    <w:p>
      <w:pPr>
        <w:pStyle w:val="BookText"/>
        <w:rPr/>
      </w:pPr>
      <w:r>
        <w:rPr>
          <w:rFonts w:ascii="Amiri" w:hAnsi="Amiri" w:eastAsia="Amiri" w:cs="Amiri"/>
          <w:color w:val="111111"/>
          <w:sz w:val="28"/>
          <w:sz w:val="28"/>
          <w:szCs w:val="28"/>
          <w:rtl w:val="true"/>
          <w:lang w:bidi="ar-SA"/>
        </w:rPr>
        <w:t xml:space="preserve">خلوا سبيلهنَّ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هذه الأخبار دلالة على بناء التناكح على الظاهر من غير تفتيش عما في الواقع، و أنهم علیهم السلام و إن علموا بما في الواقع، لكن ذلك الحكم </w:t>
      </w:r>
      <w:r>
        <w:rPr>
          <w:rStyle w:val="FootnoteAnchor"/>
          <w:rtl w:val="true"/>
        </w:rPr>
        <w:footnoteReference w:id="1943"/>
      </w:r>
      <w:r>
        <w:rPr>
          <w:rFonts w:ascii="IRNazanin" w:hAnsi="IRNazanin" w:eastAsia="IRNazanin"/>
          <w:color w:val="111111"/>
          <w:sz w:val="28"/>
          <w:sz w:val="28"/>
          <w:szCs w:val="28"/>
          <w:rtl w:val="true"/>
          <w:lang w:bidi="fa-IR"/>
        </w:rPr>
        <w:t>ملغى في أحكامهم الظاهرية؛ لأنّهم فيها كسائر الناس؛ تعليما للعباد؛ لما ثبت أنَّ أفعالهم علیهم السلام حجة كأقوالهم، فلو تكلفوا البواطن لوجب ذلك على الناس</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صدر منهم ذلك تقيّة، فإنّها من المسوغات لذلك؛ لما رواه أحمد بن عيسى في نوادره عن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علیه السلام عَنْ مُنَاكَحَتِهِمْ وَ الصَّلَاةِ خَلْفَهُمْ </w:t>
      </w:r>
      <w:r>
        <w:rPr>
          <w:rStyle w:val="FootnoteAnchor"/>
          <w:rtl w:val="true"/>
        </w:rPr>
        <w:footnoteReference w:id="194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شَدِيدٌ </w:t>
      </w:r>
      <w:r>
        <w:rPr>
          <w:rStyle w:val="FootnoteAnchor"/>
          <w:rtl w:val="true"/>
        </w:rPr>
        <w:footnoteReference w:id="1945"/>
      </w:r>
      <w:r>
        <w:rPr>
          <w:rFonts w:ascii="Amiri" w:hAnsi="Amiri" w:eastAsia="Amiri" w:cs="Amiri"/>
          <w:color w:val="111111"/>
          <w:sz w:val="28"/>
          <w:sz w:val="28"/>
          <w:szCs w:val="28"/>
          <w:rtl w:val="true"/>
          <w:lang w:bidi="ar-SA"/>
        </w:rPr>
        <w:t xml:space="preserve">، لَنْ تَسْتَطِيعُوا </w:t>
      </w:r>
      <w:r>
        <w:rPr>
          <w:rStyle w:val="FootnoteAnchor"/>
          <w:rtl w:val="true"/>
        </w:rPr>
        <w:footnoteReference w:id="1946"/>
      </w:r>
      <w:r>
        <w:rPr>
          <w:rFonts w:ascii="Amiri" w:hAnsi="Amiri" w:eastAsia="Amiri" w:cs="Amiri"/>
          <w:color w:val="111111"/>
          <w:sz w:val="28"/>
          <w:sz w:val="28"/>
          <w:szCs w:val="28"/>
          <w:rtl w:val="true"/>
          <w:lang w:bidi="ar-SA"/>
        </w:rPr>
        <w:t xml:space="preserve">ذَلِكَ ، فَقَدْ </w:t>
      </w:r>
      <w:r>
        <w:rPr>
          <w:rStyle w:val="FootnoteAnchor"/>
          <w:rtl w:val="true"/>
        </w:rPr>
        <w:footnoteReference w:id="1947"/>
      </w:r>
      <w:r>
        <w:rPr>
          <w:rFonts w:ascii="Amiri" w:hAnsi="Amiri" w:eastAsia="Amiri" w:cs="Amiri"/>
          <w:color w:val="111111"/>
          <w:sz w:val="28"/>
          <w:sz w:val="28"/>
          <w:szCs w:val="28"/>
          <w:rtl w:val="true"/>
          <w:lang w:bidi="ar-SA"/>
        </w:rPr>
        <w:t xml:space="preserve">نكَحَ </w:t>
      </w:r>
      <w:r>
        <w:rPr>
          <w:rStyle w:val="FootnoteAnchor"/>
          <w:rtl w:val="true"/>
        </w:rPr>
        <w:footnoteReference w:id="1948"/>
      </w:r>
      <w:r>
        <w:rPr>
          <w:rFonts w:ascii="Amiri" w:hAnsi="Amiri" w:eastAsia="Amiri" w:cs="Amiri"/>
          <w:color w:val="111111"/>
          <w:sz w:val="28"/>
          <w:sz w:val="28"/>
          <w:szCs w:val="28"/>
          <w:rtl w:val="true"/>
          <w:lang w:bidi="ar-SA"/>
        </w:rPr>
        <w:t xml:space="preserve">رَسُولُ اللهِ صلى الله عليه و آله و سلم وَ صَلَّى وَرَاءَهُم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IRNazanin" w:hAnsi="IRNazanin" w:eastAsia="IRNazanin"/>
          <w:color w:val="111111"/>
          <w:sz w:val="28"/>
          <w:sz w:val="28"/>
          <w:szCs w:val="28"/>
          <w:rtl w:val="true"/>
          <w:lang w:bidi="fa-IR"/>
        </w:rPr>
        <w:t>،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تَسْتَطِيعُوا عَدَمَ مُنَاكَحَتِهِمْ وَ الصَّلَاةَ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التقية عامة </w:t>
      </w:r>
      <w:r>
        <w:rPr>
          <w:rStyle w:val="FootnoteAnchor"/>
          <w:rtl w:val="true"/>
        </w:rPr>
        <w:footnoteReference w:id="1951"/>
      </w:r>
      <w:r>
        <w:rPr>
          <w:rFonts w:ascii="IRNazanin" w:hAnsi="IRNazanin" w:eastAsia="IRNazanin"/>
          <w:color w:val="111111"/>
          <w:sz w:val="28"/>
          <w:sz w:val="28"/>
          <w:szCs w:val="28"/>
          <w:rtl w:val="true"/>
          <w:lang w:bidi="fa-IR"/>
        </w:rPr>
        <w:t xml:space="preserve">قد </w:t>
      </w:r>
      <w:r>
        <w:rPr>
          <w:rStyle w:val="FootnoteAnchor"/>
          <w:rtl w:val="true"/>
        </w:rPr>
        <w:footnoteReference w:id="1952"/>
      </w:r>
      <w:r>
        <w:rPr>
          <w:rFonts w:ascii="IRNazanin" w:hAnsi="IRNazanin" w:eastAsia="IRNazanin"/>
          <w:color w:val="111111"/>
          <w:sz w:val="28"/>
          <w:sz w:val="28"/>
          <w:szCs w:val="28"/>
          <w:rtl w:val="true"/>
          <w:lang w:bidi="fa-IR"/>
        </w:rPr>
        <w:t xml:space="preserve">فعله </w:t>
      </w:r>
      <w:r>
        <w:rPr>
          <w:rStyle w:val="FootnoteAnchor"/>
          <w:rtl w:val="true"/>
        </w:rPr>
        <w:footnoteReference w:id="1953"/>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في هذا الحديث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صَلَّى وَرَاءَهُمْ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ينقل في أخبارنا صلاة رسول الله صلی الله علیه و آله و سلم خلف أحد من المخالفين تقيّةً، إلا أن لا يكون قد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هذا الكلام وقع تقيّةً في الرواية؛ لأنهم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صلى خلف عبدالرحمن بن عوف </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w:t>
      </w:r>
      <w:r>
        <w:rPr>
          <w:rStyle w:val="FootnoteAnchor"/>
          <w:rtl w:val="true"/>
        </w:rPr>
        <w:footnoteReference w:id="1955"/>
      </w:r>
      <w:r>
        <w:rPr>
          <w:rFonts w:ascii="Amiri" w:hAnsi="Amiri" w:eastAsia="Amiri" w:cs="Amiri"/>
          <w:color w:val="111111"/>
          <w:sz w:val="28"/>
          <w:sz w:val="28"/>
          <w:szCs w:val="28"/>
          <w:rtl w:val="true"/>
          <w:lang w:bidi="ar-SA"/>
        </w:rPr>
        <w:t xml:space="preserve">إذا لم تكن هناك تقيّةٌ فلا يصح </w:t>
      </w:r>
      <w:r>
        <w:rPr>
          <w:rStyle w:val="FootnoteAnchor"/>
          <w:rtl w:val="true"/>
        </w:rPr>
        <w:footnoteReference w:id="1956"/>
      </w:r>
      <w:r>
        <w:rPr>
          <w:rFonts w:ascii="IRNazanin" w:hAnsi="IRNazanin" w:eastAsia="IRNazanin"/>
          <w:color w:val="111111"/>
          <w:sz w:val="28"/>
          <w:sz w:val="28"/>
          <w:szCs w:val="28"/>
          <w:rtl w:val="true"/>
          <w:lang w:bidi="fa-IR"/>
        </w:rPr>
        <w:t xml:space="preserve">الأمران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 أحمد بن محمد بن عيسى في الكتاب المذكور </w:t>
      </w:r>
      <w:r>
        <w:rPr>
          <w:rStyle w:val="FootnoteAnchor"/>
          <w:rtl w:val="true"/>
        </w:rPr>
        <w:footnoteReference w:id="1958"/>
      </w:r>
      <w:r>
        <w:rPr>
          <w:rFonts w:ascii="Amiri" w:hAnsi="Amiri" w:eastAsia="Amiri" w:cs="Amiri"/>
          <w:color w:val="111111"/>
          <w:sz w:val="28"/>
          <w:sz w:val="28"/>
          <w:szCs w:val="28"/>
          <w:rtl w:val="true"/>
          <w:lang w:bidi="ar-SA"/>
        </w:rPr>
        <w:t xml:space="preserve">في الصحيح </w:t>
      </w:r>
      <w:r>
        <w:rPr>
          <w:rStyle w:val="FootnoteAnchor"/>
          <w:rtl w:val="true"/>
        </w:rPr>
        <w:footnoteReference w:id="1959"/>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 عَنْ مُنَاكَحَةِ النَّاصِبِ</w:t>
      </w:r>
      <w:r>
        <w:rPr>
          <w:rFonts w:eastAsia="Amiri" w:cs="Amiri" w:ascii="Amiri" w:hAnsi="Amiri"/>
          <w:color w:val="111111"/>
          <w:sz w:val="28"/>
          <w:szCs w:val="28"/>
          <w:rtl w:val="true"/>
          <w:lang w:bidi="ar-SA"/>
        </w:rPr>
        <w:t xml:space="preserve">. </w:t>
      </w:r>
      <w:bookmarkStart w:id="155" w:name="pg2523_39906"/>
    </w:p>
    <w:p>
      <w:pPr>
        <w:pStyle w:val="BookText"/>
        <w:rPr/>
      </w:pPr>
      <w:bookmarkEnd w:id="155"/>
      <w:r>
        <w:rPr>
          <w:rFonts w:ascii="Amiri" w:hAnsi="Amiri" w:eastAsia="Amiri" w:cs="Amiri"/>
          <w:color w:val="111111"/>
          <w:sz w:val="28"/>
          <w:sz w:val="28"/>
          <w:szCs w:val="28"/>
          <w:rtl w:val="true"/>
          <w:lang w:bidi="ar-SA"/>
        </w:rPr>
        <w:t>و َالصَّلَاةِ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تُنَاكِحْهُ و َلَا تُصَلِّ خَلْفَهُ</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كلها منطبقة على تحريم مناكحتهم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و رجالا </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بالتحليل و الكراهة إن لم يكونوا معلنين بالنصب، أو التفصيل بين النساء 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لنا نكاح نسائهم، و لا يجوز لنسائنا مناكحتهم </w:t>
      </w:r>
      <w:r>
        <w:rPr>
          <w:rStyle w:val="FootnoteAnchor"/>
          <w:rtl w:val="true"/>
        </w:rPr>
        <w:footnoteReference w:id="1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بعد </w:t>
      </w:r>
      <w:r>
        <w:rPr>
          <w:rStyle w:val="FootnoteAnchor"/>
          <w:rtl w:val="true"/>
        </w:rPr>
        <w:footnoteReference w:id="1963"/>
      </w:r>
      <w:r>
        <w:rPr>
          <w:rFonts w:ascii="Amiri" w:hAnsi="Amiri" w:eastAsia="Amiri" w:cs="Amiri"/>
          <w:color w:val="111111"/>
          <w:sz w:val="28"/>
          <w:sz w:val="28"/>
          <w:szCs w:val="28"/>
          <w:rtl w:val="true"/>
          <w:lang w:bidi="ar-SA"/>
        </w:rPr>
        <w:t>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فالتزام التحريم في النكاح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و دواما و ملك يمين من الجانبين هو المعتمد، إلا أن توجبه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264906_3804643083"/>
      <w:bookmarkStart w:id="157" w:name="_Toc51"/>
      <w:bookmarkEnd w:id="156"/>
      <w:r>
        <w:rPr>
          <w:rtl w:val="true"/>
        </w:rPr>
        <w:t>[</w:t>
      </w:r>
      <w:r>
        <w:rPr>
          <w:rtl w:val="true"/>
        </w:rPr>
        <w:t>المسألة الثالثة</w:t>
      </w:r>
      <w:r>
        <w:rPr>
          <w:rtl w:val="true"/>
        </w:rPr>
        <w:t xml:space="preserve">: </w:t>
      </w:r>
      <w:r>
        <w:rPr>
          <w:rtl w:val="true"/>
        </w:rPr>
        <w:t>هل حكم نسائهم حكم الإماء أم لا؟</w:t>
      </w:r>
      <w:r>
        <w:rPr>
          <w:rtl w:val="true"/>
        </w:rPr>
        <w:t>]</w:t>
      </w:r>
      <w:bookmarkEnd w:id="157"/>
    </w:p>
    <w:p>
      <w:pPr>
        <w:pStyle w:val="BookText"/>
        <w:rPr/>
      </w:pPr>
      <w:r>
        <w:rPr>
          <w:rFonts w:ascii="Amiri" w:hAnsi="Amiri" w:eastAsia="Amiri" w:cs="Amiri"/>
          <w:color w:val="111111"/>
          <w:sz w:val="28"/>
          <w:sz w:val="28"/>
          <w:szCs w:val="28"/>
          <w:rtl w:val="true"/>
          <w:lang w:bidi="ar-SA"/>
        </w:rPr>
        <w:t>و أما الجواب عن المسألة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فحيث إنها مسألة لا تخلو عن إجمال في السؤال، و لا عن إعضال بالنسبة إلى الحكم الوارد عن الآل، فيحتاج في تحقيقها إلى بيان المراد منها، والتكلم عن الأخبار التي جاءت عنهم علیهم السلام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ظهر لنا في إجمال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المراد منه الاستفهام عن جواز استرقاق نسائهم </w:t>
      </w:r>
      <w:r>
        <w:rPr>
          <w:rStyle w:val="FootnoteAnchor"/>
          <w:rtl w:val="true"/>
        </w:rPr>
        <w:footnoteReference w:id="1964"/>
      </w:r>
      <w:r>
        <w:rPr>
          <w:rFonts w:ascii="Amiri" w:hAnsi="Amiri" w:eastAsia="Amiri" w:cs="Amiri"/>
          <w:color w:val="111111"/>
          <w:sz w:val="28"/>
          <w:sz w:val="28"/>
          <w:szCs w:val="28"/>
          <w:rtl w:val="true"/>
          <w:lang w:bidi="ar-SA"/>
        </w:rPr>
        <w:t xml:space="preserve">و اتخاذهن ملك يمين؛ لأنَّ هذا الكلام وقع مفرَّعًا </w:t>
      </w:r>
    </w:p>
    <w:p>
      <w:pPr>
        <w:pStyle w:val="BookText"/>
        <w:rPr/>
      </w:pPr>
      <w:r>
        <w:rPr>
          <w:rFonts w:ascii="Amiri" w:hAnsi="Amiri" w:eastAsia="Amiri" w:cs="Amiri"/>
          <w:color w:val="111111"/>
          <w:sz w:val="28"/>
          <w:sz w:val="28"/>
          <w:szCs w:val="28"/>
          <w:rtl w:val="true"/>
          <w:lang w:bidi="ar-SA"/>
        </w:rPr>
        <w:t>على القول بكفرهم و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هذا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فيها الإشكال، وظهر منها الإعضال؛ لأنا لم نقف على كلام منقح، بل و لا غير مُنقَّح في تحقيق هذه المسألة حتى من الذاهبين إلى كفرهم 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أومت إليه عباراتهم في بحث العتق و مواضع الاسترقاق المنع من استرقاقهن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في الشرائع و مختصره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بأهل الحربِ دونَ أهلِ الذّمة، و لو أخلوا بشرائطها جاز تملكهم</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شارحوا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يجوز قتالهم و محاربتهم إلى أن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القائمون بشرائط الدّمة، فلو أخلوا بشرائطها صاروا أهل حرب، وجاز تملكهم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جواز استرقاق أهل الحرب بين أن ينصبوا الحرب للمسلم أن يكونوا تحت حكم الإسلام و قهره، كالقاطنين تحت حكم المسلم من عبدة الأوثان و النيران و الغلاة و غيرهم</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العبارات و نحوها –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اختصاص الحكم بالحربيّ، و هم لا يطلقون على مثل النواصب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أطلقوا اسمى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الناصب على الحربي على ما صرح به ابن إدريس في سرائره </w:t>
      </w:r>
      <w:r>
        <w:rPr>
          <w:rStyle w:val="FootnoteAnchor"/>
          <w:rtl w:val="true"/>
        </w:rPr>
        <w:footnoteReference w:id="1968"/>
      </w:r>
      <w:r>
        <w:rPr>
          <w:rFonts w:ascii="IRNazanin" w:hAnsi="IRNazanin" w:eastAsia="IRNazanin"/>
          <w:color w:val="111111"/>
          <w:sz w:val="28"/>
          <w:sz w:val="28"/>
          <w:szCs w:val="28"/>
          <w:rtl w:val="true"/>
          <w:lang w:bidi="fa-IR"/>
        </w:rPr>
        <w:t>، إلا أن الاشتغال بعباراتهم مما لا طائل تحته، إذ العمدة في الفتوى إنما هو على أخبارهم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الظاهر منها لمن 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داخلون في الحربيين، و مقتضى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استرقاقهم، و لكنهم علیهم السلام نهوا عن ذلك تقيّةً و محاماة لشيعتهم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خبر الحضرمي على ما في الكافي و التهذيب، و محاسن البرقي، و علل الصدوق عن أبي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لَسِيْرَةُ عليَّ </w:t>
      </w:r>
      <w:r>
        <w:rPr>
          <w:rStyle w:val="FootnoteAnchor"/>
          <w:rtl w:val="true"/>
        </w:rPr>
        <w:footnoteReference w:id="1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البَصْرَةِ كَانَتْ خَيْرًا لِشِيعَتِهِ </w:t>
      </w:r>
      <w:r>
        <w:rPr>
          <w:rStyle w:val="FootnoteAnchor"/>
          <w:rtl w:val="true"/>
        </w:rPr>
        <w:footnoteReference w:id="1970"/>
      </w:r>
      <w:r>
        <w:rPr>
          <w:rFonts w:ascii="Amiri" w:hAnsi="Amiri" w:eastAsia="Amiri" w:cs="Amiri"/>
          <w:color w:val="111111"/>
          <w:sz w:val="28"/>
          <w:sz w:val="28"/>
          <w:szCs w:val="28"/>
          <w:rtl w:val="true"/>
          <w:lang w:bidi="ar-SA"/>
        </w:rPr>
        <w:t xml:space="preserve">ممَّا طَلَعَتْ عَلَيْهِ الشَّمْسُ، إِنَّهُ عَلِمَ أَنَّ لِلْقَوْمِ دَوْلَةٌ، فَلَوْ سَبَاهُمْ لَسُبِيَتْ </w:t>
      </w:r>
      <w:r>
        <w:rPr>
          <w:rStyle w:val="FootnoteAnchor"/>
          <w:rtl w:val="true"/>
        </w:rPr>
        <w:footnoteReference w:id="1971"/>
      </w:r>
      <w:r>
        <w:rPr>
          <w:rFonts w:ascii="Amiri" w:hAnsi="Amiri" w:eastAsia="Amiri" w:cs="Amiri"/>
          <w:color w:val="111111"/>
          <w:sz w:val="28"/>
          <w:sz w:val="28"/>
          <w:szCs w:val="28"/>
          <w:rtl w:val="true"/>
          <w:lang w:bidi="ar-SA"/>
        </w:rPr>
        <w:t>شِبْعَتُهُ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التهذيب و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بِسِيرَتِهِ علیه السلام؟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عَلِيًّا علیه السلام سَارَ فِيهِمْ بِالمنٌ لمَا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دَوْلَتِهِمْ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الْقَائِمَ علیه السلام يَسِيرُ فِيْهِمْ 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لِأَنَّهُ </w:t>
      </w:r>
      <w:r>
        <w:rPr>
          <w:rStyle w:val="FootnoteAnchor"/>
          <w:rtl w:val="true"/>
        </w:rPr>
        <w:footnoteReference w:id="1974"/>
      </w:r>
      <w:r>
        <w:rPr>
          <w:rFonts w:ascii="Amiri" w:hAnsi="Amiri" w:eastAsia="Amiri" w:cs="Amiri"/>
          <w:color w:val="111111"/>
          <w:sz w:val="28"/>
          <w:sz w:val="28"/>
          <w:szCs w:val="28"/>
          <w:rtl w:val="true"/>
          <w:lang w:bidi="ar-SA"/>
        </w:rPr>
        <w:t>لَا دَولَةَ لهُمْ</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1976"/>
      </w:r>
      <w:r>
        <w:rPr>
          <w:rFonts w:ascii="Amiri" w:hAnsi="Amiri" w:eastAsia="Amiri" w:cs="Amiri"/>
          <w:color w:val="111111"/>
          <w:sz w:val="28"/>
          <w:sz w:val="28"/>
          <w:szCs w:val="28"/>
          <w:rtl w:val="true"/>
          <w:lang w:bidi="ar-SA"/>
        </w:rPr>
        <w:t xml:space="preserve">في الصحيح </w:t>
      </w:r>
      <w:r>
        <w:rPr>
          <w:rStyle w:val="FootnoteAnchor"/>
          <w:rtl w:val="true"/>
        </w:rPr>
        <w:footnoteReference w:id="1977"/>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علیه السلام عَنِ الْقَائِمِ علیه السلام إِذَا قَامَ بِأَيِّ سِيْرَةٍ يَسِيْرُ بِالنَّاسِ </w:t>
      </w:r>
      <w:r>
        <w:rPr>
          <w:rStyle w:val="FootnoteAnchor"/>
          <w:rtl w:val="true"/>
        </w:rPr>
        <w:footnoteReference w:id="197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مَا سَارَ بِهِ رَسُوْلُ اللهِ صلى الله عليه و آله و سلم حَتَّى يَظْهَرَ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سِيْرَةُ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مَا كَانَ فِي الْجَاهِلِيَّةِ </w:t>
      </w:r>
      <w:r>
        <w:rPr>
          <w:rStyle w:val="FootnoteAnchor"/>
          <w:rtl w:val="true"/>
        </w:rPr>
        <w:footnoteReference w:id="1979"/>
      </w:r>
      <w:r>
        <w:rPr>
          <w:rFonts w:ascii="Amiri" w:hAnsi="Amiri" w:eastAsia="Amiri" w:cs="Amiri"/>
          <w:color w:val="111111"/>
          <w:sz w:val="28"/>
          <w:sz w:val="28"/>
          <w:szCs w:val="28"/>
          <w:rtl w:val="true"/>
          <w:lang w:bidi="ar-SA"/>
        </w:rPr>
        <w:t xml:space="preserve">، و َاسْتَقْبَلَ النَّاسَ بِالْعَدْلِ، وَ كَذَلِكَ الْقَائِمُ علیه السلام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مَا كَانَ فِي الْهُدْنَةِ مِمَّا كَانَ فِي أَيْدِي النَّاسِ، و َيَسْتَقْبِلُ بِهِمُ الْعَدْلَ </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1981"/>
      </w:r>
      <w:r>
        <w:rPr>
          <w:rFonts w:ascii="Amiri" w:hAnsi="Amiri" w:eastAsia="Amiri" w:cs="Amiri"/>
          <w:color w:val="111111"/>
          <w:sz w:val="28"/>
          <w:sz w:val="28"/>
          <w:szCs w:val="28"/>
          <w:rtl w:val="true"/>
          <w:lang w:bidi="ar-SA"/>
        </w:rPr>
        <w:t xml:space="preserve">في الموثق </w:t>
      </w:r>
      <w:r>
        <w:rPr>
          <w:rStyle w:val="FootnoteAnchor"/>
          <w:rtl w:val="true"/>
        </w:rPr>
        <w:footnoteReference w:id="1982"/>
      </w:r>
      <w:r>
        <w:rPr>
          <w:rFonts w:ascii="Amiri" w:hAnsi="Amiri" w:eastAsia="Amiri" w:cs="Amiri"/>
          <w:color w:val="111111"/>
          <w:sz w:val="28"/>
          <w:sz w:val="28"/>
          <w:szCs w:val="28"/>
          <w:rtl w:val="true"/>
          <w:lang w:bidi="ar-SA"/>
        </w:rPr>
        <w:t>عن الحسن بن هارون بياع الأنماط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عِنْدَن </w:t>
      </w:r>
    </w:p>
    <w:p>
      <w:pPr>
        <w:pStyle w:val="BookText"/>
        <w:rPr/>
      </w:pPr>
      <w:r>
        <w:rPr>
          <w:rFonts w:ascii="Amiri" w:hAnsi="Amiri" w:eastAsia="Amiri" w:cs="Amiri"/>
          <w:color w:val="111111"/>
          <w:sz w:val="28"/>
          <w:sz w:val="28"/>
          <w:szCs w:val="28"/>
          <w:rtl w:val="true"/>
          <w:lang w:bidi="ar-SA"/>
        </w:rPr>
        <w:t xml:space="preserve">أَبی عَبْدِ اللهِ عَليه السلام جَالِسًا، فَسَأَلَهُ المُعَلَّى </w:t>
      </w:r>
      <w:r>
        <w:rPr>
          <w:rStyle w:val="FootnoteAnchor"/>
          <w:rtl w:val="true"/>
        </w:rPr>
        <w:footnoteReference w:id="1983"/>
      </w:r>
      <w:r>
        <w:rPr>
          <w:rFonts w:ascii="Amiri" w:hAnsi="Amiri" w:eastAsia="Amiri" w:cs="Amiri"/>
          <w:color w:val="111111"/>
          <w:sz w:val="28"/>
          <w:sz w:val="28"/>
          <w:szCs w:val="28"/>
          <w:rtl w:val="true"/>
          <w:lang w:bidi="ar-SA"/>
        </w:rPr>
        <w:t xml:space="preserve">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الإِمَامُ </w:t>
      </w:r>
      <w:r>
        <w:rPr>
          <w:rStyle w:val="FootnoteAnchor"/>
          <w:rtl w:val="true"/>
        </w:rPr>
        <w:footnoteReference w:id="1984"/>
      </w:r>
      <w:r>
        <w:rPr>
          <w:rFonts w:ascii="Amiri" w:hAnsi="Amiri" w:eastAsia="Amiri" w:cs="Amiri"/>
          <w:color w:val="111111"/>
          <w:sz w:val="28"/>
          <w:sz w:val="28"/>
          <w:szCs w:val="28"/>
          <w:rtl w:val="true"/>
          <w:lang w:bidi="ar-SA"/>
        </w:rPr>
        <w:t>بِخِلَافِ سِيرَةِ عَلى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َذَلِكَ أَنَّ عَلِيًّا عليه السلام سَارَ بِالمَنِّ و َالْكَفْ؛ لِأَنَّهُ عَلِمَ أَنَّ شِيْعَتَهُ سَيُظْهَرُ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الْقَائِمَ عليه السلام إِذَا قَامَ سَارَ فِيهِمْ بِالسَّيْفِ و َالسَّبْي؛ لأَنَّهُ يَعْلَمُ أَنَّ شِيْعَتَهُ لَنْ </w:t>
      </w:r>
      <w:r>
        <w:rPr>
          <w:rStyle w:val="FootnoteAnchor"/>
          <w:rtl w:val="true"/>
        </w:rPr>
        <w:footnoteReference w:id="1985"/>
      </w:r>
      <w:r>
        <w:rPr>
          <w:rFonts w:ascii="Amiri" w:hAnsi="Amiri" w:eastAsia="Amiri" w:cs="Amiri"/>
          <w:color w:val="111111"/>
          <w:sz w:val="28"/>
          <w:sz w:val="28"/>
          <w:szCs w:val="28"/>
          <w:rtl w:val="true"/>
          <w:lang w:bidi="ar-SA"/>
        </w:rPr>
        <w:t>يُظْهَرَ عَلَيْهِمْ مِنْ بَعْدِهِ أَبَدًا</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النعماني في الغيبة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في التهذيب</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و إنما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إلى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سَارَ عَلِيُّ ابْنُ أَبِي طَالِبٍ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الْيَقْظَانِ كَانَ رَجُلًا حَادًا رحم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تَسِيرُ فِي هَؤُلَاءِ غَدًا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 كَما سَارَ رَسُولُ الله صلی الله علیه و آله و 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الموثق </w:t>
      </w:r>
      <w:r>
        <w:rPr>
          <w:rStyle w:val="FootnoteAnchor"/>
          <w:rtl w:val="true"/>
        </w:rPr>
        <w:footnoteReference w:id="1989"/>
      </w:r>
      <w:r>
        <w:rPr>
          <w:rFonts w:ascii="Amiri" w:hAnsi="Amiri" w:eastAsia="Amiri" w:cs="Amiri"/>
          <w:color w:val="111111"/>
          <w:sz w:val="28"/>
          <w:sz w:val="28"/>
          <w:szCs w:val="28"/>
          <w:rtl w:val="true"/>
          <w:lang w:bidi="ar-SA"/>
        </w:rPr>
        <w:t xml:space="preserve">عن حفص عن جعفر عن أبيه عن جده عن مروان بن الحكم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هَزَمَنَا عَلَى علیه السلام بِالْبَصْرَةِ رَدَّ عَلَى النَّاسِ أَمْوَالهُمْ، مَنْ أَقَامَ بِيَّنَتَهُ أَعْطَاهُ، و مَنْ لَمْ يُقِمْ بَيْنَةٌ </w:t>
      </w:r>
      <w:r>
        <w:rPr>
          <w:rStyle w:val="FootnoteAnchor"/>
          <w:rtl w:val="true"/>
        </w:rPr>
        <w:footnoteReference w:id="1990"/>
      </w:r>
      <w:r>
        <w:rPr>
          <w:rFonts w:ascii="Amiri" w:hAnsi="Amiri" w:eastAsia="Amiri" w:cs="Amiri"/>
          <w:color w:val="111111"/>
          <w:sz w:val="28"/>
          <w:sz w:val="28"/>
          <w:szCs w:val="28"/>
          <w:rtl w:val="true"/>
          <w:lang w:bidi="ar-SA"/>
        </w:rPr>
        <w:t xml:space="preserve">أَحْلَفَهُ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اقسمِ الْفَيْءَ بَيْنَنَا و َالسَّبْيَ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يَأْخُذُ أُمَّ المُؤْمِنِيْنَ فِي سَهْمِهِ ؟ فَكَفُوْا </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في العلل في </w:t>
      </w:r>
      <w:r>
        <w:rPr>
          <w:rStyle w:val="FootnoteAnchor"/>
          <w:rtl w:val="true"/>
        </w:rPr>
        <w:footnoteReference w:id="1993"/>
      </w:r>
      <w:r>
        <w:rPr>
          <w:rFonts w:ascii="Amiri" w:hAnsi="Amiri" w:eastAsia="Amiri" w:cs="Amiri"/>
          <w:color w:val="111111"/>
          <w:sz w:val="28"/>
          <w:sz w:val="28"/>
          <w:szCs w:val="28"/>
          <w:rtl w:val="true"/>
          <w:lang w:bidi="ar-SA"/>
        </w:rPr>
        <w:t xml:space="preserve">الموثّق </w:t>
      </w:r>
      <w:r>
        <w:rPr>
          <w:rStyle w:val="FootnoteAnchor"/>
          <w:rtl w:val="true"/>
        </w:rPr>
        <w:footnoteReference w:id="1994"/>
      </w:r>
      <w:r>
        <w:rPr>
          <w:rFonts w:ascii="Amiri" w:hAnsi="Amiri" w:eastAsia="Amiri" w:cs="Amiri"/>
          <w:color w:val="111111"/>
          <w:sz w:val="28"/>
          <w:sz w:val="28"/>
          <w:szCs w:val="28"/>
          <w:rtl w:val="true"/>
          <w:lang w:bidi="ar-SA"/>
        </w:rPr>
        <w:t xml:space="preserve">عن مسعدة بن زياد عن جعفر بن محمد عن أبيه </w:t>
      </w:r>
      <w:r>
        <w:rPr>
          <w:rStyle w:val="FootnoteAnchor"/>
          <w:rtl w:val="true"/>
        </w:rPr>
        <w:footnoteReference w:id="1995"/>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الحميري في قرب الإسناد بسند من الضعيف عن أبي البختري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العلل بإسناده عن عبد الله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أَهْلَ الْبَصْرَةِ و َتَرَكَ أَمْوَالهُمْ،فَقَالَ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الشِّرْكِ يَحِلُّ مَا فِيهَا، و َدَارُ الْإِسْلَامِ لَا يَحِلُّ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 xml:space="preserve">علیه السلام إِنَّمَا مَنَّ عَلَيْهِمْ كَمَا مَنَّ رَسُولُ اللهِ صلی الله علیه و آله و سلم عَلى أَهْل مَكَّةَ، و َإِنَّمَا تَرَكَ عَلى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أَمْوَاهُمْ</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لَإِنَّهُ كَانَ يَعْلَمُ أَنَّهُ كَانَ </w:t>
      </w:r>
      <w:r>
        <w:rPr>
          <w:rStyle w:val="FootnoteAnchor"/>
          <w:rtl w:val="true"/>
        </w:rPr>
        <w:footnoteReference w:id="1999"/>
      </w:r>
      <w:r>
        <w:rPr>
          <w:rFonts w:ascii="Amiri" w:hAnsi="Amiri" w:eastAsia="Amiri" w:cs="Amiri"/>
          <w:color w:val="111111"/>
          <w:sz w:val="28"/>
          <w:sz w:val="28"/>
          <w:szCs w:val="28"/>
          <w:rtl w:val="true"/>
          <w:lang w:bidi="ar-SA"/>
        </w:rPr>
        <w:t xml:space="preserve">لَهُ شِيْعَةٌ، وَ أَنَّ دَوْلَةَ الْبَاطِلِ سَتَظْهَرُ عَلَيْهِمْ ، فَأَرَادَ أَنْ يُقْتَدَى بِهِ فِي شِيْعَتِهِ، وَقَدْ رَأَيْتُمْ آثَارَ ذَلِكَ هُوَ ذَا يُسَارُ بِهِمْ فِي النَّاسِ </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 xml:space="preserve">أَهْلَ الْبَصْرَةِ جَمِيْعًا وَ اتَّخَذَ أَمْوَاهُمْ لَكَانَ ذَلِكَ لَهُ حَلَالًا، لَكِنَّهُ </w:t>
      </w:r>
      <w:r>
        <w:rPr>
          <w:rStyle w:val="FootnoteAnchor"/>
          <w:rtl w:val="true"/>
        </w:rPr>
        <w:footnoteReference w:id="2002"/>
      </w:r>
      <w:r>
        <w:rPr>
          <w:rFonts w:ascii="Amiri" w:hAnsi="Amiri" w:eastAsia="Amiri" w:cs="Amiri"/>
          <w:color w:val="111111"/>
          <w:sz w:val="28"/>
          <w:sz w:val="28"/>
          <w:szCs w:val="28"/>
          <w:rtl w:val="true"/>
          <w:lang w:bidi="ar-SA"/>
        </w:rPr>
        <w:t xml:space="preserve">مَنَّ عَلَيْهِمْ لَيَمُنَّ عَلَى شِيْعَتِهِ مِنْ بَعْدِهِ </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أَنَّ النَّاسَ اجْتَمَعُوا إِلَى أَمِيرِ الْمُؤْمِنِينَ علیه السلام يَوْمَ الْبَصْرَةِ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اقْسمْ بَيْنَنَا غَنَائِمَهُمْ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يَأْخُذُ أُمَّ المُؤْمِنِينَ فِي سَهْمِهِ ؟</w:t>
      </w:r>
      <w:r>
        <w:rPr>
          <w:rFonts w:eastAsia="Amiri" w:cs="Amiri" w:ascii="Amiri" w:hAnsi="Amiri"/>
          <w:color w:val="111111"/>
          <w:sz w:val="28"/>
          <w:szCs w:val="28"/>
          <w:rtl w:val="true"/>
          <w:lang w:bidi="ar-SA"/>
        </w:rPr>
        <w:t xml:space="preserve">»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في الصحيح </w:t>
      </w:r>
      <w:r>
        <w:rPr>
          <w:rStyle w:val="FootnoteAnchor"/>
          <w:rtl w:val="true"/>
        </w:rPr>
        <w:footnoteReference w:id="2005"/>
      </w:r>
      <w:r>
        <w:rPr>
          <w:rFonts w:ascii="Amiri" w:hAnsi="Amiri" w:eastAsia="Amiri" w:cs="Amiri"/>
          <w:color w:val="111111"/>
          <w:sz w:val="28"/>
          <w:sz w:val="28"/>
          <w:szCs w:val="28"/>
          <w:rtl w:val="true"/>
          <w:lang w:bidi="ar-SA"/>
        </w:rPr>
        <w:t>عن زرارة بن أعين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عليا علیه السلام سَارَ فِي أَهْلِ حَرْبِهِ بِالْكَفِّ عَنِ السَّبْيِ وَ الْغَنيْمَةِ لَلَقِيَتْ شِيْعَتُهُ مِنَ النَّاسِ بَلَاءً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لَسِيْرَتُهُ كَانَتْ خَيْرًا لَكُمْ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bookmarkStart w:id="158" w:name="pg2523_39913"/>
    </w:p>
    <w:p>
      <w:pPr>
        <w:pStyle w:val="BookText"/>
        <w:rPr/>
      </w:pPr>
      <w:bookmarkEnd w:id="158"/>
      <w:r>
        <w:rPr>
          <w:rFonts w:ascii="IRNazanin" w:hAnsi="IRNazanin" w:eastAsia="IRNazanin"/>
          <w:color w:val="111111"/>
          <w:sz w:val="28"/>
          <w:sz w:val="28"/>
          <w:szCs w:val="28"/>
          <w:rtl w:val="true"/>
          <w:lang w:bidi="fa-IR"/>
        </w:rPr>
        <w:t xml:space="preserve">و أنت إذا أحطت خبرًا بهذه الأحاديث، و اطلعت على ما فيها من القرائن و الإشارات و ظاهر العبارات انكشف لك ما حققناه في هذه المسألة، من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كأهل الحرب في جواز السبي و غيره، و لكن جاءَ العفو عنهم و المن عليهم من جهة السبى إلى أن يقوم قائمنا علیه السلام محاماة عن الشيعة</w:t>
      </w:r>
      <w:r>
        <w:rPr>
          <w:rFonts w:eastAsia="IRNazanin" w:cs="IRNazanin"/>
          <w:color w:val="111111"/>
          <w:sz w:val="28"/>
          <w:szCs w:val="28"/>
          <w:rtl w:val="true"/>
          <w:lang w:bidi="fa-IR"/>
        </w:rPr>
        <w:t>.</w:t>
      </w:r>
    </w:p>
    <w:p>
      <w:pPr>
        <w:pStyle w:val="Heading3"/>
        <w:numPr>
          <w:ilvl w:val="2"/>
          <w:numId w:val="1"/>
        </w:numPr>
        <w:rPr/>
      </w:pPr>
      <w:bookmarkStart w:id="159" w:name="__RefHeading___Toc4264908_3804643083"/>
      <w:bookmarkStart w:id="160" w:name="_Toc52"/>
      <w:bookmarkEnd w:id="159"/>
      <w:r>
        <w:rPr>
          <w:rtl w:val="true"/>
        </w:rPr>
        <w:t>[</w:t>
      </w:r>
      <w:r>
        <w:rPr>
          <w:rtl w:val="true"/>
        </w:rPr>
        <w:t>تحقيق الإذن في أموالهم وقتالهم</w:t>
      </w:r>
      <w:r>
        <w:rPr>
          <w:rtl w:val="true"/>
        </w:rPr>
        <w:t>]</w:t>
      </w:r>
      <w:bookmarkEnd w:id="160"/>
    </w:p>
    <w:p>
      <w:pPr>
        <w:pStyle w:val="BookText"/>
        <w:rPr/>
      </w:pPr>
      <w:r>
        <w:rPr>
          <w:rFonts w:ascii="Amiri" w:hAnsi="Amiri" w:eastAsia="Amiri" w:cs="Amiri"/>
          <w:color w:val="111111"/>
          <w:sz w:val="28"/>
          <w:sz w:val="28"/>
          <w:szCs w:val="28"/>
          <w:rtl w:val="true"/>
          <w:lang w:bidi="ar-SA"/>
        </w:rPr>
        <w:t>و هذه الأخبار و إن كان ظهر من بعضها المن عليهم في أموالهم كَسَبيهِم، إلا أن الظاهر من أخبار كثيرة الإذن في أموالهم في هذا الزمن، و كذا الحكم بالنسبة إلى قتالهم، إلّا أنَّه مخصوص بوقتِ ارتفاعِ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خبرُ إسحاق بن عمار،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يَمْلِكُهُ النَّاصِبُ حَلَالٌ إِلَّا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أَنَّا نَخَافُ عَلَيْكُمْ أَنْ يُقْتَلَ رَجُلٌ مِنْكُمْ بِرَجُلٍ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مِنْكُمْ خَيْرٌ مِنْ أَلْفِ رَجُلٍ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لَأَمَرْنَاكُمْ بِالْقَتْلِ لهُمْ، و َلَكِنَّ ذَلِكَ إِلَى ذَلِكَ الْإِمَامِ علیه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يستنبط من هذه الرواية أن جواز قتلهم مخصوص بحضورهم و إذنهم، و قد عرفت أنَّ الأخبار جاءت بالإذن </w:t>
      </w:r>
      <w:r>
        <w:rPr>
          <w:rStyle w:val="FootnoteAnchor"/>
          <w:rtl w:val="true"/>
        </w:rPr>
        <w:footnoteReference w:id="2007"/>
      </w:r>
      <w:r>
        <w:rPr>
          <w:rFonts w:ascii="Amiri" w:hAnsi="Amiri" w:eastAsia="Amiri" w:cs="Amiri"/>
          <w:color w:val="111111"/>
          <w:sz w:val="28"/>
          <w:sz w:val="28"/>
          <w:szCs w:val="28"/>
          <w:rtl w:val="true"/>
          <w:lang w:bidi="ar-SA"/>
        </w:rPr>
        <w:t xml:space="preserve">في حال غيبتهم كحال حضورهم، فلعل </w:t>
      </w:r>
      <w:r>
        <w:rPr>
          <w:rStyle w:val="FootnoteAnchor"/>
          <w:rtl w:val="true"/>
        </w:rPr>
        <w:footnoteReference w:id="2008"/>
      </w:r>
      <w:r>
        <w:rPr>
          <w:rFonts w:ascii="Amiri" w:hAnsi="Amiri" w:eastAsia="Amiri" w:cs="Amiri"/>
          <w:color w:val="111111"/>
          <w:sz w:val="28"/>
          <w:sz w:val="28"/>
          <w:szCs w:val="28"/>
          <w:rtl w:val="true"/>
          <w:lang w:bidi="ar-SA"/>
        </w:rPr>
        <w:t>هذا مخصوص بزمنِ التَّقيَّةِ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يدلُّ عليه صحيحة الفضل بن شاذان المروية في العيون عن الرّضا علیه السلام ، أنَّه قال في حديث طويل </w:t>
      </w:r>
      <w:r>
        <w:rPr>
          <w:rStyle w:val="FootnoteAnchor"/>
          <w:rtl w:val="true"/>
        </w:rPr>
        <w:footnoteReference w:id="20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يَحِلُّ قَتْلُ أَحَدٍ مِنَ النُّصَّابِ وَالْكُفَّارِ </w:t>
      </w:r>
      <w:r>
        <w:rPr>
          <w:rStyle w:val="FootnoteAnchor"/>
          <w:rtl w:val="true"/>
        </w:rPr>
        <w:footnoteReference w:id="2010"/>
      </w:r>
      <w:r>
        <w:rPr>
          <w:rFonts w:ascii="Amiri" w:hAnsi="Amiri" w:eastAsia="Amiri" w:cs="Amiri"/>
          <w:color w:val="111111"/>
          <w:sz w:val="28"/>
          <w:sz w:val="28"/>
          <w:szCs w:val="28"/>
          <w:rtl w:val="true"/>
          <w:lang w:bidi="ar-SA"/>
        </w:rPr>
        <w:t xml:space="preserve">فِي دَارِ التَّقِيَّةِ إِلَا قَاتِلُ أَوْ سَاعِ فِي </w:t>
      </w:r>
      <w:r>
        <w:rPr>
          <w:rStyle w:val="FootnoteAnchor"/>
          <w:rtl w:val="true"/>
        </w:rPr>
        <w:footnoteReference w:id="2011"/>
      </w:r>
      <w:r>
        <w:rPr>
          <w:rFonts w:ascii="Amiri" w:hAnsi="Amiri" w:eastAsia="Amiri" w:cs="Amiri"/>
          <w:color w:val="111111"/>
          <w:sz w:val="28"/>
          <w:sz w:val="28"/>
          <w:szCs w:val="28"/>
          <w:rtl w:val="true"/>
          <w:lang w:bidi="ar-SA"/>
        </w:rPr>
        <w:t xml:space="preserve">فَسَادٍ، وَ ذَلِكَ إِذَا لَم تَخَفْ عَلَى نَفْسِكَ أَوْ </w:t>
      </w:r>
      <w:r>
        <w:rPr>
          <w:rStyle w:val="FootnoteAnchor"/>
          <w:rtl w:val="true"/>
        </w:rPr>
        <w:footnoteReference w:id="2012"/>
      </w:r>
      <w:r>
        <w:rPr>
          <w:rFonts w:ascii="Amiri" w:hAnsi="Amiri" w:eastAsia="Amiri" w:cs="Amiri"/>
          <w:color w:val="111111"/>
          <w:sz w:val="28"/>
          <w:sz w:val="28"/>
          <w:szCs w:val="28"/>
          <w:rtl w:val="true"/>
          <w:lang w:bidi="ar-SA"/>
        </w:rPr>
        <w:t>عَلَى أَصْحَابِكَ</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كتاب قرب الإسنادِ عن الريّانِ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الْعَبَّاسِي يُسْمِعُنِي فِيْكَ و َيَذْكُرَكَ شَيْئًا </w:t>
      </w:r>
      <w:r>
        <w:rPr>
          <w:rStyle w:val="FootnoteAnchor"/>
          <w:rtl w:val="true"/>
        </w:rPr>
        <w:footnoteReference w:id="2014"/>
      </w:r>
      <w:r>
        <w:rPr>
          <w:rFonts w:ascii="Amiri" w:hAnsi="Amiri" w:eastAsia="Amiri" w:cs="Amiri"/>
          <w:color w:val="111111"/>
          <w:sz w:val="28"/>
          <w:sz w:val="28"/>
          <w:szCs w:val="28"/>
          <w:rtl w:val="true"/>
          <w:lang w:bidi="ar-SA"/>
        </w:rPr>
        <w:t xml:space="preserve">كَثِيراً </w:t>
      </w:r>
      <w:r>
        <w:rPr>
          <w:rStyle w:val="FootnoteAnchor"/>
          <w:rtl w:val="true"/>
        </w:rPr>
        <w:footnoteReference w:id="2015"/>
      </w:r>
      <w:r>
        <w:rPr>
          <w:rFonts w:ascii="Amiri" w:hAnsi="Amiri" w:eastAsia="Amiri" w:cs="Amiri"/>
          <w:color w:val="111111"/>
          <w:sz w:val="28"/>
          <w:sz w:val="28"/>
          <w:szCs w:val="28"/>
          <w:rtl w:val="true"/>
          <w:lang w:bidi="ar-SA"/>
        </w:rPr>
        <w:t xml:space="preserve">، و َهُوَ كَثِيرًا مَا يَنَامُ عِنْدِي و َيُقِيْلُ </w:t>
      </w:r>
      <w:r>
        <w:rPr>
          <w:rStyle w:val="FootnoteAnchor"/>
          <w:rtl w:val="true"/>
        </w:rPr>
        <w:footnoteReference w:id="2016"/>
      </w:r>
      <w:r>
        <w:rPr>
          <w:rFonts w:ascii="Amiri" w:hAnsi="Amiri" w:eastAsia="Amiri" w:cs="Amiri"/>
          <w:color w:val="111111"/>
          <w:sz w:val="28"/>
          <w:sz w:val="28"/>
          <w:szCs w:val="28"/>
          <w:rtl w:val="true"/>
          <w:lang w:bidi="ar-SA"/>
        </w:rPr>
        <w:t xml:space="preserve">، فَتَرَى أَنْ آخذَ بِحَلْقِهِ وَ أَعْصِرْهُ حَتَّى يَمُوْتَ، ثُمَّ أَقُوْلُ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Style w:val="FootnoteAnchor"/>
          <w:rtl w:val="true"/>
        </w:rPr>
        <w:footnoteReference w:id="2017"/>
      </w:r>
      <w:r>
        <w:rPr>
          <w:rFonts w:ascii="Amiri" w:hAnsi="Amiri" w:eastAsia="Amiri" w:cs="Amiri"/>
          <w:color w:val="111111"/>
          <w:sz w:val="28"/>
          <w:sz w:val="28"/>
          <w:szCs w:val="28"/>
          <w:rtl w:val="true"/>
          <w:lang w:bidi="ar-SA"/>
        </w:rPr>
        <w:t xml:space="preserve">فَجَأَةٍ؟ فَقَامَ علیه السلام و َنَفَضَ يَدَهُ </w:t>
      </w:r>
      <w:r>
        <w:rPr>
          <w:rStyle w:val="FootnoteAnchor"/>
          <w:rtl w:val="true"/>
        </w:rPr>
        <w:footnoteReference w:id="2018"/>
      </w:r>
      <w:r>
        <w:rPr>
          <w:rFonts w:ascii="Amiri" w:hAnsi="Amiri" w:eastAsia="Amiri" w:cs="Amiri"/>
          <w:color w:val="111111"/>
          <w:sz w:val="28"/>
          <w:sz w:val="28"/>
          <w:szCs w:val="28"/>
          <w:rtl w:val="true"/>
          <w:lang w:bidi="ar-SA"/>
        </w:rPr>
        <w:t xml:space="preserve">ثَلَاثًا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رَيَّانُ، لَا يَا 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رَيَّانُ</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سَهْلٍ هُوَ ذَا يُوَاجِهُنِي إِلَى الْعِرَاقِ فِي أَمْوَالِهِ، وَ العَبَّاسِيُّ خَارِجٌ مِنْ </w:t>
      </w:r>
      <w:r>
        <w:rPr>
          <w:rStyle w:val="FootnoteAnchor"/>
          <w:rtl w:val="true"/>
        </w:rPr>
        <w:footnoteReference w:id="2020"/>
      </w:r>
      <w:r>
        <w:rPr>
          <w:rFonts w:ascii="Amiri" w:hAnsi="Amiri" w:eastAsia="Amiri" w:cs="Amiri"/>
          <w:color w:val="111111"/>
          <w:sz w:val="28"/>
          <w:sz w:val="28"/>
          <w:szCs w:val="28"/>
          <w:rtl w:val="true"/>
          <w:lang w:bidi="ar-SA"/>
        </w:rPr>
        <w:t>بَعْدِيْ بِأَيَّامٍ إِلَى الْعِرَاقِ، فَتَرَى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أَقُوْلَ لِموَالِيْكَ الْمُقِيمِيْنَ </w:t>
      </w:r>
      <w:r>
        <w:rPr>
          <w:rStyle w:val="FootnoteAnchor"/>
          <w:rtl w:val="true"/>
        </w:rPr>
        <w:footnoteReference w:id="2021"/>
      </w:r>
      <w:r>
        <w:rPr>
          <w:rFonts w:ascii="Amiri" w:hAnsi="Amiri" w:eastAsia="Amiri" w:cs="Amiri"/>
          <w:color w:val="111111"/>
          <w:sz w:val="28"/>
          <w:sz w:val="28"/>
          <w:szCs w:val="28"/>
          <w:rtl w:val="true"/>
          <w:lang w:bidi="ar-SA"/>
        </w:rPr>
        <w:t xml:space="preserve">أَنْ </w:t>
      </w:r>
      <w:r>
        <w:rPr>
          <w:rStyle w:val="FootnoteAnchor"/>
          <w:rtl w:val="true"/>
        </w:rPr>
        <w:footnoteReference w:id="2022"/>
      </w:r>
      <w:r>
        <w:rPr>
          <w:rFonts w:ascii="Amiri" w:hAnsi="Amiri" w:eastAsia="Amiri" w:cs="Amiri"/>
          <w:color w:val="111111"/>
          <w:sz w:val="28"/>
          <w:sz w:val="28"/>
          <w:szCs w:val="28"/>
          <w:rtl w:val="true"/>
          <w:lang w:bidi="ar-SA"/>
        </w:rPr>
        <w:t xml:space="preserve">يَخْرُجَ مِنْهُمْ عِشْرُونَ وَ ثَلَاثُونَ </w:t>
      </w:r>
      <w:r>
        <w:rPr>
          <w:rStyle w:val="FootnoteAnchor"/>
          <w:rtl w:val="true"/>
        </w:rPr>
        <w:footnoteReference w:id="2023"/>
      </w:r>
      <w:r>
        <w:rPr>
          <w:rFonts w:ascii="Amiri" w:hAnsi="Amiri" w:eastAsia="Amiri" w:cs="Amiri"/>
          <w:color w:val="111111"/>
          <w:sz w:val="28"/>
          <w:sz w:val="28"/>
          <w:szCs w:val="28"/>
          <w:rtl w:val="true"/>
          <w:lang w:bidi="ar-SA"/>
        </w:rPr>
        <w:t xml:space="preserve">رَجُلًا </w:t>
      </w:r>
      <w:r>
        <w:rPr>
          <w:rStyle w:val="FootnoteAnchor"/>
          <w:rtl w:val="true"/>
        </w:rPr>
        <w:footnoteReference w:id="2024"/>
      </w:r>
      <w:r>
        <w:rPr>
          <w:rFonts w:ascii="Amiri" w:hAnsi="Amiri" w:eastAsia="Amiri" w:cs="Amiri"/>
          <w:color w:val="111111"/>
          <w:sz w:val="28"/>
          <w:sz w:val="28"/>
          <w:szCs w:val="28"/>
          <w:rtl w:val="true"/>
          <w:lang w:bidi="ar-SA"/>
        </w:rPr>
        <w:t xml:space="preserve">،كَأَنَّهُمْ قَاطِعُوْ طَرِيْقٍ أَوْ صَعَالِيْكُ، فَإِذَا اجْتَازَ بِهِمْ قَتَلُوهُ </w:t>
      </w:r>
      <w:r>
        <w:rPr>
          <w:rStyle w:val="FootnoteAnchor"/>
          <w:rtl w:val="true"/>
        </w:rPr>
        <w:footnoteReference w:id="2025"/>
      </w:r>
      <w:r>
        <w:rPr>
          <w:rFonts w:ascii="Amiri" w:hAnsi="Amiri" w:eastAsia="Amiri" w:cs="Amiri"/>
          <w:color w:val="111111"/>
          <w:sz w:val="28"/>
          <w:sz w:val="28"/>
          <w:szCs w:val="28"/>
          <w:rtl w:val="true"/>
          <w:lang w:bidi="ar-SA"/>
        </w:rPr>
        <w:t xml:space="preserve">، فَيُقَالُ قَتَلَهُ الصَّعَالِيْكُ؟ فَسَكَتَ علیه السلام و َلَمْ </w:t>
      </w:r>
      <w:r>
        <w:rPr>
          <w:rStyle w:val="FootnoteAnchor"/>
          <w:rtl w:val="true"/>
        </w:rPr>
        <w:footnoteReference w:id="2026"/>
      </w:r>
      <w:r>
        <w:rPr>
          <w:rFonts w:ascii="Amiri" w:hAnsi="Amiri" w:eastAsia="Amiri" w:cs="Amiri"/>
          <w:color w:val="111111"/>
          <w:sz w:val="28"/>
          <w:sz w:val="28"/>
          <w:szCs w:val="28"/>
          <w:rtl w:val="true"/>
          <w:lang w:bidi="ar-SA"/>
        </w:rPr>
        <w:t xml:space="preserve">يَقُلْ لِي نَعْم أَوْ </w:t>
      </w:r>
      <w:r>
        <w:rPr>
          <w:rStyle w:val="FootnoteAnchor"/>
          <w:rtl w:val="true"/>
        </w:rPr>
        <w:footnoteReference w:id="2027"/>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سبب النهي في الأوّل هو ظهور التقيَّة، و أنَّ ذلك الاحتيال مما لا </w:t>
      </w:r>
      <w:r>
        <w:rPr>
          <w:rStyle w:val="FootnoteAnchor"/>
          <w:rtl w:val="true"/>
        </w:rPr>
        <w:footnoteReference w:id="2029"/>
      </w:r>
      <w:r>
        <w:rPr>
          <w:rFonts w:ascii="Amiri" w:hAnsi="Amiri" w:eastAsia="Amiri" w:cs="Amiri"/>
          <w:color w:val="111111"/>
          <w:sz w:val="28"/>
          <w:sz w:val="28"/>
          <w:szCs w:val="28"/>
          <w:rtl w:val="true"/>
          <w:lang w:bidi="ar-SA"/>
        </w:rPr>
        <w:t>يزيلها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الثاني في السكوت هو التقيّة، فيدلُّ على الإباحة؛ لأنه لا تقيَّةَ في النهي </w:t>
      </w:r>
      <w:r>
        <w:rPr>
          <w:rStyle w:val="FootnoteAnchor"/>
          <w:rtl w:val="true"/>
        </w:rPr>
        <w:footnoteReference w:id="2030"/>
      </w:r>
      <w:r>
        <w:rPr>
          <w:rFonts w:ascii="IRNazanin" w:hAnsi="IRNazanin" w:eastAsia="IRNazanin"/>
          <w:color w:val="111111"/>
          <w:sz w:val="28"/>
          <w:sz w:val="28"/>
          <w:szCs w:val="28"/>
          <w:rtl w:val="true"/>
          <w:lang w:bidi="fa-IR"/>
        </w:rPr>
        <w:t>لو أراده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الناهية عن القتل و أخذ الأموال منهم إنّما صدرت تقية أو منا كما فعل على علیه السلام بأهل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فاستناد شارح المفاتيح في احترام أموالهم إلى تلك الأخبار غفلة واضحة؛ لإعلانها </w:t>
      </w:r>
      <w:r>
        <w:rPr>
          <w:rStyle w:val="FootnoteAnchor"/>
          <w:rtl w:val="true"/>
        </w:rPr>
        <w:footnoteReference w:id="2031"/>
      </w:r>
      <w:r>
        <w:rPr>
          <w:rFonts w:ascii="IRNazanin" w:hAnsi="IRNazanin" w:eastAsia="IRNazanin"/>
          <w:color w:val="111111"/>
          <w:sz w:val="28"/>
          <w:sz w:val="28"/>
          <w:szCs w:val="28"/>
          <w:rtl w:val="true"/>
          <w:lang w:bidi="fa-IR"/>
        </w:rPr>
        <w:t>بالمن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أين هو عن الأخبار التي جاءت في خصوص تلك الإباحة، مثل قولهم علیهم السلام في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المستفيض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مَالَ النَّاصِبِ أَيْنَمَا وَقَعْتَ وَادْفَعْ لَنَا الْخُمُسَ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التحقيق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أموالهم و دمائهم في زمن الغيبة دون سبيهم حيث لم تكن ثمّة تقيّة، و أن كل ما جاء عنهم بالأمر بالكف فسبيله إما </w:t>
      </w:r>
      <w:r>
        <w:rPr>
          <w:rStyle w:val="FootnoteAnchor"/>
          <w:rtl w:val="true"/>
        </w:rPr>
        <w:footnoteReference w:id="2034"/>
      </w:r>
      <w:r>
        <w:rPr>
          <w:rFonts w:ascii="Amiri" w:hAnsi="Amiri" w:eastAsia="Amiri" w:cs="Amiri"/>
          <w:color w:val="111111"/>
          <w:sz w:val="28"/>
          <w:sz w:val="28"/>
          <w:szCs w:val="28"/>
          <w:rtl w:val="true"/>
          <w:lang w:bidi="ar-SA"/>
        </w:rPr>
        <w:t>التقية منهم أو خوفًا على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العالم بالصواب، و هو مرجع الأحكام في كلّ باب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2523_39918"/>
      <w:bookmarkStart w:id="162" w:name="pg2523_39918"/>
      <w:bookmarkEnd w:id="162"/>
    </w:p>
    <w:p>
      <w:pPr>
        <w:pStyle w:val="Heading2"/>
        <w:numPr>
          <w:ilvl w:val="1"/>
          <w:numId w:val="1"/>
        </w:numPr>
        <w:rPr/>
      </w:pPr>
      <w:bookmarkStart w:id="163" w:name="pg2523_39918"/>
      <w:bookmarkStart w:id="164" w:name="__RefHeading___Toc4264910_3804643083"/>
      <w:bookmarkStart w:id="165" w:name="_Toc53"/>
      <w:bookmarkEnd w:id="163"/>
      <w:bookmarkEnd w:id="164"/>
      <w:r>
        <w:rPr>
          <w:rtl w:val="true"/>
        </w:rPr>
        <w:t xml:space="preserve">المسألة السابعة </w:t>
      </w:r>
      <w:r>
        <w:rPr>
          <w:rtl w:val="true"/>
        </w:rPr>
        <w:t>: [</w:t>
      </w:r>
      <w:r>
        <w:rPr>
          <w:rtl w:val="true"/>
        </w:rPr>
        <w:t>حكم الوضوء قبل الأغسال</w:t>
      </w:r>
      <w:r>
        <w:rPr>
          <w:rtl w:val="true"/>
        </w:rPr>
        <w:t>]</w:t>
      </w:r>
      <w:bookmarkEnd w:id="165"/>
    </w:p>
    <w:p>
      <w:pPr>
        <w:pStyle w:val="Heading3"/>
        <w:numPr>
          <w:ilvl w:val="2"/>
          <w:numId w:val="1"/>
        </w:numPr>
        <w:rPr/>
      </w:pPr>
      <w:bookmarkStart w:id="166" w:name="__RefHeading___Toc4264912_3804643083"/>
      <w:bookmarkStart w:id="167" w:name="_Toc54"/>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المسألة السابعة </w:t>
      </w:r>
      <w:r>
        <w:rPr>
          <w:rStyle w:val="FootnoteAnchor"/>
          <w:rtl w:val="true"/>
        </w:rPr>
        <w:footnoteReference w:id="2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الوضوء قبل الأغسال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حفظه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الوضوء قبل غسل الجمعة و سائر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عندكم أم لا؟</w:t>
      </w:r>
    </w:p>
    <w:p>
      <w:pPr>
        <w:pStyle w:val="BookText"/>
        <w:rPr/>
      </w:pPr>
      <w:r>
        <w:rPr>
          <w:rFonts w:ascii="IRNazanin" w:hAnsi="IRNazanin" w:eastAsia="IRNazanin"/>
          <w:color w:val="111111"/>
          <w:sz w:val="28"/>
          <w:sz w:val="28"/>
          <w:szCs w:val="28"/>
          <w:rtl w:val="true"/>
          <w:lang w:bidi="fa-IR"/>
        </w:rPr>
        <w:t>الجواب و منه سبحانه استمداد الصواب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أكثر الأصحاب هو بدعية الوضوء مع الجنابة، و في غيرها من أغسال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باللزوم والإيجاب </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الشيخ في كتاب </w:t>
      </w:r>
      <w:r>
        <w:rPr>
          <w:rStyle w:val="FootnoteAnchor"/>
          <w:rtl w:val="true"/>
        </w:rPr>
        <w:footnoteReference w:id="2038"/>
      </w:r>
      <w:r>
        <w:rPr>
          <w:rFonts w:ascii="Amiri" w:hAnsi="Amiri" w:eastAsia="Amiri" w:cs="Amiri"/>
          <w:color w:val="111111"/>
          <w:sz w:val="28"/>
          <w:sz w:val="28"/>
          <w:szCs w:val="28"/>
          <w:rtl w:val="true"/>
          <w:lang w:bidi="ar-SA"/>
        </w:rPr>
        <w:t xml:space="preserve">الأخبار إلى استحبابه مع الجنابة،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غسل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اللزوم و الإيجاب كما عليه الأصحاب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 xml:space="preserve">. </w:t>
      </w:r>
      <w:bookmarkStart w:id="168" w:name="pg2523_39919"/>
    </w:p>
    <w:p>
      <w:pPr>
        <w:pStyle w:val="BookText"/>
        <w:rPr/>
      </w:pPr>
      <w:bookmarkEnd w:id="168"/>
      <w:r>
        <w:rPr>
          <w:rFonts w:ascii="Amiri" w:hAnsi="Amiri" w:eastAsia="Amiri" w:cs="Amiri"/>
          <w:color w:val="111111"/>
          <w:sz w:val="28"/>
          <w:sz w:val="28"/>
          <w:szCs w:val="28"/>
          <w:rtl w:val="true"/>
          <w:lang w:bidi="ar-SA"/>
        </w:rPr>
        <w:t xml:space="preserve">و أخبار الأئمة الغرر أكثرها ناطق بالبدعية في الجنابة كما عليه الأكثر، و لا حاجة إلى التعرض لها و لا لما جاء بإزائها </w:t>
      </w:r>
      <w:r>
        <w:rPr>
          <w:rStyle w:val="FootnoteAnchor"/>
          <w:rtl w:val="true"/>
        </w:rPr>
        <w:footnoteReference w:id="2040"/>
      </w:r>
      <w:r>
        <w:rPr>
          <w:rFonts w:ascii="IRNazanin" w:hAnsi="IRNazanin" w:eastAsia="IRNazanin"/>
          <w:color w:val="111111"/>
          <w:sz w:val="28"/>
          <w:sz w:val="28"/>
          <w:szCs w:val="28"/>
          <w:rtl w:val="true"/>
          <w:lang w:bidi="fa-IR"/>
        </w:rPr>
        <w:t>؛ لأنها لا تعلق بها بالسؤال</w:t>
      </w:r>
    </w:p>
    <w:p>
      <w:p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غيرها من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فالأكثر منها دال على نفي الإيجاب، بل هو شاهد ببدعية البعدية </w:t>
      </w:r>
      <w:r>
        <w:rPr>
          <w:rStyle w:val="FootnoteAnchor"/>
          <w:rtl w:val="true"/>
        </w:rPr>
        <w:footnoteReference w:id="2041"/>
      </w:r>
      <w:r>
        <w:rPr>
          <w:rFonts w:ascii="Amiri" w:hAnsi="Amiri" w:eastAsia="Amiri" w:cs="Amiri"/>
          <w:color w:val="111111"/>
          <w:sz w:val="28"/>
          <w:sz w:val="28"/>
          <w:szCs w:val="28"/>
          <w:rtl w:val="true"/>
          <w:lang w:bidi="ar-SA"/>
        </w:rPr>
        <w:t>، متعارض في رجحان القبلية، إلا أن الظاهر منها</w:t>
      </w:r>
    </w:p>
    <w:p>
      <w:pPr>
        <w:pStyle w:val="BookText"/>
        <w:rPr/>
      </w:pPr>
      <w:r>
        <w:rPr>
          <w:rFonts w:ascii="Amiri" w:hAnsi="Amiri" w:eastAsia="Amiri" w:cs="Amiri"/>
          <w:color w:val="111111"/>
          <w:sz w:val="28"/>
          <w:sz w:val="28"/>
          <w:szCs w:val="28"/>
          <w:rtl w:val="true"/>
          <w:lang w:bidi="ar-SA"/>
        </w:rPr>
        <w:t>نفي الوجوب كما هو مرتضى المرتضى ومختار الفاضل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إلى حججهم على التفصيل و نذكر ما ظهر لدينا من الدليل، فنقول</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264914_3804643083"/>
      <w:bookmarkStart w:id="170" w:name="_Toc55"/>
      <w:bookmarkEnd w:id="169"/>
      <w:r>
        <w:rPr>
          <w:rtl w:val="true"/>
        </w:rPr>
        <w:t>[</w:t>
      </w:r>
      <w:r>
        <w:rPr>
          <w:rtl w:val="true"/>
        </w:rPr>
        <w:t>القول بالوجوب فيها سوى الجنابة و أدلته و مناقشته</w:t>
      </w:r>
      <w:r>
        <w:rPr>
          <w:rtl w:val="true"/>
        </w:rPr>
        <w:t>]</w:t>
      </w:r>
      <w:bookmarkEnd w:id="170"/>
    </w:p>
    <w:p>
      <w:pPr>
        <w:pStyle w:val="BookText"/>
        <w:rPr/>
      </w:pPr>
      <w:r>
        <w:rPr>
          <w:rFonts w:ascii="Amiri" w:hAnsi="Amiri" w:eastAsia="Amiri" w:cs="Amiri"/>
          <w:color w:val="111111"/>
          <w:sz w:val="28"/>
          <w:sz w:val="28"/>
          <w:szCs w:val="28"/>
          <w:rtl w:val="true"/>
          <w:lang w:bidi="ar-SA"/>
        </w:rPr>
        <w:t>احتج الأكثر على الإيجاب فيما سوى الجنابة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فَاطَهَرُوا</w:t>
      </w:r>
      <w:r>
        <w:rPr>
          <w:rStyle w:val="FootnoteAnchor"/>
          <w:rtl w:val="true"/>
        </w:rPr>
        <w:footnoteReference w:id="2042"/>
      </w:r>
      <w:r>
        <w:rPr>
          <w:rFonts w:ascii="Amiri" w:hAnsi="Amiri" w:eastAsia="Amiri" w:cs="Amiri"/>
          <w:color w:val="111111"/>
          <w:sz w:val="28"/>
          <w:sz w:val="28"/>
          <w:szCs w:val="28"/>
          <w:rtl w:val="true"/>
          <w:lang w:bidi="ar-SA"/>
        </w:rPr>
        <w:t>، أي اغتسلوا، فإنه يفهم منه بقرينة المقابلة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بمرسل ابن أبي </w:t>
      </w:r>
      <w:r>
        <w:rPr>
          <w:rStyle w:val="FootnoteAnchor"/>
          <w:rtl w:val="true"/>
        </w:rPr>
        <w:footnoteReference w:id="2043"/>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أورده شيخ التهذيبين تارة </w:t>
      </w:r>
      <w:r>
        <w:rPr>
          <w:rStyle w:val="FootnoteAnchor"/>
          <w:rtl w:val="true"/>
        </w:rPr>
        <w:footnoteReference w:id="2044"/>
      </w:r>
      <w:r>
        <w:rPr>
          <w:rFonts w:ascii="Amiri" w:hAnsi="Amiri" w:eastAsia="Amiri" w:cs="Amiri"/>
          <w:color w:val="111111"/>
          <w:sz w:val="28"/>
          <w:sz w:val="28"/>
          <w:szCs w:val="28"/>
          <w:rtl w:val="true"/>
          <w:lang w:bidi="ar-SA"/>
        </w:rPr>
        <w:t xml:space="preserve">بطريق </w:t>
      </w:r>
    </w:p>
    <w:p>
      <w:pPr>
        <w:pStyle w:val="BookText"/>
        <w:rPr/>
      </w:pPr>
      <w:r>
        <w:rPr>
          <w:rFonts w:ascii="Amiri" w:hAnsi="Amiri" w:eastAsia="Amiri" w:cs="Amiri"/>
          <w:color w:val="111111"/>
          <w:sz w:val="28"/>
          <w:sz w:val="28"/>
          <w:szCs w:val="28"/>
          <w:rtl w:val="true"/>
          <w:lang w:bidi="ar-SA"/>
        </w:rPr>
        <w:t xml:space="preserve">صحيح </w:t>
      </w:r>
      <w:r>
        <w:rPr>
          <w:rStyle w:val="FootnoteAnchor"/>
          <w:rtl w:val="true"/>
        </w:rPr>
        <w:footnoteReference w:id="2045"/>
      </w:r>
      <w:r>
        <w:rPr>
          <w:rFonts w:ascii="IRNazanin" w:hAnsi="IRNazanin" w:eastAsia="IRNazanin"/>
          <w:color w:val="111111"/>
          <w:sz w:val="28"/>
          <w:sz w:val="28"/>
          <w:szCs w:val="28"/>
          <w:rtl w:val="true"/>
          <w:lang w:bidi="fa-IR"/>
        </w:rPr>
        <w:t xml:space="preserve">إلى ابن </w:t>
      </w:r>
      <w:r>
        <w:rPr>
          <w:rStyle w:val="FootnoteAnchor"/>
          <w:rtl w:val="true"/>
        </w:rPr>
        <w:footnoteReference w:id="2046"/>
      </w:r>
      <w:r>
        <w:rPr>
          <w:rFonts w:ascii="Amiri" w:hAnsi="Amiri" w:eastAsia="Amiri" w:cs="Amiri"/>
          <w:color w:val="111111"/>
          <w:sz w:val="28"/>
          <w:sz w:val="28"/>
          <w:szCs w:val="28"/>
          <w:rtl w:val="true"/>
          <w:lang w:bidi="ar-SA"/>
        </w:rPr>
        <w:t xml:space="preserve">أبي عمير عن رجل صح </w:t>
      </w:r>
      <w:r>
        <w:rPr>
          <w:rStyle w:val="FootnoteAnchor"/>
          <w:rtl w:val="true"/>
        </w:rPr>
        <w:footnoteReference w:id="2047"/>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غُسْل قَبْلَهُ 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أخرى عنه بطريق صحيح </w:t>
      </w:r>
      <w:r>
        <w:rPr>
          <w:rStyle w:val="FootnoteAnchor"/>
          <w:rtl w:val="true"/>
        </w:rPr>
        <w:footnoteReference w:id="2049"/>
      </w:r>
      <w:r>
        <w:rPr>
          <w:rFonts w:ascii="IRNazanin" w:hAnsi="IRNazanin" w:eastAsia="IRNazanin"/>
          <w:color w:val="111111"/>
          <w:sz w:val="28"/>
          <w:sz w:val="28"/>
          <w:szCs w:val="28"/>
          <w:rtl w:val="true"/>
          <w:lang w:bidi="fa-IR"/>
        </w:rPr>
        <w:t>عن حماد بن عثمان أو غيره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كُلِّ غُسْل </w:t>
      </w:r>
      <w:r>
        <w:rPr>
          <w:rStyle w:val="FootnoteAnchor"/>
          <w:rtl w:val="true"/>
        </w:rPr>
        <w:footnoteReference w:id="2050"/>
      </w:r>
      <w:r>
        <w:rPr>
          <w:rFonts w:ascii="Amiri" w:hAnsi="Amiri" w:eastAsia="Amiri" w:cs="Amiri"/>
          <w:color w:val="111111"/>
          <w:sz w:val="28"/>
          <w:sz w:val="28"/>
          <w:szCs w:val="28"/>
          <w:rtl w:val="true"/>
          <w:lang w:bidi="ar-SA"/>
        </w:rPr>
        <w:t xml:space="preserve">وُضُوْء إِلَّا الجَنَابَةُ </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وعزا العلامة </w:t>
      </w:r>
      <w:r>
        <w:rPr>
          <w:rStyle w:val="FootnoteAnchor"/>
          <w:rtl w:val="true"/>
        </w:rPr>
        <w:footnoteReference w:id="2052"/>
      </w:r>
      <w:r>
        <w:rPr>
          <w:rFonts w:ascii="Amiri" w:hAnsi="Amiri" w:eastAsia="Amiri" w:cs="Amiri"/>
          <w:color w:val="111111"/>
          <w:sz w:val="28"/>
          <w:sz w:val="28"/>
          <w:szCs w:val="28"/>
          <w:rtl w:val="true"/>
          <w:lang w:bidi="ar-SA"/>
        </w:rPr>
        <w:t xml:space="preserve">في المختلف الرواية بالطريق </w:t>
      </w:r>
      <w:r>
        <w:rPr>
          <w:rStyle w:val="FootnoteAnchor"/>
          <w:rtl w:val="true"/>
        </w:rPr>
        <w:footnoteReference w:id="2053"/>
      </w:r>
      <w:r>
        <w:rPr>
          <w:rFonts w:ascii="Amiri" w:hAnsi="Amiri" w:eastAsia="Amiri" w:cs="Amiri"/>
          <w:color w:val="111111"/>
          <w:sz w:val="28"/>
          <w:sz w:val="28"/>
          <w:szCs w:val="28"/>
          <w:rtl w:val="true"/>
          <w:lang w:bidi="ar-SA"/>
        </w:rPr>
        <w:t>الثاني إلى حماد وحده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جعلها من الحسن </w:t>
      </w:r>
      <w:r>
        <w:rPr>
          <w:rStyle w:val="FootnoteAnchor"/>
          <w:rtl w:val="true"/>
        </w:rPr>
        <w:footnoteReference w:id="2054"/>
      </w:r>
      <w:r>
        <w:rPr>
          <w:rFonts w:ascii="Amiri" w:hAnsi="Amiri" w:eastAsia="Amiri" w:cs="Amiri"/>
          <w:color w:val="111111"/>
          <w:sz w:val="28"/>
          <w:sz w:val="28"/>
          <w:szCs w:val="28"/>
          <w:rtl w:val="true"/>
          <w:lang w:bidi="ar-SA"/>
        </w:rPr>
        <w:t xml:space="preserve">، و قلده في ذلك شهيد الذكرى </w:t>
      </w:r>
      <w:r>
        <w:rPr>
          <w:rStyle w:val="FootnoteAnchor"/>
          <w:rtl w:val="true"/>
        </w:rPr>
        <w:footnoteReference w:id="2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قد عرفت أن الراوي </w:t>
      </w:r>
      <w:r>
        <w:rPr>
          <w:rStyle w:val="FootnoteAnchor"/>
          <w:rtl w:val="true"/>
        </w:rPr>
        <w:footnoteReference w:id="2056"/>
      </w:r>
      <w:r>
        <w:rPr>
          <w:rFonts w:ascii="Amiri" w:hAnsi="Amiri" w:eastAsia="Amiri" w:cs="Amiri"/>
          <w:color w:val="111111"/>
          <w:sz w:val="28"/>
          <w:sz w:val="28"/>
          <w:szCs w:val="28"/>
          <w:rtl w:val="true"/>
          <w:lang w:bidi="ar-SA"/>
        </w:rPr>
        <w:t>هو حماد أو غيره، و أن الطريق إليه صحيح لا حسن كما اعترف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هو نفسه في وضوء الميت من </w:t>
      </w:r>
      <w:r>
        <w:rPr>
          <w:rStyle w:val="FootnoteAnchor"/>
          <w:rtl w:val="true"/>
        </w:rPr>
        <w:footnoteReference w:id="2057"/>
      </w:r>
      <w:r>
        <w:rPr>
          <w:rFonts w:ascii="IRNazanin" w:hAnsi="IRNazanin" w:eastAsia="IRNazanin"/>
          <w:color w:val="111111"/>
          <w:sz w:val="28"/>
          <w:sz w:val="28"/>
          <w:szCs w:val="28"/>
          <w:rtl w:val="true"/>
          <w:lang w:bidi="fa-IR"/>
        </w:rPr>
        <w:t xml:space="preserve">المختلف </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أن يكون الحماد خبر حسن غير المذكور في التهذيبين </w:t>
      </w:r>
      <w:r>
        <w:rPr>
          <w:rStyle w:val="FootnoteAnchor"/>
          <w:rtl w:val="true"/>
        </w:rPr>
        <w:footnoteReference w:id="2059"/>
      </w:r>
      <w:r>
        <w:rPr>
          <w:rFonts w:ascii="Amiri" w:hAnsi="Amiri" w:eastAsia="Amiri" w:cs="Amiri"/>
          <w:color w:val="111111"/>
          <w:sz w:val="28"/>
          <w:sz w:val="28"/>
          <w:szCs w:val="28"/>
          <w:rtl w:val="true"/>
          <w:lang w:bidi="ar-SA"/>
        </w:rPr>
        <w:t>بعيد جدًا؛ إذ لم نظفر عليه في شيء من الأصول، و لا نقله ناقل غير من أخذه بوهمه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من توهماته، و قد جرى له في كتبه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علي بن اليقطين عن أبي الحسن الأول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w:t>
      </w:r>
    </w:p>
    <w:p>
      <w:pPr>
        <w:pStyle w:val="BookText"/>
        <w:rPr/>
      </w:pPr>
      <w:r>
        <w:rPr>
          <w:rFonts w:ascii="Amiri" w:hAnsi="Amiri" w:eastAsia="Amiri" w:cs="Amiri"/>
          <w:color w:val="111111"/>
          <w:sz w:val="28"/>
          <w:sz w:val="28"/>
          <w:szCs w:val="28"/>
          <w:rtl w:val="true"/>
          <w:lang w:bidi="ar-SA"/>
        </w:rPr>
        <w:t xml:space="preserve">تَغْتَسِلَ لِلْجُمُعَةِ فَتَوَضَّأَ ثُمَّ </w:t>
      </w:r>
      <w:r>
        <w:rPr>
          <w:rStyle w:val="FootnoteAnchor"/>
          <w:rtl w:val="true"/>
        </w:rPr>
        <w:footnoteReference w:id="2060"/>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الشيخ على اضافة غسل الميت لها في ذلك الحكم بعموم المرسل المتقدم و خصوص أخبار الميت، كصحيحة </w:t>
      </w:r>
      <w:r>
        <w:rPr>
          <w:rStyle w:val="FootnoteAnchor"/>
          <w:rtl w:val="true"/>
        </w:rPr>
        <w:footnoteReference w:id="2062"/>
      </w:r>
      <w:r>
        <w:rPr>
          <w:rFonts w:ascii="Amiri" w:hAnsi="Amiri" w:eastAsia="Amiri" w:cs="Amiri"/>
          <w:color w:val="111111"/>
          <w:sz w:val="28"/>
          <w:sz w:val="28"/>
          <w:szCs w:val="28"/>
          <w:rtl w:val="true"/>
          <w:lang w:bidi="ar-SA"/>
        </w:rPr>
        <w:t>حريز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يُبْدَأُ بِفَرْجهِ ثُمَّ يُوَضَّأُ وُضُوْءَ الصَّلَاةِ </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 أبي خيثمة </w:t>
      </w:r>
      <w:r>
        <w:rPr>
          <w:rStyle w:val="FootnoteAnchor"/>
          <w:rtl w:val="true"/>
        </w:rPr>
        <w:footnoteReference w:id="2064"/>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أَمَرَي أَنْ أُغَسْلَهُ إِذَا 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فَتَغْسِلُ يَدَيْهِ ثُمَّ تُوضیْهِ وُضُوْءَ الصَّلَاةِ</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خبر عبدالله بن عبيد </w:t>
      </w:r>
      <w:r>
        <w:rPr>
          <w:rStyle w:val="FootnoteAnchor"/>
          <w:rtl w:val="true"/>
        </w:rPr>
        <w:footnoteReference w:id="2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غُسْلِ</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تَطْرَحُ </w:t>
      </w:r>
      <w:r>
        <w:rPr>
          <w:rStyle w:val="FootnoteAnchor"/>
          <w:rtl w:val="true"/>
        </w:rPr>
        <w:footnoteReference w:id="2067"/>
      </w:r>
      <w:r>
        <w:rPr>
          <w:rFonts w:ascii="Amiri" w:hAnsi="Amiri" w:eastAsia="Amiri" w:cs="Amiri"/>
          <w:color w:val="111111"/>
          <w:sz w:val="28"/>
          <w:sz w:val="28"/>
          <w:szCs w:val="28"/>
          <w:rtl w:val="true"/>
          <w:lang w:bidi="ar-SA"/>
        </w:rPr>
        <w:t xml:space="preserve">عَلَيْهِ خِرقةً ثُمَّ تَغْسِلُ </w:t>
      </w:r>
      <w:r>
        <w:rPr>
          <w:rStyle w:val="FootnoteAnchor"/>
          <w:rtl w:val="true"/>
        </w:rPr>
        <w:footnoteReference w:id="2068"/>
      </w:r>
      <w:r>
        <w:rPr>
          <w:rFonts w:ascii="Amiri" w:hAnsi="Amiri" w:eastAsia="Amiri" w:cs="Amiri"/>
          <w:color w:val="111111"/>
          <w:sz w:val="28"/>
          <w:sz w:val="28"/>
          <w:szCs w:val="28"/>
          <w:rtl w:val="true"/>
          <w:lang w:bidi="ar-SA"/>
        </w:rPr>
        <w:t xml:space="preserve">فَرْجَهُ ثُمَّ تُوَضّيْهِ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خبرين مشتملين على ذكر التوضية بالأشنان أو بما فيه سدر بعد عصر البطن و غمزه </w:t>
      </w:r>
      <w:r>
        <w:rPr>
          <w:rStyle w:val="FootnoteAnchor"/>
          <w:rtl w:val="true"/>
        </w:rPr>
        <w:footnoteReference w:id="2071"/>
      </w:r>
      <w:r>
        <w:rPr>
          <w:rFonts w:ascii="Amiri" w:hAnsi="Amiri" w:eastAsia="Amiri" w:cs="Amiri"/>
          <w:color w:val="111111"/>
          <w:sz w:val="28"/>
          <w:sz w:val="28"/>
          <w:szCs w:val="28"/>
          <w:rtl w:val="true"/>
          <w:lang w:bidi="ar-SA"/>
        </w:rPr>
        <w:t>أعرضنا عنهما في هذا المقام؛ لإعلانهما بغسل المخرج دون الوضوء الشرعي فلا يكونان من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خدش هذا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الآية فتدفع بأن المقابلة و التفصيل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اقتضى قطع شركة الوضوء للطهارة المفسرة بالأغسال في من كان جنبا، اقتضى قطع مشاركتها له فيمن لم يكن جنبًا، فيلزم نفي الغسل عمن ليس بجنب و إن كان حائضا أو نفساء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يقتض قطع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بظاهر الآية مشاركةُ الوضوء للغسل، إلا أن يقال بنفيه معه جوازا أو وجوبًا بدليل خارجي، فيكون نفيها في غيره أيضًا جاء بدليل خارجي كما سنبرهن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الأولى في الآية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أن الجنب مأمور بالاغتسال، و غيره مأمور بالوضوء، و امتثال كل منهما ما أمر به يقتضي الإجزاء </w:t>
      </w:r>
      <w:r>
        <w:rPr>
          <w:rStyle w:val="FootnoteAnchor"/>
          <w:rtl w:val="true"/>
        </w:rPr>
        <w:footnoteReference w:id="2072"/>
      </w:r>
      <w:r>
        <w:rPr>
          <w:rFonts w:ascii="IRNazanin" w:hAnsi="IRNazanin" w:eastAsia="IRNazanin"/>
          <w:color w:val="111111"/>
          <w:sz w:val="28"/>
          <w:sz w:val="28"/>
          <w:szCs w:val="28"/>
          <w:rtl w:val="true"/>
          <w:lang w:bidi="fa-IR"/>
        </w:rPr>
        <w:t xml:space="preserve">، و </w:t>
      </w:r>
      <w:r>
        <w:rPr>
          <w:rStyle w:val="FootnoteAnchor"/>
          <w:rtl w:val="true"/>
        </w:rPr>
        <w:footnoteReference w:id="2073"/>
      </w:r>
      <w:r>
        <w:rPr>
          <w:rFonts w:ascii="IRNazanin" w:hAnsi="IRNazanin" w:eastAsia="IRNazanin"/>
          <w:color w:val="111111"/>
          <w:sz w:val="28"/>
          <w:sz w:val="28"/>
          <w:szCs w:val="28"/>
          <w:rtl w:val="true"/>
          <w:lang w:bidi="fa-IR"/>
        </w:rPr>
        <w:t>ما سوى ذلك صير اليه بدليل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ورد عنهم علیهم السلام أن الوضوء فريضة ، و أن غسل الجنابة فريضة و ما سواه من الأغسال سنة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 حيث ورد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التهذيب و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w:t>
      </w:r>
      <w:r>
        <w:rPr>
          <w:rStyle w:val="FootnoteAnchor"/>
          <w:rtl w:val="true"/>
        </w:rPr>
        <w:footnoteReference w:id="2075"/>
      </w:r>
      <w:r>
        <w:rPr>
          <w:rFonts w:ascii="IRNazanin" w:hAnsi="IRNazanin" w:eastAsia="IRNazanin"/>
          <w:color w:val="111111"/>
          <w:sz w:val="28"/>
          <w:sz w:val="28"/>
          <w:szCs w:val="28"/>
          <w:rtl w:val="true"/>
          <w:lang w:bidi="fa-IR"/>
        </w:rPr>
        <w:t xml:space="preserve">بكير عن الصادق علیه السلام تفسير القيام فيها بالقيام من النوم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و تفسير العياشي،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وجب لا تخصيص المأمور بالوضوء بالمحدث حدثًا أصغر إن جعلنا ذكر النوم فيها تمثيلا، و بالمحدث بالنوم إن خصصناها بموردها، فلا تدل على أن من كان محدثًا حدثًا أكبر أو حدثا غير النوم مأمور فيها بشيء من الوضوء، لا منفردًا و لا مع ضميمة الغسل، و إنما استفيد من دليل خارجي، و للبحث في ذلك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الحاصل أن الآية لا دلالة فيها على الشمول و العموم كما بني عليه الاستدلال، ومع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Style w:val="FootnoteAnchor"/>
          <w:rtl w:val="true"/>
        </w:rPr>
        <w:footnoteReference w:id="2077"/>
      </w:r>
      <w:r>
        <w:rPr>
          <w:rFonts w:ascii="Amiri" w:hAnsi="Amiri" w:eastAsia="Amiri" w:cs="Amiri"/>
          <w:color w:val="111111"/>
          <w:sz w:val="28"/>
          <w:sz w:val="28"/>
          <w:szCs w:val="28"/>
          <w:rtl w:val="true"/>
          <w:lang w:bidi="ar-SA"/>
        </w:rPr>
        <w:t>مخصوصة بما نورده من نصوص أهل الخصوص الدالة على أن المغتسل مطلقا لا وضوء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إرسال الأولى و عدم دلالتها على الوجوب، و ضعف سند الثانية و اختصاصها 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موافقتان لعامة العامة على ما يظهر من علامة المنتهى </w:t>
      </w:r>
      <w:r>
        <w:rPr>
          <w:rStyle w:val="FootnoteAnchor"/>
          <w:rtl w:val="true"/>
        </w:rPr>
        <w:footnoteReference w:id="2078"/>
      </w:r>
      <w:r>
        <w:rPr>
          <w:rFonts w:ascii="Amiri" w:hAnsi="Amiri" w:eastAsia="Amiri" w:cs="Amiri"/>
          <w:color w:val="111111"/>
          <w:sz w:val="28"/>
          <w:sz w:val="28"/>
          <w:szCs w:val="28"/>
          <w:rtl w:val="true"/>
          <w:lang w:bidi="ar-SA"/>
        </w:rPr>
        <w:t>؛ فيتجه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سلامتها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فيها على نفي الوضوء في غسل الميت و اختصاصه بالحي، بل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بالعموم، فأنى لهم و الاستدلال به على الوجوب في غسل الحي و إلغاء دلالته في الميت كما وقع للفاضلين و ثاني الشهيدين </w:t>
      </w: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ما هذا إلا تحكم في البين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غاية الأمر أن الآية و خبر ابن يقطين لا يدلان على الميت، و لا ضير فيه؛ فإن تلك الأخبار قد أعلنت بوجوبه و هي واردة في مقام البيان و لا ينافيها غيرها، إذ لا يشترط الإتيان بالأحكام كلها في خبر واحد، بل يكفي وجود جميعها في جميعها كما هو معلوم من أحاديثهم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يقال لما اشتمل على حكمين أو ثلاثة أنه مناقض </w:t>
      </w:r>
      <w:r>
        <w:rPr>
          <w:rStyle w:val="FootnoteAnchor"/>
          <w:rtl w:val="true"/>
        </w:rPr>
        <w:footnoteReference w:id="2080"/>
      </w:r>
      <w:r>
        <w:rPr>
          <w:rFonts w:ascii="Amiri" w:hAnsi="Amiri" w:eastAsia="Amiri" w:cs="Amiri"/>
          <w:color w:val="111111"/>
          <w:sz w:val="28"/>
          <w:sz w:val="28"/>
          <w:szCs w:val="28"/>
          <w:rtl w:val="true"/>
          <w:lang w:bidi="ar-SA"/>
        </w:rPr>
        <w:t xml:space="preserve">لما اشتمل على الأقل من ذلك مع خلوه عما ينافيها، مع أن ذلك بعينه وارد </w:t>
      </w:r>
      <w:r>
        <w:rPr>
          <w:rStyle w:val="FootnoteAnchor"/>
          <w:rtl w:val="true"/>
        </w:rPr>
        <w:footnoteReference w:id="2081"/>
      </w:r>
      <w:r>
        <w:rPr>
          <w:rFonts w:ascii="Amiri" w:hAnsi="Amiri" w:eastAsia="Amiri" w:cs="Amiri"/>
          <w:color w:val="111111"/>
          <w:sz w:val="28"/>
          <w:sz w:val="28"/>
          <w:szCs w:val="28"/>
          <w:rtl w:val="true"/>
          <w:lang w:bidi="ar-SA"/>
        </w:rPr>
        <w:t>عليهم في</w:t>
      </w:r>
    </w:p>
    <w:p>
      <w:pPr>
        <w:pStyle w:val="BookText"/>
        <w:rPr/>
      </w:pPr>
      <w:r>
        <w:rPr>
          <w:rFonts w:ascii="Amiri" w:hAnsi="Amiri" w:eastAsia="Amiri" w:cs="Amiri"/>
          <w:color w:val="111111"/>
          <w:sz w:val="28"/>
          <w:sz w:val="28"/>
          <w:szCs w:val="28"/>
          <w:rtl w:val="true"/>
          <w:lang w:bidi="ar-SA"/>
        </w:rPr>
        <w:t xml:space="preserve">أخبار الحي، فإنها </w:t>
      </w:r>
      <w:r>
        <w:rPr>
          <w:rStyle w:val="FootnoteAnchor"/>
          <w:rtl w:val="true"/>
        </w:rPr>
        <w:footnoteReference w:id="2082"/>
      </w:r>
      <w:r>
        <w:rPr>
          <w:rFonts w:ascii="Amiri" w:hAnsi="Amiri" w:eastAsia="Amiri" w:cs="Amiri"/>
          <w:color w:val="111111"/>
          <w:sz w:val="28"/>
          <w:sz w:val="28"/>
          <w:szCs w:val="28"/>
          <w:rtl w:val="true"/>
          <w:lang w:bidi="ar-SA"/>
        </w:rPr>
        <w:t xml:space="preserve">مع استفاضتها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خالية عن ذكر الوضوء و ليس في شيء منها ما يشعر به لا تصريحا و لا تلويحا، فكيف التجشم على الوجوب فيه و التوقف في الميت؟ ما هذا إلا غفلة شديدة، فلو عكس الأمر </w:t>
      </w:r>
      <w:r>
        <w:rPr>
          <w:rStyle w:val="FootnoteAnchor"/>
          <w:rtl w:val="true"/>
        </w:rPr>
        <w:footnoteReference w:id="2083"/>
      </w:r>
      <w:r>
        <w:rPr>
          <w:rFonts w:ascii="Amiri" w:hAnsi="Amiri" w:eastAsia="Amiri" w:cs="Amiri"/>
          <w:color w:val="111111"/>
          <w:sz w:val="28"/>
          <w:sz w:val="28"/>
          <w:szCs w:val="28"/>
          <w:rtl w:val="true"/>
          <w:lang w:bidi="ar-SA"/>
        </w:rPr>
        <w:t>لكان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أخبار وضوء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ما سوى 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احتمال الاستحباب </w:t>
      </w:r>
      <w:r>
        <w:rPr>
          <w:rStyle w:val="FootnoteAnchor"/>
          <w:rtl w:val="true"/>
        </w:rPr>
        <w:footnoteReference w:id="2084"/>
      </w:r>
      <w:r>
        <w:rPr>
          <w:rFonts w:ascii="Amiri" w:hAnsi="Amiri" w:eastAsia="Amiri" w:cs="Amiri"/>
          <w:color w:val="111111"/>
          <w:sz w:val="28"/>
          <w:sz w:val="28"/>
          <w:szCs w:val="28"/>
          <w:rtl w:val="true"/>
          <w:lang w:bidi="ar-SA"/>
        </w:rPr>
        <w:t xml:space="preserve">قائم؛ لخلو كثير من أخبار غسل </w:t>
      </w:r>
      <w:r>
        <w:rPr>
          <w:rStyle w:val="FootnoteAnchor"/>
          <w:rtl w:val="true"/>
        </w:rPr>
        <w:footnoteReference w:id="2085"/>
      </w:r>
      <w:r>
        <w:rPr>
          <w:rFonts w:ascii="Amiri" w:hAnsi="Amiri" w:eastAsia="Amiri" w:cs="Amiri"/>
          <w:color w:val="111111"/>
          <w:sz w:val="28"/>
          <w:sz w:val="28"/>
          <w:szCs w:val="28"/>
          <w:rtl w:val="true"/>
          <w:lang w:bidi="ar-SA"/>
        </w:rPr>
        <w:t xml:space="preserve">الميت عنه </w:t>
      </w:r>
      <w:r>
        <w:rPr>
          <w:rStyle w:val="FootnoteAnchor"/>
          <w:rtl w:val="true"/>
        </w:rPr>
        <w:footnoteReference w:id="2086"/>
      </w:r>
      <w:r>
        <w:rPr>
          <w:rFonts w:ascii="Amiri" w:hAnsi="Amiri" w:eastAsia="Amiri" w:cs="Amiri"/>
          <w:color w:val="111111"/>
          <w:sz w:val="28"/>
          <w:sz w:val="28"/>
          <w:szCs w:val="28"/>
          <w:rtl w:val="true"/>
          <w:lang w:bidi="ar-SA"/>
        </w:rPr>
        <w:t>، مع أنها قد جاءت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أخبار ثبوته في الميت موافقة للعامة، فيتجه </w:t>
      </w:r>
      <w:r>
        <w:rPr>
          <w:rStyle w:val="FootnoteAnchor"/>
          <w:rtl w:val="true"/>
        </w:rPr>
        <w:footnoteReference w:id="2087"/>
      </w:r>
      <w:r>
        <w:rPr>
          <w:rFonts w:ascii="Amiri" w:hAnsi="Amiri" w:eastAsia="Amiri" w:cs="Amiri"/>
          <w:color w:val="111111"/>
          <w:sz w:val="28"/>
          <w:sz w:val="28"/>
          <w:szCs w:val="28"/>
          <w:rtl w:val="true"/>
          <w:lang w:bidi="ar-SA"/>
        </w:rPr>
        <w:t>فيها الحمل على التقية فتطرح؛ لتلك القاعدة الكلية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يعقوب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عَنْ غُسْلِ المَيِّتِ أَفِيْهِ وُضُوْءُ </w:t>
      </w:r>
      <w:r>
        <w:rPr>
          <w:rStyle w:val="FootnoteAnchor"/>
          <w:rtl w:val="true"/>
        </w:rPr>
        <w:footnoteReference w:id="2088"/>
      </w:r>
      <w:r>
        <w:rPr>
          <w:rFonts w:ascii="Amiri" w:hAnsi="Amiri" w:eastAsia="Amiri" w:cs="Amiri"/>
          <w:color w:val="111111"/>
          <w:sz w:val="28"/>
          <w:sz w:val="28"/>
          <w:szCs w:val="28"/>
          <w:rtl w:val="true"/>
          <w:lang w:bidi="ar-SA"/>
        </w:rPr>
        <w:t>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تَبْدَأُ بِمَرَافِقِهِ، فَيُغْسَلُ بِالحرْضِ </w:t>
      </w:r>
      <w:r>
        <w:rPr>
          <w:rStyle w:val="FootnoteAnchor"/>
          <w:rtl w:val="true"/>
        </w:rPr>
        <w:footnoteReference w:id="2089"/>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 xml:space="preserve">. </w:t>
      </w:r>
      <w:bookmarkStart w:id="171" w:name="pg2523_39926"/>
    </w:p>
    <w:p>
      <w:pPr>
        <w:pStyle w:val="BookText"/>
        <w:rPr/>
      </w:pPr>
      <w:bookmarkEnd w:id="171"/>
      <w:r>
        <w:rPr>
          <w:rFonts w:ascii="Amiri" w:hAnsi="Amiri" w:eastAsia="Amiri" w:cs="Amiri"/>
          <w:color w:val="111111"/>
          <w:sz w:val="28"/>
          <w:sz w:val="28"/>
          <w:szCs w:val="28"/>
          <w:rtl w:val="true"/>
          <w:lang w:bidi="ar-SA"/>
        </w:rPr>
        <w:t xml:space="preserve">يُغْسَلُ وَجْهُهُ وَ رَأْسُهُ بِالسِّدْرِ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يَغْسِلُ الَّذِي غَسَلَهُ يَدَهُ </w:t>
      </w:r>
      <w:r>
        <w:rPr>
          <w:rStyle w:val="FootnoteAnchor"/>
          <w:rtl w:val="true"/>
        </w:rPr>
        <w:footnoteReference w:id="2090"/>
      </w:r>
      <w:r>
        <w:rPr>
          <w:rFonts w:ascii="Amiri" w:hAnsi="Amiri" w:eastAsia="Amiri" w:cs="Amiri"/>
          <w:color w:val="111111"/>
          <w:sz w:val="28"/>
          <w:sz w:val="28"/>
          <w:szCs w:val="28"/>
          <w:rtl w:val="true"/>
          <w:lang w:bidi="ar-SA"/>
        </w:rPr>
        <w:t xml:space="preserve">مِنْ قَبْل أَنْ يُكَفِّنَهُ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المُنكَبَيْن ثَلاثَ مَرَّاتٍ</w:t>
      </w:r>
      <w:r>
        <w:rPr>
          <w:rFonts w:eastAsia="Amiri" w:cs="Amiri" w:ascii="Amiri" w:hAnsi="Amiri"/>
          <w:color w:val="111111"/>
          <w:sz w:val="28"/>
          <w:szCs w:val="28"/>
          <w:rtl w:val="true"/>
          <w:lang w:bidi="ar-SA"/>
        </w:rPr>
        <w:t xml:space="preserve">] </w:t>
      </w:r>
      <w:r>
        <w:rPr>
          <w:rStyle w:val="FootnoteAnchor"/>
          <w:rtl w:val="true"/>
        </w:rPr>
        <w:footnoteReference w:id="2091"/>
      </w:r>
      <w:r>
        <w:rPr>
          <w:rFonts w:ascii="Amiri" w:hAnsi="Amiri" w:eastAsia="Amiri" w:cs="Amiri"/>
          <w:color w:val="111111"/>
          <w:sz w:val="28"/>
          <w:sz w:val="28"/>
          <w:szCs w:val="28"/>
          <w:rtl w:val="true"/>
          <w:lang w:bidi="ar-SA"/>
        </w:rPr>
        <w:t>، ثُمَّ إِذَا كَفَّنَهُ اغْتَسَلَ</w:t>
      </w:r>
      <w:r>
        <w:rPr>
          <w:rFonts w:eastAsia="Amiri" w:cs="Amiri" w:ascii="Amiri" w:hAnsi="Amiri"/>
          <w:color w:val="111111"/>
          <w:sz w:val="28"/>
          <w:szCs w:val="28"/>
          <w:rtl w:val="true"/>
          <w:lang w:bidi="ar-SA"/>
        </w:rPr>
        <w:t xml:space="preserve">» </w:t>
      </w:r>
      <w:r>
        <w:rPr>
          <w:rStyle w:val="FootnoteAnchor"/>
          <w:rtl w:val="true"/>
        </w:rPr>
        <w:footnoteReference w:id="2092"/>
      </w:r>
      <w:r>
        <w:rPr>
          <w:rFonts w:ascii="IRNazanin" w:hAnsi="IRNazanin" w:eastAsia="IRNazanin"/>
          <w:color w:val="111111"/>
          <w:sz w:val="28"/>
          <w:sz w:val="28"/>
          <w:szCs w:val="28"/>
          <w:rtl w:val="true"/>
          <w:lang w:bidi="fa-IR"/>
        </w:rPr>
        <w:t xml:space="preserve">إيماء إلى ذلك؛ فإن إعراضه علیه السلام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هو المسؤول عنه – و إجابته بما يدل على نفيه تلويحا، حيث ابتدأ بذكر </w:t>
      </w:r>
      <w:r>
        <w:rPr>
          <w:rStyle w:val="FootnoteAnchor"/>
          <w:rtl w:val="true"/>
        </w:rPr>
        <w:footnoteReference w:id="2093"/>
      </w:r>
      <w:r>
        <w:rPr>
          <w:rFonts w:ascii="Amiri" w:hAnsi="Amiri" w:eastAsia="Amiri" w:cs="Amiri"/>
          <w:color w:val="111111"/>
          <w:sz w:val="28"/>
          <w:sz w:val="28"/>
          <w:szCs w:val="28"/>
          <w:rtl w:val="true"/>
          <w:lang w:bidi="ar-SA"/>
        </w:rPr>
        <w:t>الغسل مثنيا بالتكفين، غير متعرض لذكر الوضوء في مقام التبيين، فهو كالتصريح في ذلك</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264916_3804643083"/>
      <w:bookmarkStart w:id="173" w:name="_Toc56"/>
      <w:bookmarkEnd w:id="172"/>
      <w:r>
        <w:rPr>
          <w:rtl w:val="true"/>
        </w:rPr>
        <w:t>[</w:t>
      </w:r>
      <w:r>
        <w:rPr>
          <w:rtl w:val="true"/>
        </w:rPr>
        <w:t>القول بنفي الوجوب مطلقا و أدلته و مناقشتها</w:t>
      </w:r>
      <w:r>
        <w:rPr>
          <w:rtl w:val="true"/>
        </w:rPr>
        <w:t>]</w:t>
      </w:r>
      <w:bookmarkEnd w:id="173"/>
    </w:p>
    <w:p>
      <w:pPr>
        <w:pStyle w:val="BookText"/>
        <w:rPr/>
      </w:pPr>
      <w:r>
        <w:rPr>
          <w:rFonts w:ascii="Amiri" w:hAnsi="Amiri" w:eastAsia="Amiri" w:cs="Amiri"/>
          <w:color w:val="111111"/>
          <w:sz w:val="28"/>
          <w:sz w:val="28"/>
          <w:szCs w:val="28"/>
          <w:rtl w:val="true"/>
          <w:lang w:bidi="ar-SA"/>
        </w:rPr>
        <w:t xml:space="preserve">و احتج النافون للوجوب فيها مطلقا بأمور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أجزأ مطلق الغسل عن الجنابة أجزأ عن الوضوء، و المقدم </w:t>
      </w:r>
      <w:r>
        <w:rPr>
          <w:rStyle w:val="FootnoteAnchor"/>
          <w:rtl w:val="true"/>
        </w:rPr>
        <w:footnoteReference w:id="2095"/>
      </w:r>
      <w:r>
        <w:rPr>
          <w:rFonts w:ascii="Amiri" w:hAnsi="Amiri" w:eastAsia="Amiri" w:cs="Amiri"/>
          <w:color w:val="111111"/>
          <w:sz w:val="28"/>
          <w:sz w:val="28"/>
          <w:szCs w:val="28"/>
          <w:rtl w:val="true"/>
          <w:lang w:bidi="ar-SA"/>
        </w:rPr>
        <w:t>حق؛ لما ثبت في الأخبار الكثيرة من إجزاء مطلق الغسل عن الجنابة،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الملازمة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أريد باللازم إجزاء مطلق الغسل عن الوضوء على الإطلاق، أي في حال سبب وجوب الجنابة و عدمه، إذ ليس إجزاء مطلق الغسل عن الوضوء في جميع أوضاع إجزائه عن غسل الجنابة، و ليس وضع عدم سبب الجنابة من </w:t>
      </w:r>
    </w:p>
    <w:p>
      <w:pPr>
        <w:pStyle w:val="BookText"/>
        <w:rPr/>
      </w:pPr>
      <w:r>
        <w:rPr>
          <w:rFonts w:ascii="Amiri" w:hAnsi="Amiri" w:eastAsia="Amiri" w:cs="Amiri"/>
          <w:color w:val="111111"/>
          <w:sz w:val="28"/>
          <w:sz w:val="28"/>
          <w:szCs w:val="28"/>
          <w:rtl w:val="true"/>
          <w:lang w:bidi="ar-SA"/>
        </w:rPr>
        <w:t>تلك الأوضاع؛ إذ الإجزاء عن شيء فرع وجوده الموقوف على وجود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إجزاؤه عنه مقيدًا بحال وجود سبب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أخص من الدعوى، أو يمكن إصلاحه بتغيير بيان الملازمة،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أجزأ مطلق الغسل عن غسل الجنابة لو جامعه كان مجزيًا عن الوضوء لو جامعه؛ لأن المعنى المقدم رفعه لحدث يرتفع برفعه ما الوضوء رافعه، فلا يحتاج إلى الوضوء، و هو معنى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الإجزاء عن الأقوى يقتضي الإجزاء عن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فيهما معا تأمل؛ لعدم ظهورهما من </w:t>
      </w:r>
      <w:r>
        <w:rPr>
          <w:rStyle w:val="FootnoteAnchor"/>
          <w:rtl w:val="true"/>
        </w:rPr>
        <w:footnoteReference w:id="2096"/>
      </w:r>
      <w:r>
        <w:rPr>
          <w:rFonts w:ascii="Amiri" w:hAnsi="Amiri" w:eastAsia="Amiri" w:cs="Amiri"/>
          <w:color w:val="111111"/>
          <w:sz w:val="28"/>
          <w:sz w:val="28"/>
          <w:szCs w:val="28"/>
          <w:rtl w:val="true"/>
          <w:lang w:bidi="ar-SA"/>
        </w:rPr>
        <w:t xml:space="preserve">الملازمة، فالأولى الإعراض عن مثل هذه الاستدلالات بالكلية، و الرجوع في </w:t>
      </w:r>
      <w:r>
        <w:rPr>
          <w:rStyle w:val="FootnoteAnchor"/>
          <w:rtl w:val="true"/>
        </w:rPr>
        <w:footnoteReference w:id="2097"/>
      </w:r>
      <w:r>
        <w:rPr>
          <w:rFonts w:ascii="Amiri" w:hAnsi="Amiri" w:eastAsia="Amiri" w:cs="Amiri"/>
          <w:color w:val="111111"/>
          <w:sz w:val="28"/>
          <w:sz w:val="28"/>
          <w:szCs w:val="28"/>
          <w:rtl w:val="true"/>
          <w:lang w:bidi="ar-SA"/>
        </w:rPr>
        <w:t>ذلك إلى الأخبار المعصومية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أشرنا إليها، كصحيحة </w:t>
      </w:r>
      <w:r>
        <w:rPr>
          <w:rStyle w:val="FootnoteAnchor"/>
          <w:rtl w:val="true"/>
        </w:rPr>
        <w:footnoteReference w:id="2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مسلم عن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يُجْزِي عَنِ الْوُضُوْءِ، وَأَيُّ وُضُوْءٍ أَطْهَرُ مِنَ الْغُسْلِ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موثقة عمار الساباطي </w:t>
      </w:r>
      <w:r>
        <w:rPr>
          <w:rStyle w:val="FootnoteAnchor"/>
          <w:rtl w:val="true"/>
        </w:rPr>
        <w:footnoteReference w:id="2099"/>
      </w:r>
      <w:r>
        <w:rPr>
          <w:rFonts w:ascii="IRNazanin" w:hAnsi="IRNazanin" w:eastAsia="IRNazanin"/>
          <w:color w:val="111111"/>
          <w:sz w:val="28"/>
          <w:sz w:val="28"/>
          <w:szCs w:val="28"/>
          <w:rtl w:val="true"/>
          <w:lang w:bidi="fa-IR"/>
        </w:rPr>
        <w:t xml:space="preserve">عن الصادق </w:t>
      </w:r>
      <w:r>
        <w:rPr>
          <w:rStyle w:val="FootnoteAnchor"/>
          <w:rtl w:val="true"/>
        </w:rPr>
        <w:footnoteReference w:id="2100"/>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w:t>
      </w:r>
      <w:r>
        <w:rPr>
          <w:rStyle w:val="FootnoteAnchor"/>
          <w:rtl w:val="true"/>
        </w:rPr>
        <w:footnoteReference w:id="2101"/>
      </w:r>
      <w:r>
        <w:rPr>
          <w:rFonts w:ascii="Amiri" w:hAnsi="Amiri" w:eastAsia="Amiri" w:cs="Amiri"/>
          <w:color w:val="111111"/>
          <w:sz w:val="28"/>
          <w:sz w:val="28"/>
          <w:szCs w:val="28"/>
          <w:rtl w:val="true"/>
          <w:lang w:bidi="ar-SA"/>
        </w:rPr>
        <w:t xml:space="preserve">اغْتَسَلَ مِنَ الْجَنَابَةِ </w:t>
      </w:r>
      <w:r>
        <w:rPr>
          <w:rStyle w:val="FootnoteAnchor"/>
          <w:rtl w:val="true"/>
        </w:rPr>
        <w:footnoteReference w:id="2102"/>
      </w:r>
      <w:r>
        <w:rPr>
          <w:rFonts w:ascii="Amiri" w:hAnsi="Amiri" w:eastAsia="Amiri" w:cs="Amiri"/>
          <w:color w:val="111111"/>
          <w:sz w:val="28"/>
          <w:sz w:val="28"/>
          <w:szCs w:val="28"/>
          <w:rtl w:val="true"/>
          <w:lang w:bidi="ar-SA"/>
        </w:rPr>
        <w:t xml:space="preserve">أَوْ يَوْمَ الْجُمُعَةَ </w:t>
      </w:r>
      <w:r>
        <w:rPr>
          <w:rStyle w:val="FootnoteAnchor"/>
          <w:rtl w:val="true"/>
        </w:rPr>
        <w:footnoteReference w:id="2103"/>
      </w:r>
      <w:r>
        <w:rPr>
          <w:rFonts w:ascii="Amiri" w:hAnsi="Amiri" w:eastAsia="Amiri" w:cs="Amiri"/>
          <w:color w:val="111111"/>
          <w:sz w:val="28"/>
          <w:sz w:val="28"/>
          <w:szCs w:val="28"/>
          <w:rtl w:val="true"/>
          <w:lang w:bidi="ar-SA"/>
        </w:rPr>
        <w:t xml:space="preserve">أَوْ يَوْمَ عِيْدِ، هَلْ عَلَيْهِ الْوُضُوْءُ قَبْلَ ذَلِكَ أَوْ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104"/>
      </w:r>
      <w:r>
        <w:rPr>
          <w:rFonts w:ascii="Amiri" w:hAnsi="Amiri" w:eastAsia="Amiri" w:cs="Amiri"/>
          <w:color w:val="111111"/>
          <w:sz w:val="28"/>
          <w:sz w:val="28"/>
          <w:szCs w:val="28"/>
          <w:rtl w:val="true"/>
          <w:lang w:bidi="ar-SA"/>
        </w:rPr>
        <w:t xml:space="preserve">، لَيْسَ عَلَيْهِ شيءٌ قَبْلُ وَ لَا بَعْدُ، قَدْ </w:t>
      </w:r>
      <w:r>
        <w:rPr>
          <w:rStyle w:val="FootnoteAnchor"/>
          <w:rtl w:val="true"/>
        </w:rPr>
        <w:footnoteReference w:id="2105"/>
      </w:r>
      <w:r>
        <w:rPr>
          <w:rFonts w:ascii="Amiri" w:hAnsi="Amiri" w:eastAsia="Amiri" w:cs="Amiri"/>
          <w:color w:val="111111"/>
          <w:sz w:val="28"/>
          <w:sz w:val="28"/>
          <w:szCs w:val="28"/>
          <w:rtl w:val="true"/>
          <w:lang w:bidi="ar-SA"/>
        </w:rPr>
        <w:t>أَجْزَأَهُ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مِثْلُ ذَلِكَ إِذَا اغْتَسَلَتْ مِنْ حَيْضِ أَوْ غَيْرِ ذَلِكَ لَيْسَ </w:t>
      </w:r>
      <w:r>
        <w:rPr>
          <w:rStyle w:val="FootnoteAnchor"/>
          <w:rtl w:val="true"/>
        </w:rPr>
        <w:footnoteReference w:id="2106"/>
      </w:r>
      <w:r>
        <w:rPr>
          <w:rFonts w:ascii="Amiri" w:hAnsi="Amiri" w:eastAsia="Amiri" w:cs="Amiri"/>
          <w:color w:val="111111"/>
          <w:sz w:val="28"/>
          <w:sz w:val="28"/>
          <w:szCs w:val="28"/>
          <w:rtl w:val="true"/>
          <w:lang w:bidi="ar-SA"/>
        </w:rPr>
        <w:t xml:space="preserve">عَلَيْهَا وُضُوْءٌ قَبْلُ وَ لَا بَعْدُ، قَدْ </w:t>
      </w:r>
      <w:r>
        <w:rPr>
          <w:rStyle w:val="FootnoteAnchor"/>
          <w:rtl w:val="true"/>
        </w:rPr>
        <w:footnoteReference w:id="2107"/>
      </w:r>
      <w:r>
        <w:rPr>
          <w:rFonts w:ascii="Amiri" w:hAnsi="Amiri" w:eastAsia="Amiri" w:cs="Amiri"/>
          <w:color w:val="111111"/>
          <w:sz w:val="28"/>
          <w:sz w:val="28"/>
          <w:szCs w:val="28"/>
          <w:rtl w:val="true"/>
          <w:lang w:bidi="ar-SA"/>
        </w:rPr>
        <w:t xml:space="preserve">أَجْزَأَهَا الْغُسْلُ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ابراهيم بن محمد عن الهادي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مُحَمَّدُ ابنُ عَبْدِ الرَّحْمَنِ الْهَمَدَانِيُّ يَسْأَلُهُ عَن الوُضُوْءِ لِلصَّلَاةِ فِي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وُضُوْءَ لِلصَّلَاةِ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 xml:space="preserve">يَوْمِ الْجُمُعَةِ وَ لَا فِي غَيْرِه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خبر حماد بن عثمان عن رجل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w:t>
      </w:r>
      <w:r>
        <w:rPr>
          <w:rStyle w:val="FootnoteAnchor"/>
          <w:rtl w:val="true"/>
        </w:rPr>
        <w:footnoteReference w:id="2111"/>
      </w:r>
      <w:r>
        <w:rPr>
          <w:rFonts w:ascii="Amiri" w:hAnsi="Amiri" w:eastAsia="Amiri" w:cs="Amiri"/>
          <w:color w:val="111111"/>
          <w:sz w:val="28"/>
          <w:sz w:val="28"/>
          <w:szCs w:val="28"/>
          <w:rtl w:val="true"/>
          <w:lang w:bidi="ar-SA"/>
        </w:rPr>
        <w:t xml:space="preserve">الرَّجُل يَغْتَسِلُ يَوْمَ الْجُمُعَةِ أَوْ غَيْرِ ذَلِكَ، أَ يُجْزِيْهِ عَن الوُضُوْءِ؟ فَقَالَ علیه السلام </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وُضُوْءِ أَطْهَرُ مِنَ الْغُسْلِ </w:t>
      </w:r>
      <w:r>
        <w:rPr>
          <w:rFonts w:eastAsia="Amiri" w:cs="Amiri" w:ascii="Amiri" w:hAnsi="Amiri"/>
          <w:color w:val="111111"/>
          <w:sz w:val="28"/>
          <w:szCs w:val="28"/>
          <w:rtl w:val="true"/>
          <w:lang w:bidi="ar-SA"/>
        </w:rPr>
        <w:t>! »</w:t>
      </w:r>
      <w:r>
        <w:rPr>
          <w:rStyle w:val="FootnoteAnchor"/>
          <w:rtl w:val="true"/>
        </w:rPr>
        <w:footnoteReference w:id="2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الروايات </w:t>
      </w:r>
      <w:r>
        <w:rPr>
          <w:rStyle w:val="FootnoteAnchor"/>
          <w:rtl w:val="true"/>
        </w:rPr>
        <w:footnoteReference w:id="2114"/>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ذات </w:t>
      </w:r>
      <w:r>
        <w:rPr>
          <w:rStyle w:val="FootnoteAnchor"/>
          <w:rtl w:val="true"/>
        </w:rPr>
        <w:footnoteReference w:id="2115"/>
      </w:r>
      <w:r>
        <w:rPr>
          <w:rFonts w:ascii="Amiri" w:hAnsi="Amiri" w:eastAsia="Amiri" w:cs="Amiri"/>
          <w:color w:val="111111"/>
          <w:sz w:val="28"/>
          <w:sz w:val="28"/>
          <w:szCs w:val="28"/>
          <w:rtl w:val="true"/>
          <w:lang w:bidi="ar-SA"/>
        </w:rPr>
        <w:t xml:space="preserve">الدماء الثلاثة،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استفاضتها بل تواترها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الدلالة، ظاهرة المقالة في السقوط لا محالة؛ لورودها في مقام البيان المقتضي لذكره له لو كان له ثمة أثر وجوب بل و لو كان راجحا فيها، لتضمنها الغسل و الغسل بعده و مقابلته للوضوء في بعضه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زرارة </w:t>
      </w:r>
      <w:r>
        <w:rPr>
          <w:rStyle w:val="FootnoteAnchor"/>
          <w:rtl w:val="true"/>
        </w:rPr>
        <w:footnoteReference w:id="2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جَازَ الدَّمُ الْكُرْسُفَ تَعَصَّبَتْ وَ اغْتَسَلَتْ، ثُمَّ صَلَّتِ الْغَدَاةَ بِغُسْلِ، و َالظُّهْرَ وَ العَصْرَ بِغُسْلِ</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صحيحة عبد الله بن سنان </w:t>
      </w:r>
      <w:r>
        <w:rPr>
          <w:rStyle w:val="FootnoteAnchor"/>
          <w:rtl w:val="true"/>
        </w:rPr>
        <w:footnoteReference w:id="2119"/>
      </w:r>
      <w:r>
        <w:rPr>
          <w:rFonts w:ascii="Amiri" w:hAnsi="Amiri" w:eastAsia="Amiri" w:cs="Amiri"/>
          <w:color w:val="111111"/>
          <w:sz w:val="28"/>
          <w:sz w:val="28"/>
          <w:szCs w:val="28"/>
          <w:rtl w:val="true"/>
          <w:lang w:bidi="ar-SA"/>
        </w:rPr>
        <w:t xml:space="preserve">أن المستحاضة تغتسل عند صلاة الظهر و العصر، و تغتسل عند المغرب، و تصلي المغرب و العشاء، ثم تغتسل عند الصبح فتصلي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صحيحة حسين الصحاف </w:t>
      </w:r>
      <w:r>
        <w:rPr>
          <w:rStyle w:val="FootnoteAnchor"/>
          <w:rtl w:val="true"/>
        </w:rPr>
        <w:footnoteReference w:id="21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w:t>
      </w:r>
      <w:r>
        <w:rPr>
          <w:rStyle w:val="FootnoteAnchor"/>
          <w:rtl w:val="true"/>
        </w:rPr>
        <w:footnoteReference w:id="2122"/>
      </w:r>
      <w:r>
        <w:rPr>
          <w:rFonts w:ascii="Amiri" w:hAnsi="Amiri" w:eastAsia="Amiri" w:cs="Amiri"/>
          <w:color w:val="111111"/>
          <w:sz w:val="28"/>
          <w:sz w:val="28"/>
          <w:szCs w:val="28"/>
          <w:rtl w:val="true"/>
          <w:lang w:bidi="ar-SA"/>
        </w:rPr>
        <w:t xml:space="preserve">انْقَطَعَ الدَّمُ عَنْهَا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فَلْتَغْتَسِلْ و َلْتُصَل</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صحيحة معاوية بن عمار </w:t>
      </w:r>
      <w:r>
        <w:rPr>
          <w:rStyle w:val="FootnoteAnchor"/>
          <w:rtl w:val="true"/>
        </w:rPr>
        <w:footnoteReference w:id="2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جازَتْ </w:t>
      </w:r>
      <w:r>
        <w:rPr>
          <w:rStyle w:val="FootnoteAnchor"/>
          <w:rtl w:val="true"/>
        </w:rPr>
        <w:footnoteReference w:id="2125"/>
      </w:r>
      <w:r>
        <w:rPr>
          <w:rFonts w:ascii="Amiri" w:hAnsi="Amiri" w:eastAsia="Amiri" w:cs="Amiri"/>
          <w:color w:val="111111"/>
          <w:sz w:val="28"/>
          <w:sz w:val="28"/>
          <w:szCs w:val="28"/>
          <w:rtl w:val="true"/>
          <w:lang w:bidi="ar-SA"/>
        </w:rPr>
        <w:t xml:space="preserve">أَيَّامُهَا وَ رَأَت الدَّمَ يَثقُبُ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لِلظُّهْرِ 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الدَّمِ لَا ت </w:t>
      </w:r>
    </w:p>
    <w:p>
      <w:pPr>
        <w:pStyle w:val="BookText"/>
        <w:rPr/>
      </w:pPr>
      <w:r>
        <w:rPr>
          <w:rFonts w:ascii="Amiri" w:hAnsi="Amiri" w:eastAsia="Amiri" w:cs="Amiri"/>
          <w:color w:val="111111"/>
          <w:sz w:val="28"/>
          <w:sz w:val="28"/>
          <w:szCs w:val="28"/>
          <w:rtl w:val="true"/>
          <w:lang w:bidi="ar-SA"/>
        </w:rPr>
        <w:t xml:space="preserve">يَثقُبُ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w:t>
      </w:r>
      <w:r>
        <w:rPr>
          <w:rStyle w:val="FootnoteAnchor"/>
          <w:rtl w:val="true"/>
        </w:rPr>
        <w:footnoteReference w:id="2126"/>
      </w:r>
      <w:r>
        <w:rPr>
          <w:rFonts w:ascii="Amiri" w:hAnsi="Amiri" w:eastAsia="Amiri" w:cs="Amiri"/>
          <w:color w:val="111111"/>
          <w:sz w:val="28"/>
          <w:sz w:val="28"/>
          <w:szCs w:val="28"/>
          <w:rtl w:val="true"/>
          <w:lang w:bidi="ar-SA"/>
        </w:rPr>
        <w:t xml:space="preserve">وَ صَلَّتْ كُلَّ صَلَاةٍ بِوُضُوْءٍ </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تُصَلِّي كُلَّ صَلَاةٍ بِوُضُوْءٍ مَا لَمْ يَنْفُد الدَّمُ، فَإِذَا نَفَدَ الدَّمُ </w:t>
      </w:r>
      <w:r>
        <w:rPr>
          <w:rStyle w:val="FootnoteAnchor"/>
          <w:rtl w:val="true"/>
        </w:rPr>
        <w:footnoteReference w:id="2128"/>
      </w:r>
      <w:r>
        <w:rPr>
          <w:rFonts w:ascii="Amiri" w:hAnsi="Amiri" w:eastAsia="Amiri" w:cs="Amiri"/>
          <w:color w:val="111111"/>
          <w:sz w:val="28"/>
          <w:sz w:val="28"/>
          <w:szCs w:val="28"/>
          <w:rtl w:val="true"/>
          <w:lang w:bidi="ar-SA"/>
        </w:rPr>
        <w:t>اغْتَسَلَتْ وَ صَلَّتْ</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في الأخبار كثير جدًا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الأخبار التي جاءت في الأغسال المسنونة؛ فإنه لا تعرض فيها للوضوء بوجه، بل في بعضها الأمر بالصلاة بعدها، كأخبار أغسال الصلاة المرغب فيها، مثل صلاة الحوائج و نحوها؛ لأمرها بإيقاع تلك الصلوات بعده بغير فصل </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جاء في الأخبار من أن غسل الحيض و الميت و الجمعة كغسل الجنابة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ما يقال من أن المراد بالغسل في تلك الأخبار الأولة هو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كونه دعوى لا دليل عليها </w:t>
      </w:r>
      <w:r>
        <w:rPr>
          <w:rStyle w:val="FootnoteAnchor"/>
          <w:rtl w:val="true"/>
        </w:rPr>
        <w:footnoteReference w:id="2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لا خصوصية لغسل الجنابة في هذا الوصف بالنسبة إلى غيره من الأغسال؛ إذ ليس السبب إلا شمول الغسل لكل البدن و اختصاص الوضوء ببعض دون بعض، فهو وضوء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قد ورد التعليل به في غسل الجمعة على ما مر في خبر حماد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كذا دعوى سقوطه في الأغسال الواجبة و المندوبة المشار إليها في مقام الاحتجاج إنما وقع اعتمادًا على شيوع تلك القاعدة بينهم علیهم السلام من أن كل غسل قبله وضوء إلا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تفرد مرسلة ابن أبي عمير به و عدم منافاتها المدعى </w:t>
      </w:r>
      <w:r>
        <w:rPr>
          <w:rStyle w:val="FootnoteAnchor"/>
          <w:rtl w:val="true"/>
        </w:rPr>
        <w:footnoteReference w:id="2133"/>
      </w:r>
      <w:r>
        <w:rPr>
          <w:rFonts w:ascii="Amiri" w:hAnsi="Amiri" w:eastAsia="Amiri" w:cs="Amiri"/>
          <w:color w:val="111111"/>
          <w:sz w:val="28"/>
          <w:sz w:val="28"/>
          <w:szCs w:val="28"/>
          <w:rtl w:val="true"/>
          <w:lang w:bidi="ar-SA"/>
        </w:rPr>
        <w:t>بإمكان إرادة الاستحباب منها و معارضتها لما أسلفناه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 لعدم ثبوت تلك الشهرة كما عرفت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الكثيرة متفقة المعنى في سقوط الوضوء مع مطلق الغسل من غير معارضة ظاهرة فيها، بل ربما ظهر من بعضها عدم المشروعية رأسًا؛ لأن ما دل على مشروعيته معه موافق للعامة </w:t>
      </w:r>
      <w:r>
        <w:rPr>
          <w:rStyle w:val="FootnoteAnchor"/>
          <w:rtl w:val="true"/>
        </w:rPr>
        <w:footnoteReference w:id="2134"/>
      </w:r>
      <w:r>
        <w:rPr>
          <w:rFonts w:ascii="Amiri" w:hAnsi="Amiri" w:eastAsia="Amiri" w:cs="Amiri"/>
          <w:color w:val="111111"/>
          <w:sz w:val="28"/>
          <w:sz w:val="28"/>
          <w:szCs w:val="28"/>
          <w:rtl w:val="true"/>
          <w:lang w:bidi="ar-SA"/>
        </w:rPr>
        <w:t xml:space="preserve">–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طرحه، فتبقى تلك الأخبار سالمة عن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مرفوع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قَبْلَ الْغُسْلِ وَ بَعْدَهُ بِدْعَةٌ </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من أبعد البعيد عدم تعرضهم </w:t>
      </w:r>
      <w:r>
        <w:rPr>
          <w:rStyle w:val="FootnoteAnchor"/>
          <w:rtl w:val="true"/>
        </w:rPr>
        <w:footnoteReference w:id="2136"/>
      </w:r>
      <w:r>
        <w:rPr>
          <w:rFonts w:ascii="Amiri" w:hAnsi="Amiri" w:eastAsia="Amiri" w:cs="Amiri"/>
          <w:color w:val="111111"/>
          <w:sz w:val="28"/>
          <w:sz w:val="28"/>
          <w:szCs w:val="28"/>
          <w:rtl w:val="true"/>
          <w:lang w:bidi="ar-SA"/>
        </w:rPr>
        <w:t xml:space="preserve">له في أخبار البيان مع رجحانه، فالبدعية مطلقًا لا تخلو من قوة كما عليه الكاشي في الوافي </w:t>
      </w:r>
      <w:r>
        <w:rPr>
          <w:rStyle w:val="FootnoteAnchor"/>
          <w:rtl w:val="true"/>
        </w:rPr>
        <w:footnoteReference w:id="2137"/>
      </w:r>
      <w:r>
        <w:rPr>
          <w:rFonts w:ascii="Amiri" w:hAnsi="Amiri" w:eastAsia="Amiri" w:cs="Amiri"/>
          <w:color w:val="111111"/>
          <w:sz w:val="28"/>
          <w:sz w:val="28"/>
          <w:szCs w:val="28"/>
          <w:rtl w:val="true"/>
          <w:lang w:bidi="ar-SA"/>
        </w:rPr>
        <w:t xml:space="preserve">و شيخنا الأعظم في الإحياء </w:t>
      </w:r>
      <w:r>
        <w:rPr>
          <w:rStyle w:val="FootnoteAnchor"/>
          <w:rtl w:val="true"/>
        </w:rPr>
        <w:footnoteReference w:id="2138"/>
      </w:r>
      <w:r>
        <w:rPr>
          <w:rFonts w:ascii="Amiri" w:hAnsi="Amiri" w:eastAsia="Amiri" w:cs="Amiri"/>
          <w:color w:val="111111"/>
          <w:sz w:val="28"/>
          <w:sz w:val="28"/>
          <w:szCs w:val="28"/>
          <w:rtl w:val="true"/>
          <w:lang w:bidi="ar-SA"/>
        </w:rPr>
        <w:t>، حيث حملا ما دل على ثبوته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أصحابنا قبلهم </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الإطباق على المشروعية في غسل الحي كما ذكرنا ، وإن كان اختلفوا في تحتم القبلية و عدمه، و المشهور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لقولهم علیهم السلام في المرسل المتقدم في إحدى الروايتين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الرواية </w:t>
      </w:r>
      <w:r>
        <w:rPr>
          <w:rStyle w:val="FootnoteAnchor"/>
          <w:rtl w:val="true"/>
        </w:rPr>
        <w:footnoteReference w:id="2140"/>
      </w: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فَكُلُّ غُسْل قَبْلَهُ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رواية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تَوَضَّأْ ثُمَّ 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محمولان عندهم على الاستحباب؛ فلذلك قالوا مع ذلك باستحباب التقديم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 قد عرفت أن المرسل واحد، و إنما الاختلاف جاء في روايته، فلعل فيه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فينحصر الصواب في القبلية على أنه مطلق و غيره مقيد فيجب 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21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تقدير اعتباره مع الغسل فيما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 فيه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سليمان بن خالد عن أبي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بَعْدَ الْغُسْل بِدْعَةٌ </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المعتبر للمحقق </w:t>
      </w:r>
      <w:r>
        <w:rPr>
          <w:rStyle w:val="FootnoteAnchor"/>
          <w:rtl w:val="true"/>
        </w:rPr>
        <w:footnoteReference w:id="2144"/>
      </w:r>
      <w:r>
        <w:rPr>
          <w:rFonts w:ascii="Amiri" w:hAnsi="Amiri" w:eastAsia="Amiri" w:cs="Amiri"/>
          <w:color w:val="111111"/>
          <w:sz w:val="28"/>
          <w:sz w:val="28"/>
          <w:szCs w:val="28"/>
          <w:rtl w:val="true"/>
          <w:lang w:bidi="ar-SA"/>
        </w:rPr>
        <w:t xml:space="preserve">بعدة طرق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ذلك المحقق </w:t>
      </w:r>
      <w:r>
        <w:rPr>
          <w:rStyle w:val="FootnoteAnchor"/>
          <w:rtl w:val="true"/>
        </w:rPr>
        <w:footnoteReference w:id="2146"/>
      </w:r>
      <w:r>
        <w:rPr>
          <w:rFonts w:ascii="Amiri" w:hAnsi="Amiri" w:eastAsia="Amiri" w:cs="Amiri"/>
          <w:color w:val="111111"/>
          <w:sz w:val="28"/>
          <w:sz w:val="28"/>
          <w:szCs w:val="28"/>
          <w:rtl w:val="true"/>
          <w:lang w:bidi="ar-SA"/>
        </w:rPr>
        <w:t xml:space="preserve">مع نقله ذلك في معتبره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 على جواز التأخير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جمع </w:t>
      </w:r>
      <w:r>
        <w:rPr>
          <w:rStyle w:val="FootnoteAnchor"/>
          <w:rtl w:val="true"/>
        </w:rPr>
        <w:footnoteReference w:id="2148"/>
      </w:r>
      <w:r>
        <w:rPr>
          <w:rFonts w:ascii="Amiri" w:hAnsi="Amiri" w:eastAsia="Amiri" w:cs="Amiri"/>
          <w:color w:val="111111"/>
          <w:sz w:val="28"/>
          <w:sz w:val="28"/>
          <w:szCs w:val="28"/>
          <w:rtl w:val="true"/>
          <w:lang w:bidi="ar-SA"/>
        </w:rPr>
        <w:t>جماعة من المحققين بين مستند المشهور و بين ما ذكرناه من أخبار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بالاستحباب، كما عليه فاضل الحياض و الخمائل </w:t>
      </w:r>
      <w:r>
        <w:rPr>
          <w:rStyle w:val="FootnoteAnchor"/>
          <w:rtl w:val="true"/>
        </w:rPr>
        <w:footnoteReference w:id="2149"/>
      </w:r>
      <w:r>
        <w:rPr>
          <w:rFonts w:ascii="Amiri" w:hAnsi="Amiri" w:eastAsia="Amiri" w:cs="Amiri"/>
          <w:color w:val="111111"/>
          <w:sz w:val="28"/>
          <w:sz w:val="28"/>
          <w:szCs w:val="28"/>
          <w:rtl w:val="true"/>
          <w:lang w:bidi="ar-SA"/>
        </w:rPr>
        <w:t xml:space="preserve">، و ارتضاه شيخنا في بعض أجوبة مسائله </w:t>
      </w:r>
      <w:r>
        <w:rPr>
          <w:rStyle w:val="FootnoteAnchor"/>
          <w:rtl w:val="true"/>
        </w:rPr>
        <w:footnoteReference w:id="2150"/>
      </w:r>
      <w:r>
        <w:rPr>
          <w:rFonts w:ascii="IRNazanin" w:hAnsi="IRNazanin" w:eastAsia="IRNazanin"/>
          <w:color w:val="111111"/>
          <w:sz w:val="28"/>
          <w:sz w:val="28"/>
          <w:szCs w:val="28"/>
          <w:rtl w:val="true"/>
          <w:lang w:bidi="fa-IR"/>
        </w:rPr>
        <w:t xml:space="preserve">، و فاضل الوسائل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و إن كان لا يخلو من قوة؛ حيث إن ما أوردناه من الأخبار أكثرها صريح في نفي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الاستحباب مع ما فيه من السلامة من و صمة طرح الأخبار عند إمكان الجمع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مرفوعة محمد بن يحيى المذكورة آنفا جملتين لا جملة وحدة، على أن يكون الأولى قد سيقت لتعيين محله، يعني أن الوضوء في الأغسال محصورة في القبل، و البعدية ثابتة في البدعية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أن الغسل فيه هو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 من الأخبار التي مر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أخبار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عن ذكره رأسًا، فبعيد أن يخل بذلك الذكر مع الرجحان، و سيما قد ثبت أن ما دلّ عليه مطابق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لنا في هذا المقام جمعا ليس ببعيد،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دل منها على الوضوء مطلقًا أو عاما على غسل الجمعة خاصة، فقصاراه أن الاستحباب مقصور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مرسلًا عنهم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الْغُسْلِ</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 xml:space="preserve">فِيْهِ وُضُوءٌ إِلَّا غُسْلَ يَوْمِ الجُمُعَةِ </w:t>
      </w:r>
      <w:r>
        <w:rPr>
          <w:rStyle w:val="FootnoteAnchor"/>
          <w:rtl w:val="true"/>
        </w:rPr>
        <w:footnoteReference w:id="2153"/>
      </w:r>
      <w:r>
        <w:rPr>
          <w:rFonts w:ascii="Amiri" w:hAnsi="Amiri" w:eastAsia="Amiri" w:cs="Amiri"/>
          <w:color w:val="111111"/>
          <w:sz w:val="28"/>
          <w:sz w:val="28"/>
          <w:szCs w:val="28"/>
          <w:rtl w:val="true"/>
          <w:lang w:bidi="ar-SA"/>
        </w:rPr>
        <w:t>فَإِنَّهُ قَبْلَهُ وُضُوْءُ</w:t>
      </w:r>
      <w:r>
        <w:rPr>
          <w:rFonts w:eastAsia="Amiri" w:cs="Amiri" w:ascii="Amiri" w:hAnsi="Amiri"/>
          <w:color w:val="111111"/>
          <w:sz w:val="28"/>
          <w:szCs w:val="28"/>
          <w:rtl w:val="true"/>
          <w:lang w:bidi="ar-SA"/>
        </w:rPr>
        <w:t xml:space="preserve">» </w:t>
      </w:r>
      <w:r>
        <w:rPr>
          <w:rStyle w:val="FootnoteAnchor"/>
          <w:rtl w:val="true"/>
        </w:rPr>
        <w:footnoteReference w:id="2154"/>
      </w:r>
      <w:r>
        <w:rPr>
          <w:rFonts w:ascii="Amiri" w:hAnsi="Amiri" w:eastAsia="Amiri" w:cs="Amiri"/>
          <w:color w:val="111111"/>
          <w:sz w:val="28"/>
          <w:sz w:val="28"/>
          <w:szCs w:val="28"/>
          <w:rtl w:val="true"/>
          <w:lang w:bidi="ar-SA"/>
        </w:rPr>
        <w:t xml:space="preserve">، و يكون </w:t>
      </w:r>
      <w:r>
        <w:rPr>
          <w:rStyle w:val="FootnoteAnchor"/>
          <w:rtl w:val="true"/>
        </w:rPr>
        <w:footnoteReference w:id="2155"/>
      </w:r>
      <w:r>
        <w:rPr>
          <w:rFonts w:ascii="Amiri" w:hAnsi="Amiri" w:eastAsia="Amiri" w:cs="Amiri"/>
          <w:color w:val="111111"/>
          <w:sz w:val="28"/>
          <w:sz w:val="28"/>
          <w:szCs w:val="28"/>
          <w:rtl w:val="true"/>
          <w:lang w:bidi="ar-SA"/>
        </w:rPr>
        <w:t>فيما سواه منفيا و بدعة قبلًا و بعدا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الدين و الخروج من العهدة بيقين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الاقتصار في الأغسال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الغسل وحده، و في الجمعة يأتي بالوضوء قبله، و على هذا كان </w:t>
      </w:r>
      <w:r>
        <w:rPr>
          <w:rStyle w:val="FootnoteAnchor"/>
          <w:rtl w:val="true"/>
        </w:rPr>
        <w:footnoteReference w:id="2156"/>
      </w:r>
      <w:r>
        <w:rPr>
          <w:rFonts w:ascii="IRNazanin" w:hAnsi="IRNazanin" w:eastAsia="IRNazanin"/>
          <w:color w:val="111111"/>
          <w:sz w:val="28"/>
          <w:sz w:val="28"/>
          <w:szCs w:val="28"/>
          <w:rtl w:val="true"/>
          <w:lang w:bidi="fa-IR"/>
        </w:rPr>
        <w:t>عملنا، ونسأل الله تعالى الخلاص من خطئنا و زللنا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 بالصواب، وإليه المرجع والمآب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2523_39938"/>
      <w:bookmarkStart w:id="175" w:name="pg2523_39938"/>
      <w:bookmarkEnd w:id="175"/>
    </w:p>
    <w:p>
      <w:pPr>
        <w:pStyle w:val="Heading2"/>
        <w:numPr>
          <w:ilvl w:val="1"/>
          <w:numId w:val="1"/>
        </w:numPr>
        <w:rPr/>
      </w:pPr>
      <w:bookmarkStart w:id="176" w:name="pg2523_39938"/>
      <w:bookmarkStart w:id="177" w:name="__RefHeading___Toc4264918_3804643083"/>
      <w:bookmarkStart w:id="178" w:name="_Toc57"/>
      <w:bookmarkEnd w:id="176"/>
      <w:bookmarkEnd w:id="177"/>
      <w:r>
        <w:rPr>
          <w:rtl w:val="true"/>
        </w:rPr>
        <w:t xml:space="preserve">المسألة الثامنة </w:t>
      </w:r>
      <w:r>
        <w:rPr>
          <w:rtl w:val="true"/>
        </w:rPr>
        <w:t>: [</w:t>
      </w:r>
      <w:r>
        <w:rPr>
          <w:rtl w:val="true"/>
        </w:rPr>
        <w:t>ميراث الزوجة من الدور والعقار والأشجار</w:t>
      </w:r>
      <w:r>
        <w:rPr>
          <w:rtl w:val="true"/>
        </w:rPr>
        <w:t>]</w:t>
      </w:r>
      <w:bookmarkEnd w:id="178"/>
    </w:p>
    <w:p>
      <w:pPr>
        <w:pStyle w:val="Heading3"/>
        <w:numPr>
          <w:ilvl w:val="2"/>
          <w:numId w:val="1"/>
        </w:numPr>
        <w:rPr/>
      </w:pPr>
      <w:bookmarkStart w:id="179" w:name="__RefHeading___Toc4264920_3804643083"/>
      <w:bookmarkStart w:id="180" w:name="_Toc58"/>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المسألة الثامنة </w:t>
      </w:r>
      <w:r>
        <w:rPr>
          <w:rStyle w:val="FootnoteAnchor"/>
          <w:rtl w:val="true"/>
        </w:rPr>
        <w:footnoteReference w:id="2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الزوجة من الدور والعقار والأشجار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الزوجة غير ذات الولد ترث من الدور والعقار والأشجار أم لا؟</w:t>
      </w:r>
    </w:p>
    <w:p>
      <w:pPr>
        <w:pStyle w:val="BookText"/>
        <w:rPr/>
      </w:pPr>
      <w:r>
        <w:rPr>
          <w:rFonts w:ascii="Amiri" w:hAnsi="Amiri" w:eastAsia="Amiri" w:cs="Amiri"/>
          <w:color w:val="111111"/>
          <w:sz w:val="28"/>
          <w:sz w:val="28"/>
          <w:szCs w:val="28"/>
          <w:rtl w:val="true"/>
          <w:lang w:bidi="ar-SA"/>
        </w:rPr>
        <w:t>الجواب و منه سبحانه استفاضة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ظهر لنا من تتبع ما جاء في هذه المسألة من الأقوال و الأدلة أنها من المسائل المشكلة و الفروع المبهمة المعضلة؛ لأنها </w:t>
      </w:r>
      <w:r>
        <w:rPr>
          <w:rStyle w:val="FootnoteAnchor"/>
          <w:rtl w:val="true"/>
        </w:rPr>
        <w:footnoteReference w:id="2158"/>
      </w:r>
      <w:r>
        <w:rPr>
          <w:rFonts w:ascii="IRNazanin" w:hAnsi="IRNazanin" w:eastAsia="IRNazanin"/>
          <w:color w:val="111111"/>
          <w:sz w:val="28"/>
          <w:sz w:val="28"/>
          <w:szCs w:val="28"/>
          <w:rtl w:val="true"/>
          <w:lang w:bidi="fa-IR"/>
        </w:rPr>
        <w:t xml:space="preserve">مما خولف فيها ظاهر القرآن و عمومات أخبار أئمتنا علیهم السلام ، الدالين بتلك الدلالة على أن الزوجين يرث كل واحد من صاحبه </w:t>
      </w:r>
      <w:r>
        <w:rPr>
          <w:rStyle w:val="FootnoteAnchor"/>
          <w:rtl w:val="true"/>
        </w:rPr>
        <w:footnoteReference w:id="2159"/>
      </w:r>
      <w:r>
        <w:rPr>
          <w:rFonts w:ascii="Amiri" w:hAnsi="Amiri" w:eastAsia="Amiri" w:cs="Amiri"/>
          <w:color w:val="111111"/>
          <w:sz w:val="28"/>
          <w:sz w:val="28"/>
          <w:szCs w:val="28"/>
          <w:rtl w:val="true"/>
          <w:lang w:bidi="ar-SA"/>
        </w:rPr>
        <w:t>كسائر الوارث النسبي و الكلالة مما تركه في البين من متروكاته و أمواله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w:t>
      </w:r>
      <w:r>
        <w:rPr>
          <w:rStyle w:val="FootnoteAnchor"/>
          <w:rtl w:val="true"/>
        </w:rPr>
        <w:footnoteReference w:id="2160"/>
      </w:r>
      <w:r>
        <w:rPr>
          <w:rFonts w:ascii="Amiri" w:hAnsi="Amiri" w:eastAsia="Amiri" w:cs="Amiri"/>
          <w:color w:val="111111"/>
          <w:sz w:val="28"/>
          <w:sz w:val="28"/>
          <w:szCs w:val="28"/>
          <w:rtl w:val="true"/>
          <w:lang w:bidi="ar-SA"/>
        </w:rPr>
        <w:t xml:space="preserve">الأكثر من علمائنا قد أخرج الزوجة من هذه القاعدة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سيأتي – و أثبت لها حكمًا خاصًا، فيكون حكمها مما انفردت </w:t>
      </w:r>
      <w:r>
        <w:rPr>
          <w:rStyle w:val="FootnoteAnchor"/>
          <w:rtl w:val="true"/>
        </w:rPr>
        <w:footnoteReference w:id="2161"/>
      </w:r>
      <w:r>
        <w:rPr>
          <w:rFonts w:ascii="Amiri" w:hAnsi="Amiri" w:eastAsia="Amiri" w:cs="Amiri"/>
          <w:color w:val="111111"/>
          <w:sz w:val="28"/>
          <w:sz w:val="28"/>
          <w:szCs w:val="28"/>
          <w:rtl w:val="true"/>
          <w:lang w:bidi="ar-SA"/>
        </w:rPr>
        <w:t xml:space="preserve">به الطائفة المحقة </w:t>
      </w:r>
      <w:r>
        <w:rPr>
          <w:rStyle w:val="FootnoteAnchor"/>
          <w:rtl w:val="true"/>
        </w:rPr>
        <w:footnoteReference w:id="2162"/>
      </w:r>
      <w:r>
        <w:rPr>
          <w:rFonts w:ascii="Amiri" w:hAnsi="Amiri" w:eastAsia="Amiri" w:cs="Amiri"/>
          <w:color w:val="111111"/>
          <w:sz w:val="28"/>
          <w:sz w:val="28"/>
          <w:szCs w:val="28"/>
          <w:rtl w:val="true"/>
          <w:lang w:bidi="ar-SA"/>
        </w:rPr>
        <w:t xml:space="preserve">، فسبيلها سبيل الحبوة </w:t>
      </w:r>
      <w:r>
        <w:rPr>
          <w:rStyle w:val="FootnoteAnchor"/>
          <w:rtl w:val="true"/>
        </w:rPr>
        <w:footnoteReference w:id="2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ابن الجنيد من علمائنا خالف فيها، و جعلها كغيرها من الورثة </w:t>
      </w:r>
      <w:r>
        <w:rPr>
          <w:rStyle w:val="FootnoteAnchor"/>
          <w:rtl w:val="true"/>
        </w:rPr>
        <w:footnoteReference w:id="2164"/>
      </w:r>
      <w:r>
        <w:rPr>
          <w:rFonts w:ascii="Amiri" w:hAnsi="Amiri" w:eastAsia="Amiri" w:cs="Amiri"/>
          <w:color w:val="111111"/>
          <w:sz w:val="28"/>
          <w:sz w:val="28"/>
          <w:szCs w:val="28"/>
          <w:rtl w:val="true"/>
          <w:lang w:bidi="ar-SA"/>
        </w:rPr>
        <w:t>، و الأدلة سيأتي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 بعض الفضلاء في هذا المقام </w:t>
      </w:r>
      <w:r>
        <w:rPr>
          <w:rStyle w:val="FootnoteAnchor"/>
          <w:rtl w:val="true"/>
        </w:rPr>
        <w:footnoteReference w:id="2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للإجماع و مسبوق به</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إنهم اختلفوا رضی الله عنهم في تلك الزوجة الممنوعة من التعميم و فيما تمنع منه؛ لاختلاف الأخبار و الأنظار، و كثر النقض و الرد في هذا المضمار، كما هو غير خفي على من جاس خلال هذه الديار و التقط جَني هذه الثمار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فالبحث </w:t>
      </w:r>
      <w:r>
        <w:rPr>
          <w:rStyle w:val="FootnoteAnchor"/>
          <w:rtl w:val="true"/>
        </w:rPr>
        <w:footnoteReference w:id="2168"/>
      </w:r>
      <w:r>
        <w:rPr>
          <w:rFonts w:ascii="Amiri" w:hAnsi="Amiri" w:eastAsia="Amiri" w:cs="Amiri"/>
          <w:color w:val="111111"/>
          <w:sz w:val="28"/>
          <w:sz w:val="28"/>
          <w:szCs w:val="28"/>
          <w:rtl w:val="true"/>
          <w:lang w:bidi="ar-SA"/>
        </w:rPr>
        <w:t>إذا يقع في مقامين</w:t>
      </w:r>
      <w:r>
        <w:rPr>
          <w:rFonts w:eastAsia="Amiri" w:cs="Amiri" w:ascii="Amiri" w:hAnsi="Amiri"/>
          <w:color w:val="111111"/>
          <w:sz w:val="28"/>
          <w:szCs w:val="28"/>
          <w:rtl w:val="true"/>
          <w:lang w:bidi="ar-SA"/>
        </w:rPr>
        <w:t xml:space="preserve">: . </w:t>
      </w:r>
      <w:bookmarkStart w:id="181" w:name="pg2523_39940"/>
    </w:p>
    <w:p>
      <w:pPr>
        <w:pStyle w:val="Heading3"/>
        <w:numPr>
          <w:ilvl w:val="2"/>
          <w:numId w:val="1"/>
        </w:numPr>
        <w:rPr/>
      </w:pPr>
      <w:bookmarkStart w:id="182" w:name="__RefHeading___Toc4264922_3804643083"/>
      <w:bookmarkStart w:id="183" w:name="_Toc59"/>
      <w:bookmarkEnd w:id="181"/>
      <w:bookmarkEnd w:id="182"/>
      <w:r>
        <w:rPr>
          <w:rtl w:val="true"/>
        </w:rPr>
        <w:t>[</w:t>
      </w:r>
      <w:r>
        <w:rPr>
          <w:rtl w:val="true"/>
        </w:rPr>
        <w:t>ميراث الزوجة من الدور والعقار والأشجار</w:t>
      </w:r>
      <w:r>
        <w:rPr>
          <w:rtl w:val="true"/>
        </w:rPr>
        <w:t>]</w:t>
      </w:r>
      <w:bookmarkEnd w:id="183"/>
    </w:p>
    <w:p>
      <w:pPr>
        <w:pStyle w:val="Heading3"/>
        <w:numPr>
          <w:ilvl w:val="2"/>
          <w:numId w:val="1"/>
        </w:numPr>
        <w:rPr/>
      </w:pPr>
      <w:bookmarkStart w:id="184" w:name="__RefHeading___Toc4264924_3804643083"/>
      <w:bookmarkStart w:id="185" w:name="_Toc60"/>
      <w:bookmarkEnd w:id="184"/>
      <w:r>
        <w:rPr>
          <w:rtl w:val="true"/>
        </w:rPr>
        <w:t>المقام الأول</w:t>
      </w:r>
      <w:bookmarkEnd w:id="185"/>
    </w:p>
    <w:p>
      <w:pPr>
        <w:pStyle w:val="Heading4"/>
        <w:numPr>
          <w:ilvl w:val="3"/>
          <w:numId w:val="1"/>
        </w:numPr>
        <w:rPr/>
      </w:pPr>
      <w:bookmarkStart w:id="186" w:name="__RefHeading___Toc4264926_3804643083"/>
      <w:bookmarkStart w:id="187" w:name="_Toc61"/>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المقام الأول في أن الممنوعة هل </w:t>
      </w:r>
      <w:r>
        <w:rPr>
          <w:rStyle w:val="FootnoteAnchor"/>
          <w:rtl w:val="true"/>
        </w:rPr>
        <w:footnoteReference w:id="2169"/>
      </w:r>
      <w:r>
        <w:rPr>
          <w:rFonts w:ascii="Amiri" w:hAnsi="Amiri" w:eastAsia="Amiri" w:cs="Amiri"/>
          <w:color w:val="111111"/>
          <w:sz w:val="28"/>
          <w:sz w:val="28"/>
          <w:szCs w:val="28"/>
          <w:rtl w:val="true"/>
          <w:lang w:bidi="ar-SA"/>
        </w:rPr>
        <w:t>هي مطلق الزوجة أو غير ذات الولد خاصة؟</w:t>
      </w:r>
    </w:p>
    <w:p>
      <w:pPr>
        <w:pStyle w:val="Heading4"/>
        <w:numPr>
          <w:ilvl w:val="3"/>
          <w:numId w:val="1"/>
        </w:numPr>
        <w:rPr/>
      </w:pPr>
      <w:bookmarkStart w:id="188" w:name="__RefHeading___Toc4264928_3804643083"/>
      <w:bookmarkStart w:id="189" w:name="_Toc62"/>
      <w:bookmarkEnd w:id="188"/>
      <w:r>
        <w:rPr>
          <w:rtl w:val="true"/>
        </w:rPr>
        <w:t>[</w:t>
      </w:r>
      <w:r>
        <w:rPr>
          <w:rtl w:val="true"/>
        </w:rPr>
        <w:t>القول الأول</w:t>
      </w:r>
      <w:r>
        <w:rPr>
          <w:rtl w:val="true"/>
        </w:rPr>
        <w:t xml:space="preserve">: </w:t>
      </w:r>
      <w:r>
        <w:rPr>
          <w:rtl w:val="true"/>
        </w:rPr>
        <w:t>المنع لمطلق الزوجة</w:t>
      </w:r>
      <w:r>
        <w:rPr>
          <w:rtl w:val="true"/>
        </w:rPr>
        <w:t>]</w:t>
      </w:r>
      <w:bookmarkEnd w:id="189"/>
    </w:p>
    <w:p>
      <w:pPr>
        <w:pStyle w:val="BookText"/>
        <w:rPr/>
      </w:pPr>
      <w:r>
        <w:rPr>
          <w:rFonts w:ascii="Amiri" w:hAnsi="Amiri" w:eastAsia="Amiri" w:cs="Amiri"/>
          <w:color w:val="111111"/>
          <w:sz w:val="28"/>
          <w:sz w:val="28"/>
          <w:szCs w:val="28"/>
          <w:rtl w:val="true"/>
          <w:lang w:bidi="ar-SA"/>
        </w:rPr>
        <w:t xml:space="preserve">فظاهر شيخنا المفيد </w:t>
      </w:r>
      <w:r>
        <w:rPr>
          <w:rStyle w:val="FootnoteAnchor"/>
          <w:rtl w:val="true"/>
        </w:rPr>
        <w:footnoteReference w:id="2170"/>
      </w:r>
      <w:r>
        <w:rPr>
          <w:rFonts w:ascii="Amiri" w:hAnsi="Amiri" w:eastAsia="Amiri" w:cs="Amiri"/>
          <w:color w:val="111111"/>
          <w:sz w:val="28"/>
          <w:sz w:val="28"/>
          <w:szCs w:val="28"/>
          <w:rtl w:val="true"/>
          <w:lang w:bidi="ar-SA"/>
        </w:rPr>
        <w:t xml:space="preserve">، و مرتضى المرتضى في الانتصار </w:t>
      </w:r>
      <w:r>
        <w:rPr>
          <w:rStyle w:val="FootnoteAnchor"/>
          <w:rtl w:val="true"/>
        </w:rPr>
        <w:footnoteReference w:id="2171"/>
      </w:r>
      <w:r>
        <w:rPr>
          <w:rFonts w:ascii="Amiri" w:hAnsi="Amiri" w:eastAsia="Amiri" w:cs="Amiri"/>
          <w:color w:val="111111"/>
          <w:sz w:val="28"/>
          <w:sz w:val="28"/>
          <w:szCs w:val="28"/>
          <w:rtl w:val="true"/>
          <w:lang w:bidi="ar-SA"/>
        </w:rPr>
        <w:t xml:space="preserve">، و شيخ الطائفة في الاستبصار </w:t>
      </w:r>
      <w:r>
        <w:rPr>
          <w:rStyle w:val="FootnoteAnchor"/>
          <w:rtl w:val="true"/>
        </w:rPr>
        <w:footnoteReference w:id="2172"/>
      </w:r>
      <w:r>
        <w:rPr>
          <w:rFonts w:ascii="Amiri" w:hAnsi="Amiri" w:eastAsia="Amiri" w:cs="Amiri"/>
          <w:color w:val="111111"/>
          <w:sz w:val="28"/>
          <w:sz w:val="28"/>
          <w:szCs w:val="28"/>
          <w:rtl w:val="true"/>
          <w:lang w:bidi="ar-SA"/>
        </w:rPr>
        <w:t xml:space="preserve">، و التقي أبي الصلاح </w:t>
      </w:r>
      <w:r>
        <w:rPr>
          <w:rStyle w:val="FootnoteAnchor"/>
          <w:rtl w:val="true"/>
        </w:rPr>
        <w:footnoteReference w:id="2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صريح كلام ابن إدريس </w:t>
      </w:r>
      <w:r>
        <w:rPr>
          <w:rStyle w:val="FootnoteAnchor"/>
          <w:rtl w:val="true"/>
        </w:rPr>
        <w:footnoteReference w:id="2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هو المعتمد </w:t>
      </w:r>
      <w:r>
        <w:rPr>
          <w:rStyle w:val="FootnoteAnchor"/>
          <w:rtl w:val="true"/>
        </w:rPr>
        <w:footnoteReference w:id="2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المعوّل؛ لعموم </w:t>
      </w:r>
      <w:r>
        <w:rPr>
          <w:rStyle w:val="FootnoteAnchor"/>
          <w:rtl w:val="true"/>
        </w:rPr>
        <w:footnoteReference w:id="2176"/>
      </w:r>
      <w:r>
        <w:rPr>
          <w:rFonts w:ascii="IRNazanin" w:hAnsi="IRNazanin" w:eastAsia="IRNazanin"/>
          <w:color w:val="111111"/>
          <w:sz w:val="28"/>
          <w:sz w:val="28"/>
          <w:szCs w:val="28"/>
          <w:rtl w:val="true"/>
          <w:lang w:bidi="fa-IR"/>
        </w:rPr>
        <w:t>ما دل على منعها، فإنه لا كلام في أن ذلك العموم مستفاد من أخبارهم علیهم السلام ، و هي مستفيضة في هذا الباب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حسنة الفضلاء الخمسة </w:t>
      </w:r>
      <w:r>
        <w:rPr>
          <w:rStyle w:val="FootnoteAnchor"/>
          <w:rtl w:val="true"/>
        </w:rPr>
        <w:footnoteReference w:id="2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 بريد و بكير و فضيل و محمد بن مسلم على ما في الكافي و التهذيب عن أبي جعفر و أبي عبد الله علیه السلام </w:t>
      </w:r>
      <w:r>
        <w:rPr>
          <w:rStyle w:val="FootnoteAnchor"/>
          <w:rtl w:val="true"/>
        </w:rPr>
        <w:footnoteReference w:id="2178"/>
      </w:r>
      <w:r>
        <w:rPr>
          <w:rFonts w:ascii="IRNazanin" w:hAnsi="IRNazanin" w:eastAsia="IRNazanin"/>
          <w:color w:val="111111"/>
          <w:sz w:val="28"/>
          <w:sz w:val="28"/>
          <w:szCs w:val="28"/>
          <w:rtl w:val="true"/>
          <w:lang w:bidi="fa-IR"/>
        </w:rPr>
        <w:t xml:space="preserve">،و منهم من رواه عن أبي عبد الله علیه السلام ، و منهم من رواه عن أحدهما علیهم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المرأَةَ لَا تَرِثُ مِنْ تَرِكَةِ زَوْجهَا مِنْ تُرْبَةِ دَارٍ وَ لَا أَرْضِ </w:t>
      </w:r>
      <w:r>
        <w:rPr>
          <w:rStyle w:val="FootnoteAnchor"/>
          <w:rtl w:val="true"/>
        </w:rPr>
        <w:footnoteReference w:id="2179"/>
      </w:r>
      <w:r>
        <w:rPr>
          <w:rFonts w:ascii="Amiri" w:hAnsi="Amiri" w:eastAsia="Amiri" w:cs="Amiri"/>
          <w:color w:val="111111"/>
          <w:sz w:val="28"/>
          <w:sz w:val="28"/>
          <w:szCs w:val="28"/>
          <w:rtl w:val="true"/>
          <w:lang w:bidi="ar-SA"/>
        </w:rPr>
        <w:t xml:space="preserve">إِلا أَنْ تُقَوَّمَ </w:t>
      </w:r>
      <w:r>
        <w:rPr>
          <w:rStyle w:val="FootnoteAnchor"/>
          <w:rtl w:val="true"/>
        </w:rPr>
        <w:footnoteReference w:id="2180"/>
      </w:r>
      <w:r>
        <w:rPr>
          <w:rFonts w:ascii="Amiri" w:hAnsi="Amiri" w:eastAsia="Amiri" w:cs="Amiri"/>
          <w:color w:val="111111"/>
          <w:sz w:val="28"/>
          <w:sz w:val="28"/>
          <w:szCs w:val="28"/>
          <w:rtl w:val="true"/>
          <w:lang w:bidi="ar-SA"/>
        </w:rPr>
        <w:t xml:space="preserve">الطُّوْبُ وَ الْخَشَبُ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 xml:space="preserve">فَتُعْطَى رُبُعَهَا أَوْ ثمُنَهَا إِنْ كَانَ </w:t>
      </w:r>
      <w:r>
        <w:rPr>
          <w:rStyle w:val="FootnoteAnchor"/>
          <w:rtl w:val="true"/>
        </w:rPr>
        <w:footnoteReference w:id="2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2184"/>
      </w:r>
      <w:r>
        <w:rPr>
          <w:rFonts w:ascii="Amiri" w:hAnsi="Amiri" w:eastAsia="Amiri" w:cs="Amiri"/>
          <w:color w:val="111111"/>
          <w:sz w:val="28"/>
          <w:sz w:val="28"/>
          <w:szCs w:val="28"/>
          <w:rtl w:val="true"/>
          <w:lang w:bidi="ar-SA"/>
        </w:rPr>
        <w:t xml:space="preserve">وَلَدٌ </w:t>
      </w:r>
      <w:r>
        <w:rPr>
          <w:rStyle w:val="FootnoteAnchor"/>
          <w:rtl w:val="true"/>
        </w:rPr>
        <w:footnoteReference w:id="2185"/>
      </w:r>
      <w:r>
        <w:rPr>
          <w:rFonts w:ascii="Amiri" w:hAnsi="Amiri" w:eastAsia="Amiri" w:cs="Amiri"/>
          <w:color w:val="111111"/>
          <w:sz w:val="28"/>
          <w:sz w:val="28"/>
          <w:szCs w:val="28"/>
          <w:rtl w:val="true"/>
          <w:lang w:bidi="ar-SA"/>
        </w:rPr>
        <w:t xml:space="preserve">، قِيْمَةَ </w:t>
      </w:r>
      <w:r>
        <w:rPr>
          <w:rStyle w:val="FootnoteAnchor"/>
          <w:rtl w:val="true"/>
        </w:rPr>
        <w:footnoteReference w:id="2186"/>
      </w:r>
      <w:r>
        <w:rPr>
          <w:rFonts w:ascii="Amiri" w:hAnsi="Amiri" w:eastAsia="Amiri" w:cs="Amiri"/>
          <w:color w:val="111111"/>
          <w:sz w:val="28"/>
          <w:sz w:val="28"/>
          <w:szCs w:val="28"/>
          <w:rtl w:val="true"/>
          <w:lang w:bidi="ar-SA"/>
        </w:rPr>
        <w:t>الطُّوْبِ وَ الْخَشَبِ وَ الجُذُوعِ</w:t>
      </w:r>
      <w:r>
        <w:rPr>
          <w:rFonts w:eastAsia="Amiri" w:cs="Amiri" w:ascii="Amiri" w:hAnsi="Amiri"/>
          <w:color w:val="111111"/>
          <w:sz w:val="28"/>
          <w:szCs w:val="28"/>
          <w:rtl w:val="true"/>
          <w:lang w:bidi="ar-SA"/>
        </w:rPr>
        <w:t xml:space="preserve">»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حسنةُ زرارة بل صحيحته </w:t>
      </w:r>
      <w:r>
        <w:rPr>
          <w:rStyle w:val="FootnoteAnchor"/>
          <w:rtl w:val="true"/>
        </w:rPr>
        <w:footnoteReference w:id="2188"/>
      </w:r>
      <w:r>
        <w:rPr>
          <w:rFonts w:ascii="IRNazanin" w:hAnsi="IRNazanin" w:eastAsia="IRNazanin"/>
          <w:color w:val="111111"/>
          <w:sz w:val="28"/>
          <w:sz w:val="28"/>
          <w:szCs w:val="28"/>
          <w:rtl w:val="true"/>
          <w:lang w:bidi="fa-IR"/>
        </w:rPr>
        <w:t xml:space="preserve">و محمد </w:t>
      </w:r>
      <w:r>
        <w:rPr>
          <w:rStyle w:val="FootnoteAnchor"/>
          <w:rtl w:val="true"/>
        </w:rPr>
        <w:footnoteReference w:id="2189"/>
      </w:r>
      <w:r>
        <w:rPr>
          <w:rFonts w:ascii="IRNazanin" w:hAnsi="IRNazanin" w:eastAsia="IRNazanin"/>
          <w:color w:val="111111"/>
          <w:sz w:val="28"/>
          <w:sz w:val="28"/>
          <w:szCs w:val="28"/>
          <w:rtl w:val="true"/>
          <w:lang w:bidi="fa-IR"/>
        </w:rPr>
        <w:t xml:space="preserve">بن مسلم </w:t>
      </w:r>
      <w:r>
        <w:rPr>
          <w:rStyle w:val="FootnoteAnchor"/>
          <w:rtl w:val="true"/>
        </w:rPr>
        <w:footnoteReference w:id="21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الْأَرْضِ شَيْئًا</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صحيحة زرارة على ما </w:t>
      </w:r>
      <w:r>
        <w:rPr>
          <w:rStyle w:val="FootnoteAnchor"/>
          <w:rtl w:val="true"/>
        </w:rPr>
        <w:footnoteReference w:id="2192"/>
      </w:r>
      <w:r>
        <w:rPr>
          <w:rFonts w:ascii="Amiri" w:hAnsi="Amiri" w:eastAsia="Amiri" w:cs="Amiri"/>
          <w:color w:val="111111"/>
          <w:sz w:val="28"/>
          <w:sz w:val="28"/>
          <w:szCs w:val="28"/>
          <w:rtl w:val="true"/>
          <w:lang w:bidi="ar-SA"/>
        </w:rPr>
        <w:t xml:space="preserve">في الكافي و التهذيب </w:t>
      </w:r>
      <w:r>
        <w:rPr>
          <w:rStyle w:val="FootnoteAnchor"/>
          <w:rtl w:val="true"/>
        </w:rPr>
        <w:footnoteReference w:id="2193"/>
      </w: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المَرْأَةَ لَا تَرِثُ مِمَّا تَرَكَ زَوْجُهَا مِنَ الْقُرَى وَ الدُّوْرِ وَ السَّلَاحِ وَ الدَوَابِّ شَيْئًا، وَتَرِثُ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94"/>
      </w:r>
      <w:r>
        <w:rPr>
          <w:rFonts w:ascii="Amiri" w:hAnsi="Amiri" w:eastAsia="Amiri" w:cs="Amiri"/>
          <w:color w:val="111111"/>
          <w:sz w:val="28"/>
          <w:sz w:val="28"/>
          <w:szCs w:val="28"/>
          <w:rtl w:val="true"/>
          <w:lang w:bidi="ar-SA"/>
        </w:rPr>
        <w:t xml:space="preserve">المالِ وَ الْفَرْشِ وَ النّيَابِ وَ مَتَاعِ الْبَيْتِ مَما تَرَكَ، وَ يُقَوَّم النَّقْض وَ الْأَبْوَابُ وَ الجُذُوعُ وَ الْقَصَبُ وَ تُعْطَى </w:t>
      </w:r>
      <w:r>
        <w:rPr>
          <w:rStyle w:val="FootnoteAnchor"/>
          <w:rtl w:val="true"/>
        </w:rPr>
        <w:footnoteReference w:id="2195"/>
      </w:r>
      <w:r>
        <w:rPr>
          <w:rFonts w:ascii="Amiri" w:hAnsi="Amiri" w:eastAsia="Amiri" w:cs="Amiri"/>
          <w:color w:val="111111"/>
          <w:sz w:val="28"/>
          <w:sz w:val="28"/>
          <w:szCs w:val="28"/>
          <w:rtl w:val="true"/>
          <w:lang w:bidi="ar-SA"/>
        </w:rPr>
        <w:t>حَقَّهَا مِنْهُ</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w:t>
      </w:r>
      <w:r>
        <w:rPr>
          <w:rStyle w:val="FootnoteAnchor"/>
          <w:rtl w:val="true"/>
        </w:rPr>
        <w:footnoteReference w:id="2197"/>
      </w:r>
      <w:r>
        <w:rPr>
          <w:rFonts w:ascii="IRNazanin" w:hAnsi="IRNazanin" w:eastAsia="IRNazanin"/>
          <w:color w:val="111111"/>
          <w:sz w:val="28"/>
          <w:sz w:val="28"/>
          <w:szCs w:val="28"/>
          <w:rtl w:val="true"/>
          <w:lang w:bidi="fa-IR"/>
        </w:rPr>
        <w:t xml:space="preserve">ابن مسلم </w:t>
      </w:r>
      <w:r>
        <w:rPr>
          <w:rStyle w:val="FootnoteAnchor"/>
          <w:rtl w:val="true"/>
        </w:rPr>
        <w:footnoteReference w:id="2198"/>
      </w:r>
      <w:r>
        <w:rPr>
          <w:rFonts w:ascii="Amiri" w:hAnsi="Amiri" w:eastAsia="Amiri" w:cs="Amiri"/>
          <w:color w:val="111111"/>
          <w:sz w:val="28"/>
          <w:sz w:val="28"/>
          <w:szCs w:val="28"/>
          <w:rtl w:val="true"/>
          <w:lang w:bidi="ar-SA"/>
        </w:rPr>
        <w:t xml:space="preserve">على ما في الكافي قال </w:t>
      </w:r>
      <w:r>
        <w:rPr>
          <w:rStyle w:val="FootnoteAnchor"/>
          <w:rtl w:val="true"/>
        </w:rPr>
        <w:footnoteReference w:id="2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المَرْأَةُ الطُّوْبَ وَ لَا تَرِثُ مِنَ الرِّبَاعِ </w:t>
      </w:r>
      <w:r>
        <w:rPr>
          <w:rStyle w:val="FootnoteAnchor"/>
          <w:rtl w:val="true"/>
        </w:rPr>
        <w:footnoteReference w:id="2200"/>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تَرِثُ مِنَ الْفَرْعِ </w:t>
      </w:r>
      <w:r>
        <w:rPr>
          <w:rStyle w:val="FootnoteAnchor"/>
          <w:rtl w:val="true"/>
        </w:rPr>
        <w:footnoteReference w:id="2201"/>
      </w:r>
      <w:r>
        <w:rPr>
          <w:rFonts w:ascii="Amiri" w:hAnsi="Amiri" w:eastAsia="Amiri" w:cs="Amiri"/>
          <w:color w:val="111111"/>
          <w:sz w:val="28"/>
          <w:sz w:val="28"/>
          <w:szCs w:val="28"/>
          <w:rtl w:val="true"/>
          <w:lang w:bidi="ar-SA"/>
        </w:rPr>
        <w:t xml:space="preserve">وَ لَا تَرِثُ مِنَ الرِّبَاعِ </w:t>
      </w:r>
      <w:r>
        <w:rPr>
          <w:rStyle w:val="FootnoteAnchor"/>
          <w:rtl w:val="true"/>
        </w:rPr>
        <w:footnoteReference w:id="2202"/>
      </w:r>
      <w:r>
        <w:rPr>
          <w:rFonts w:ascii="Amiri" w:hAnsi="Amiri" w:eastAsia="Amiri" w:cs="Amiri"/>
          <w:color w:val="111111"/>
          <w:sz w:val="28"/>
          <w:sz w:val="28"/>
          <w:szCs w:val="28"/>
          <w:rtl w:val="true"/>
          <w:lang w:bidi="ar-SA"/>
        </w:rPr>
        <w:t>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نَسَبٌ تَرِثُهُ بِهِ، إِنَّمَا </w:t>
      </w:r>
      <w:r>
        <w:rPr>
          <w:rStyle w:val="FootnoteAnchor"/>
          <w:rtl w:val="true"/>
        </w:rPr>
        <w:footnoteReference w:id="2203"/>
      </w:r>
      <w:r>
        <w:rPr>
          <w:rFonts w:ascii="Amiri" w:hAnsi="Amiri" w:eastAsia="Amiri" w:cs="Amiri"/>
          <w:color w:val="111111"/>
          <w:sz w:val="28"/>
          <w:sz w:val="28"/>
          <w:szCs w:val="28"/>
          <w:rtl w:val="true"/>
          <w:lang w:bidi="ar-SA"/>
        </w:rPr>
        <w:t xml:space="preserve">هِيَ دَخِيْلٌ عَلَيْهِمْ؛ فَتَرِثُ مِنَ الْفَرْعِ وَ لَا تَرِثُ مِنَ الْأَصْلِ، وَ لَا يَدْخُلُ عَلَيْهِمْ دَاخِل بِسَبَبِهَا </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w:t>
      </w:r>
      <w:r>
        <w:rPr>
          <w:rStyle w:val="FootnoteAnchor"/>
          <w:rtl w:val="true"/>
        </w:rPr>
        <w:footnoteReference w:id="2205"/>
      </w:r>
      <w:r>
        <w:rPr>
          <w:rFonts w:ascii="Amiri" w:hAnsi="Amiri" w:eastAsia="Amiri" w:cs="Amiri"/>
          <w:color w:val="111111"/>
          <w:sz w:val="28"/>
          <w:sz w:val="28"/>
          <w:szCs w:val="28"/>
          <w:rtl w:val="true"/>
          <w:lang w:bidi="ar-SA"/>
        </w:rPr>
        <w:t xml:space="preserve">صحيحة ابن رزين </w:t>
      </w:r>
      <w:r>
        <w:rPr>
          <w:rStyle w:val="FootnoteAnchor"/>
          <w:rtl w:val="true"/>
        </w:rPr>
        <w:footnoteReference w:id="2206"/>
      </w:r>
      <w:r>
        <w:rPr>
          <w:rFonts w:ascii="Amiri" w:hAnsi="Amiri" w:eastAsia="Amiri" w:cs="Amiri"/>
          <w:color w:val="111111"/>
          <w:sz w:val="28"/>
          <w:sz w:val="28"/>
          <w:szCs w:val="28"/>
          <w:rtl w:val="true"/>
          <w:lang w:bidi="ar-SA"/>
        </w:rPr>
        <w:t xml:space="preserve">المروية في قرب الإسناد عن أبي عبد الله </w:t>
      </w:r>
      <w:r>
        <w:rPr>
          <w:rStyle w:val="FootnoteAnchor"/>
          <w:rtl w:val="true"/>
        </w:rPr>
        <w:footnoteReference w:id="2207"/>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حسنة ميسرة </w:t>
      </w:r>
      <w:r>
        <w:rPr>
          <w:rStyle w:val="FootnoteAnchor"/>
          <w:rtl w:val="true"/>
        </w:rPr>
        <w:footnoteReference w:id="2208"/>
      </w:r>
      <w:r>
        <w:rPr>
          <w:rFonts w:ascii="Amiri" w:hAnsi="Amiri" w:eastAsia="Amiri" w:cs="Amiri"/>
          <w:color w:val="111111"/>
          <w:sz w:val="28"/>
          <w:sz w:val="28"/>
          <w:szCs w:val="28"/>
          <w:rtl w:val="true"/>
          <w:lang w:bidi="ar-SA"/>
        </w:rPr>
        <w:t xml:space="preserve">على ما في الفقيه </w:t>
      </w:r>
      <w:r>
        <w:rPr>
          <w:rStyle w:val="FootnoteAnchor"/>
          <w:rtl w:val="true"/>
        </w:rPr>
        <w:footnoteReference w:id="2209"/>
      </w:r>
      <w:r>
        <w:rPr>
          <w:rFonts w:ascii="Amiri" w:hAnsi="Amiri" w:eastAsia="Amiri" w:cs="Amiri"/>
          <w:color w:val="111111"/>
          <w:sz w:val="28"/>
          <w:sz w:val="28"/>
          <w:szCs w:val="28"/>
          <w:rtl w:val="true"/>
          <w:lang w:bidi="ar-SA"/>
        </w:rPr>
        <w:t xml:space="preserve">، و روايته على ما في الكافي </w:t>
      </w:r>
      <w:r>
        <w:rPr>
          <w:rStyle w:val="FootnoteAnchor"/>
          <w:rtl w:val="true"/>
        </w:rPr>
        <w:footnoteReference w:id="2210"/>
      </w:r>
      <w:r>
        <w:rPr>
          <w:rFonts w:ascii="Amiri" w:hAnsi="Amiri" w:eastAsia="Amiri" w:cs="Amiri"/>
          <w:color w:val="111111"/>
          <w:sz w:val="28"/>
          <w:sz w:val="28"/>
          <w:szCs w:val="28"/>
          <w:rtl w:val="true"/>
          <w:lang w:bidi="ar-SA"/>
        </w:rPr>
        <w:t xml:space="preserve">و التهذيب، عن أبي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مَا لهَنَّ مِنَ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قِيْمَةُ الطُّوْبِ وَالْبِنَاءِ وَ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الْقَصَبِ</w:t>
      </w:r>
      <w:r>
        <w:rPr>
          <w:rFonts w:eastAsia="Amiri" w:cs="Amiri" w:ascii="Amiri" w:hAnsi="Amiri"/>
          <w:color w:val="111111"/>
          <w:sz w:val="28"/>
          <w:szCs w:val="28"/>
          <w:rtl w:val="true"/>
          <w:lang w:bidi="ar-SA"/>
        </w:rPr>
        <w:t xml:space="preserve">] </w:t>
      </w:r>
      <w:r>
        <w:rPr>
          <w:rStyle w:val="FootnoteAnchor"/>
          <w:rtl w:val="true"/>
        </w:rPr>
        <w:footnoteReference w:id="2211"/>
      </w:r>
      <w:r>
        <w:rPr>
          <w:rFonts w:ascii="Amiri" w:hAnsi="Amiri" w:eastAsia="Amiri" w:cs="Amiri"/>
          <w:color w:val="111111"/>
          <w:sz w:val="28"/>
          <w:sz w:val="28"/>
          <w:szCs w:val="28"/>
          <w:rtl w:val="true"/>
          <w:lang w:bidi="ar-SA"/>
        </w:rPr>
        <w:t xml:space="preserve">،فَأَمَّا </w:t>
      </w:r>
      <w:r>
        <w:rPr>
          <w:rStyle w:val="FootnoteAnchor"/>
          <w:rtl w:val="true"/>
        </w:rPr>
        <w:footnoteReference w:id="2212"/>
      </w:r>
      <w:r>
        <w:rPr>
          <w:rFonts w:ascii="Amiri" w:hAnsi="Amiri" w:eastAsia="Amiri" w:cs="Amiri"/>
          <w:color w:val="111111"/>
          <w:sz w:val="28"/>
          <w:sz w:val="28"/>
          <w:szCs w:val="28"/>
          <w:rtl w:val="true"/>
          <w:lang w:bidi="ar-SA"/>
        </w:rPr>
        <w:t>الْأَرْضُ وَ الْعَقَارَاتُ فَلَا مِيْرَاثَ لهَنَّ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فَالْنَبَاتُ </w:t>
      </w:r>
      <w:r>
        <w:rPr>
          <w:rStyle w:val="FootnoteAnchor"/>
          <w:rtl w:val="true"/>
        </w:rPr>
        <w:footnoteReference w:id="22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Style w:val="FootnoteAnchor"/>
          <w:rtl w:val="true"/>
        </w:rPr>
        <w:footnoteReference w:id="2214"/>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نَصِيبُهُنَّ مِنْهُ </w:t>
      </w:r>
      <w:r>
        <w:rPr>
          <w:rStyle w:val="FootnoteAnchor"/>
          <w:rtl w:val="true"/>
        </w:rPr>
        <w:footnoteReference w:id="2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 xml:space="preserve">كَيْفَ صَارَ </w:t>
      </w:r>
      <w:r>
        <w:rPr>
          <w:rStyle w:val="FootnoteAnchor"/>
          <w:rtl w:val="true"/>
        </w:rPr>
        <w:footnoteReference w:id="2217"/>
      </w:r>
      <w:r>
        <w:rPr>
          <w:rFonts w:ascii="Amiri" w:hAnsi="Amiri" w:eastAsia="Amiri" w:cs="Amiri"/>
          <w:color w:val="111111"/>
          <w:sz w:val="28"/>
          <w:sz w:val="28"/>
          <w:szCs w:val="28"/>
          <w:rtl w:val="true"/>
          <w:lang w:bidi="ar-SA"/>
        </w:rPr>
        <w:t xml:space="preserve">ذَا وَ لهَذِهِ الثمُنُ وَ هَذِهِ الرُّبُعُ مسمی </w:t>
      </w:r>
      <w:r>
        <w:rPr>
          <w:rStyle w:val="FootnoteAnchor"/>
          <w:rtl w:val="true"/>
        </w:rPr>
        <w:footnoteReference w:id="22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لَهَا نَسَبٌ تَرِثُ بِهِ، وَإِنَّا هِيَ دَخِيْلٌ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صَارَ هَكَذَا </w:t>
      </w:r>
      <w:r>
        <w:rPr>
          <w:rStyle w:val="FootnoteAnchor"/>
          <w:rtl w:val="true"/>
        </w:rPr>
        <w:footnoteReference w:id="2219"/>
      </w:r>
      <w:r>
        <w:rPr>
          <w:rFonts w:ascii="Amiri" w:hAnsi="Amiri" w:eastAsia="Amiri" w:cs="Amiri"/>
          <w:color w:val="111111"/>
          <w:sz w:val="28"/>
          <w:sz w:val="28"/>
          <w:szCs w:val="28"/>
          <w:rtl w:val="true"/>
          <w:lang w:bidi="ar-SA"/>
        </w:rPr>
        <w:t xml:space="preserve">لِئَلا </w:t>
      </w:r>
      <w:r>
        <w:rPr>
          <w:rStyle w:val="FootnoteAnchor"/>
          <w:rtl w:val="true"/>
        </w:rPr>
        <w:footnoteReference w:id="2220"/>
      </w:r>
      <w:r>
        <w:rPr>
          <w:rFonts w:ascii="Amiri" w:hAnsi="Amiri" w:eastAsia="Amiri" w:cs="Amiri"/>
          <w:color w:val="111111"/>
          <w:sz w:val="28"/>
          <w:sz w:val="28"/>
          <w:szCs w:val="28"/>
          <w:rtl w:val="true"/>
          <w:lang w:bidi="ar-SA"/>
        </w:rPr>
        <w:t xml:space="preserve">تَتَزَوَّجَ </w:t>
      </w:r>
      <w:r>
        <w:rPr>
          <w:rStyle w:val="FootnoteAnchor"/>
          <w:rtl w:val="true"/>
        </w:rPr>
        <w:footnoteReference w:id="2221"/>
      </w:r>
      <w:r>
        <w:rPr>
          <w:rFonts w:ascii="Amiri" w:hAnsi="Amiri" w:eastAsia="Amiri" w:cs="Amiri"/>
          <w:color w:val="111111"/>
          <w:sz w:val="28"/>
          <w:sz w:val="28"/>
          <w:szCs w:val="28"/>
          <w:rtl w:val="true"/>
          <w:lang w:bidi="ar-SA"/>
        </w:rPr>
        <w:t xml:space="preserve">المَرْأَةُ فَيَجيءُ زَوْجُهَا أَوْ وَلَدُهَا </w:t>
      </w:r>
      <w:r>
        <w:rPr>
          <w:rStyle w:val="FootnoteAnchor"/>
          <w:rtl w:val="true"/>
        </w:rPr>
        <w:footnoteReference w:id="2222"/>
      </w:r>
      <w:r>
        <w:rPr>
          <w:rFonts w:ascii="Amiri" w:hAnsi="Amiri" w:eastAsia="Amiri" w:cs="Amiri"/>
          <w:color w:val="111111"/>
          <w:sz w:val="28"/>
          <w:sz w:val="28"/>
          <w:szCs w:val="28"/>
          <w:rtl w:val="true"/>
          <w:lang w:bidi="ar-SA"/>
        </w:rPr>
        <w:t xml:space="preserve">مِنْ قَوْمٍ أَخَرِيْنَ فَيُزَاحِمُ قَوْمًا أَخَرِيْنَ </w:t>
      </w:r>
      <w:r>
        <w:rPr>
          <w:rStyle w:val="FootnoteAnchor"/>
          <w:rtl w:val="true"/>
        </w:rPr>
        <w:footnoteReference w:id="2223"/>
      </w:r>
      <w:r>
        <w:rPr>
          <w:rFonts w:ascii="Amiri" w:hAnsi="Amiri" w:eastAsia="Amiri" w:cs="Amiri"/>
          <w:color w:val="111111"/>
          <w:sz w:val="28"/>
          <w:sz w:val="28"/>
          <w:szCs w:val="28"/>
          <w:rtl w:val="true"/>
          <w:lang w:bidi="ar-SA"/>
        </w:rPr>
        <w:t>فِي عَقَارِهِمْ</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متنها </w:t>
      </w:r>
      <w:r>
        <w:rPr>
          <w:rStyle w:val="FootnoteAnchor"/>
          <w:rtl w:val="true"/>
        </w:rPr>
        <w:footnoteReference w:id="2225"/>
      </w:r>
      <w:r>
        <w:rPr>
          <w:rFonts w:ascii="Amiri" w:hAnsi="Amiri" w:eastAsia="Amiri" w:cs="Amiri"/>
          <w:color w:val="111111"/>
          <w:sz w:val="28"/>
          <w:sz w:val="28"/>
          <w:szCs w:val="28"/>
          <w:rtl w:val="true"/>
          <w:lang w:bidi="ar-SA"/>
        </w:rPr>
        <w:t>في الأصول الثلاثة كما نقلنا، إلا أنها في الفقيه و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محمد بن مسلم على ما في الكافي و التهذيب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 لَا مِنَ الْعَقَارِ شَيْئًا</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طريقها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العبيدي</w:t>
      </w:r>
      <w:r>
        <w:rPr>
          <w:rStyle w:val="FootnoteAnchor"/>
          <w:rtl w:val="true"/>
        </w:rPr>
        <w:footnoteReference w:id="2228"/>
      </w:r>
      <w:r>
        <w:rPr>
          <w:rFonts w:ascii="Amiri" w:hAnsi="Amiri" w:eastAsia="Amiri" w:cs="Amiri"/>
          <w:color w:val="111111"/>
          <w:sz w:val="28"/>
          <w:sz w:val="28"/>
          <w:szCs w:val="28"/>
          <w:rtl w:val="true"/>
          <w:lang w:bidi="ar-SA"/>
        </w:rPr>
        <w:t>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 في الثاني محمد بن حمران </w:t>
      </w:r>
      <w:r>
        <w:rPr>
          <w:rStyle w:val="FootnoteAnchor"/>
          <w:rtl w:val="true"/>
        </w:rPr>
        <w:footnoteReference w:id="2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فضعفها على الطريقين واضح، فعد العلامة </w:t>
      </w:r>
      <w:r>
        <w:rPr>
          <w:rStyle w:val="FootnoteAnchor"/>
          <w:rtl w:val="true"/>
        </w:rPr>
        <w:footnoteReference w:id="2230"/>
      </w:r>
      <w:r>
        <w:rPr>
          <w:rFonts w:ascii="Amiri" w:hAnsi="Amiri" w:eastAsia="Amiri" w:cs="Amiri"/>
          <w:color w:val="111111"/>
          <w:sz w:val="28"/>
          <w:sz w:val="28"/>
          <w:szCs w:val="28"/>
          <w:rtl w:val="true"/>
          <w:lang w:bidi="ar-SA"/>
        </w:rPr>
        <w:t xml:space="preserve">في المختلف لها من الصحيح </w:t>
      </w:r>
      <w:r>
        <w:rPr>
          <w:rStyle w:val="FootnoteAnchor"/>
          <w:rtl w:val="true"/>
        </w:rPr>
        <w:footnoteReference w:id="2231"/>
      </w:r>
      <w:r>
        <w:rPr>
          <w:rFonts w:ascii="Amiri" w:hAnsi="Amiri" w:eastAsia="Amiri" w:cs="Amiri"/>
          <w:color w:val="111111"/>
          <w:sz w:val="28"/>
          <w:sz w:val="28"/>
          <w:szCs w:val="28"/>
          <w:rtl w:val="true"/>
          <w:lang w:bidi="ar-SA"/>
        </w:rPr>
        <w:t>غفلةٌ كما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زرارة و ابن مسلم </w:t>
      </w:r>
      <w:r>
        <w:rPr>
          <w:rStyle w:val="FootnoteAnchor"/>
          <w:rtl w:val="true"/>
        </w:rPr>
        <w:footnoteReference w:id="2232"/>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تَرِثُ النِّسَاءُ مِنْ عَقَارِ الدُّوْرِ شَيْئًا، وَ لَكِنْ يُقَوَّمُ الْبِنَاء وَ الطُّوْبُ، وَ تُعْطَى ثمُنَهَا أَوْ رُبُعَهَا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 xml:space="preserve">وَ إِنَّمَا ذَلِكَ لِئَلَّا يَتَزَوَّجْنَ </w:t>
      </w:r>
      <w:r>
        <w:rPr>
          <w:rStyle w:val="FootnoteAnchor"/>
          <w:rtl w:val="true"/>
        </w:rPr>
        <w:footnoteReference w:id="2234"/>
      </w:r>
      <w:r>
        <w:rPr>
          <w:rFonts w:ascii="Amiri" w:hAnsi="Amiri" w:eastAsia="Amiri" w:cs="Amiri"/>
          <w:color w:val="111111"/>
          <w:sz w:val="28"/>
          <w:sz w:val="28"/>
          <w:szCs w:val="28"/>
          <w:rtl w:val="true"/>
          <w:lang w:bidi="ar-SA"/>
        </w:rPr>
        <w:t xml:space="preserve">وَ يُفْسِدْنَ </w:t>
      </w:r>
      <w:r>
        <w:rPr>
          <w:rStyle w:val="FootnoteAnchor"/>
          <w:rtl w:val="true"/>
        </w:rPr>
        <w:footnoteReference w:id="2235"/>
      </w:r>
      <w:r>
        <w:rPr>
          <w:rFonts w:ascii="Amiri" w:hAnsi="Amiri" w:eastAsia="Amiri" w:cs="Amiri"/>
          <w:color w:val="111111"/>
          <w:sz w:val="28"/>
          <w:sz w:val="28"/>
          <w:szCs w:val="28"/>
          <w:rtl w:val="true"/>
          <w:lang w:bidi="ar-SA"/>
        </w:rPr>
        <w:t xml:space="preserve">عَلَى أَهْلِ المَوَارِيثِ مَوَارِيْثَهُمْ </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يزيد الصائغ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Style w:val="FootnoteAnchor"/>
          <w:rtl w:val="true"/>
        </w:rPr>
        <w:footnoteReference w:id="2237"/>
      </w:r>
      <w:r>
        <w:rPr>
          <w:rFonts w:ascii="Amiri" w:hAnsi="Amiri" w:eastAsia="Amiri" w:cs="Amiri"/>
          <w:color w:val="111111"/>
          <w:sz w:val="28"/>
          <w:sz w:val="28"/>
          <w:szCs w:val="28"/>
          <w:rtl w:val="true"/>
          <w:lang w:bidi="ar-SA"/>
        </w:rPr>
        <w:t xml:space="preserve">عَنِ النِّسَاءِ، هَلْ يَرِثْنَ مِنَ </w:t>
      </w:r>
      <w:r>
        <w:rPr>
          <w:rStyle w:val="FootnoteAnchor"/>
          <w:rtl w:val="true"/>
        </w:rPr>
        <w:footnoteReference w:id="2238"/>
      </w:r>
      <w:r>
        <w:rPr>
          <w:rFonts w:ascii="Amiri" w:hAnsi="Amiri" w:eastAsia="Amiri" w:cs="Amiri"/>
          <w:color w:val="111111"/>
          <w:sz w:val="28"/>
          <w:sz w:val="28"/>
          <w:szCs w:val="28"/>
          <w:rtl w:val="true"/>
          <w:lang w:bidi="ar-SA"/>
        </w:rPr>
        <w:t xml:space="preserve">الْأَرْضِ ؟ قَالَ </w:t>
      </w:r>
      <w:r>
        <w:rPr>
          <w:rStyle w:val="FootnoteAnchor"/>
          <w:rtl w:val="true"/>
        </w:rPr>
        <w:footnoteReference w:id="2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يَرِثْنَ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يَرْضُوْنَ 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2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وَلِيْنَاهُمْ فَلَمْ يَرْضُوا ضَرَبْنَاهُمْ بِالسَّوْطِ، فَإِنْ لَمْ يَرْضُوا </w:t>
      </w:r>
      <w:r>
        <w:rPr>
          <w:rStyle w:val="FootnoteAnchor"/>
          <w:rtl w:val="true"/>
        </w:rPr>
        <w:footnoteReference w:id="2241"/>
      </w:r>
      <w:r>
        <w:rPr>
          <w:rFonts w:ascii="Amiri" w:hAnsi="Amiri" w:eastAsia="Amiri" w:cs="Amiri"/>
          <w:color w:val="111111"/>
          <w:sz w:val="28"/>
          <w:sz w:val="28"/>
          <w:szCs w:val="28"/>
          <w:rtl w:val="true"/>
          <w:lang w:bidi="ar-SA"/>
        </w:rPr>
        <w:t xml:space="preserve">ضَرَبْنَاهُمْ بِالسَّيْفِ </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موثقة حماد بن عثمان </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الفقيه </w:t>
      </w:r>
      <w:r>
        <w:rPr>
          <w:rStyle w:val="FootnoteAnchor"/>
          <w:rtl w:val="true"/>
        </w:rPr>
        <w:footnoteReference w:id="2244"/>
      </w:r>
      <w:r>
        <w:rPr>
          <w:rFonts w:ascii="Amiri" w:hAnsi="Amiri" w:eastAsia="Amiri" w:cs="Amiri"/>
          <w:color w:val="111111"/>
          <w:sz w:val="28"/>
          <w:sz w:val="28"/>
          <w:szCs w:val="28"/>
          <w:rtl w:val="true"/>
          <w:lang w:bidi="ar-SA"/>
        </w:rPr>
        <w:t xml:space="preserve">، الضعيفة على ما في الكافي </w:t>
      </w:r>
      <w:r>
        <w:rPr>
          <w:rStyle w:val="FootnoteAnchor"/>
          <w:rtl w:val="true"/>
        </w:rPr>
        <w:footnoteReference w:id="2245"/>
      </w:r>
      <w:r>
        <w:rPr>
          <w:rFonts w:ascii="Amiri" w:hAnsi="Amiri" w:eastAsia="Amiri" w:cs="Amiri"/>
          <w:color w:val="111111"/>
          <w:sz w:val="28"/>
          <w:sz w:val="28"/>
          <w:szCs w:val="28"/>
          <w:rtl w:val="true"/>
          <w:lang w:bidi="ar-SA"/>
        </w:rPr>
        <w:t xml:space="preserve">و التهذيب </w:t>
      </w:r>
      <w:r>
        <w:rPr>
          <w:rStyle w:val="FootnoteAnchor"/>
          <w:rtl w:val="true"/>
        </w:rPr>
        <w:footnoteReference w:id="2246"/>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w:t>
      </w:r>
      <w:r>
        <w:rPr>
          <w:rStyle w:val="FootnoteAnchor"/>
          <w:rtl w:val="true"/>
        </w:rPr>
        <w:footnoteReference w:id="2247"/>
      </w:r>
      <w:r>
        <w:rPr>
          <w:rFonts w:ascii="Amiri" w:hAnsi="Amiri" w:eastAsia="Amiri" w:cs="Amiri"/>
          <w:color w:val="111111"/>
          <w:sz w:val="28"/>
          <w:sz w:val="28"/>
          <w:szCs w:val="28"/>
          <w:rtl w:val="true"/>
          <w:lang w:bidi="ar-SA"/>
        </w:rPr>
        <w:t xml:space="preserve">لِلْمَرْأَةِ قِيمَةُ الخَشَب وَ الطَّوْبِ لِئَلَّا </w:t>
      </w:r>
      <w:r>
        <w:rPr>
          <w:rStyle w:val="FootnoteAnchor"/>
          <w:rtl w:val="true"/>
        </w:rPr>
        <w:footnoteReference w:id="2248"/>
      </w:r>
      <w:r>
        <w:rPr>
          <w:rFonts w:ascii="Amiri" w:hAnsi="Amiri" w:eastAsia="Amiri" w:cs="Amiri"/>
          <w:color w:val="111111"/>
          <w:sz w:val="28"/>
          <w:sz w:val="28"/>
          <w:szCs w:val="28"/>
          <w:rtl w:val="true"/>
          <w:lang w:bidi="ar-SA"/>
        </w:rPr>
        <w:t xml:space="preserve">تَتَزَوَّجَ </w:t>
      </w:r>
      <w:r>
        <w:rPr>
          <w:rStyle w:val="FootnoteAnchor"/>
          <w:rtl w:val="true"/>
        </w:rPr>
        <w:footnoteReference w:id="2249"/>
      </w:r>
      <w:r>
        <w:rPr>
          <w:rFonts w:ascii="Amiri" w:hAnsi="Amiri" w:eastAsia="Amiri" w:cs="Amiri"/>
          <w:color w:val="111111"/>
          <w:sz w:val="28"/>
          <w:sz w:val="28"/>
          <w:szCs w:val="28"/>
          <w:rtl w:val="true"/>
          <w:lang w:bidi="ar-SA"/>
        </w:rPr>
        <w:t xml:space="preserve">فَيَدْخُلَ </w:t>
      </w:r>
      <w:r>
        <w:rPr>
          <w:rStyle w:val="FootnoteAnchor"/>
          <w:rtl w:val="true"/>
        </w:rPr>
        <w:footnoteReference w:id="2250"/>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المَوَارِيثِ </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يُفْسِدُ مَوَارِيْثَهُمْ</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الطَّوَابِيْقُ المَطْبُوْحَةُ مِنَ الآجر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عبد الملك بن أعين عن أحدهما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 الْعَقَارِ شَيْء</w:t>
      </w:r>
      <w:r>
        <w:rPr>
          <w:rFonts w:eastAsia="Amiri" w:cs="Amiri" w:ascii="Amiri" w:hAnsi="Amiri"/>
          <w:color w:val="111111"/>
          <w:sz w:val="28"/>
          <w:szCs w:val="28"/>
          <w:rtl w:val="true"/>
          <w:lang w:bidi="ar-SA"/>
        </w:rPr>
        <w:t xml:space="preserve">»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زرارة على ما في الفقيه </w:t>
      </w:r>
      <w:r>
        <w:rPr>
          <w:rStyle w:val="FootnoteAnchor"/>
          <w:rtl w:val="true"/>
        </w:rPr>
        <w:footnoteReference w:id="2254"/>
      </w:r>
      <w:r>
        <w:rPr>
          <w:rFonts w:ascii="Amiri" w:hAnsi="Amiri" w:eastAsia="Amiri" w:cs="Amiri"/>
          <w:color w:val="111111"/>
          <w:sz w:val="28"/>
          <w:sz w:val="28"/>
          <w:szCs w:val="28"/>
          <w:rtl w:val="true"/>
          <w:lang w:bidi="ar-SA"/>
        </w:rPr>
        <w:t xml:space="preserve">، الموثقة على ما في التهذيب </w:t>
      </w:r>
      <w:r>
        <w:rPr>
          <w:rStyle w:val="FootnoteAnchor"/>
          <w:rtl w:val="true"/>
        </w:rPr>
        <w:footnoteReference w:id="2255"/>
      </w:r>
      <w:r>
        <w:rPr>
          <w:rFonts w:ascii="Amiri" w:hAnsi="Amiri" w:eastAsia="Amiri" w:cs="Amiri"/>
          <w:color w:val="111111"/>
          <w:sz w:val="28"/>
          <w:sz w:val="28"/>
          <w:szCs w:val="28"/>
          <w:rtl w:val="true"/>
          <w:lang w:bidi="ar-SA"/>
        </w:rPr>
        <w:t xml:space="preserve">، و خبر طربال بن رجاء عن 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مِمَّا تَرَكَ زَوْجُهَا مِنَ الْقُرَى وَ الدُّوْرِ وَ السَّلَاح وَ الدَّوَابِّ شَيْئًا، وَتَرِثُ مِنَ المالِ وَ الرَّقِيقِ وَ الثَّيَابِ وَ مَتَاعِ الْبَيْتِ مِمَّا تَرَكَ، وَيُقَوَّمُ النَّقْضُ وَ الْجُذُوعُ وَ الْقَصَبُ فَتُعْطَى حَقَّهَا مِنْهُ</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محمد بن مسلم و زرارة 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لَا يَرِثْنَ مِنَ الدُّوْرِ وَلَا مِنَ الضيَاعِ شَيْئًا، إِلَّا أَنْ يَكُوْنَ أُحْدِثَ بِنَاءُ </w:t>
      </w:r>
      <w:r>
        <w:rPr>
          <w:rStyle w:val="FootnoteAnchor"/>
          <w:rtl w:val="true"/>
        </w:rPr>
        <w:footnoteReference w:id="2257"/>
      </w:r>
      <w:r>
        <w:rPr>
          <w:rFonts w:ascii="Amiri" w:hAnsi="Amiri" w:eastAsia="Amiri" w:cs="Amiri"/>
          <w:color w:val="111111"/>
          <w:sz w:val="28"/>
          <w:sz w:val="28"/>
          <w:szCs w:val="28"/>
          <w:rtl w:val="true"/>
          <w:lang w:bidi="ar-SA"/>
        </w:rPr>
        <w:t xml:space="preserve">، فَبیرَثْنَ ذَلِكَ الْبِنَاءَ </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صحيحة الأحول على ما في الفقيه </w:t>
      </w:r>
      <w:r>
        <w:rPr>
          <w:rStyle w:val="FootnoteAnchor"/>
          <w:rtl w:val="true"/>
        </w:rPr>
        <w:footnoteReference w:id="2259"/>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يَرِثْنَ النِّسَاءُ مِنَ الْعَقَارِ شَيْئًا، وَ يَرِثْنَ </w:t>
      </w:r>
      <w:r>
        <w:rPr>
          <w:rStyle w:val="FootnoteAnchor"/>
          <w:rtl w:val="true"/>
        </w:rPr>
        <w:footnoteReference w:id="2260"/>
      </w:r>
      <w:r>
        <w:rPr>
          <w:rFonts w:ascii="Amiri" w:hAnsi="Amiri" w:eastAsia="Amiri" w:cs="Amiri"/>
          <w:color w:val="111111"/>
          <w:sz w:val="28"/>
          <w:sz w:val="28"/>
          <w:szCs w:val="28"/>
          <w:rtl w:val="true"/>
          <w:lang w:bidi="ar-SA"/>
        </w:rPr>
        <w:t>قِيْمَةَ الْبِنَاءِ وَ الشَّجَرِ وَ النَّخْلِ، يَعْنِي بِالْبِنَاءِ الدُّوْرَ، وَإِنَّمَا عَنَى مِنَ النِّسَاءِ الزَّوْجَةَ</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عبد الملك على ما في البصائر لمحمد بن الحسن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أَبُوْ جَعْفَرٍ علیه السلام بِكِتَابِ عَلَيَّ، فَجَاءَ بِهِ جَعْفَرٌ علیه السلام مِثْلَ فَخْذِ الرَّجُلِ مَطْوِيًّا </w:t>
      </w:r>
      <w:r>
        <w:rPr>
          <w:rStyle w:val="FootnoteAnchor"/>
          <w:rtl w:val="true"/>
        </w:rPr>
        <w:footnoteReference w:id="2262"/>
      </w:r>
      <w:r>
        <w:rPr>
          <w:rFonts w:ascii="Amiri" w:hAnsi="Amiri" w:eastAsia="Amiri" w:cs="Amiri"/>
          <w:color w:val="111111"/>
          <w:sz w:val="28"/>
          <w:sz w:val="28"/>
          <w:szCs w:val="28"/>
          <w:rtl w:val="true"/>
          <w:lang w:bidi="ar-SA"/>
        </w:rPr>
        <w:t>،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لَيْسَ هَنَّ مِنْ عَقَارِ الرَّجُلِ إِذَا تُوُفِّيَ عَنْهُنَّ </w:t>
      </w:r>
      <w:r>
        <w:rPr>
          <w:rStyle w:val="FootnoteAnchor"/>
          <w:rtl w:val="true"/>
        </w:rPr>
        <w:footnoteReference w:id="2263"/>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خَطُّ </w:t>
      </w:r>
      <w:r>
        <w:rPr>
          <w:rStyle w:val="FootnoteAnchor"/>
          <w:rtl w:val="true"/>
        </w:rPr>
        <w:footnoteReference w:id="2264"/>
      </w:r>
      <w:r>
        <w:rPr>
          <w:rFonts w:ascii="Amiri" w:hAnsi="Amiri" w:eastAsia="Amiri" w:cs="Amiri"/>
          <w:color w:val="111111"/>
          <w:sz w:val="28"/>
          <w:sz w:val="28"/>
          <w:szCs w:val="28"/>
          <w:rtl w:val="true"/>
          <w:lang w:bidi="ar-SA"/>
        </w:rPr>
        <w:t>عَلَيَّ علیه السلام بِيَدِهِ وَ إِمْلَاءُ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محمد بن سنان على ما في الفقيه و التهذيب و العلل و العيون بأسانيد متعددة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فيما كتب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w:t>
      </w:r>
      <w:r>
        <w:rPr>
          <w:rStyle w:val="FootnoteAnchor"/>
          <w:rtl w:val="true"/>
        </w:rPr>
        <w:footnoteReference w:id="2266"/>
      </w:r>
      <w:r>
        <w:rPr>
          <w:rFonts w:ascii="Amiri" w:hAnsi="Amiri" w:eastAsia="Amiri" w:cs="Amiri"/>
          <w:color w:val="111111"/>
          <w:sz w:val="28"/>
          <w:sz w:val="28"/>
          <w:szCs w:val="28"/>
          <w:rtl w:val="true"/>
          <w:lang w:bidi="ar-SA"/>
        </w:rPr>
        <w:t xml:space="preserve">المَرْأَةِ أَنَهَا لَا تَرِثُ مِنَ الْعَقَارِ </w:t>
      </w:r>
      <w:r>
        <w:rPr>
          <w:rStyle w:val="FootnoteAnchor"/>
          <w:rtl w:val="true"/>
        </w:rPr>
        <w:footnoteReference w:id="2267"/>
      </w:r>
      <w:r>
        <w:rPr>
          <w:rFonts w:ascii="Amiri" w:hAnsi="Amiri" w:eastAsia="Amiri" w:cs="Amiri"/>
          <w:color w:val="111111"/>
          <w:sz w:val="28"/>
          <w:sz w:val="28"/>
          <w:szCs w:val="28"/>
          <w:rtl w:val="true"/>
          <w:lang w:bidi="ar-SA"/>
        </w:rPr>
        <w:t>شَيْئًا إِلَّا قِيْمَةَ الطُّوْبِ 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w:t>
      </w:r>
    </w:p>
    <w:p>
      <w:pPr>
        <w:pStyle w:val="BookText"/>
        <w:rPr/>
      </w:pPr>
      <w:r>
        <w:rPr>
          <w:rFonts w:ascii="Amiri" w:hAnsi="Amiri" w:eastAsia="Amiri" w:cs="Amiri"/>
          <w:color w:val="111111"/>
          <w:sz w:val="28"/>
          <w:sz w:val="28"/>
          <w:szCs w:val="28"/>
          <w:rtl w:val="true"/>
          <w:lang w:bidi="ar-SA"/>
        </w:rPr>
        <w:t xml:space="preserve">الْعَقَارَ لَا يُمْكِنُ تَغْيِيرُهُ وَ قَلْبُهُ، وَ المَرْأَةُ قَدْ </w:t>
      </w:r>
      <w:r>
        <w:rPr>
          <w:rStyle w:val="FootnoteAnchor"/>
          <w:rtl w:val="true"/>
        </w:rPr>
        <w:footnoteReference w:id="2268"/>
      </w:r>
      <w:r>
        <w:rPr>
          <w:rFonts w:ascii="Amiri" w:hAnsi="Amiri" w:eastAsia="Amiri" w:cs="Amiri"/>
          <w:color w:val="111111"/>
          <w:sz w:val="28"/>
          <w:sz w:val="28"/>
          <w:szCs w:val="28"/>
          <w:rtl w:val="true"/>
          <w:lang w:bidi="ar-SA"/>
        </w:rPr>
        <w:t xml:space="preserve">يَجُوزُ أَنْ يَنْقَطِعَ </w:t>
      </w:r>
      <w:r>
        <w:rPr>
          <w:rStyle w:val="FootnoteAnchor"/>
          <w:rtl w:val="true"/>
        </w:rPr>
        <w:footnoteReference w:id="2269"/>
      </w:r>
      <w:r>
        <w:rPr>
          <w:rFonts w:ascii="Amiri" w:hAnsi="Amiri" w:eastAsia="Amiri" w:cs="Amiri"/>
          <w:color w:val="111111"/>
          <w:sz w:val="28"/>
          <w:sz w:val="28"/>
          <w:szCs w:val="28"/>
          <w:rtl w:val="true"/>
          <w:lang w:bidi="ar-SA"/>
        </w:rPr>
        <w:t xml:space="preserve">مَا بَيْنَهُ وَ بَيْنَهَا </w:t>
      </w:r>
      <w:r>
        <w:rPr>
          <w:rStyle w:val="FootnoteAnchor"/>
          <w:rtl w:val="true"/>
        </w:rPr>
        <w:footnoteReference w:id="2270"/>
      </w:r>
      <w:r>
        <w:rPr>
          <w:rFonts w:ascii="Amiri" w:hAnsi="Amiri" w:eastAsia="Amiri" w:cs="Amiri"/>
          <w:color w:val="111111"/>
          <w:sz w:val="28"/>
          <w:sz w:val="28"/>
          <w:szCs w:val="28"/>
          <w:rtl w:val="true"/>
          <w:lang w:bidi="ar-SA"/>
        </w:rPr>
        <w:t xml:space="preserve">مِنَ الْعِصْمَةِ، وَ يَجُوزُ تَغْيِيرُهَا وَ تَبْدِيلُهَا، وَ لَيْسَ الْوَلَدُ وَالْوَالِدُ كَذَلِكَ؛ لِأَنَّهُ لَا يُمْكِنُ التَّفَصَّي </w:t>
      </w:r>
      <w:r>
        <w:rPr>
          <w:rStyle w:val="FootnoteAnchor"/>
          <w:rtl w:val="true"/>
        </w:rPr>
        <w:footnoteReference w:id="2271"/>
      </w:r>
      <w:r>
        <w:rPr>
          <w:rFonts w:ascii="Amiri" w:hAnsi="Amiri" w:eastAsia="Amiri" w:cs="Amiri"/>
          <w:color w:val="111111"/>
          <w:sz w:val="28"/>
          <w:sz w:val="28"/>
          <w:szCs w:val="28"/>
          <w:rtl w:val="true"/>
          <w:lang w:bidi="ar-SA"/>
        </w:rPr>
        <w:t xml:space="preserve">مِنْهُما </w:t>
      </w:r>
      <w:r>
        <w:rPr>
          <w:rStyle w:val="FootnoteAnchor"/>
          <w:rtl w:val="true"/>
        </w:rPr>
        <w:footnoteReference w:id="2272"/>
      </w:r>
      <w:r>
        <w:rPr>
          <w:rFonts w:ascii="Amiri" w:hAnsi="Amiri" w:eastAsia="Amiri" w:cs="Amiri"/>
          <w:color w:val="111111"/>
          <w:sz w:val="28"/>
          <w:sz w:val="28"/>
          <w:szCs w:val="28"/>
          <w:rtl w:val="true"/>
          <w:lang w:bidi="ar-SA"/>
        </w:rPr>
        <w:t xml:space="preserve">، وَ المَرْأَةُ يُمْكِنُ </w:t>
      </w:r>
      <w:r>
        <w:rPr>
          <w:rStyle w:val="FootnoteAnchor"/>
          <w:rtl w:val="true"/>
        </w:rPr>
        <w:footnoteReference w:id="2273"/>
      </w:r>
      <w:r>
        <w:rPr>
          <w:rFonts w:ascii="Amiri" w:hAnsi="Amiri" w:eastAsia="Amiri" w:cs="Amiri"/>
          <w:color w:val="111111"/>
          <w:sz w:val="28"/>
          <w:sz w:val="28"/>
          <w:szCs w:val="28"/>
          <w:rtl w:val="true"/>
          <w:lang w:bidi="ar-SA"/>
        </w:rPr>
        <w:t xml:space="preserve">الاسْتِبْدَالُ بهَا، فَما يَجُوْزُ أَنْ يَجيْءَ وَ يَذْهَبَ، كَانَ مِبْرَاثهُ </w:t>
      </w:r>
      <w:r>
        <w:rPr>
          <w:rStyle w:val="FootnoteAnchor"/>
          <w:rtl w:val="true"/>
        </w:rPr>
        <w:footnoteReference w:id="2274"/>
      </w:r>
      <w:r>
        <w:rPr>
          <w:rFonts w:ascii="Amiri" w:hAnsi="Amiri" w:eastAsia="Amiri" w:cs="Amiri"/>
          <w:color w:val="111111"/>
          <w:sz w:val="28"/>
          <w:sz w:val="28"/>
          <w:szCs w:val="28"/>
          <w:rtl w:val="true"/>
          <w:lang w:bidi="ar-SA"/>
        </w:rPr>
        <w:t xml:space="preserve">فِيمَا يَجُوزُ تَبْدِيلُهُ وَ تَغْيِيرُهُ </w:t>
      </w:r>
      <w:r>
        <w:rPr>
          <w:rStyle w:val="FootnoteAnchor"/>
          <w:rtl w:val="true"/>
        </w:rPr>
        <w:footnoteReference w:id="2275"/>
      </w:r>
      <w:r>
        <w:rPr>
          <w:rFonts w:ascii="Amiri" w:hAnsi="Amiri" w:eastAsia="Amiri" w:cs="Amiri"/>
          <w:color w:val="111111"/>
          <w:sz w:val="28"/>
          <w:sz w:val="28"/>
          <w:szCs w:val="28"/>
          <w:rtl w:val="true"/>
          <w:lang w:bidi="ar-SA"/>
        </w:rPr>
        <w:t xml:space="preserve">إِذَا شَبَهَهُمَا </w:t>
      </w:r>
      <w:r>
        <w:rPr>
          <w:rStyle w:val="FootnoteAnchor"/>
          <w:rtl w:val="true"/>
        </w:rPr>
        <w:footnoteReference w:id="2276"/>
      </w:r>
      <w:r>
        <w:rPr>
          <w:rFonts w:ascii="Amiri" w:hAnsi="Amiri" w:eastAsia="Amiri" w:cs="Amiri"/>
          <w:color w:val="111111"/>
          <w:sz w:val="28"/>
          <w:sz w:val="28"/>
          <w:szCs w:val="28"/>
          <w:rtl w:val="true"/>
          <w:lang w:bidi="ar-SA"/>
        </w:rPr>
        <w:t xml:space="preserve">، وَ كَانَ الثَّابِتُ الْمُقِيْمُ </w:t>
      </w:r>
      <w:r>
        <w:rPr>
          <w:rStyle w:val="FootnoteAnchor"/>
          <w:rtl w:val="true"/>
        </w:rPr>
        <w:footnoteReference w:id="2277"/>
      </w:r>
      <w:r>
        <w:rPr>
          <w:rFonts w:ascii="Amiri" w:hAnsi="Amiri" w:eastAsia="Amiri" w:cs="Amiri"/>
          <w:color w:val="111111"/>
          <w:sz w:val="28"/>
          <w:sz w:val="28"/>
          <w:szCs w:val="28"/>
          <w:rtl w:val="true"/>
          <w:lang w:bidi="ar-SA"/>
        </w:rPr>
        <w:t xml:space="preserve">عَلَى حَالِهِ كَمَنْ </w:t>
      </w:r>
      <w:r>
        <w:rPr>
          <w:rStyle w:val="FootnoteAnchor"/>
          <w:rtl w:val="true"/>
        </w:rPr>
        <w:footnoteReference w:id="2278"/>
      </w:r>
      <w:r>
        <w:rPr>
          <w:rFonts w:ascii="Amiri" w:hAnsi="Amiri" w:eastAsia="Amiri" w:cs="Amiri"/>
          <w:color w:val="111111"/>
          <w:sz w:val="28"/>
          <w:sz w:val="28"/>
          <w:szCs w:val="28"/>
          <w:rtl w:val="true"/>
          <w:lang w:bidi="ar-SA"/>
        </w:rPr>
        <w:t xml:space="preserve">كَانَ مِثْلَهُ فِي </w:t>
      </w:r>
      <w:r>
        <w:rPr>
          <w:rStyle w:val="FootnoteAnchor"/>
          <w:rtl w:val="true"/>
        </w:rPr>
        <w:footnoteReference w:id="2279"/>
      </w:r>
      <w:r>
        <w:rPr>
          <w:rFonts w:ascii="Amiri" w:hAnsi="Amiri" w:eastAsia="Amiri" w:cs="Amiri"/>
          <w:color w:val="111111"/>
          <w:sz w:val="28"/>
          <w:sz w:val="28"/>
          <w:szCs w:val="28"/>
          <w:rtl w:val="true"/>
          <w:lang w:bidi="ar-SA"/>
        </w:rPr>
        <w:t xml:space="preserve">الثَّبَاتِ وَ الْقِيَامِ </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w:t>
      </w:r>
      <w:r>
        <w:rPr>
          <w:rStyle w:val="FootnoteAnchor"/>
          <w:rtl w:val="true"/>
        </w:rPr>
        <w:footnoteReference w:id="2281"/>
      </w:r>
      <w:r>
        <w:rPr>
          <w:rFonts w:ascii="Amiri" w:hAnsi="Amiri" w:eastAsia="Amiri" w:cs="Amiri"/>
          <w:color w:val="111111"/>
          <w:sz w:val="28"/>
          <w:sz w:val="28"/>
          <w:szCs w:val="28"/>
          <w:rtl w:val="true"/>
          <w:lang w:bidi="ar-SA"/>
        </w:rPr>
        <w:t xml:space="preserve">عَنْ أَبي جَعْفَر </w:t>
      </w:r>
      <w:r>
        <w:rPr>
          <w:rStyle w:val="FootnoteAnchor"/>
          <w:rtl w:val="true"/>
        </w:rPr>
        <w:footnoteReference w:id="2282"/>
      </w:r>
      <w:r>
        <w:rPr>
          <w:rFonts w:ascii="Amiri" w:hAnsi="Amiri" w:eastAsia="Amiri" w:cs="Amiri"/>
          <w:color w:val="111111"/>
          <w:sz w:val="28"/>
          <w:sz w:val="28"/>
          <w:szCs w:val="28"/>
          <w:rtl w:val="true"/>
          <w:lang w:bidi="ar-SA"/>
        </w:rPr>
        <w:t xml:space="preserve">ٍ علیه السلام أَنَّ النِّسَاءَ لَا تَرِثُ </w:t>
      </w:r>
      <w:r>
        <w:rPr>
          <w:rStyle w:val="FootnoteAnchor"/>
          <w:rtl w:val="true"/>
        </w:rPr>
        <w:footnoteReference w:id="2283"/>
      </w:r>
      <w:r>
        <w:rPr>
          <w:rFonts w:ascii="Amiri" w:hAnsi="Amiri" w:eastAsia="Amiri" w:cs="Amiri"/>
          <w:color w:val="111111"/>
          <w:sz w:val="28"/>
          <w:sz w:val="28"/>
          <w:szCs w:val="28"/>
          <w:rtl w:val="true"/>
          <w:lang w:bidi="ar-SA"/>
        </w:rPr>
        <w:t xml:space="preserve">مما تَرَكَ زَوْجُهَا مِنْ تُرْبَةِ دَارٍ وَ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أَرْضِ، إِلَّا أَنْ يُقَوَّمَ الْبِنَاءُ وَ الْجُذُوعُ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الْخَشَبُ</w:t>
      </w:r>
      <w:r>
        <w:rPr>
          <w:rFonts w:eastAsia="Amiri" w:cs="Amiri" w:ascii="Amiri" w:hAnsi="Amiri"/>
          <w:color w:val="111111"/>
          <w:sz w:val="28"/>
          <w:szCs w:val="28"/>
          <w:rtl w:val="true"/>
          <w:lang w:bidi="ar-SA"/>
        </w:rPr>
        <w:t xml:space="preserve">] </w:t>
      </w:r>
      <w:r>
        <w:rPr>
          <w:rStyle w:val="FootnoteAnchor"/>
          <w:rtl w:val="true"/>
        </w:rPr>
        <w:footnoteReference w:id="2284"/>
      </w:r>
      <w:r>
        <w:rPr>
          <w:rFonts w:ascii="Amiri" w:hAnsi="Amiri" w:eastAsia="Amiri" w:cs="Amiri"/>
          <w:color w:val="111111"/>
          <w:sz w:val="28"/>
          <w:sz w:val="28"/>
          <w:szCs w:val="28"/>
          <w:rtl w:val="true"/>
          <w:lang w:bidi="ar-SA"/>
        </w:rPr>
        <w:t>فَتُعْطَى نَصِيبَهَا مِنْ قِيْمَةِ الْبِنَاءِ، فَأَمَّا التُّرْبَةُ فَلَا تُعْطَى شَيْئًا مِنَ الْأَرْضِ وَلَا تُرْبَةِ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w:t>
      </w:r>
      <w:r>
        <w:rPr>
          <w:rStyle w:val="FootnoteAnchor"/>
          <w:rtl w:val="true"/>
        </w:rPr>
        <w:footnoteReference w:id="2285"/>
      </w:r>
      <w:r>
        <w:rPr>
          <w:rFonts w:ascii="Amiri" w:hAnsi="Amiri" w:eastAsia="Amiri" w:cs="Amiri"/>
          <w:color w:val="111111"/>
          <w:sz w:val="28"/>
          <w:sz w:val="28"/>
          <w:szCs w:val="28"/>
          <w:rtl w:val="true"/>
          <w:lang w:bidi="ar-SA"/>
        </w:rPr>
        <w:t>لَا شَكٍّ فِيْهِ</w:t>
      </w:r>
      <w:r>
        <w:rPr>
          <w:rFonts w:eastAsia="Amiri" w:cs="Amiri" w:ascii="Amiri" w:hAnsi="Amiri"/>
          <w:color w:val="111111"/>
          <w:sz w:val="28"/>
          <w:szCs w:val="28"/>
          <w:rtl w:val="true"/>
          <w:lang w:bidi="ar-SA"/>
        </w:rPr>
        <w:t xml:space="preserve">»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يزيد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عَلیه السلام يَقُولُ </w:t>
      </w:r>
      <w:r>
        <w:rPr>
          <w:rStyle w:val="FootnoteAnchor"/>
          <w:rtl w:val="true"/>
        </w:rPr>
        <w:footnoteReference w:id="2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لَا يَرِثْنَ مِنْ رِبَاعِ الْأَرْضِ شَيْئًا، وَ لَكِنْ هُنَّ قِيْمَةُ الطُّوْبِ 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وَلِيْنَاهُمْ ضَربْنَاهُمْ بِالسَّوْطِ </w:t>
      </w:r>
      <w:r>
        <w:rPr>
          <w:rStyle w:val="FootnoteAnchor"/>
          <w:rtl w:val="true"/>
        </w:rPr>
        <w:footnoteReference w:id="2290"/>
      </w:r>
      <w:r>
        <w:rPr>
          <w:rFonts w:ascii="Amiri" w:hAnsi="Amiri" w:eastAsia="Amiri" w:cs="Amiri"/>
          <w:color w:val="111111"/>
          <w:sz w:val="28"/>
          <w:sz w:val="28"/>
          <w:szCs w:val="28"/>
          <w:rtl w:val="true"/>
          <w:lang w:bidi="ar-SA"/>
        </w:rPr>
        <w:t xml:space="preserve">، فَإِنِ انْتَهَوْا وَ إِلا ضَرَبْنَاهُمْ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291"/>
      </w:r>
      <w:r>
        <w:rPr>
          <w:rFonts w:ascii="Amiri" w:hAnsi="Amiri" w:eastAsia="Amiri" w:cs="Amiri"/>
          <w:color w:val="111111"/>
          <w:sz w:val="28"/>
          <w:sz w:val="28"/>
          <w:szCs w:val="28"/>
          <w:rtl w:val="true"/>
          <w:lang w:bidi="ar-SA"/>
        </w:rPr>
        <w:t xml:space="preserve">بِالسَّيْفِ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الأخبار مع تكثرها و صحتها، و تعددها في الأصول و صراحتها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على التعميم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من غير أن يكون لها في المعارضة ما يكافؤها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أن في بعضها ذكر المرأة مطلقة، و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بعضها ذكر النساء كذلك؛ لما عرفت أن في كثير منها تقييدا و تخصيصا لها بالزوجة، كصحيحة الأحول و صحيحة الفضلاء، و في بعضها تعليل ذلك الحكم مشعرًا بالاختصاص، فلا مناص عن العمل بها، سيما و قد جاءت معللة بما تقتضيه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2294"/>
      </w:r>
      <w:r>
        <w:rPr>
          <w:rFonts w:ascii="IRNazanin" w:hAnsi="IRNazanin" w:eastAsia="IRNazanin"/>
          <w:color w:val="111111"/>
          <w:sz w:val="28"/>
          <w:sz w:val="28"/>
          <w:szCs w:val="28"/>
          <w:rtl w:val="true"/>
          <w:lang w:bidi="fa-IR"/>
        </w:rPr>
        <w:t>بعض الأفاضل في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علل الأئمة علیهم السلام و الأصحاب ذلك بأنه لو ورثن </w:t>
      </w:r>
      <w:r>
        <w:rPr>
          <w:rStyle w:val="FootnoteAnchor"/>
          <w:rtl w:val="true"/>
        </w:rPr>
        <w:footnoteReference w:id="2295"/>
      </w:r>
      <w:r>
        <w:rPr>
          <w:rFonts w:ascii="Amiri" w:hAnsi="Amiri" w:eastAsia="Amiri" w:cs="Amiri"/>
          <w:color w:val="111111"/>
          <w:sz w:val="28"/>
          <w:sz w:val="28"/>
          <w:szCs w:val="28"/>
          <w:rtl w:val="true"/>
          <w:lang w:bidi="ar-SA"/>
        </w:rPr>
        <w:t xml:space="preserve">من 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الدور و المساكن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لأدى إلى الإضرار بأقرباء الميت؛ إذ لا حجر عليها في التزويج و ربما </w:t>
      </w:r>
      <w:r>
        <w:rPr>
          <w:rStyle w:val="FootnoteAnchor"/>
          <w:rtl w:val="true"/>
        </w:rPr>
        <w:footnoteReference w:id="2296"/>
      </w:r>
      <w:r>
        <w:rPr>
          <w:rFonts w:ascii="Amiri" w:hAnsi="Amiri" w:eastAsia="Amiri" w:cs="Amiri"/>
          <w:color w:val="111111"/>
          <w:sz w:val="28"/>
          <w:sz w:val="28"/>
          <w:szCs w:val="28"/>
          <w:rtl w:val="true"/>
          <w:lang w:bidi="ar-SA"/>
        </w:rPr>
        <w:t xml:space="preserve">تزوجت بمن كان ينافس المتوفى أو يغيظه </w:t>
      </w:r>
      <w:r>
        <w:rPr>
          <w:rStyle w:val="FootnoteAnchor"/>
          <w:rtl w:val="true"/>
        </w:rPr>
        <w:footnoteReference w:id="2297"/>
      </w:r>
      <w:r>
        <w:rPr>
          <w:rFonts w:ascii="Amiri" w:hAnsi="Amiri" w:eastAsia="Amiri" w:cs="Amiri"/>
          <w:color w:val="111111"/>
          <w:sz w:val="28"/>
          <w:sz w:val="28"/>
          <w:szCs w:val="28"/>
          <w:rtl w:val="true"/>
          <w:lang w:bidi="ar-SA"/>
        </w:rPr>
        <w:t xml:space="preserve">أو يحسده، فينتقل </w:t>
      </w:r>
      <w:r>
        <w:rPr>
          <w:rStyle w:val="FootnoteAnchor"/>
          <w:rtl w:val="true"/>
        </w:rPr>
        <w:footnoteReference w:id="2298"/>
      </w:r>
      <w:r>
        <w:rPr>
          <w:rFonts w:ascii="Amiri" w:hAnsi="Amiri" w:eastAsia="Amiri" w:cs="Amiri"/>
          <w:color w:val="111111"/>
          <w:sz w:val="28"/>
          <w:sz w:val="28"/>
          <w:szCs w:val="28"/>
          <w:rtl w:val="true"/>
          <w:lang w:bidi="ar-SA"/>
        </w:rPr>
        <w:t xml:space="preserve">ذلك على </w:t>
      </w:r>
      <w:r>
        <w:rPr>
          <w:rStyle w:val="FootnoteAnchor"/>
          <w:rtl w:val="true"/>
        </w:rPr>
        <w:footnoteReference w:id="2299"/>
      </w:r>
      <w:r>
        <w:rPr>
          <w:rFonts w:ascii="Amiri" w:hAnsi="Amiri" w:eastAsia="Amiri" w:cs="Amiri"/>
          <w:color w:val="111111"/>
          <w:sz w:val="28"/>
          <w:sz w:val="28"/>
          <w:szCs w:val="28"/>
          <w:rtl w:val="true"/>
          <w:lang w:bidi="ar-SA"/>
        </w:rPr>
        <w:t xml:space="preserve">أهله و عشيرته، فعُدِلَ </w:t>
      </w:r>
      <w:r>
        <w:rPr>
          <w:rStyle w:val="FootnoteAnchor"/>
          <w:rtl w:val="true"/>
        </w:rPr>
        <w:footnoteReference w:id="2300"/>
      </w:r>
      <w:r>
        <w:rPr>
          <w:rFonts w:ascii="Amiri" w:hAnsi="Amiri" w:eastAsia="Amiri" w:cs="Amiri"/>
          <w:color w:val="111111"/>
          <w:sz w:val="28"/>
          <w:sz w:val="28"/>
          <w:szCs w:val="28"/>
          <w:rtl w:val="true"/>
          <w:lang w:bidi="ar-SA"/>
        </w:rPr>
        <w:t>بها عن ذلك إلى أجمل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التعليل مما تقتضيه الحكمة، و مستبعده كالمستهزئ بالشرع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w:t>
      </w:r>
      <w:r>
        <w:rPr>
          <w:rStyle w:val="FootnoteAnchor"/>
          <w:rtl w:val="true"/>
        </w:rPr>
        <w:footnoteReference w:id="2302"/>
      </w:r>
      <w:r>
        <w:rPr>
          <w:rFonts w:ascii="Amiri" w:hAnsi="Amiri" w:eastAsia="Amiri" w:cs="Amiri"/>
          <w:color w:val="111111"/>
          <w:sz w:val="28"/>
          <w:sz w:val="28"/>
          <w:szCs w:val="28"/>
          <w:rtl w:val="true"/>
          <w:lang w:bidi="ar-SA"/>
        </w:rPr>
        <w:t>أن هذه مناسبة ظاهرة يفهمها الإنسان كأمثالها من التعليلات الكثيرة المذكورة، و أنه لا يعتبر فيها عدم الاطراد و الانعكاس،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w:t>
      </w:r>
      <w:r>
        <w:rPr>
          <w:rStyle w:val="FootnoteAnchor"/>
          <w:rtl w:val="true"/>
        </w:rPr>
        <w:footnoteReference w:id="2303"/>
      </w:r>
      <w:r>
        <w:rPr>
          <w:rFonts w:ascii="Amiri" w:hAnsi="Amiri" w:eastAsia="Amiri" w:cs="Amiri"/>
          <w:color w:val="111111"/>
          <w:sz w:val="28"/>
          <w:sz w:val="28"/>
          <w:szCs w:val="28"/>
          <w:rtl w:val="true"/>
          <w:lang w:bidi="ar-SA"/>
        </w:rPr>
        <w:t xml:space="preserve">فيها حكمة بالغة غير ذلك </w:t>
      </w:r>
      <w:r>
        <w:rPr>
          <w:rStyle w:val="FootnoteAnchor"/>
          <w:rtl w:val="true"/>
        </w:rPr>
        <w:footnoteReference w:id="2304"/>
      </w:r>
      <w:r>
        <w:rPr>
          <w:rFonts w:ascii="Amiri" w:hAnsi="Amiri" w:eastAsia="Amiri" w:cs="Amiri"/>
          <w:color w:val="111111"/>
          <w:sz w:val="28"/>
          <w:sz w:val="28"/>
          <w:szCs w:val="28"/>
          <w:rtl w:val="true"/>
          <w:lang w:bidi="ar-SA"/>
        </w:rPr>
        <w:t xml:space="preserve">لا يصل إليها فهمنا </w:t>
      </w:r>
      <w:r>
        <w:rPr>
          <w:rStyle w:val="FootnoteAnchor"/>
          <w:rtl w:val="true"/>
        </w:rPr>
        <w:footnoteReference w:id="2305"/>
      </w:r>
      <w:r>
        <w:rPr>
          <w:rFonts w:ascii="Amiri" w:hAnsi="Amiri" w:eastAsia="Amiri" w:cs="Amiri"/>
          <w:color w:val="111111"/>
          <w:sz w:val="28"/>
          <w:sz w:val="28"/>
          <w:szCs w:val="28"/>
          <w:rtl w:val="true"/>
          <w:lang w:bidi="ar-SA"/>
        </w:rPr>
        <w:t xml:space="preserve">، و ما ذكر </w:t>
      </w:r>
      <w:r>
        <w:rPr>
          <w:rStyle w:val="FootnoteAnchor"/>
          <w:rtl w:val="true"/>
        </w:rPr>
        <w:footnoteReference w:id="2306"/>
      </w:r>
      <w:r>
        <w:rPr>
          <w:rFonts w:ascii="Amiri" w:hAnsi="Amiri" w:eastAsia="Amiri" w:cs="Amiri"/>
          <w:color w:val="111111"/>
          <w:sz w:val="28"/>
          <w:sz w:val="28"/>
          <w:szCs w:val="28"/>
          <w:rtl w:val="true"/>
          <w:lang w:bidi="ar-SA"/>
        </w:rPr>
        <w:t>كما ذكر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2307"/>
      </w:r>
      <w:r>
        <w:rPr>
          <w:rFonts w:ascii="IRNazanin" w:hAnsi="IRNazanin" w:eastAsia="IRNazanin"/>
          <w:color w:val="111111"/>
          <w:sz w:val="28"/>
          <w:sz w:val="28"/>
          <w:szCs w:val="28"/>
          <w:rtl w:val="true"/>
          <w:lang w:bidi="fa-IR"/>
        </w:rPr>
        <w:t>إذا ثبت الحكم من المعصومين علیهم السلام فلا استبعاد، و لا يحتاج إلى فهم العلة و هو ظاهر، وإنما الكلام في ثبوت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تعلم أيضًا </w:t>
      </w:r>
      <w:r>
        <w:rPr>
          <w:rStyle w:val="FootnoteAnchor"/>
          <w:rtl w:val="true"/>
        </w:rPr>
        <w:footnoteReference w:id="2308"/>
      </w:r>
      <w:r>
        <w:rPr>
          <w:rFonts w:ascii="Amiri" w:hAnsi="Amiri" w:eastAsia="Amiri" w:cs="Amiri"/>
          <w:color w:val="111111"/>
          <w:sz w:val="28"/>
          <w:sz w:val="28"/>
          <w:szCs w:val="28"/>
          <w:rtl w:val="true"/>
          <w:lang w:bidi="ar-SA"/>
        </w:rPr>
        <w:t xml:space="preserve">أن هذه الحكمة إنما تقتضي الحرمان من عين تلك الأمور لا من </w:t>
      </w:r>
      <w:r>
        <w:rPr>
          <w:rStyle w:val="FootnoteAnchor"/>
          <w:rtl w:val="true"/>
        </w:rPr>
        <w:footnoteReference w:id="2309"/>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 xml:space="preserve">» </w:t>
      </w:r>
      <w:r>
        <w:rPr>
          <w:rStyle w:val="FootnoteAnchor"/>
          <w:rtl w:val="true"/>
        </w:rPr>
        <w:footnoteReference w:id="2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 و هو كلام متين قد أحاط بأطراف الأدلة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يرد عليها أنها مخالفة لظاهر الكتاب و عمومات بعض أخبار أئمتنا الأنجاب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مستمسك ابن الجنيد من الأصحاب </w:t>
      </w:r>
      <w:r>
        <w:rPr>
          <w:rStyle w:val="FootnoteAnchor"/>
          <w:rtl w:val="true"/>
        </w:rPr>
        <w:footnoteReference w:id="2311"/>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الرُّبُعُ مِمَّا تَرَكْتُمْ إِنْ لَمْ يَكُنْ لَكُمْ وَلَدٌ</w:t>
      </w:r>
      <w:r>
        <w:rPr>
          <w:rStyle w:val="FootnoteAnchor"/>
          <w:rtl w:val="true"/>
        </w:rPr>
        <w:footnoteReference w:id="2312"/>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الثُّمُنُ مِمَّا تَرَكْتُمْ</w:t>
      </w:r>
      <w:r>
        <w:rPr>
          <w:rStyle w:val="FootnoteAnchor"/>
          <w:rtl w:val="true"/>
        </w:rPr>
        <w:footnoteReference w:id="2313"/>
      </w:r>
      <w:r>
        <w:rPr>
          <w:rFonts w:ascii="Amiri" w:hAnsi="Amiri" w:eastAsia="Amiri" w:cs="Amiri"/>
          <w:color w:val="111111"/>
          <w:sz w:val="28"/>
          <w:sz w:val="28"/>
          <w:szCs w:val="28"/>
          <w:rtl w:val="true"/>
          <w:lang w:bidi="ar-SA"/>
        </w:rPr>
        <w:t xml:space="preserve">و 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العموم؛ لما ثبت في الأصول أن الموصول من صيغه</w:t>
      </w:r>
      <w:r>
        <w:rPr>
          <w:rFonts w:eastAsia="Amiri" w:cs="Amiri" w:ascii="Amiri" w:hAnsi="Amiri"/>
          <w:color w:val="111111"/>
          <w:sz w:val="28"/>
          <w:szCs w:val="28"/>
          <w:rtl w:val="true"/>
          <w:lang w:bidi="ar-SA"/>
        </w:rPr>
        <w:t xml:space="preserve">. .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ابن أبي يعفور و أبي العباس البقباق </w:t>
      </w:r>
      <w:r>
        <w:rPr>
          <w:rStyle w:val="FootnoteAnchor"/>
          <w:rtl w:val="true"/>
        </w:rPr>
        <w:footnoteReference w:id="2314"/>
      </w:r>
      <w:r>
        <w:rPr>
          <w:rFonts w:ascii="Amiri" w:hAnsi="Amiri" w:eastAsia="Amiri" w:cs="Amiri"/>
          <w:color w:val="111111"/>
          <w:sz w:val="28"/>
          <w:sz w:val="28"/>
          <w:szCs w:val="28"/>
          <w:rtl w:val="true"/>
          <w:lang w:bidi="ar-SA"/>
        </w:rPr>
        <w:t xml:space="preserve">المروية في التهذيب </w:t>
      </w:r>
      <w:r>
        <w:rPr>
          <w:rStyle w:val="FootnoteAnchor"/>
          <w:rtl w:val="true"/>
        </w:rPr>
        <w:footnoteReference w:id="2315"/>
      </w:r>
      <w:r>
        <w:rPr>
          <w:rFonts w:ascii="Amiri" w:hAnsi="Amiri" w:eastAsia="Amiri" w:cs="Amiri"/>
          <w:color w:val="111111"/>
          <w:sz w:val="28"/>
          <w:sz w:val="28"/>
          <w:szCs w:val="28"/>
          <w:rtl w:val="true"/>
          <w:lang w:bidi="ar-SA"/>
        </w:rPr>
        <w:t xml:space="preserve">و الفقيه </w:t>
      </w:r>
      <w:r>
        <w:rPr>
          <w:rStyle w:val="FootnoteAnchor"/>
          <w:rtl w:val="true"/>
        </w:rPr>
        <w:footnoteReference w:id="2316"/>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يَرِثُ مِنْ </w:t>
      </w:r>
      <w:r>
        <w:rPr>
          <w:rStyle w:val="FootnoteAnchor"/>
          <w:rtl w:val="true"/>
        </w:rPr>
        <w:footnoteReference w:id="2317"/>
      </w:r>
      <w:r>
        <w:rPr>
          <w:rFonts w:ascii="Amiri" w:hAnsi="Amiri" w:eastAsia="Amiri" w:cs="Amiri"/>
          <w:color w:val="111111"/>
          <w:sz w:val="28"/>
          <w:sz w:val="28"/>
          <w:szCs w:val="28"/>
          <w:rtl w:val="true"/>
          <w:lang w:bidi="ar-SA"/>
        </w:rPr>
        <w:t xml:space="preserve">دَارِ امْرَأَتِهِ وَ أَرْضِهَا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التُّرْبَةِ</w:t>
      </w:r>
      <w:r>
        <w:rPr>
          <w:rFonts w:eastAsia="Amiri" w:cs="Amiri" w:ascii="Amiri" w:hAnsi="Amiri"/>
          <w:color w:val="111111"/>
          <w:sz w:val="28"/>
          <w:szCs w:val="28"/>
          <w:rtl w:val="true"/>
          <w:lang w:bidi="ar-SA"/>
        </w:rPr>
        <w:t xml:space="preserve">] </w:t>
      </w:r>
      <w:r>
        <w:rPr>
          <w:rStyle w:val="FootnoteAnchor"/>
          <w:rtl w:val="true"/>
        </w:rPr>
        <w:footnoteReference w:id="2318"/>
      </w:r>
      <w:r>
        <w:rPr>
          <w:rFonts w:ascii="Amiri" w:hAnsi="Amiri" w:eastAsia="Amiri" w:cs="Amiri"/>
          <w:color w:val="111111"/>
          <w:sz w:val="28"/>
          <w:sz w:val="28"/>
          <w:szCs w:val="28"/>
          <w:rtl w:val="true"/>
          <w:lang w:bidi="ar-SA"/>
        </w:rPr>
        <w:t>شَيْئًا، أَوْ يَكُونُ فِي ذَلِكَ بِمَنْزِلَةِ المَرْأَةِ، فَلَا يَرِثُ مِنْ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يَرِثُهَا وَ تَرِثُهُ مِنْ كُلِّ شَيْءٍ تَرَكَ وَ تَرَكَتْ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حسنة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تَزَوَّجَ امْرَأَةً ثُمَّ مَاتَ عَنْهَا وَ قَدْ فَرَضَ لهَا الصَّدَاقَ ؟ قَالَ </w:t>
      </w:r>
      <w:r>
        <w:rPr>
          <w:rStyle w:val="FootnoteAnchor"/>
          <w:rtl w:val="true"/>
        </w:rPr>
        <w:footnoteReference w:id="2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الصَّدَاقِ،وَ تَرِثُهُ مِنْ كُلِّ شَيْءٍ، وَ إِنْ مَاتَتْ فَهِيَ كَذَلِكَ</w:t>
      </w:r>
      <w:r>
        <w:rPr>
          <w:rFonts w:eastAsia="Amiri" w:cs="Amiri" w:ascii="Amiri" w:hAnsi="Amiri"/>
          <w:color w:val="111111"/>
          <w:sz w:val="28"/>
          <w:szCs w:val="28"/>
          <w:rtl w:val="true"/>
          <w:lang w:bidi="ar-SA"/>
        </w:rPr>
        <w:t xml:space="preserve">» </w:t>
      </w:r>
      <w:r>
        <w:rPr>
          <w:rStyle w:val="FootnoteAnchor"/>
          <w:rtl w:val="true"/>
        </w:rPr>
        <w:footnoteReference w:id="2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أبي الجارود عن أبي جعفر علیه السلام مثله </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Style w:val="FootnoteAnchor"/>
          <w:rtl w:val="true"/>
        </w:rPr>
        <w:footnoteReference w:id="2324"/>
      </w:r>
      <w:r>
        <w:rPr>
          <w:rFonts w:ascii="Amiri" w:hAnsi="Amiri" w:eastAsia="Amiri" w:cs="Amiri"/>
          <w:color w:val="111111"/>
          <w:sz w:val="28"/>
          <w:sz w:val="28"/>
          <w:szCs w:val="28"/>
          <w:rtl w:val="true"/>
          <w:lang w:bidi="ar-SA"/>
        </w:rPr>
        <w:t>تقرر أن عموم القرآن مما يخصصه 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الصحيح عنهم علیهم السلام ، و قد عرفت تكثر تلك الأخبار و صحتها، فلا ضير في التخصيص بها لعموم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العموم في الكتاب مما قد يناقش فيه؛ لأنه مبني على 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مع احتمال أن تكون موصوفة بمعنى شيء، فيكون الكتاب مطلقا لا عموم فيه، و المطلق من الكتاب يرد إلى </w:t>
      </w:r>
      <w:r>
        <w:rPr>
          <w:rStyle w:val="FootnoteAnchor"/>
          <w:rtl w:val="true"/>
        </w:rPr>
        <w:footnoteReference w:id="2325"/>
      </w:r>
      <w:r>
        <w:rPr>
          <w:rFonts w:ascii="Amiri" w:hAnsi="Amiri" w:eastAsia="Amiri" w:cs="Amiri"/>
          <w:color w:val="111111"/>
          <w:sz w:val="28"/>
          <w:sz w:val="28"/>
          <w:szCs w:val="28"/>
          <w:rtl w:val="true"/>
          <w:lang w:bidi="ar-SA"/>
        </w:rPr>
        <w:t>تقييد السنة بلا كلام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2326"/>
      </w:r>
      <w:r>
        <w:rPr>
          <w:rFonts w:ascii="Amiri" w:hAnsi="Amiri" w:eastAsia="Amiri" w:cs="Amiri"/>
          <w:color w:val="111111"/>
          <w:sz w:val="28"/>
          <w:sz w:val="28"/>
          <w:szCs w:val="28"/>
          <w:rtl w:val="true"/>
          <w:lang w:bidi="ar-SA"/>
        </w:rPr>
        <w:t>تلك الأخبار التي ذكرناها المطابقة لظاهر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قلتها و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w:t>
      </w:r>
      <w:r>
        <w:rPr>
          <w:rStyle w:val="FootnoteAnchor"/>
          <w:rtl w:val="true"/>
        </w:rPr>
        <w:footnoteReference w:id="2327"/>
      </w:r>
      <w:r>
        <w:rPr>
          <w:rFonts w:ascii="Amiri" w:hAnsi="Amiri" w:eastAsia="Amiri" w:cs="Amiri"/>
          <w:color w:val="111111"/>
          <w:sz w:val="28"/>
          <w:sz w:val="28"/>
          <w:szCs w:val="28"/>
          <w:rtl w:val="true"/>
          <w:lang w:bidi="ar-SA"/>
        </w:rPr>
        <w:t>عن المقاومة؛ لأنهم علیهم السلام قد استفاض عنهم في مقبولة ابن حنظلة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مَا اشْتَهَرَ بَيْنَ أَصْحَابِكَ وَ دَع الشَّاذَ النَّادِرَ </w:t>
      </w:r>
      <w:r>
        <w:rPr>
          <w:rFonts w:eastAsia="Amiri" w:cs="Amiri" w:ascii="Amiri" w:hAnsi="Amiri"/>
          <w:color w:val="111111"/>
          <w:sz w:val="28"/>
          <w:szCs w:val="28"/>
          <w:rtl w:val="true"/>
          <w:lang w:bidi="ar-SA"/>
        </w:rPr>
        <w:t xml:space="preserve">» </w:t>
      </w:r>
      <w:r>
        <w:rPr>
          <w:rStyle w:val="FootnoteAnchor"/>
          <w:rtl w:val="true"/>
        </w:rPr>
        <w:footnoteReference w:id="2328"/>
      </w:r>
      <w:r>
        <w:rPr>
          <w:rFonts w:ascii="Amiri" w:hAnsi="Amiri" w:eastAsia="Amiri" w:cs="Amiri"/>
          <w:color w:val="111111"/>
          <w:sz w:val="28"/>
          <w:sz w:val="28"/>
          <w:szCs w:val="28"/>
          <w:rtl w:val="true"/>
          <w:lang w:bidi="ar-SA"/>
        </w:rPr>
        <w:t xml:space="preserve">، و مقتضى ذلك المستفيض أن الترجيح بالشهرة مقدم على الترجيح بموافقة الكتاب، على أنك قد عرفت ما في موافقة الكتاب </w:t>
      </w:r>
      <w:r>
        <w:rPr>
          <w:rStyle w:val="FootnoteAnchor"/>
          <w:rtl w:val="true"/>
        </w:rPr>
        <w:footnoteReference w:id="2329"/>
      </w:r>
      <w:r>
        <w:rPr>
          <w:rFonts w:ascii="Amiri" w:hAnsi="Amiri" w:eastAsia="Amiri" w:cs="Amiri"/>
          <w:color w:val="111111"/>
          <w:sz w:val="28"/>
          <w:sz w:val="28"/>
          <w:szCs w:val="28"/>
          <w:rtl w:val="true"/>
          <w:lang w:bidi="ar-SA"/>
        </w:rPr>
        <w:t xml:space="preserve">لتلك الأخبار العامة من المناقشة، فيكون الكتاب مجملاً غير مطابق لها؛ لتنصيصها دونه على العموم، مطابقةً لمذاهب العامة عامة </w:t>
      </w:r>
      <w:r>
        <w:rPr>
          <w:rStyle w:val="FootnoteAnchor"/>
          <w:rtl w:val="true"/>
        </w:rPr>
        <w:footnoteReference w:id="2330"/>
      </w:r>
      <w:r>
        <w:rPr>
          <w:rFonts w:ascii="Amiri" w:hAnsi="Amiri" w:eastAsia="Amiri" w:cs="Amiri"/>
          <w:color w:val="111111"/>
          <w:sz w:val="28"/>
          <w:sz w:val="28"/>
          <w:szCs w:val="28"/>
          <w:rtl w:val="true"/>
          <w:lang w:bidi="ar-SA"/>
        </w:rPr>
        <w:t xml:space="preserve">، فيجب طرحها لذلك، فتكون </w:t>
      </w:r>
      <w:r>
        <w:rPr>
          <w:rStyle w:val="FootnoteAnchor"/>
          <w:rtl w:val="true"/>
        </w:rPr>
        <w:footnoteReference w:id="2331"/>
      </w:r>
      <w:r>
        <w:rPr>
          <w:rFonts w:ascii="Amiri" w:hAnsi="Amiri" w:eastAsia="Amiri" w:cs="Amiri"/>
          <w:color w:val="111111"/>
          <w:sz w:val="28"/>
          <w:sz w:val="28"/>
          <w:szCs w:val="28"/>
          <w:rtl w:val="true"/>
          <w:lang w:bidi="ar-SA"/>
        </w:rPr>
        <w:t xml:space="preserve">الأخبار التي عملنا عليها لا معارض لها، فيتجه لنا </w:t>
      </w:r>
      <w:r>
        <w:rPr>
          <w:rStyle w:val="FootnoteAnchor"/>
          <w:rtl w:val="true"/>
        </w:rPr>
        <w:footnoteReference w:id="2332"/>
      </w:r>
      <w:r>
        <w:rPr>
          <w:rFonts w:ascii="IRNazanin" w:hAnsi="IRNazanin" w:eastAsia="IRNazanin"/>
          <w:color w:val="111111"/>
          <w:sz w:val="28"/>
          <w:sz w:val="28"/>
          <w:szCs w:val="28"/>
          <w:rtl w:val="true"/>
          <w:lang w:bidi="fa-IR"/>
        </w:rPr>
        <w:t>الأخذ بها</w:t>
      </w:r>
      <w:r>
        <w:rPr>
          <w:rFonts w:eastAsia="IRNazanin" w:cs="IRNazanin"/>
          <w:color w:val="111111"/>
          <w:sz w:val="28"/>
          <w:szCs w:val="28"/>
          <w:rtl w:val="true"/>
          <w:lang w:bidi="fa-IR"/>
        </w:rPr>
        <w:t xml:space="preserve">.. </w:t>
      </w:r>
      <w:bookmarkStart w:id="190" w:name="pg2523_39955"/>
    </w:p>
    <w:p>
      <w:pPr>
        <w:pStyle w:val="BookText"/>
        <w:rPr/>
      </w:pPr>
      <w:bookmarkEnd w:id="190"/>
      <w:r>
        <w:rPr>
          <w:rFonts w:ascii="Amiri" w:hAnsi="Amiri" w:eastAsia="Amiri" w:cs="Amiri"/>
          <w:color w:val="111111"/>
          <w:sz w:val="28"/>
          <w:sz w:val="28"/>
          <w:szCs w:val="28"/>
          <w:rtl w:val="true"/>
          <w:lang w:bidi="ar-SA"/>
        </w:rPr>
        <w:t>و من هنا عمل عليها جملة من مشايخنا المتأخرين من المعاصرين</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264930_3804643083"/>
      <w:bookmarkStart w:id="192" w:name="_Toc63"/>
      <w:bookmarkEnd w:id="191"/>
      <w:r>
        <w:rPr>
          <w:rtl w:val="true"/>
        </w:rPr>
        <w:t>و أمَّا الثاني</w:t>
      </w:r>
      <w:bookmarkEnd w:id="192"/>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اختصاص الحرمان بغير ذات </w:t>
      </w:r>
      <w:r>
        <w:rPr>
          <w:rStyle w:val="FootnoteAnchor"/>
          <w:rtl w:val="true"/>
        </w:rPr>
        <w:footnoteReference w:id="2333"/>
      </w:r>
      <w:r>
        <w:rPr>
          <w:rFonts w:ascii="IRNazanin" w:hAnsi="IRNazanin" w:eastAsia="IRNazanin"/>
          <w:color w:val="111111"/>
          <w:sz w:val="28"/>
          <w:sz w:val="28"/>
          <w:szCs w:val="28"/>
          <w:rtl w:val="true"/>
          <w:lang w:bidi="fa-IR"/>
        </w:rPr>
        <w:t xml:space="preserve">الولد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فعليه الأكثر من علمائنا، سيما المتأخرين </w:t>
      </w:r>
      <w:r>
        <w:rPr>
          <w:rStyle w:val="FootnoteAnchor"/>
          <w:rtl w:val="true"/>
        </w:rPr>
        <w:footnoteReference w:id="2334"/>
      </w:r>
      <w:r>
        <w:rPr>
          <w:rFonts w:ascii="Amiri" w:hAnsi="Amiri" w:eastAsia="Amiri" w:cs="Amiri"/>
          <w:color w:val="111111"/>
          <w:sz w:val="28"/>
          <w:sz w:val="28"/>
          <w:szCs w:val="28"/>
          <w:rtl w:val="true"/>
          <w:lang w:bidi="ar-SA"/>
        </w:rPr>
        <w:t xml:space="preserve">إخلادًا لصحيحة ابن أذينة المقطوعة </w:t>
      </w:r>
      <w:r>
        <w:rPr>
          <w:rStyle w:val="FootnoteAnchor"/>
          <w:rtl w:val="true"/>
        </w:rPr>
        <w:footnoteReference w:id="2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النِّسَاءِ إِذَا كَانَ هُنَّ وَلَدٌ أُعْطِيْنَ مِنَ الرِّبَاع </w:t>
      </w:r>
      <w:r>
        <w:rPr>
          <w:rFonts w:eastAsia="Amiri" w:cs="Amiri" w:ascii="Amiri" w:hAnsi="Amiri"/>
          <w:color w:val="111111"/>
          <w:sz w:val="28"/>
          <w:szCs w:val="28"/>
          <w:rtl w:val="true"/>
          <w:lang w:bidi="ar-SA"/>
        </w:rPr>
        <w:t xml:space="preserve">» </w:t>
      </w:r>
      <w:r>
        <w:rPr>
          <w:rStyle w:val="FootnoteAnchor"/>
          <w:rtl w:val="true"/>
        </w:rPr>
        <w:footnoteReference w:id="2336"/>
      </w:r>
      <w:r>
        <w:rPr>
          <w:rFonts w:ascii="Amiri" w:hAnsi="Amiri" w:eastAsia="Amiri" w:cs="Amiri"/>
          <w:color w:val="111111"/>
          <w:sz w:val="28"/>
          <w:sz w:val="28"/>
          <w:szCs w:val="28"/>
          <w:rtl w:val="true"/>
          <w:lang w:bidi="ar-SA"/>
        </w:rPr>
        <w:t xml:space="preserve">لأنها مفصلة، و ما تقدم عام أو مجمل، فيجب حمله عليها؛ مراعاة للقواعد المعصومية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فيه الجمع بين ما صرنا له من الأخبار، و بين ما تمسك به ابن الجنيد الذي مر ذكره من صحيحة ابن أبي يعفور و حسنة البقباق و خبر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w:t>
      </w:r>
      <w:r>
        <w:rPr>
          <w:rStyle w:val="FootnoteAnchor"/>
          <w:rtl w:val="true"/>
        </w:rPr>
        <w:footnoteReference w:id="2338"/>
      </w:r>
      <w:r>
        <w:rPr>
          <w:rFonts w:ascii="Amiri" w:hAnsi="Amiri" w:eastAsia="Amiri" w:cs="Amiri"/>
          <w:color w:val="111111"/>
          <w:sz w:val="28"/>
          <w:sz w:val="28"/>
          <w:szCs w:val="28"/>
          <w:rtl w:val="true"/>
          <w:lang w:bidi="ar-SA"/>
        </w:rPr>
        <w:t>الأول على من ليس لها ولد منه، و الثاني على من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فيه نوع سلامة لعموم الكتاب و الأخبار في الجملة؛ لصيرورة التخصيص فيهما 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العمدة في ذلك هو صحيحة ابن أذينة بزعمهم، و هي في الحقيقة لا صحة فيها و لا صراحة، بل و لا ظاهرية لها في تمام المطلوب؛ لكونها مقطوعة، و ظاهرها أنها فتوى لابن أذينة؛ إذ لم يسندها أحد من المعصومين بلفظ الظاهر و لا المضمر ، بل هي معلنة بأنها قول من عند نفسه كسائر فتاوى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يجدينا نفعا كونه ثقة؛ لأن ذلك نافع في مقام الرواية لا الفتوى، سيما إذا كانت الأخبار التي بأيدينا على المخالفة لا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سبيلها سائر المقطوعات و المراسيل حتى يقال إن الظاهر من مثله عدم النقل عن غير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بصريحة في </w:t>
      </w:r>
      <w:r>
        <w:rPr>
          <w:rStyle w:val="FootnoteAnchor"/>
          <w:rtl w:val="true"/>
        </w:rPr>
        <w:footnoteReference w:id="2339"/>
      </w:r>
      <w:r>
        <w:rPr>
          <w:rFonts w:ascii="Amiri" w:hAnsi="Amiri" w:eastAsia="Amiri" w:cs="Amiri"/>
          <w:color w:val="111111"/>
          <w:sz w:val="28"/>
          <w:sz w:val="28"/>
          <w:szCs w:val="28"/>
          <w:rtl w:val="true"/>
          <w:lang w:bidi="ar-SA"/>
        </w:rPr>
        <w:t xml:space="preserve">الزوجات أيضًا و إن كان الظاهر منها ذلك، و لا في الإعطاء من كل ما ترك، و لا من كل ما فيه النزاع؛ إذ لا تعرض لها </w:t>
      </w:r>
      <w:r>
        <w:rPr>
          <w:rStyle w:val="FootnoteAnchor"/>
          <w:rtl w:val="true"/>
        </w:rPr>
        <w:footnoteReference w:id="2340"/>
      </w:r>
      <w:r>
        <w:rPr>
          <w:rFonts w:ascii="Amiri" w:hAnsi="Amiri" w:eastAsia="Amiri" w:cs="Amiri"/>
          <w:color w:val="111111"/>
          <w:sz w:val="28"/>
          <w:sz w:val="28"/>
          <w:szCs w:val="28"/>
          <w:rtl w:val="true"/>
          <w:lang w:bidi="ar-SA"/>
        </w:rPr>
        <w:t xml:space="preserve">لسوى الرباع، و لا تصريح فيها بكون الولد منه، ولا يكون </w:t>
      </w:r>
      <w:r>
        <w:rPr>
          <w:rStyle w:val="FootnoteAnchor"/>
          <w:rtl w:val="true"/>
        </w:rPr>
        <w:footnoteReference w:id="2341"/>
      </w:r>
      <w:r>
        <w:rPr>
          <w:rFonts w:ascii="Amiri" w:hAnsi="Amiri" w:eastAsia="Amiri" w:cs="Amiri"/>
          <w:color w:val="111111"/>
          <w:sz w:val="28"/>
          <w:sz w:val="28"/>
          <w:szCs w:val="28"/>
          <w:rtl w:val="true"/>
          <w:lang w:bidi="ar-SA"/>
        </w:rPr>
        <w:t>المعطى من الرباع عينه، فاحتمال أن يكون من القيمة قائم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تنصيص فيها على حكم غير ذات الولد حتى يقال إنها مفصلة كما ادعى، مع أن حمل عمومات الآيات و الأخبار على هذا التفصيل بعيد جدًا، بل لا يمكن فهمه؛ إذ تخصيصها بذات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من ساحة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غير ذات الولد بغير فرض في كتاب الله تعالى، وقد أطبقوا على أنها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ذات فرض فيه، والأخبار في ذلك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حملته على ذلك التفصيل صار من باب الألغاز والتعمية، وحاشا أن يكون مثل ذلك كلام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دعوى التئام الأخبار به و حصول الجمع منه </w:t>
      </w:r>
      <w:r>
        <w:rPr>
          <w:rStyle w:val="FootnoteAnchor"/>
          <w:rtl w:val="true"/>
        </w:rPr>
        <w:footnoteReference w:id="2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ممنوعة؛ لأن صحيحة ابن أبي يعفور و البقباق نص في مساواة الزوج للزوجة في الميراث، فمن أبعد البعيد تخصيصها بفرد مخصوص، مع أن السؤال وقع فيها عن مطلق الزوجة، فكيف يتأتى الجواب منه علیه السلام بفرد غير معين؟</w:t>
      </w:r>
    </w:p>
    <w:p>
      <w:pPr>
        <w:pStyle w:val="BookText"/>
        <w:rPr/>
      </w:pPr>
      <w:r>
        <w:rPr>
          <w:rFonts w:ascii="IRNazanin" w:hAnsi="IRNazanin" w:eastAsia="IRNazanin"/>
          <w:color w:val="111111"/>
          <w:sz w:val="28"/>
          <w:sz w:val="28"/>
          <w:szCs w:val="28"/>
          <w:rtl w:val="true"/>
          <w:lang w:bidi="fa-IR"/>
        </w:rPr>
        <w:t xml:space="preserve">و الظاهر مع إرادة الغير عنده علیه السلام على أن هذا الحمل لا يمكن ارتكابه في مثل حسنة البقباق و رواية أبي الجارود اللتين مرَّ ذكرهما؛ لصراحتهما في غير ذات الولد؛ لتنصيصهما على أن موت الزوج قد وقع قبل الدخول بها، فلا تكون ذات ولد منه، مع صراحتهما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الحرمان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أن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معتمدنا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مما اشتمل على </w:t>
      </w:r>
      <w:r>
        <w:rPr>
          <w:rStyle w:val="FootnoteAnchor"/>
          <w:rtl w:val="true"/>
        </w:rPr>
        <w:footnoteReference w:id="2343"/>
      </w:r>
      <w:r>
        <w:rPr>
          <w:rFonts w:ascii="Amiri" w:hAnsi="Amiri" w:eastAsia="Amiri" w:cs="Amiri"/>
          <w:color w:val="111111"/>
          <w:sz w:val="28"/>
          <w:sz w:val="28"/>
          <w:szCs w:val="28"/>
          <w:rtl w:val="true"/>
          <w:lang w:bidi="ar-SA"/>
        </w:rPr>
        <w:t xml:space="preserve">علة الحكم، و هي نص في التعميم؛ لأن الاحتراز عن إدخال الضرر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بإدخال الأجانب عليهم و كون الزوجة فرعًا دخيلا بغير نسب </w:t>
      </w:r>
      <w:r>
        <w:rPr>
          <w:rStyle w:val="FootnoteAnchor"/>
          <w:rtl w:val="true"/>
        </w:rPr>
        <w:footnoteReference w:id="2344"/>
      </w:r>
      <w:r>
        <w:rPr>
          <w:rFonts w:ascii="Amiri" w:hAnsi="Amiri" w:eastAsia="Amiri" w:cs="Amiri"/>
          <w:color w:val="111111"/>
          <w:sz w:val="28"/>
          <w:sz w:val="28"/>
          <w:szCs w:val="28"/>
          <w:rtl w:val="true"/>
          <w:lang w:bidi="ar-SA"/>
        </w:rPr>
        <w:t xml:space="preserve">فلا ترث إلا من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 كل زوجة سواء كانت ذات ولد أم لا، و إلا بطل مقتضى الحكمة الصادرة من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التعلق بهذه المقطوعة المقطوع بعدم دلالتها لما قلنا، وترك تلك الأخبار مع تعددها و تكثرها و اشتهارها بين الرواة، و عدم مخالفتها في التحقيق لظاهر القرآن و اشتهار العمل عليها عند القدماء، و عدم مخالفتها لشيء من الروايات إلا ما جاء موافقا للتقية </w:t>
      </w:r>
      <w:r>
        <w:rPr>
          <w:rStyle w:val="FootnoteAnchor"/>
          <w:rtl w:val="true"/>
        </w:rPr>
        <w:footnoteReference w:id="2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العجب من فاضل الوسائل </w:t>
      </w:r>
      <w:r>
        <w:rPr>
          <w:rStyle w:val="FootnoteAnchor"/>
          <w:rtl w:val="true"/>
        </w:rPr>
        <w:footnoteReference w:id="2346"/>
      </w:r>
      <w:r>
        <w:rPr>
          <w:rFonts w:ascii="IRNazanin" w:hAnsi="IRNazanin" w:eastAsia="IRNazanin"/>
          <w:color w:val="111111"/>
          <w:sz w:val="28"/>
          <w:sz w:val="28"/>
          <w:szCs w:val="28"/>
          <w:rtl w:val="true"/>
          <w:lang w:bidi="fa-IR"/>
        </w:rPr>
        <w:t xml:space="preserve">ومن حذا حذوه </w:t>
      </w:r>
      <w:r>
        <w:rPr>
          <w:rStyle w:val="FootnoteAnchor"/>
          <w:rtl w:val="true"/>
        </w:rPr>
        <w:footnoteReference w:id="2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اعتمادهم </w:t>
      </w:r>
      <w:r>
        <w:rPr>
          <w:rStyle w:val="FootnoteAnchor"/>
          <w:rtl w:val="true"/>
        </w:rPr>
        <w:footnoteReference w:id="2348"/>
      </w:r>
      <w:r>
        <w:rPr>
          <w:rFonts w:ascii="Amiri" w:hAnsi="Amiri" w:eastAsia="Amiri" w:cs="Amiri"/>
          <w:color w:val="111111"/>
          <w:sz w:val="28"/>
          <w:sz w:val="28"/>
          <w:szCs w:val="28"/>
          <w:rtl w:val="true"/>
          <w:lang w:bidi="ar-SA"/>
        </w:rPr>
        <w:t xml:space="preserve">على الأخبار في أكثر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قلدوا أولئك المتأخرين في تلك الدعوى؛ و كل ذلك </w:t>
      </w:r>
      <w:r>
        <w:rPr>
          <w:rStyle w:val="FootnoteAnchor"/>
          <w:rtl w:val="true"/>
        </w:rPr>
        <w:footnoteReference w:id="2349"/>
      </w:r>
      <w:r>
        <w:rPr>
          <w:rFonts w:ascii="Amiri" w:hAnsi="Amiri" w:eastAsia="Amiri" w:cs="Amiri"/>
          <w:color w:val="111111"/>
          <w:sz w:val="28"/>
          <w:sz w:val="28"/>
          <w:szCs w:val="28"/>
          <w:rtl w:val="true"/>
          <w:lang w:bidi="ar-SA"/>
        </w:rPr>
        <w:t>لحسن الظن بهم في العمل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هذا كله أخذ الصدوق بهذا المذهب، مع كونه إمام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التهذيب </w:t>
      </w:r>
      <w:r>
        <w:rPr>
          <w:rStyle w:val="FootnoteAnchor"/>
          <w:rtl w:val="true"/>
        </w:rPr>
        <w:footnoteReference w:id="2350"/>
      </w:r>
      <w:r>
        <w:rPr>
          <w:rFonts w:ascii="Amiri" w:hAnsi="Amiri" w:eastAsia="Amiri" w:cs="Amiri"/>
          <w:color w:val="111111"/>
          <w:sz w:val="28"/>
          <w:sz w:val="28"/>
          <w:szCs w:val="28"/>
          <w:rtl w:val="true"/>
          <w:lang w:bidi="ar-SA"/>
        </w:rPr>
        <w:t>، وإن كان ذلك فيه، إلا أنه رجع عنه في الاستبصار و اعتمد ما قلناه؛ إخلادًا لتلك الأخبار، و هو في محلّه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أن الاعتماد عندنا على الحرمان لكل زوجة، و الله العالم</w:t>
      </w:r>
      <w:r>
        <w:rPr>
          <w:rFonts w:eastAsia="Amiri" w:cs="Amiri" w:ascii="Amiri" w:hAnsi="Amiri"/>
          <w:color w:val="111111"/>
          <w:sz w:val="28"/>
          <w:szCs w:val="28"/>
          <w:rtl w:val="true"/>
          <w:lang w:bidi="ar-SA"/>
        </w:rPr>
        <w:t xml:space="preserve">.. </w:t>
      </w:r>
      <w:bookmarkStart w:id="193" w:name="pg2523_39959"/>
    </w:p>
    <w:p>
      <w:pPr>
        <w:pStyle w:val="Heading3"/>
        <w:numPr>
          <w:ilvl w:val="2"/>
          <w:numId w:val="1"/>
        </w:numPr>
        <w:rPr/>
      </w:pPr>
      <w:bookmarkStart w:id="194" w:name="__RefHeading___Toc4264932_3804643083"/>
      <w:bookmarkStart w:id="195" w:name="_Toc64"/>
      <w:bookmarkEnd w:id="193"/>
      <w:bookmarkEnd w:id="194"/>
      <w:r>
        <w:rPr>
          <w:rtl w:val="true"/>
        </w:rPr>
        <w:t>المقام الثاني</w:t>
      </w:r>
      <w:r>
        <w:rPr>
          <w:rtl w:val="true"/>
        </w:rPr>
        <w:t xml:space="preserve">: </w:t>
      </w:r>
      <w:r>
        <w:rPr>
          <w:rtl w:val="true"/>
        </w:rPr>
        <w:t>في بيان ما تُحرم منه ذات الحرمان</w:t>
      </w:r>
      <w:r>
        <w:rPr>
          <w:rtl w:val="true"/>
        </w:rPr>
        <w:t>.</w:t>
      </w:r>
      <w:bookmarkEnd w:id="195"/>
    </w:p>
    <w:p>
      <w:pPr>
        <w:pStyle w:val="BookText"/>
        <w:rPr/>
      </w:pPr>
      <w:r>
        <w:rPr>
          <w:rFonts w:ascii="IRNazanin" w:hAnsi="IRNazanin" w:eastAsia="IRNazanin"/>
          <w:color w:val="111111"/>
          <w:sz w:val="28"/>
          <w:sz w:val="28"/>
          <w:szCs w:val="28"/>
          <w:rtl w:val="true"/>
          <w:lang w:bidi="fa-IR"/>
        </w:rPr>
        <w:t xml:space="preserve">و للأصحاب رضی الله عنهم اختلاف و أنظار ؛ لاختلاف هاتيك الأدلة والأخبار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فالمشهور على حرمانها من نفس الأرض عينا و قيمةً، سواء كانت بياضًا أو مشغولة بزرع أو بناء أو شجر أو غيرها من أبنيتها و آلاتها عينا لا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الشيخ في النهاية </w:t>
      </w:r>
      <w:r>
        <w:rPr>
          <w:rStyle w:val="FootnoteAnchor"/>
          <w:rtl w:val="true"/>
        </w:rPr>
        <w:footnoteReference w:id="2351"/>
      </w:r>
      <w:r>
        <w:rPr>
          <w:rFonts w:ascii="Amiri" w:hAnsi="Amiri" w:eastAsia="Amiri" w:cs="Amiri"/>
          <w:color w:val="111111"/>
          <w:sz w:val="28"/>
          <w:sz w:val="28"/>
          <w:szCs w:val="28"/>
          <w:rtl w:val="true"/>
          <w:lang w:bidi="ar-SA"/>
        </w:rPr>
        <w:t xml:space="preserve">، و تلميذه القاضي </w:t>
      </w:r>
      <w:r>
        <w:rPr>
          <w:rStyle w:val="FootnoteAnchor"/>
          <w:rtl w:val="true"/>
        </w:rPr>
        <w:footnoteReference w:id="2352"/>
      </w:r>
      <w:r>
        <w:rPr>
          <w:rFonts w:ascii="Amiri" w:hAnsi="Amiri" w:eastAsia="Amiri" w:cs="Amiri"/>
          <w:color w:val="111111"/>
          <w:sz w:val="28"/>
          <w:sz w:val="28"/>
          <w:szCs w:val="28"/>
          <w:rtl w:val="true"/>
          <w:lang w:bidi="ar-SA"/>
        </w:rPr>
        <w:t xml:space="preserve">، و ابن حمزة </w:t>
      </w:r>
      <w:r>
        <w:rPr>
          <w:rStyle w:val="FootnoteAnchor"/>
          <w:rtl w:val="true"/>
        </w:rPr>
        <w:footnoteReference w:id="2353"/>
      </w:r>
      <w:r>
        <w:rPr>
          <w:rFonts w:ascii="Amiri" w:hAnsi="Amiri" w:eastAsia="Amiri" w:cs="Amiri"/>
          <w:color w:val="111111"/>
          <w:sz w:val="28"/>
          <w:sz w:val="28"/>
          <w:szCs w:val="28"/>
          <w:rtl w:val="true"/>
          <w:lang w:bidi="ar-SA"/>
        </w:rPr>
        <w:t xml:space="preserve">، و أبي الصلاح </w:t>
      </w:r>
      <w:r>
        <w:rPr>
          <w:rStyle w:val="FootnoteAnchor"/>
          <w:rtl w:val="true"/>
        </w:rPr>
        <w:footnoteReference w:id="2354"/>
      </w:r>
      <w:r>
        <w:rPr>
          <w:rFonts w:ascii="Amiri" w:hAnsi="Amiri" w:eastAsia="Amiri" w:cs="Amiri"/>
          <w:color w:val="111111"/>
          <w:sz w:val="28"/>
          <w:sz w:val="28"/>
          <w:szCs w:val="28"/>
          <w:rtl w:val="true"/>
          <w:lang w:bidi="ar-SA"/>
        </w:rPr>
        <w:t xml:space="preserve">من القدماء، و المحقق في الشرائع </w:t>
      </w:r>
      <w:r>
        <w:rPr>
          <w:rStyle w:val="FootnoteAnchor"/>
          <w:rtl w:val="true"/>
        </w:rPr>
        <w:footnoteReference w:id="2355"/>
      </w:r>
      <w:r>
        <w:rPr>
          <w:rFonts w:ascii="Amiri" w:hAnsi="Amiri" w:eastAsia="Amiri" w:cs="Amiri"/>
          <w:color w:val="111111"/>
          <w:sz w:val="28"/>
          <w:sz w:val="28"/>
          <w:szCs w:val="28"/>
          <w:rtl w:val="true"/>
          <w:lang w:bidi="ar-SA"/>
        </w:rPr>
        <w:t xml:space="preserve">، و العلامة في المختلف </w:t>
      </w:r>
      <w:r>
        <w:rPr>
          <w:rStyle w:val="FootnoteAnchor"/>
          <w:rtl w:val="true"/>
        </w:rPr>
        <w:footnoteReference w:id="2356"/>
      </w:r>
      <w:r>
        <w:rPr>
          <w:rFonts w:ascii="Amiri" w:hAnsi="Amiri" w:eastAsia="Amiri" w:cs="Amiri"/>
          <w:color w:val="111111"/>
          <w:sz w:val="28"/>
          <w:sz w:val="28"/>
          <w:szCs w:val="28"/>
          <w:rtl w:val="true"/>
          <w:lang w:bidi="ar-SA"/>
        </w:rPr>
        <w:t xml:space="preserve">، و الشهيد الأول في اللمعة </w:t>
      </w:r>
      <w:r>
        <w:rPr>
          <w:rStyle w:val="FootnoteAnchor"/>
          <w:rtl w:val="true"/>
        </w:rPr>
        <w:footnoteReference w:id="2357"/>
      </w:r>
      <w:r>
        <w:rPr>
          <w:rFonts w:ascii="Amiri" w:hAnsi="Amiri" w:eastAsia="Amiri" w:cs="Amiri"/>
          <w:color w:val="111111"/>
          <w:sz w:val="28"/>
          <w:sz w:val="28"/>
          <w:szCs w:val="28"/>
          <w:rtl w:val="true"/>
          <w:lang w:bidi="ar-SA"/>
        </w:rPr>
        <w:t>، و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القواعد </w:t>
      </w:r>
      <w:r>
        <w:rPr>
          <w:rStyle w:val="FootnoteAnchor"/>
          <w:rtl w:val="true"/>
        </w:rPr>
        <w:footnoteReference w:id="2358"/>
      </w:r>
      <w:r>
        <w:rPr>
          <w:rFonts w:ascii="Amiri" w:hAnsi="Amiri" w:eastAsia="Amiri" w:cs="Amiri"/>
          <w:color w:val="111111"/>
          <w:sz w:val="28"/>
          <w:sz w:val="28"/>
          <w:szCs w:val="28"/>
          <w:rtl w:val="true"/>
          <w:lang w:bidi="ar-SA"/>
        </w:rPr>
        <w:t xml:space="preserve">، و الشهيد في الدروس </w:t>
      </w:r>
      <w:r>
        <w:rPr>
          <w:rStyle w:val="FootnoteAnchor"/>
          <w:rtl w:val="true"/>
        </w:rPr>
        <w:footnoteReference w:id="2359"/>
      </w:r>
      <w:r>
        <w:rPr>
          <w:rFonts w:ascii="Amiri" w:hAnsi="Amiri" w:eastAsia="Amiri" w:cs="Amiri"/>
          <w:color w:val="111111"/>
          <w:sz w:val="28"/>
          <w:sz w:val="28"/>
          <w:szCs w:val="28"/>
          <w:rtl w:val="true"/>
          <w:lang w:bidi="ar-SA"/>
        </w:rPr>
        <w:t xml:space="preserve">، و عليه متأخرو المتأخرين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مشايخنا المعاصرين على حرمانها مما ذكر ، مع إضافة النخل و الشجر إلى الآلات في الحرمان عينًا لا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ادعى بعض المتأخرين أن المشهور </w:t>
      </w:r>
    </w:p>
    <w:p>
      <w:pPr>
        <w:pStyle w:val="BookText"/>
        <w:rPr/>
      </w:pPr>
      <w:r>
        <w:rPr>
          <w:rFonts w:ascii="IRNazanin" w:hAnsi="IRNazanin" w:eastAsia="IRNazanin"/>
          <w:color w:val="111111"/>
          <w:sz w:val="28"/>
          <w:sz w:val="28"/>
          <w:szCs w:val="28"/>
          <w:rtl w:val="true"/>
          <w:lang w:bidi="fa-IR"/>
        </w:rPr>
        <w:t xml:space="preserve">على هذا </w:t>
      </w:r>
      <w:r>
        <w:rPr>
          <w:rStyle w:val="FootnoteAnchor"/>
          <w:rtl w:val="true"/>
        </w:rPr>
        <w:footnoteReference w:id="2361"/>
      </w:r>
      <w:r>
        <w:rPr>
          <w:rFonts w:ascii="Amiri" w:hAnsi="Amiri" w:eastAsia="Amiri" w:cs="Amiri"/>
          <w:color w:val="111111"/>
          <w:sz w:val="28"/>
          <w:sz w:val="28"/>
          <w:szCs w:val="28"/>
          <w:rtl w:val="true"/>
          <w:lang w:bidi="ar-SA"/>
        </w:rPr>
        <w:t>، و أنه لا خلاف بين هؤلاء القائلين و بين أولئك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 فإن عباراتهم تأبى ذلك، على ما صرح به شهيد المسالك </w:t>
      </w:r>
      <w:r>
        <w:rPr>
          <w:rStyle w:val="FootnoteAnchor"/>
          <w:rtl w:val="true"/>
        </w:rPr>
        <w:footnoteReference w:id="2362"/>
      </w:r>
      <w:r>
        <w:rPr>
          <w:rFonts w:ascii="Amiri" w:hAnsi="Amiri" w:eastAsia="Amiri" w:cs="Amiri"/>
          <w:color w:val="111111"/>
          <w:sz w:val="28"/>
          <w:sz w:val="28"/>
          <w:szCs w:val="28"/>
          <w:rtl w:val="true"/>
          <w:lang w:bidi="ar-SA"/>
        </w:rPr>
        <w:t xml:space="preserve">و المفيد </w:t>
      </w:r>
      <w:r>
        <w:rPr>
          <w:rStyle w:val="FootnoteAnchor"/>
          <w:rtl w:val="true"/>
        </w:rPr>
        <w:footnoteReference w:id="2363"/>
      </w:r>
      <w:r>
        <w:rPr>
          <w:rFonts w:ascii="Amiri" w:hAnsi="Amiri" w:eastAsia="Amiri" w:cs="Amiri"/>
          <w:color w:val="111111"/>
          <w:sz w:val="28"/>
          <w:sz w:val="28"/>
          <w:szCs w:val="28"/>
          <w:rtl w:val="true"/>
          <w:lang w:bidi="ar-SA"/>
        </w:rPr>
        <w:t xml:space="preserve">و ابن إدريس </w:t>
      </w:r>
      <w:r>
        <w:rPr>
          <w:rStyle w:val="FootnoteAnchor"/>
          <w:rtl w:val="true"/>
        </w:rPr>
        <w:footnoteReference w:id="2364"/>
      </w:r>
      <w:r>
        <w:rPr>
          <w:rFonts w:ascii="Amiri" w:hAnsi="Amiri" w:eastAsia="Amiri" w:cs="Amiri"/>
          <w:color w:val="111111"/>
          <w:sz w:val="28"/>
          <w:sz w:val="28"/>
          <w:szCs w:val="28"/>
          <w:rtl w:val="true"/>
          <w:lang w:bidi="ar-SA"/>
        </w:rPr>
        <w:t xml:space="preserve">و المحقق في النافع </w:t>
      </w:r>
      <w:r>
        <w:rPr>
          <w:rStyle w:val="FootnoteAnchor"/>
          <w:rtl w:val="true"/>
        </w:rPr>
        <w:footnoteReference w:id="2365"/>
      </w:r>
      <w:r>
        <w:rPr>
          <w:rFonts w:ascii="Amiri" w:hAnsi="Amiri" w:eastAsia="Amiri" w:cs="Amiri"/>
          <w:color w:val="111111"/>
          <w:sz w:val="28"/>
          <w:sz w:val="28"/>
          <w:szCs w:val="28"/>
          <w:rtl w:val="true"/>
          <w:lang w:bidi="ar-SA"/>
        </w:rPr>
        <w:t xml:space="preserve">و صاحب كشف الرموز </w:t>
      </w:r>
      <w:r>
        <w:rPr>
          <w:rStyle w:val="FootnoteAnchor"/>
          <w:rtl w:val="true"/>
        </w:rPr>
        <w:footnoteReference w:id="2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حرمانها من الرباع خاصة، وهي الدور و المساكن دون البساتين و الضياع ،و تعطى قيمة الآلات و الأبنية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المرتضى على اختصاص الحرمان بعين الرباع دون قيمتها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المعتمد عندي هو الثاني؛ لإعلان تلك المستفيضة بذلك التعميم، بل لخصوص صحيحة الأحول في النخيل و الشجر ، فلا حاجة إلى ارتكاب ما ارتكبه بعض المتأخرين فيهما من أن الحكم فيهما بذلك إنما وقع إلحاقا بالآلات من الأبنية لعلة منصوصة هي إدخال الضرر على الوارث لو ورثت من أعيانها؛ لأن ذلك قياس لا نقول به فلا اعتماد على سوى تلك الصحيحة المشار إليها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شهيد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نقل في هذا المقام رواية مرسلةً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دالة على ما دلت عليه تلك الصحيحة </w:t>
      </w:r>
      <w:r>
        <w:rPr>
          <w:rStyle w:val="FootnoteAnchor"/>
          <w:rtl w:val="true"/>
        </w:rPr>
        <w:footnoteReference w:id="2368"/>
      </w:r>
      <w:r>
        <w:rPr>
          <w:rFonts w:ascii="Amiri" w:hAnsi="Amiri" w:eastAsia="Amiri" w:cs="Amiri"/>
          <w:color w:val="111111"/>
          <w:sz w:val="28"/>
          <w:sz w:val="28"/>
          <w:szCs w:val="28"/>
          <w:rtl w:val="true"/>
          <w:lang w:bidi="ar-SA"/>
        </w:rPr>
        <w:t xml:space="preserve">، بل الظاهر منها أنها هي نفسها نقلها من بعض الكتب الاستدلالية </w:t>
      </w:r>
      <w:r>
        <w:rPr>
          <w:rStyle w:val="FootnoteAnchor"/>
          <w:rtl w:val="true"/>
        </w:rPr>
        <w:footnoteReference w:id="2369"/>
      </w:r>
      <w:r>
        <w:rPr>
          <w:rFonts w:ascii="Amiri" w:hAnsi="Amiri" w:eastAsia="Amiri" w:cs="Amiri"/>
          <w:color w:val="111111"/>
          <w:sz w:val="28"/>
          <w:sz w:val="28"/>
          <w:szCs w:val="28"/>
          <w:rtl w:val="true"/>
          <w:lang w:bidi="ar-SA"/>
        </w:rPr>
        <w:t xml:space="preserve">، و لم يتفق له الوقوف على سندها </w:t>
      </w:r>
      <w:r>
        <w:rPr>
          <w:rStyle w:val="FootnoteAnchor"/>
          <w:rtl w:val="true"/>
        </w:rPr>
        <w:footnoteReference w:id="2370"/>
      </w:r>
      <w:r>
        <w:rPr>
          <w:rFonts w:ascii="Amiri" w:hAnsi="Amiri" w:eastAsia="Amiri" w:cs="Amiri"/>
          <w:color w:val="111111"/>
          <w:sz w:val="28"/>
          <w:sz w:val="28"/>
          <w:szCs w:val="28"/>
          <w:rtl w:val="true"/>
          <w:lang w:bidi="ar-SA"/>
        </w:rPr>
        <w:t xml:space="preserve">الصحيح كما في الفقيه، فتوقف في العمل بها لإرسالها و عدم الاطلاع على سندها </w:t>
      </w:r>
      <w:r>
        <w:rPr>
          <w:rStyle w:val="FootnoteAnchor"/>
          <w:rtl w:val="true"/>
        </w:rPr>
        <w:footnoteReference w:id="2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في الحقيقة ببعيد </w:t>
      </w:r>
      <w:r>
        <w:rPr>
          <w:rStyle w:val="FootnoteAnchor"/>
          <w:rtl w:val="true"/>
        </w:rPr>
        <w:footnoteReference w:id="2372"/>
      </w:r>
      <w:r>
        <w:rPr>
          <w:rFonts w:ascii="IRNazanin" w:hAnsi="IRNazanin" w:eastAsia="IRNazanin"/>
          <w:color w:val="111111"/>
          <w:sz w:val="28"/>
          <w:sz w:val="28"/>
          <w:szCs w:val="28"/>
          <w:rtl w:val="true"/>
          <w:lang w:bidi="fa-IR"/>
        </w:rPr>
        <w:t>منهم؛ فإن عادتهم رضی الله عنهم نقل الأخبار من الكتب الاستدلالية للعلامة و أضرابه من غير تتبع لأصولهم الأربعة فضلا عن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الحكم مختصا بتلك الآلات المذكورة في الروايات التي ذكرناها؛ فإن الاقتصار عليها إنما وقع تمثيلاً كما حققه بعض المحققين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على ما نقله المولى الأردبيلي في شرح الإرشاد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2373"/>
      </w:r>
      <w:r>
        <w:rPr>
          <w:rFonts w:ascii="Amiri" w:hAnsi="Amiri" w:eastAsia="Amiri" w:cs="Amiri"/>
          <w:color w:val="111111"/>
          <w:sz w:val="28"/>
          <w:sz w:val="28"/>
          <w:szCs w:val="28"/>
          <w:rtl w:val="true"/>
          <w:lang w:bidi="ar-SA"/>
        </w:rPr>
        <w:t xml:space="preserve">مرادهم بالآلات ما ذكر في الروايات من الطوب و الخشب و القصب و الشجر ، بل جميع ما أثبت </w:t>
      </w:r>
      <w:r>
        <w:rPr>
          <w:rStyle w:val="FootnoteAnchor"/>
          <w:rtl w:val="true"/>
        </w:rPr>
        <w:footnoteReference w:id="2374"/>
      </w:r>
      <w:r>
        <w:rPr>
          <w:rFonts w:ascii="Amiri" w:hAnsi="Amiri" w:eastAsia="Amiri" w:cs="Amiri"/>
          <w:color w:val="111111"/>
          <w:sz w:val="28"/>
          <w:sz w:val="28"/>
          <w:szCs w:val="28"/>
          <w:rtl w:val="true"/>
          <w:lang w:bidi="ar-SA"/>
        </w:rPr>
        <w:t xml:space="preserve">في البناء ن الأبواب و الألواح و نحو ذلك و إن لم يكن </w:t>
      </w:r>
      <w:r>
        <w:rPr>
          <w:rStyle w:val="FootnoteAnchor"/>
          <w:rtl w:val="true"/>
        </w:rPr>
        <w:footnoteReference w:id="2375"/>
      </w:r>
      <w:r>
        <w:rPr>
          <w:rFonts w:ascii="Amiri" w:hAnsi="Amiri" w:eastAsia="Amiri" w:cs="Amiri"/>
          <w:color w:val="111111"/>
          <w:sz w:val="28"/>
          <w:sz w:val="28"/>
          <w:szCs w:val="28"/>
          <w:rtl w:val="true"/>
          <w:lang w:bidi="ar-SA"/>
        </w:rPr>
        <w:t xml:space="preserve">جميع ذلك آلة مذكورة في الروايات، إلا أنه مفهوم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سوقها، و الحرمان منه </w:t>
      </w:r>
      <w:r>
        <w:rPr>
          <w:rStyle w:val="FootnoteAnchor"/>
          <w:rtl w:val="true"/>
        </w:rPr>
        <w:footnoteReference w:id="2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2377"/>
      </w:r>
      <w:r>
        <w:rPr>
          <w:rFonts w:ascii="Amiri" w:hAnsi="Amiri" w:eastAsia="Amiri" w:cs="Amiri"/>
          <w:color w:val="111111"/>
          <w:sz w:val="28"/>
          <w:sz w:val="28"/>
          <w:szCs w:val="28"/>
          <w:rtl w:val="true"/>
          <w:lang w:bidi="ar-SA"/>
        </w:rPr>
        <w:t xml:space="preserve">ثابت بالدليل و التوريث الثابت بالبرهان من عينها، مما يؤدي </w:t>
      </w:r>
      <w:r>
        <w:rPr>
          <w:rStyle w:val="FootnoteAnchor"/>
          <w:rtl w:val="true"/>
        </w:rPr>
        <w:footnoteReference w:id="2378"/>
      </w:r>
      <w:r>
        <w:rPr>
          <w:rFonts w:ascii="Amiri" w:hAnsi="Amiri" w:eastAsia="Amiri" w:cs="Amiri"/>
          <w:color w:val="111111"/>
          <w:sz w:val="28"/>
          <w:sz w:val="28"/>
          <w:szCs w:val="28"/>
          <w:rtl w:val="true"/>
          <w:lang w:bidi="ar-SA"/>
        </w:rPr>
        <w:t xml:space="preserve">إلى الضرر و تخريب البناء، فيجعل من القيمة كالمذكورات منها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كلام متين؛ إذ لا إشكال في أن احتمال الأخبار على ما ذكر منها إنما وقع تمثيلا كما ذكرناه؛ لاقترانها بتلك العلل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إدخال الضرر بذلك على الورثة، و من كونها دخيلا و فرعًا، فيناسبها الميراث من الفرع دون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على هذا المذهب اختلاف تلك المستفيضة في المحرومة </w:t>
      </w:r>
      <w:r>
        <w:rPr>
          <w:rStyle w:val="FootnoteAnchor"/>
          <w:rtl w:val="true"/>
        </w:rPr>
        <w:footnoteReference w:id="2381"/>
      </w:r>
      <w:r>
        <w:rPr>
          <w:rFonts w:ascii="Amiri" w:hAnsi="Amiri" w:eastAsia="Amiri" w:cs="Amiri"/>
          <w:color w:val="111111"/>
          <w:sz w:val="28"/>
          <w:sz w:val="28"/>
          <w:szCs w:val="28"/>
          <w:rtl w:val="true"/>
          <w:lang w:bidi="ar-SA"/>
        </w:rPr>
        <w:t xml:space="preserve">منه؛ لأنك إذا تأملتها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ما اشتمل على التعليل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أنها متفقة المضامين و المتون في ذلك الحكم و المضمون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ما تضمن منها للحرمان </w:t>
      </w:r>
      <w:r>
        <w:rPr>
          <w:rStyle w:val="FootnoteAnchor"/>
          <w:rtl w:val="true"/>
        </w:rPr>
        <w:footnoteReference w:id="2382"/>
      </w:r>
      <w:r>
        <w:rPr>
          <w:rFonts w:ascii="Amiri" w:hAnsi="Amiri" w:eastAsia="Amiri" w:cs="Amiri"/>
          <w:color w:val="111111"/>
          <w:sz w:val="28"/>
          <w:sz w:val="28"/>
          <w:szCs w:val="28"/>
          <w:rtl w:val="true"/>
          <w:lang w:bidi="ar-SA"/>
        </w:rPr>
        <w:t xml:space="preserve">من نفس التربة و الأرض مطلقًا نص في التعميم، و من هنا وجب الحكم بمنعها منها </w:t>
      </w:r>
      <w:r>
        <w:rPr>
          <w:rStyle w:val="FootnoteAnchor"/>
          <w:rtl w:val="true"/>
        </w:rPr>
        <w:footnoteReference w:id="2383"/>
      </w:r>
      <w:r>
        <w:rPr>
          <w:rFonts w:ascii="Amiri" w:hAnsi="Amiri" w:eastAsia="Amiri" w:cs="Amiri"/>
          <w:color w:val="111111"/>
          <w:sz w:val="28"/>
          <w:sz w:val="28"/>
          <w:szCs w:val="28"/>
          <w:rtl w:val="true"/>
          <w:lang w:bidi="ar-SA"/>
        </w:rPr>
        <w:t>عينًا و قيمةً؛ لقول أبي جعفر و أبي عبد الله علیهما السلام في حسنة الفضلاء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المرأَةَ لَا تَرِثُه </w:t>
      </w:r>
    </w:p>
    <w:p>
      <w:pPr>
        <w:pStyle w:val="BookText"/>
        <w:rPr/>
      </w:pPr>
      <w:r>
        <w:rPr>
          <w:rFonts w:ascii="Amiri" w:hAnsi="Amiri" w:eastAsia="Amiri" w:cs="Amiri"/>
          <w:color w:val="111111"/>
          <w:sz w:val="28"/>
          <w:sz w:val="28"/>
          <w:szCs w:val="28"/>
          <w:rtl w:val="true"/>
          <w:lang w:bidi="ar-SA"/>
        </w:rPr>
        <w:t xml:space="preserve">مِنْ تَرِكَةِ زَوْجهَا مِنْ تُرْبَةِ دَارٍ وَ أَرْضِ </w:t>
      </w:r>
      <w:r>
        <w:rPr>
          <w:rStyle w:val="FootnoteAnchor"/>
          <w:rtl w:val="true"/>
        </w:rPr>
        <w:footnoteReference w:id="2384"/>
      </w:r>
      <w:r>
        <w:rPr>
          <w:rFonts w:ascii="Amiri" w:hAnsi="Amiri" w:eastAsia="Amiri" w:cs="Amiri"/>
          <w:color w:val="111111"/>
          <w:sz w:val="28"/>
          <w:sz w:val="28"/>
          <w:szCs w:val="28"/>
          <w:rtl w:val="true"/>
          <w:lang w:bidi="ar-SA"/>
        </w:rPr>
        <w:t>إِلا أَنْ يُقَوَّمَ الطُّوْبُ وَ 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من عطف العام على الخاص فيكون معلنا بحرمانها من الأرض مطلقا و حيث إن الأرض تطلق على نفس التربة و عليها و على ما وقع فيها من أبنية و أشجار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منها قيمة الآلات و الأبنية بناءً على الإطلاق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جعلتها عطفا على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تربة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اتجه لها ذلك الحرمان من مطلقها عينًا و قيمة؛ لأن الإضافة إما بيانية أو غيرها، وعلى كلا التقديرين </w:t>
      </w:r>
      <w:r>
        <w:rPr>
          <w:rStyle w:val="FootnoteAnchor"/>
          <w:rtl w:val="true"/>
        </w:rPr>
        <w:footnoteReference w:id="2385"/>
      </w:r>
      <w:r>
        <w:rPr>
          <w:rFonts w:ascii="Amiri" w:hAnsi="Amiri" w:eastAsia="Amiri" w:cs="Amiri"/>
          <w:color w:val="111111"/>
          <w:sz w:val="28"/>
          <w:sz w:val="28"/>
          <w:szCs w:val="28"/>
          <w:rtl w:val="true"/>
          <w:lang w:bidi="ar-SA"/>
        </w:rPr>
        <w:t xml:space="preserve">فالتعميم منها </w:t>
      </w:r>
      <w:r>
        <w:rPr>
          <w:rStyle w:val="FootnoteAnchor"/>
          <w:rtl w:val="true"/>
        </w:rPr>
        <w:footnoteReference w:id="2386"/>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ادعاه المولى الأردبيلي في شرحه على الإرشاد من احتمال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w:t>
      </w:r>
      <w:r>
        <w:rPr>
          <w:rStyle w:val="FootnoteAnchor"/>
          <w:rtl w:val="true"/>
        </w:rPr>
        <w:footnoteReference w:id="2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عطف على المضاف على معنى الإضافة،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أرض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تكون نصًا في كل أرض و عقار، بل في أرض للدار خاصة، و الإتيان بأو إما للشك من الراوي أو أن العاطف هو الواو و الألف قبلها زيدت سهوًا، و أن العطف تفسيري </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فتكلف مستغنى عنه، بل الظاهر منه هو التعميم </w:t>
      </w:r>
      <w:r>
        <w:rPr>
          <w:rStyle w:val="FootnoteAnchor"/>
          <w:rtl w:val="true"/>
        </w:rPr>
        <w:footnoteReference w:id="2389"/>
      </w:r>
      <w:r>
        <w:rPr>
          <w:rFonts w:ascii="Amiri" w:hAnsi="Amiri" w:eastAsia="Amiri" w:cs="Amiri"/>
          <w:color w:val="111111"/>
          <w:sz w:val="28"/>
          <w:sz w:val="28"/>
          <w:szCs w:val="28"/>
          <w:rtl w:val="true"/>
          <w:lang w:bidi="ar-SA"/>
        </w:rPr>
        <w:t>لدلالة كثير من الأخبار على ذلك مما تقدم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رواية زرارة و محمد بن مسلم عن أبي جعفر علیه السلام لقوله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 لَا يَرِثْنَ مِنَ الْأَرْضِ و َلَا مِنَ الْعَقَارِ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ميسر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مَا لهُنَّ مِنَ الميْرَاث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 وَ الْبِنَاءِ وَ الْخَشَبِ، فَأَمَّا الْأَرْضُ وَ الْعَقَارَاتُ فَلَا مِبْرَاثَ لَهُنَّ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عن أبي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تَرِثُ مِما تَرَكَ زَوْجُهَا مِنْ تُرْبَةِ دَارٍ</w:t>
      </w:r>
      <w:r>
        <w:rPr>
          <w:rStyle w:val="FootnoteAnchor"/>
          <w:rtl w:val="true"/>
        </w:rPr>
        <w:footnoteReference w:id="2390"/>
      </w:r>
      <w:r>
        <w:rPr>
          <w:rFonts w:ascii="Amiri" w:hAnsi="Amiri" w:eastAsia="Amiri" w:cs="Amiri"/>
          <w:color w:val="111111"/>
          <w:sz w:val="28"/>
          <w:sz w:val="28"/>
          <w:szCs w:val="28"/>
          <w:rtl w:val="true"/>
          <w:lang w:bidi="ar-SA"/>
        </w:rPr>
        <w:t>وَ لاَ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آخرها أيضًا كما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التُّرْبَةُ فَلا تُعْطَى شَيْئًا مِنَ الْأَرْضِ وَ لَا تُرْبَةِ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يزيد الصائغ عن أبي عبد الله علیه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النِّسَاءِ هَلْ </w:t>
      </w:r>
      <w:r>
        <w:rPr>
          <w:rStyle w:val="FootnoteAnchor"/>
          <w:rtl w:val="true"/>
        </w:rPr>
        <w:footnoteReference w:id="2391"/>
      </w:r>
      <w:r>
        <w:rPr>
          <w:rFonts w:ascii="Amiri" w:hAnsi="Amiri" w:eastAsia="Amiri" w:cs="Amiri"/>
          <w:color w:val="111111"/>
          <w:sz w:val="28"/>
          <w:sz w:val="28"/>
          <w:szCs w:val="28"/>
          <w:rtl w:val="true"/>
          <w:lang w:bidi="ar-SA"/>
        </w:rPr>
        <w:t xml:space="preserve">يَرِثْنَ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زرارة 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تَرَكَ زَوْجُهَا مِنَ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الأحول الشهادة بحرمانها من مطلق العقار،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يَرِثْنَ النِّسَاءُ مِنَ الْعَقَارِ شَيْئًا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جرى مجراها في الدلالة على حرمانها منه مطلقا؛ فإن العقار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أهل اللغة شامل للأرض و لما فيها من الأبنية </w:t>
      </w:r>
      <w:r>
        <w:rPr>
          <w:rStyle w:val="FootnoteAnchor"/>
          <w:rtl w:val="true"/>
        </w:rPr>
        <w:footnoteReference w:id="2392"/>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حيث إن آلات الأبنية و الأشجار و نحوهما مما اقتضى النص حرمانها من العين دون القيمة </w:t>
      </w:r>
      <w:r>
        <w:rPr>
          <w:rStyle w:val="FootnoteAnchor"/>
          <w:rtl w:val="true"/>
        </w:rPr>
        <w:footnoteReference w:id="2393"/>
      </w:r>
      <w:r>
        <w:rPr>
          <w:rFonts w:ascii="Amiri" w:hAnsi="Amiri" w:eastAsia="Amiri" w:cs="Amiri"/>
          <w:color w:val="111111"/>
          <w:sz w:val="28"/>
          <w:sz w:val="28"/>
          <w:szCs w:val="28"/>
          <w:rtl w:val="true"/>
          <w:lang w:bidi="ar-SA"/>
        </w:rPr>
        <w:t>وقع ذلك التفصيل فيها، و إلا كان حقها الحرمان فيها مطلقًا كالأرض؛ نظرًا إلى ما ذكرناه من التعميم في أخبار العقارات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جاء في كثير منها تعقيب </w:t>
      </w:r>
      <w:r>
        <w:rPr>
          <w:rStyle w:val="FootnoteAnchor"/>
          <w:rtl w:val="true"/>
        </w:rPr>
        <w:footnoteReference w:id="2394"/>
      </w:r>
      <w:r>
        <w:rPr>
          <w:rFonts w:ascii="Amiri" w:hAnsi="Amiri" w:eastAsia="Amiri" w:cs="Amiri"/>
          <w:color w:val="111111"/>
          <w:sz w:val="28"/>
          <w:sz w:val="28"/>
          <w:szCs w:val="28"/>
          <w:rtl w:val="true"/>
          <w:lang w:bidi="ar-SA"/>
        </w:rPr>
        <w:t>منعها من العقارات و الضياع باستثناء تلك الأشياء نظرا إلى ذلك التفصيل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عرفت من صراحة صحيحة الأحول في حكم الشجر و أنها بمنزلة آلات الأبنية في تعلق الحرمان عينا لا قيمة بطل ما تمسك به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الأخبار إنما جاء فيها التعرض لآلات الأبنية دون الشجر و النخيل، و إنما الحكم فيها وقع قياسًا على الآلات الجامع و هو </w:t>
      </w:r>
      <w:r>
        <w:rPr>
          <w:rStyle w:val="FootnoteAnchor"/>
          <w:rtl w:val="true"/>
        </w:rPr>
        <w:footnoteReference w:id="2395"/>
      </w:r>
      <w:r>
        <w:rPr>
          <w:rFonts w:ascii="Amiri" w:hAnsi="Amiri" w:eastAsia="Amiri" w:cs="Amiri"/>
          <w:color w:val="111111"/>
          <w:sz w:val="28"/>
          <w:sz w:val="28"/>
          <w:szCs w:val="28"/>
          <w:rtl w:val="true"/>
          <w:lang w:bidi="ar-SA"/>
        </w:rPr>
        <w:t xml:space="preserve">إدخال الضرر على الورثة و أمثاله من التعليلات التي مر ذكرها ، و </w:t>
      </w:r>
      <w:r>
        <w:rPr>
          <w:rStyle w:val="FootnoteAnchor"/>
          <w:rtl w:val="true"/>
        </w:rPr>
        <w:footnoteReference w:id="2396"/>
      </w:r>
      <w:r>
        <w:rPr>
          <w:rFonts w:ascii="Amiri" w:hAnsi="Amiri" w:eastAsia="Amiri" w:cs="Amiri"/>
          <w:color w:val="111111"/>
          <w:sz w:val="28"/>
          <w:sz w:val="28"/>
          <w:szCs w:val="28"/>
          <w:rtl w:val="true"/>
          <w:lang w:bidi="ar-SA"/>
        </w:rPr>
        <w:t xml:space="preserve">هذا ناشئ عن الغفلة عن تلك الصحيحة التي هي نصَّ في حكم الشجر و النخيل،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 مروية في الفقيه، و هي بمرأى منه و مسمع، ولكن قد أطلعناك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السبب في ذلك بما </w:t>
      </w:r>
      <w:r>
        <w:rPr>
          <w:rStyle w:val="FootnoteAnchor"/>
          <w:rtl w:val="true"/>
        </w:rPr>
        <w:footnoteReference w:id="2398"/>
      </w:r>
      <w:r>
        <w:rPr>
          <w:rFonts w:ascii="Amiri" w:hAnsi="Amiri" w:eastAsia="Amiri" w:cs="Amiri"/>
          <w:color w:val="111111"/>
          <w:sz w:val="28"/>
          <w:sz w:val="28"/>
          <w:szCs w:val="28"/>
          <w:rtl w:val="true"/>
          <w:lang w:bidi="ar-SA"/>
        </w:rPr>
        <w:t>ظهر من أخبار الحرمان في العقارات مطلقًا مضافًا إلى الرباع في كثير منها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w:t>
      </w:r>
      <w:r>
        <w:rPr>
          <w:rStyle w:val="FootnoteAnchor"/>
          <w:rtl w:val="true"/>
        </w:rPr>
        <w:footnoteReference w:id="2399"/>
      </w:r>
      <w:r>
        <w:rPr>
          <w:rFonts w:ascii="Amiri" w:hAnsi="Amiri" w:eastAsia="Amiri" w:cs="Amiri"/>
          <w:color w:val="111111"/>
          <w:sz w:val="28"/>
          <w:sz w:val="28"/>
          <w:szCs w:val="28"/>
          <w:rtl w:val="true"/>
          <w:lang w:bidi="ar-SA"/>
        </w:rPr>
        <w:t xml:space="preserve">ضعف اختيار المفيد و من حدا حدوه من قصرهم الحرمان على الدور و المساكن دون غيرها إخلادًا إلى رواية محمد بن مسلم المتقدمة و غيرها مما اقتصر فيها على ذكر الرباع، مثل </w:t>
      </w:r>
      <w:r>
        <w:rPr>
          <w:rStyle w:val="FootnoteAnchor"/>
          <w:rtl w:val="true"/>
        </w:rPr>
        <w:footnoteReference w:id="2400"/>
      </w:r>
      <w:r>
        <w:rPr>
          <w:rFonts w:ascii="Amiri" w:hAnsi="Amiri" w:eastAsia="Amiri" w:cs="Amiri"/>
          <w:color w:val="111111"/>
          <w:sz w:val="28"/>
          <w:sz w:val="28"/>
          <w:szCs w:val="28"/>
          <w:rtl w:val="true"/>
          <w:lang w:bidi="ar-SA"/>
        </w:rPr>
        <w:t>ضعيفة يزيد الصائغ التي مر ذكرها و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لَا يَرِثْنَ </w:t>
      </w:r>
      <w:r>
        <w:rPr>
          <w:rStyle w:val="FootnoteAnchor"/>
          <w:rtl w:val="true"/>
        </w:rPr>
        <w:footnoteReference w:id="2401"/>
      </w:r>
      <w:r>
        <w:rPr>
          <w:rFonts w:ascii="Amiri" w:hAnsi="Amiri" w:eastAsia="Amiri" w:cs="Amiri"/>
          <w:color w:val="111111"/>
          <w:sz w:val="28"/>
          <w:sz w:val="28"/>
          <w:szCs w:val="28"/>
          <w:rtl w:val="true"/>
          <w:lang w:bidi="ar-SA"/>
        </w:rPr>
        <w:t>مِنْ رِبَاعَ الْأَرْضِ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محمد بن مسلم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خبره الآخر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تَرِثُ مِنَ الرِّبَاعِ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أمثالها كثيرة؛ فإنها ظاهرة في الحرمان من الرباع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الدور و 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متعرضة لغيرها، فيكون ذلك هو المتيقن </w:t>
      </w:r>
      <w:r>
        <w:rPr>
          <w:rStyle w:val="FootnoteAnchor"/>
          <w:rtl w:val="true"/>
        </w:rPr>
        <w:footnoteReference w:id="2402"/>
      </w:r>
      <w:r>
        <w:rPr>
          <w:rFonts w:ascii="Amiri" w:hAnsi="Amiri" w:eastAsia="Amiri" w:cs="Amiri"/>
          <w:color w:val="111111"/>
          <w:sz w:val="28"/>
          <w:sz w:val="28"/>
          <w:szCs w:val="28"/>
          <w:rtl w:val="true"/>
          <w:lang w:bidi="ar-SA"/>
        </w:rPr>
        <w:t xml:space="preserve">و ما سواه مشكوك فيه و الأخذ بالتيقن </w:t>
      </w:r>
      <w:r>
        <w:rPr>
          <w:rStyle w:val="FootnoteAnchor"/>
          <w:rtl w:val="true"/>
        </w:rPr>
        <w:footnoteReference w:id="2403"/>
      </w:r>
      <w:r>
        <w:rPr>
          <w:rFonts w:ascii="Amiri" w:hAnsi="Amiri" w:eastAsia="Amiri" w:cs="Amiri"/>
          <w:color w:val="111111"/>
          <w:sz w:val="28"/>
          <w:sz w:val="28"/>
          <w:szCs w:val="28"/>
          <w:rtl w:val="true"/>
          <w:lang w:bidi="ar-SA"/>
        </w:rPr>
        <w:t>و الاقتصار عليه لا ينافي تخصيص عموم الكتاب و السنة به بخلاف المشكوك فيه، فإنه لا قبول له لذلك التخصيص ؛ ليقينية ذلك العموم دونه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خبر ابن مسلم و ما ذكر في الأخبار، و إن كان فيه الاقتصار على ما ذكر ، لكن لا على وجه الحصر حتى يكون فيه نفي ما سواه، مع أن الذي ذكرناه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Style w:val="FootnoteAnchor"/>
          <w:rtl w:val="true"/>
        </w:rPr>
        <w:footnoteReference w:id="2404"/>
      </w:r>
      <w:r>
        <w:rPr>
          <w:rFonts w:ascii="Amiri" w:hAnsi="Amiri" w:eastAsia="Amiri" w:cs="Amiri"/>
          <w:color w:val="111111"/>
          <w:sz w:val="28"/>
          <w:sz w:val="28"/>
          <w:szCs w:val="28"/>
          <w:rtl w:val="true"/>
          <w:lang w:bidi="ar-SA"/>
        </w:rPr>
        <w:t xml:space="preserve">أولئك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نص في تعميم الحرمان في الأرضين مطلقا و العقارات و الضياع و الأبنية، على وجه لا ترث إلا من قيمة آلاتها دون عينها، و لا كلام عند أهل اللغة في شمول العقار لنحو البساتين و المساكن و الدور و الخانات و الحوانيت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 xml:space="preserve">» </w:t>
      </w:r>
      <w:r>
        <w:rPr>
          <w:rStyle w:val="FootnoteAnchor"/>
          <w:rtl w:val="true"/>
        </w:rPr>
        <w:footnoteReference w:id="2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Style w:val="FootnoteAnchor"/>
          <w:rtl w:val="true"/>
        </w:rPr>
        <w:footnoteReference w:id="2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الضياع و النخيل</w:t>
      </w:r>
      <w:r>
        <w:rPr>
          <w:rFonts w:eastAsia="Amiri" w:cs="Amiri" w:ascii="Amiri" w:hAnsi="Amiri"/>
          <w:color w:val="111111"/>
          <w:sz w:val="28"/>
          <w:szCs w:val="28"/>
          <w:rtl w:val="true"/>
          <w:lang w:bidi="ar-SA"/>
        </w:rPr>
        <w:t xml:space="preserve">» </w:t>
      </w:r>
      <w:r>
        <w:rPr>
          <w:rStyle w:val="FootnoteAnchor"/>
          <w:rtl w:val="true"/>
        </w:rPr>
        <w:footnoteReference w:id="2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عقار، أي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Style w:val="FootnoteAnchor"/>
          <w:rtl w:val="true"/>
        </w:rPr>
        <w:footnoteReference w:id="2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دارًا أو عقارا</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كلام في تنصيص هذه العبارات على التعميم و الشمول لمثل البساتين، و لا داعي لحمل مطلقها على مقيدها و إرجاع عامها إلى خاصها؛ لعدم المنافاة بينها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قصارى دلالة ما تمسكوا به من المفهوم و الظاهر أنه من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قال شيخ الطائفة في مقام الرد عليهم أن خبر الصائغ لا يدل على أن لهم </w:t>
      </w:r>
      <w:r>
        <w:rPr>
          <w:rStyle w:val="FootnoteAnchor"/>
          <w:rtl w:val="true"/>
        </w:rPr>
        <w:footnoteReference w:id="2410"/>
      </w:r>
      <w:r>
        <w:rPr>
          <w:rFonts w:ascii="Amiri" w:hAnsi="Amiri" w:eastAsia="Amiri" w:cs="Amiri"/>
          <w:color w:val="111111"/>
          <w:sz w:val="28"/>
          <w:sz w:val="28"/>
          <w:szCs w:val="28"/>
          <w:rtl w:val="true"/>
          <w:lang w:bidi="ar-SA"/>
        </w:rPr>
        <w:t xml:space="preserve">من الأرض نصيباً إلا من جهة دليل الخطاب، و ذلك يترك للدليل </w:t>
      </w:r>
      <w:r>
        <w:rPr>
          <w:rStyle w:val="FootnoteAnchor"/>
          <w:rtl w:val="true"/>
        </w:rPr>
        <w:footnoteReference w:id="2411"/>
      </w:r>
      <w:r>
        <w:rPr>
          <w:rFonts w:ascii="IRNazanin" w:hAnsi="IRNazanin" w:eastAsia="IRNazanin"/>
          <w:color w:val="111111"/>
          <w:sz w:val="28"/>
          <w:sz w:val="28"/>
          <w:szCs w:val="28"/>
          <w:rtl w:val="true"/>
          <w:lang w:bidi="fa-IR"/>
        </w:rPr>
        <w:t xml:space="preserve">، و ظاهر </w:t>
      </w:r>
      <w:r>
        <w:rPr>
          <w:rStyle w:val="FootnoteAnchor"/>
          <w:rtl w:val="true"/>
        </w:rPr>
        <w:footnoteReference w:id="2412"/>
      </w:r>
      <w:r>
        <w:rPr>
          <w:rFonts w:ascii="Amiri" w:hAnsi="Amiri" w:eastAsia="Amiri" w:cs="Amiri"/>
          <w:color w:val="111111"/>
          <w:sz w:val="28"/>
          <w:sz w:val="28"/>
          <w:szCs w:val="28"/>
          <w:rtl w:val="true"/>
          <w:lang w:bidi="ar-SA"/>
        </w:rPr>
        <w:t>كلامه أنهم إنما استندوا في ذلك إلى دليل الخطاب، أعني دلالة المفهوم الوصفي، وهو مما يلغى عند دلالة المنطوق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القوة ما لا يخفى؛ لما عرفت من تصريح تلك الأخبار بالمنع من إعطائها من الأرضين مطلقا، وكذا من العقارات الشاملة لكل أرض مشغولة و غيرها، عدا ما استثني من قيمة آلات بنائها، و ظهور المنطوق في ذلك واضح، فلا يلاحظ ذلك المفهوم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التحقيق أن دلالة ذلك الخبر و نحوه على عدم حرمانها من سوى الرباع إنما هو بمفهوم اللقب، وليس بدليل واضح، بل لو سلم كونه من باب مفهوم الوصف فهو كذلك كما حققه ذلك المولى الأردبيلي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w:t>
      </w:r>
      <w:r>
        <w:rPr>
          <w:rStyle w:val="FootnoteAnchor"/>
          <w:rtl w:val="true"/>
        </w:rPr>
        <w:footnoteReference w:id="2414"/>
      </w:r>
      <w:r>
        <w:rPr>
          <w:rFonts w:ascii="Amiri" w:hAnsi="Amiri" w:eastAsia="Amiri" w:cs="Amiri"/>
          <w:color w:val="111111"/>
          <w:sz w:val="28"/>
          <w:sz w:val="28"/>
          <w:szCs w:val="28"/>
          <w:rtl w:val="true"/>
          <w:lang w:bidi="ar-SA"/>
        </w:rPr>
        <w:t xml:space="preserve">انكشف لك من دلالة تلك الأحاديث على تعميم الحرمان في الأرضين عينًا و قيمة، و في آلات الأبنية فيها عينا لا قيمةً تبين لك وهن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ذهب إليه السيد المرتضى من اخصاص حرمانها بعين </w:t>
      </w:r>
      <w:r>
        <w:rPr>
          <w:rStyle w:val="FootnoteAnchor"/>
          <w:rtl w:val="true"/>
        </w:rPr>
        <w:footnoteReference w:id="2416"/>
      </w:r>
      <w:r>
        <w:rPr>
          <w:rFonts w:ascii="Amiri" w:hAnsi="Amiri" w:eastAsia="Amiri" w:cs="Amiri"/>
          <w:color w:val="111111"/>
          <w:sz w:val="28"/>
          <w:sz w:val="28"/>
          <w:szCs w:val="28"/>
          <w:rtl w:val="true"/>
          <w:lang w:bidi="ar-SA"/>
        </w:rPr>
        <w:t xml:space="preserve">أرض الرباع دون قيمتها، و أن ما سواها ترث من 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نقل ذلك عنه و الفرق بينه و بين مذهب المفيد و من حدا حدوه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حرمانها من عين أرض الرباع و حدها عند السيد دون قيمتها، ومن العين و القيمة عند المفيد فالتفاوت ليس إلا في القيمة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كلامه هذا هو أن ذلك كمال الفرق بينهما، مع أن الفرق وقع من جهة أخرى حيث إن السيد يورثها من عين الأبنية و الآلات التي هي في أرض الرباع، بخلاف المفيد فإنه يحرمها منها عيناً لا قيمة، ولعله قدس سره اقتصر في بيان الفرق على محل الحرمان مطلقًا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الحامل للسيد </w:t>
      </w:r>
      <w:r>
        <w:rPr>
          <w:rStyle w:val="FootnoteAnchor"/>
          <w:rtl w:val="true"/>
        </w:rPr>
        <w:footnoteReference w:id="2418"/>
      </w:r>
      <w:r>
        <w:rPr>
          <w:rFonts w:ascii="Amiri" w:hAnsi="Amiri" w:eastAsia="Amiri" w:cs="Amiri"/>
          <w:color w:val="111111"/>
          <w:sz w:val="28"/>
          <w:sz w:val="28"/>
          <w:szCs w:val="28"/>
          <w:rtl w:val="true"/>
          <w:lang w:bidi="ar-SA"/>
        </w:rPr>
        <w:t xml:space="preserve">على هذا المذهب هو عدم تواتر تلك الأخبار عنده، و أنها و إن تكثرت لكن لم تصل إلى حد التواتر المعروف عندهم، و أن العمدة عنده هو </w:t>
      </w:r>
      <w:r>
        <w:rPr>
          <w:rStyle w:val="FootnoteAnchor"/>
          <w:rtl w:val="true"/>
        </w:rPr>
        <w:footnoteReference w:id="2419"/>
      </w:r>
      <w:r>
        <w:rPr>
          <w:rFonts w:ascii="IRNazanin" w:hAnsi="IRNazanin" w:eastAsia="IRNazanin"/>
          <w:color w:val="111111"/>
          <w:sz w:val="28"/>
          <w:sz w:val="28"/>
          <w:szCs w:val="28"/>
          <w:rtl w:val="true"/>
          <w:lang w:bidi="fa-IR"/>
        </w:rPr>
        <w:t xml:space="preserve">الإجماع المدعى، و إنما انعقد </w:t>
      </w:r>
      <w:r>
        <w:rPr>
          <w:rStyle w:val="FootnoteAnchor"/>
          <w:rtl w:val="true"/>
        </w:rPr>
        <w:footnoteReference w:id="2420"/>
      </w:r>
      <w:r>
        <w:rPr>
          <w:rFonts w:ascii="Amiri" w:hAnsi="Amiri" w:eastAsia="Amiri" w:cs="Amiri"/>
          <w:color w:val="111111"/>
          <w:sz w:val="28"/>
          <w:sz w:val="28"/>
          <w:szCs w:val="28"/>
          <w:rtl w:val="true"/>
          <w:lang w:bidi="ar-SA"/>
        </w:rPr>
        <w:t xml:space="preserve">على الحرمان في الجملة بل على عين الرباع فقط، فيبقى غيرها و القيمة منها تحت عموم الآية و الأخبار ت </w:t>
      </w:r>
    </w:p>
    <w:p>
      <w:pPr>
        <w:pStyle w:val="BookText"/>
        <w:rPr/>
      </w:pPr>
      <w:r>
        <w:rPr>
          <w:rFonts w:ascii="Amiri" w:hAnsi="Amiri" w:eastAsia="Amiri" w:cs="Amiri"/>
          <w:color w:val="111111"/>
          <w:sz w:val="28"/>
          <w:sz w:val="28"/>
          <w:szCs w:val="28"/>
          <w:rtl w:val="true"/>
          <w:lang w:bidi="ar-SA"/>
        </w:rPr>
        <w:t>الشاهدين بثبوت التوريث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أيده المولى الأردبيلي </w:t>
      </w:r>
      <w:r>
        <w:rPr>
          <w:rStyle w:val="FootnoteAnchor"/>
          <w:rtl w:val="true"/>
        </w:rPr>
        <w:footnoteReference w:id="2421"/>
      </w:r>
      <w:r>
        <w:rPr>
          <w:rFonts w:ascii="Amiri" w:hAnsi="Amiri" w:eastAsia="Amiri" w:cs="Amiri"/>
          <w:color w:val="111111"/>
          <w:sz w:val="28"/>
          <w:sz w:val="28"/>
          <w:szCs w:val="28"/>
          <w:rtl w:val="true"/>
          <w:lang w:bidi="ar-SA"/>
        </w:rPr>
        <w:t xml:space="preserve">، و كأنه جنح له بقلة التخصيص في عمومي تلك الآيات و الروايات و عدم الخروج عن ظاهرهما كثير </w:t>
      </w:r>
      <w:r>
        <w:rPr>
          <w:rStyle w:val="FootnoteAnchor"/>
          <w:rtl w:val="true"/>
        </w:rPr>
        <w:footnoteReference w:id="2422"/>
      </w:r>
      <w:r>
        <w:rPr>
          <w:rFonts w:ascii="Amiri" w:hAnsi="Amiri" w:eastAsia="Amiri" w:cs="Amiri"/>
          <w:color w:val="111111"/>
          <w:sz w:val="28"/>
          <w:sz w:val="28"/>
          <w:szCs w:val="28"/>
          <w:rtl w:val="true"/>
          <w:lang w:bidi="ar-SA"/>
        </w:rPr>
        <w:t xml:space="preserve">، و أنه مع الشيخ المفيد ؛ نظرًا إلى أنه ما وجد المنع من الأرضين مطلقا لها في خبر صحيح أصلا، بل و لا في حسن أيضا بحيث يكون صريحا في ذلك، فإنه يحتمل المطلق منها أرض الدار و وجود الرباع في الصحيح من الأخبار، و ثبوت الميراث لها في عمومات الإجماع و الآيات و الأخبار الكثيرة المتيقنة متنا بل دلالةً، و خصوص رواية الفضل و ابن أبي يعفور الصحيحة على الظاهر الدالة على التساوي بينها، فأخرجوا منها الرباع و أبقوا الباقي تحت تلك الدلالة </w:t>
      </w:r>
      <w:r>
        <w:rPr>
          <w:rStyle w:val="FootnoteAnchor"/>
          <w:rtl w:val="true"/>
        </w:rPr>
        <w:footnoteReference w:id="2423"/>
      </w:r>
      <w:r>
        <w:rPr>
          <w:rFonts w:ascii="Amiri" w:hAnsi="Amiri" w:eastAsia="Amiri" w:cs="Amiri"/>
          <w:color w:val="111111"/>
          <w:sz w:val="28"/>
          <w:sz w:val="28"/>
          <w:szCs w:val="28"/>
          <w:rtl w:val="true"/>
          <w:lang w:bidi="ar-SA"/>
        </w:rPr>
        <w:t xml:space="preserve">اليقينية؛ عملاً بالجمع بين الأدلة و الآيات و الأخبار الكثيرة و الإجماع </w:t>
      </w:r>
      <w:r>
        <w:rPr>
          <w:rStyle w:val="FootnoteAnchor"/>
          <w:rtl w:val="true"/>
        </w:rPr>
        <w:footnoteReference w:id="2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كلام ذلك المولى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الاحتجاج من السيد مع تأييد هذا المولى له نظر؛ لأن المنع من تواتر تلك المستفيضة على ما ذهب إليه السيد و قرره في كتبه ممنوع، كيف و قد صرّح قدس سره في أجوبة المسائل المتباينات بأن ما في كتب أصحابنا من الأخبار كلها متواترة </w:t>
      </w:r>
      <w:r>
        <w:rPr>
          <w:rStyle w:val="FootnoteAnchor"/>
          <w:rtl w:val="true"/>
        </w:rPr>
        <w:footnoteReference w:id="2425"/>
      </w:r>
      <w:r>
        <w:rPr>
          <w:rFonts w:ascii="Amiri" w:hAnsi="Amiri" w:eastAsia="Amiri" w:cs="Amiri"/>
          <w:color w:val="111111"/>
          <w:sz w:val="28"/>
          <w:sz w:val="28"/>
          <w:szCs w:val="28"/>
          <w:rtl w:val="true"/>
          <w:lang w:bidi="ar-SA"/>
        </w:rPr>
        <w:t xml:space="preserve">؟ أمَا نَظَرَ إلى ثبوت التواتر الاصطلاحي لها في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نفسها و أنه قد </w:t>
      </w:r>
      <w:r>
        <w:rPr>
          <w:rStyle w:val="FootnoteAnchor"/>
          <w:rtl w:val="true"/>
        </w:rPr>
        <w:footnoteReference w:id="2426"/>
      </w:r>
      <w:r>
        <w:rPr>
          <w:rFonts w:ascii="Amiri" w:hAnsi="Amiri" w:eastAsia="Amiri" w:cs="Amiri"/>
          <w:color w:val="111111"/>
          <w:sz w:val="28"/>
          <w:sz w:val="28"/>
          <w:szCs w:val="28"/>
          <w:rtl w:val="true"/>
          <w:lang w:bidi="ar-SA"/>
        </w:rPr>
        <w:t>بلغته كذلك و إن لم تبلغنا آحادًا إلا أنه قد خُصَّت بقرائن أوجبت لها القطع و دخلت في سَمْتِ التواتر ؟ ولا شك في أن هذه المستفيضة ما اشتملت عليها تلك الأصول مع تكثرها أو تعددها، فالقول بإخراج هذه عن التواتر دون غيرها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الإغماض عن عدم حجيته في نفسه، فهو غير ثابت في هذا المقام، كيف و قد عرفت أن المشهور بين علمائنا هو العمل على تلك المستفيضة المعلنة بحرمانها من الأرضين مطلقا و من العقارات </w:t>
      </w:r>
      <w:r>
        <w:rPr>
          <w:rStyle w:val="FootnoteAnchor"/>
          <w:rtl w:val="true"/>
        </w:rPr>
        <w:footnoteReference w:id="2427"/>
      </w:r>
      <w:r>
        <w:rPr>
          <w:rFonts w:ascii="Amiri" w:hAnsi="Amiri" w:eastAsia="Amiri" w:cs="Amiri"/>
          <w:color w:val="111111"/>
          <w:sz w:val="28"/>
          <w:sz w:val="28"/>
          <w:szCs w:val="28"/>
          <w:rtl w:val="true"/>
          <w:lang w:bidi="ar-SA"/>
        </w:rPr>
        <w:t xml:space="preserve">و الأبنية عينا لا قيمةً؟ نعم، إن الإجماع مما قد نقل على الحرمان في الجملة، و هو لا ينفعهم؛ لاشتراكه بين الجميع </w:t>
      </w:r>
      <w:r>
        <w:rPr>
          <w:rStyle w:val="FootnoteAnchor"/>
          <w:rtl w:val="true"/>
        </w:rPr>
        <w:footnoteReference w:id="2428"/>
      </w:r>
      <w:r>
        <w:rPr>
          <w:rFonts w:ascii="Amiri" w:hAnsi="Amiri" w:eastAsia="Amiri" w:cs="Amiri"/>
          <w:color w:val="111111"/>
          <w:sz w:val="28"/>
          <w:sz w:val="28"/>
          <w:szCs w:val="28"/>
          <w:rtl w:val="true"/>
          <w:lang w:bidi="ar-SA"/>
        </w:rPr>
        <w:t>ما سوى ابن الجنيد ، و لهذا ذكر في المقام الرد عليه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تأييد الأردبيلي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أن ما ذكره من تعليل التخصيص على تقدير اعتبار مذهب السيد في تلك العمومات، و عدم المخالفة للظواهر القرآنية </w:t>
      </w:r>
      <w:r>
        <w:rPr>
          <w:rStyle w:val="FootnoteAnchor"/>
          <w:rtl w:val="true"/>
        </w:rPr>
        <w:footnoteReference w:id="2429"/>
      </w:r>
      <w:r>
        <w:rPr>
          <w:rFonts w:ascii="Amiri" w:hAnsi="Amiri" w:eastAsia="Amiri" w:cs="Amiri"/>
          <w:color w:val="111111"/>
          <w:sz w:val="28"/>
          <w:sz w:val="28"/>
          <w:szCs w:val="28"/>
          <w:rtl w:val="true"/>
          <w:lang w:bidi="ar-SA"/>
        </w:rPr>
        <w:t>و كذا الأخبار المعصومية،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نافع بعد أن يكون المخصص مستفيضًا متواتر المعنى مشهور العمل بين الطائفة، مع أنهم كثيرًا ما يرتكبون التخصيص في القرآن و السنة بالخبر الواحد الذي لا تكثر فيه ولا تعدد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كذا ما ادعاه </w:t>
      </w:r>
      <w:r>
        <w:rPr>
          <w:rStyle w:val="FootnoteAnchor"/>
          <w:rtl w:val="true"/>
        </w:rPr>
        <w:footnoteReference w:id="2430"/>
      </w:r>
      <w:r>
        <w:rPr>
          <w:rFonts w:ascii="Amiri" w:hAnsi="Amiri" w:eastAsia="Amiri" w:cs="Amiri"/>
          <w:color w:val="111111"/>
          <w:sz w:val="28"/>
          <w:sz w:val="28"/>
          <w:szCs w:val="28"/>
          <w:rtl w:val="true"/>
          <w:lang w:bidi="ar-SA"/>
        </w:rPr>
        <w:t xml:space="preserve">من عدم وجود خبر حسن فضلاً عن الصحيح الدال </w:t>
      </w:r>
      <w:r>
        <w:rPr>
          <w:rStyle w:val="FootnoteAnchor"/>
          <w:rtl w:val="true"/>
        </w:rPr>
        <w:footnoteReference w:id="2431"/>
      </w:r>
      <w:r>
        <w:rPr>
          <w:rFonts w:ascii="IRNazanin" w:hAnsi="IRNazanin" w:eastAsia="IRNazanin"/>
          <w:color w:val="111111"/>
          <w:sz w:val="28"/>
          <w:sz w:val="28"/>
          <w:szCs w:val="28"/>
          <w:rtl w:val="true"/>
          <w:lang w:bidi="fa-IR"/>
        </w:rPr>
        <w:t xml:space="preserve">على حرمانها من الأرض مطلقا، فقد </w:t>
      </w:r>
      <w:r>
        <w:rPr>
          <w:rStyle w:val="FootnoteAnchor"/>
          <w:rtl w:val="true"/>
        </w:rPr>
        <w:footnoteReference w:id="2432"/>
      </w:r>
      <w:r>
        <w:rPr>
          <w:rFonts w:ascii="Amiri" w:hAnsi="Amiri" w:eastAsia="Amiri" w:cs="Amiri"/>
          <w:color w:val="111111"/>
          <w:sz w:val="28"/>
          <w:sz w:val="28"/>
          <w:szCs w:val="28"/>
          <w:rtl w:val="true"/>
          <w:lang w:bidi="ar-SA"/>
        </w:rPr>
        <w:t>عرفت وجود ذينك النوعين في تلك الروايات، مثل حسنة الفضلاء و صحيحة الأحول و حسنة محمد بن مسلم، بل هو قدس سره قد وصفها بتلك الأوصاف في أول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من حمل مطلقها على مقيد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 لا داعى له ؛ إذ لا مخالفة بينها حتى يؤدى إلى ارتكابه </w:t>
      </w:r>
      <w:r>
        <w:rPr>
          <w:rStyle w:val="FootnoteAnchor"/>
          <w:rtl w:val="true"/>
        </w:rPr>
        <w:footnoteReference w:id="2433"/>
      </w:r>
      <w:r>
        <w:rPr>
          <w:rFonts w:ascii="Amiri" w:hAnsi="Amiri" w:eastAsia="Amiri" w:cs="Amiri"/>
          <w:color w:val="111111"/>
          <w:sz w:val="28"/>
          <w:sz w:val="28"/>
          <w:szCs w:val="28"/>
          <w:rtl w:val="true"/>
          <w:lang w:bidi="ar-SA"/>
        </w:rPr>
        <w:t>ذلك التخصيص، مع أن فيها ما هو نص في التعميم كما عرفت من صحيحة الأحول و غيره الشاهدة بحرمانها من العقارات و من آلات أبنيتها عينا لا قيمةً، و هذا مما لا يلتزمه السيد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فيما ادعاه من حصول الجمع بين الأخبار به؛ لأن الأخبار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لصراحتها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تأبى هذا الجمع و تبعد </w:t>
      </w:r>
      <w:r>
        <w:rPr>
          <w:rStyle w:val="FootnoteAnchor"/>
          <w:rtl w:val="true"/>
        </w:rPr>
        <w:footnoteReference w:id="2434"/>
      </w:r>
      <w:r>
        <w:rPr>
          <w:rFonts w:ascii="Amiri" w:hAnsi="Amiri" w:eastAsia="Amiri" w:cs="Amiri"/>
          <w:color w:val="111111"/>
          <w:sz w:val="28"/>
          <w:sz w:val="28"/>
          <w:szCs w:val="28"/>
          <w:rtl w:val="true"/>
          <w:lang w:bidi="ar-SA"/>
        </w:rPr>
        <w:t xml:space="preserve">عنه بمراحل، مع أن السيد ممن </w:t>
      </w:r>
      <w:r>
        <w:rPr>
          <w:rStyle w:val="FootnoteAnchor"/>
          <w:rtl w:val="true"/>
        </w:rPr>
        <w:footnoteReference w:id="2435"/>
      </w:r>
      <w:r>
        <w:rPr>
          <w:rFonts w:ascii="Amiri" w:hAnsi="Amiri" w:eastAsia="Amiri" w:cs="Amiri"/>
          <w:color w:val="111111"/>
          <w:sz w:val="28"/>
          <w:sz w:val="28"/>
          <w:szCs w:val="28"/>
          <w:rtl w:val="true"/>
          <w:lang w:bidi="ar-SA"/>
        </w:rPr>
        <w:t xml:space="preserve">قد نص على الطرح لها، فأنّى له و الجمع بينها؟ على أن الصحة و الحسن بالمعنى المشهور اصطلاح طار </w:t>
      </w:r>
      <w:r>
        <w:rPr>
          <w:rStyle w:val="FootnoteAnchor"/>
          <w:rtl w:val="true"/>
        </w:rPr>
        <w:footnoteReference w:id="2436"/>
      </w:r>
      <w:r>
        <w:rPr>
          <w:rFonts w:ascii="Amiri" w:hAnsi="Amiri" w:eastAsia="Amiri" w:cs="Amiri"/>
          <w:color w:val="111111"/>
          <w:sz w:val="28"/>
          <w:sz w:val="28"/>
          <w:szCs w:val="28"/>
          <w:rtl w:val="true"/>
          <w:lang w:bidi="ar-SA"/>
        </w:rPr>
        <w:t xml:space="preserve">بعد السيد بكثير؛ لأن الواضع له إما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السيد ابن طاووس، على ما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شيخنا البهائي في مشرق الشمسين </w:t>
      </w:r>
      <w:r>
        <w:rPr>
          <w:rStyle w:val="FootnoteAnchor"/>
          <w:rtl w:val="true"/>
        </w:rPr>
        <w:footnoteReference w:id="2437"/>
      </w:r>
      <w:r>
        <w:rPr>
          <w:rFonts w:ascii="Amiri" w:hAnsi="Amiri" w:eastAsia="Amiri" w:cs="Amiri"/>
          <w:color w:val="111111"/>
          <w:sz w:val="28"/>
          <w:sz w:val="28"/>
          <w:szCs w:val="28"/>
          <w:rtl w:val="true"/>
          <w:lang w:bidi="ar-SA"/>
        </w:rPr>
        <w:t>و غيره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قوّة ما ذهبنا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للمرجحات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يحوم حوله </w:t>
      </w:r>
      <w:r>
        <w:rPr>
          <w:rStyle w:val="FootnoteAnchor"/>
          <w:rtl w:val="true"/>
        </w:rPr>
        <w:footnoteReference w:id="2438"/>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يرد عليها اشتمال تلك المستفيضة على ما قيل به من </w:t>
      </w:r>
      <w:r>
        <w:rPr>
          <w:rStyle w:val="FootnoteAnchor"/>
          <w:rtl w:val="true"/>
        </w:rPr>
        <w:footnoteReference w:id="2439"/>
      </w:r>
      <w:r>
        <w:rPr>
          <w:rFonts w:ascii="IRNazanin" w:hAnsi="IRNazanin" w:eastAsia="IRNazanin"/>
          <w:color w:val="111111"/>
          <w:sz w:val="28"/>
          <w:sz w:val="28"/>
          <w:szCs w:val="28"/>
          <w:rtl w:val="true"/>
          <w:lang w:bidi="fa-IR"/>
        </w:rPr>
        <w:t xml:space="preserve">الحرمان مثل الدواب و السلاح، فإن صحيحة زرارة و خبر طربال عن أبي جعفر علیه السلام قد تضمَّنا ذلك؛ لأننا </w:t>
      </w:r>
      <w:r>
        <w:rPr>
          <w:rStyle w:val="FootnoteAnchor"/>
          <w:rtl w:val="true"/>
        </w:rPr>
        <w:footnoteReference w:id="2440"/>
      </w:r>
      <w:r>
        <w:rPr>
          <w:rFonts w:ascii="Amiri" w:hAnsi="Amiri" w:eastAsia="Amiri" w:cs="Amiri"/>
          <w:color w:val="111111"/>
          <w:sz w:val="28"/>
          <w:sz w:val="28"/>
          <w:szCs w:val="28"/>
          <w:rtl w:val="true"/>
          <w:lang w:bidi="ar-SA"/>
        </w:rPr>
        <w:t xml:space="preserve">من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يذهب إليه أحدٌ من القدماء و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لفاضل الوسائل، و لا يضر عدم الوقوف قبله على القائل؛ فإنَّ </w:t>
      </w:r>
      <w:r>
        <w:rPr>
          <w:rStyle w:val="FootnoteAnchor"/>
          <w:rtl w:val="true"/>
        </w:rPr>
        <w:footnoteReference w:id="2441"/>
      </w:r>
      <w:r>
        <w:rPr>
          <w:rFonts w:ascii="Amiri" w:hAnsi="Amiri" w:eastAsia="Amiri" w:cs="Amiri"/>
          <w:color w:val="111111"/>
          <w:sz w:val="28"/>
          <w:sz w:val="28"/>
          <w:szCs w:val="28"/>
          <w:rtl w:val="true"/>
          <w:lang w:bidi="ar-SA"/>
        </w:rPr>
        <w:t>وجوب العمل بالأحاديث لا يشترط فيه ذلك؛ لأنها هي المأخذ و العمدة في كل المسالك، و العمل ببعض ما اشتملت عليه الأحاديث لوجود القائل به و طرح ما سواه تحكّم صرف، و اقتراح لم تأذن به الشريعة المحمدية و القواعد المعصومية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 في الأخبار ما يعارضه مع عدم القول به وجب اطّراحه لذلك و العمل بما قابله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حاجة إلى ما تكلفه فخر المحققين </w:t>
      </w:r>
      <w:r>
        <w:rPr>
          <w:rStyle w:val="FootnoteAnchor"/>
          <w:rtl w:val="true"/>
        </w:rPr>
        <w:footnoteReference w:id="2442"/>
      </w:r>
      <w:r>
        <w:rPr>
          <w:rFonts w:ascii="Amiri" w:hAnsi="Amiri" w:eastAsia="Amiri" w:cs="Amiri"/>
          <w:color w:val="111111"/>
          <w:sz w:val="28"/>
          <w:sz w:val="28"/>
          <w:szCs w:val="28"/>
          <w:rtl w:val="true"/>
          <w:lang w:bidi="ar-SA"/>
        </w:rPr>
        <w:t xml:space="preserve">في شرح القواعد </w:t>
      </w:r>
      <w:r>
        <w:rPr>
          <w:rStyle w:val="FootnoteAnchor"/>
          <w:rtl w:val="true"/>
        </w:rPr>
        <w:footnoteReference w:id="2443"/>
      </w:r>
      <w:r>
        <w:rPr>
          <w:rFonts w:ascii="IRNazanin" w:hAnsi="IRNazanin" w:eastAsia="IRNazanin"/>
          <w:color w:val="111111"/>
          <w:sz w:val="28"/>
          <w:sz w:val="28"/>
          <w:szCs w:val="28"/>
          <w:rtl w:val="true"/>
          <w:lang w:bidi="fa-IR"/>
        </w:rPr>
        <w:t>– و تبعه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جماعة منهم شهيد المسالك </w:t>
      </w:r>
      <w:r>
        <w:rPr>
          <w:rStyle w:val="FootnoteAnchor"/>
          <w:rtl w:val="true"/>
        </w:rPr>
        <w:footnoteReference w:id="2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تلك الصحيحة و الخبر بالنسبة إلى الدواب و السلاح على ما كان حبوةً أو هبة </w:t>
      </w:r>
      <w:r>
        <w:rPr>
          <w:rStyle w:val="FootnoteAnchor"/>
          <w:rtl w:val="true"/>
        </w:rPr>
        <w:footnoteReference w:id="2445"/>
      </w:r>
      <w:r>
        <w:rPr>
          <w:rFonts w:ascii="Amiri" w:hAnsi="Amiri" w:eastAsia="Amiri" w:cs="Amiri"/>
          <w:color w:val="111111"/>
          <w:sz w:val="28"/>
          <w:sz w:val="28"/>
          <w:szCs w:val="28"/>
          <w:rtl w:val="true"/>
          <w:lang w:bidi="ar-SA"/>
        </w:rPr>
        <w:t>لما فيه من البعد عن ساحتهما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عوّل في مثل هذه المسألة على أخبار أهل البيت علیهم السلام و جعلها المدار في الاستدلال و رأى أهليتها لتخصيص </w:t>
      </w:r>
      <w:r>
        <w:rPr>
          <w:rStyle w:val="FootnoteAnchor"/>
          <w:rtl w:val="true"/>
        </w:rPr>
        <w:footnoteReference w:id="2446"/>
      </w:r>
      <w:r>
        <w:rPr>
          <w:rFonts w:ascii="IRNazanin" w:hAnsi="IRNazanin" w:eastAsia="IRNazanin"/>
          <w:color w:val="111111"/>
          <w:sz w:val="28"/>
          <w:sz w:val="28"/>
          <w:szCs w:val="28"/>
          <w:rtl w:val="true"/>
          <w:lang w:bidi="fa-IR"/>
        </w:rPr>
        <w:t xml:space="preserve">عمومي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ثابت </w:t>
      </w:r>
      <w:r>
        <w:rPr>
          <w:rStyle w:val="FootnoteAnchor"/>
          <w:rtl w:val="true"/>
        </w:rPr>
        <w:footnoteReference w:id="2447"/>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عليه الأخذ بالمذهب</w:t>
      </w:r>
    </w:p>
    <w:p>
      <w:pPr>
        <w:pStyle w:val="BookText"/>
        <w:rPr/>
      </w:pPr>
      <w:r>
        <w:rPr>
          <w:rFonts w:ascii="Amiri" w:hAnsi="Amiri" w:eastAsia="Amiri" w:cs="Amiri"/>
          <w:color w:val="111111"/>
          <w:sz w:val="28"/>
          <w:sz w:val="28"/>
          <w:szCs w:val="28"/>
          <w:rtl w:val="true"/>
          <w:lang w:bidi="ar-SA"/>
        </w:rPr>
        <w:t>الثاني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ثبوت الحرمان لها في الأرضين مطلقا و في الأبنية و الضياع </w:t>
      </w:r>
      <w:r>
        <w:rPr>
          <w:rStyle w:val="FootnoteAnchor"/>
          <w:rtl w:val="true"/>
        </w:rPr>
        <w:footnoteReference w:id="2448"/>
      </w:r>
      <w:r>
        <w:rPr>
          <w:rFonts w:ascii="Amiri" w:hAnsi="Amiri" w:eastAsia="Amiri" w:cs="Amiri"/>
          <w:color w:val="111111"/>
          <w:sz w:val="28"/>
          <w:sz w:val="28"/>
          <w:szCs w:val="28"/>
          <w:rtl w:val="true"/>
          <w:lang w:bidi="ar-SA"/>
        </w:rPr>
        <w:t>و العقارات نظرًا إلى الأعيان دون قيمتها، و كذا في الدواب و السلاح مطلقا كما هو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العمدة ليس إلا على الإجماع، و أنه لابد من تواتر الأخبار في وجوب العمل و إن لم يبلغ منها حد التواتر مطروح في مقابلة الإجماع، و أن التخصيص في الكتاب و السنة بمثل الإجماع دون الأخبار و إن كان آحادًا، فينبغي اعتماد كلام السيد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المعتبر هو عمومات الكتاب و السنة في ثبوت الميراث، و أن </w:t>
      </w:r>
      <w:r>
        <w:rPr>
          <w:rFonts w:eastAsia="Amiri" w:cs="Amiri" w:ascii="Amiri" w:hAnsi="Amiri"/>
          <w:color w:val="111111"/>
          <w:sz w:val="28"/>
          <w:szCs w:val="28"/>
          <w:rtl w:val="true"/>
          <w:lang w:bidi="ar-SA"/>
        </w:rPr>
        <w:t xml:space="preserve">. </w:t>
      </w:r>
      <w:bookmarkStart w:id="196" w:name="pg2523_39975"/>
    </w:p>
    <w:p>
      <w:pPr>
        <w:pStyle w:val="BookText"/>
        <w:rPr/>
      </w:pPr>
      <w:bookmarkEnd w:id="196"/>
      <w:r>
        <w:rPr>
          <w:rFonts w:ascii="Amiri" w:hAnsi="Amiri" w:eastAsia="Amiri" w:cs="Amiri"/>
          <w:color w:val="111111"/>
          <w:sz w:val="28"/>
          <w:sz w:val="28"/>
          <w:szCs w:val="28"/>
          <w:rtl w:val="true"/>
          <w:lang w:bidi="ar-SA"/>
        </w:rPr>
        <w:t>هذه المستفيضة و الإجماع المدعى غير قائلين في ذلك العموم، فينبغي التعويل على مذهب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مذهب المفيد 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مما تقدم أن لا مرجّح لها سوى التحكم و وجوب الأخذ باليقين، و هو ما أجمع عليه بينهم العمل ببعض الأخبار دون بعض، و قد عرفت ما في هذا كله و ما يرد عليه، فالاعتماد إذا في الحرمان على القول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264934_3804643083"/>
      <w:bookmarkStart w:id="198" w:name="_Toc65"/>
      <w:bookmarkEnd w:id="197"/>
      <w:r>
        <w:rPr>
          <w:rtl w:val="true"/>
        </w:rPr>
        <w:t>بقي هنا أمور</w:t>
      </w:r>
      <w:r>
        <w:rPr>
          <w:rtl w:val="true"/>
        </w:rPr>
        <w:t>:</w:t>
      </w:r>
      <w:bookmarkEnd w:id="198"/>
    </w:p>
    <w:p>
      <w:pPr>
        <w:pStyle w:val="Heading4"/>
        <w:numPr>
          <w:ilvl w:val="3"/>
          <w:numId w:val="1"/>
        </w:numPr>
        <w:rPr/>
      </w:pPr>
      <w:bookmarkStart w:id="199" w:name="__RefHeading___Toc4264936_3804643083"/>
      <w:bookmarkStart w:id="200" w:name="_Toc66"/>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بقي هنا </w:t>
      </w:r>
      <w:r>
        <w:rPr>
          <w:rStyle w:val="FootnoteAnchor"/>
          <w:rtl w:val="true"/>
        </w:rPr>
        <w:footnoteReference w:id="2449"/>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Heading4"/>
        <w:numPr>
          <w:ilvl w:val="3"/>
          <w:numId w:val="1"/>
        </w:numPr>
        <w:rPr/>
      </w:pPr>
      <w:bookmarkStart w:id="201" w:name="__RefHeading___Toc4264938_3804643083"/>
      <w:bookmarkStart w:id="202" w:name="_Toc67"/>
      <w:bookmarkEnd w:id="201"/>
      <w:r>
        <w:rPr>
          <w:rtl w:val="true"/>
        </w:rPr>
        <w:t>الأوَّلُ</w:t>
      </w:r>
      <w:r>
        <w:rPr>
          <w:rtl w:val="true"/>
        </w:rPr>
        <w:t>:</w:t>
      </w:r>
      <w:bookmarkEnd w:id="20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الظاهر من الأخبار المتقدمة أن المراد بالمساكن و الأبنية ما هو أعم مما يسكن </w:t>
      </w:r>
      <w:r>
        <w:rPr>
          <w:rStyle w:val="FootnoteAnchor"/>
          <w:rtl w:val="true"/>
        </w:rPr>
        <w:footnoteReference w:id="2450"/>
      </w:r>
      <w:r>
        <w:rPr>
          <w:rFonts w:ascii="Amiri" w:hAnsi="Amiri" w:eastAsia="Amiri" w:cs="Amiri"/>
          <w:color w:val="111111"/>
          <w:sz w:val="28"/>
          <w:sz w:val="28"/>
          <w:szCs w:val="28"/>
          <w:rtl w:val="true"/>
          <w:lang w:bidi="ar-SA"/>
        </w:rPr>
        <w:t xml:space="preserve">بالفعل و غيره مما يصلح للسكون و غيره من الحمامات و الخانات و نحوها مما صدق عليه اسم البناء </w:t>
      </w:r>
      <w:r>
        <w:rPr>
          <w:rStyle w:val="FootnoteAnchor"/>
          <w:rtl w:val="true"/>
        </w:rPr>
        <w:footnoteReference w:id="2451"/>
      </w:r>
      <w:r>
        <w:rPr>
          <w:rFonts w:ascii="Amiri" w:hAnsi="Amiri" w:eastAsia="Amiri" w:cs="Amiri"/>
          <w:color w:val="111111"/>
          <w:sz w:val="28"/>
          <w:sz w:val="28"/>
          <w:szCs w:val="28"/>
          <w:rtl w:val="true"/>
          <w:lang w:bidi="ar-SA"/>
        </w:rPr>
        <w:t xml:space="preserve">فإنها على المختار لا ترث من عينه و إنما ترث من قيمته، سيما ما دل على ذلك من أخبار العلل مثل خبر محمد بن سنان؛ فإنه جعل مناط ذلك الحكم العقار الشامل لمطلق الأبنية، معللًا بأنَّه لا يمكن تغييره و قلبه ، و المرأة قد يجوز أن ينقطع ما بينها و بينه من العصمة، و المرأة يمكن الاستبدال بهما، فما يجوز أن يجيء و يذهب كان ميراثه فيما يجوز </w:t>
      </w:r>
      <w:bookmarkStart w:id="203" w:name="pg2523_39976"/>
    </w:p>
    <w:p>
      <w:pPr>
        <w:pStyle w:val="BookText"/>
        <w:rPr/>
      </w:pPr>
      <w:bookmarkEnd w:id="203"/>
      <w:r>
        <w:rPr>
          <w:rFonts w:ascii="Amiri" w:hAnsi="Amiri" w:eastAsia="Amiri" w:cs="Amiri"/>
          <w:color w:val="111111"/>
          <w:sz w:val="28"/>
          <w:sz w:val="28"/>
          <w:szCs w:val="28"/>
          <w:rtl w:val="true"/>
          <w:lang w:bidi="ar-SA"/>
        </w:rPr>
        <w:t xml:space="preserve">تبديله، و كان الثابت المقيم على حاله لمن كان مثله في الثبات </w:t>
      </w:r>
      <w:r>
        <w:rPr>
          <w:rStyle w:val="FootnoteAnchor"/>
          <w:rtl w:val="true"/>
        </w:rPr>
        <w:footnoteReference w:id="2452"/>
      </w:r>
      <w:r>
        <w:rPr>
          <w:rFonts w:ascii="Amiri" w:hAnsi="Amiri" w:eastAsia="Amiri" w:cs="Amiri"/>
          <w:color w:val="111111"/>
          <w:sz w:val="28"/>
          <w:sz w:val="28"/>
          <w:szCs w:val="28"/>
          <w:rtl w:val="true"/>
          <w:lang w:bidi="ar-SA"/>
        </w:rPr>
        <w:t>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 متعاضد المقالة على التعميم</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264940_3804643083"/>
      <w:bookmarkStart w:id="205" w:name="_Toc68"/>
      <w:bookmarkEnd w:id="204"/>
      <w:r>
        <w:rPr>
          <w:rtl w:val="true"/>
        </w:rPr>
        <w:t>الثاني</w:t>
      </w:r>
      <w:r>
        <w:rPr>
          <w:rtl w:val="true"/>
        </w:rPr>
        <w:t>:</w:t>
      </w:r>
      <w:bookmarkEnd w:id="205"/>
    </w:p>
    <w:p>
      <w:pPr>
        <w:pStyle w:val="BookText"/>
        <w:rPr/>
      </w:pPr>
      <w:r>
        <w:rPr>
          <w:rFonts w:ascii="IRNazanin" w:hAnsi="IRNazanin" w:eastAsia="IRNazanin"/>
          <w:color w:val="111111"/>
          <w:sz w:val="28"/>
          <w:sz w:val="28"/>
          <w:szCs w:val="28"/>
          <w:rtl w:val="true"/>
          <w:lang w:bidi="fa-IR"/>
        </w:rPr>
        <w:t xml:space="preserve">أنَّه قد ذكر جملة من متأخري أصحابنا رضی الله عنهم أن كيفية ذلك التقويم للبناء و الآلات و الشجر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المختار – أن يقوم مستحق البقاء </w:t>
      </w:r>
      <w:r>
        <w:rPr>
          <w:rStyle w:val="FootnoteAnchor"/>
          <w:rtl w:val="true"/>
        </w:rPr>
        <w:footnoteReference w:id="2453"/>
      </w:r>
      <w:r>
        <w:rPr>
          <w:rFonts w:ascii="Amiri" w:hAnsi="Amiri" w:eastAsia="Amiri" w:cs="Amiri"/>
          <w:color w:val="111111"/>
          <w:sz w:val="28"/>
          <w:sz w:val="28"/>
          <w:szCs w:val="28"/>
          <w:rtl w:val="true"/>
          <w:lang w:bidi="ar-SA"/>
        </w:rPr>
        <w:t xml:space="preserve">في الأرض مجانًا إلى أن يفنى، فتقدر الدار كأنها مبنية في ملك الغير على وجه لا يستحق عليه أجرة إلى أن تفنى، و تعطى قيمة ما عدا الأرض من ذلك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2455"/>
      </w:r>
      <w:r>
        <w:rPr>
          <w:rFonts w:ascii="Amiri" w:hAnsi="Amiri" w:eastAsia="Amiri" w:cs="Amiri"/>
          <w:color w:val="111111"/>
          <w:sz w:val="28"/>
          <w:sz w:val="28"/>
          <w:szCs w:val="28"/>
          <w:rtl w:val="true"/>
          <w:lang w:bidi="ar-SA"/>
        </w:rPr>
        <w:t xml:space="preserve">شيخنا المنصف العلامة الشيخ يوسف في رسالته الميراثية </w:t>
      </w:r>
      <w:r>
        <w:rPr>
          <w:rStyle w:val="FootnoteAnchor"/>
          <w:rtl w:val="true"/>
        </w:rPr>
        <w:footnoteReference w:id="2456"/>
      </w:r>
      <w:r>
        <w:rPr>
          <w:rFonts w:ascii="Amiri" w:hAnsi="Amiri" w:eastAsia="Amiri" w:cs="Amiri"/>
          <w:color w:val="111111"/>
          <w:sz w:val="28"/>
          <w:sz w:val="28"/>
          <w:szCs w:val="28"/>
          <w:rtl w:val="true"/>
          <w:lang w:bidi="ar-SA"/>
        </w:rPr>
        <w:t xml:space="preserve">، و قبله الفاضل الأردبيلي في شرح الإرشاد </w:t>
      </w:r>
      <w:r>
        <w:rPr>
          <w:rStyle w:val="FootnoteAnchor"/>
          <w:rtl w:val="true"/>
        </w:rPr>
        <w:footnoteReference w:id="2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و إن لم تكن نصّا في ذلك و لا ظاهرة، إلا أن مقتضى الحكمة في رفع الضرر عن الطرفين هو ذلك</w:t>
      </w:r>
      <w:r>
        <w:rPr>
          <w:rFonts w:eastAsia="Amiri" w:cs="Amiri" w:ascii="Amiri" w:hAnsi="Amiri"/>
          <w:color w:val="111111"/>
          <w:sz w:val="28"/>
          <w:szCs w:val="28"/>
          <w:rtl w:val="true"/>
          <w:lang w:bidi="ar-SA"/>
        </w:rPr>
        <w:t xml:space="preserve">. </w:t>
      </w:r>
      <w:bookmarkStart w:id="206" w:name="pg2523_39977"/>
    </w:p>
    <w:p>
      <w:pPr>
        <w:pStyle w:val="Heading4"/>
        <w:numPr>
          <w:ilvl w:val="3"/>
          <w:numId w:val="1"/>
        </w:numPr>
        <w:rPr/>
      </w:pPr>
      <w:bookmarkStart w:id="207" w:name="__RefHeading___Toc4264942_3804643083"/>
      <w:bookmarkStart w:id="208" w:name="_Toc69"/>
      <w:bookmarkEnd w:id="206"/>
      <w:bookmarkEnd w:id="207"/>
      <w:r>
        <w:rPr>
          <w:rtl w:val="true"/>
        </w:rPr>
        <w:t>الثالث</w:t>
      </w:r>
      <w:r>
        <w:rPr>
          <w:rtl w:val="true"/>
        </w:rPr>
        <w:t>:</w:t>
      </w:r>
      <w:bookmarkEnd w:id="208"/>
    </w:p>
    <w:p>
      <w:pPr>
        <w:pStyle w:val="BookText"/>
        <w:rPr/>
      </w:pPr>
      <w:r>
        <w:rPr>
          <w:rFonts w:ascii="Amiri" w:hAnsi="Amiri" w:eastAsia="Amiri" w:cs="Amiri"/>
          <w:color w:val="111111"/>
          <w:sz w:val="28"/>
          <w:sz w:val="28"/>
          <w:szCs w:val="28"/>
          <w:rtl w:val="true"/>
          <w:lang w:bidi="ar-SA"/>
        </w:rPr>
        <w:t>هل القيمة في المواضع المذكورة رخصة للورثة لتسهيل الأمر عليهم، أم عزيمة فيجب على الوارث بذلها و لو على وجه القهر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الأوّل منهما مال المولى الأردبيلي في شرح الإرشاد </w:t>
      </w:r>
      <w:r>
        <w:rPr>
          <w:rStyle w:val="FootnoteAnchor"/>
          <w:rtl w:val="true"/>
        </w:rPr>
        <w:footnoteReference w:id="2458"/>
      </w:r>
      <w:r>
        <w:rPr>
          <w:rFonts w:ascii="Amiri" w:hAnsi="Amiri" w:eastAsia="Amiri" w:cs="Amiri"/>
          <w:color w:val="111111"/>
          <w:sz w:val="28"/>
          <w:sz w:val="28"/>
          <w:szCs w:val="28"/>
          <w:rtl w:val="true"/>
          <w:lang w:bidi="ar-SA"/>
        </w:rPr>
        <w:t xml:space="preserve">، و تبعه الفاضل الخراساني في الكفاية </w:t>
      </w:r>
      <w:r>
        <w:rPr>
          <w:rStyle w:val="FootnoteAnchor"/>
          <w:rtl w:val="true"/>
        </w:rPr>
        <w:footnoteReference w:id="2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الثاني مال المحقق الثاني في بعض أجوبته و الشهيد الثاني في المسالك </w:t>
      </w:r>
      <w:r>
        <w:rPr>
          <w:rStyle w:val="FootnoteAnchor"/>
          <w:rtl w:val="true"/>
        </w:rPr>
        <w:footnoteReference w:id="2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 شيخنا المذكور و قرّب الرخصة، و ادّعى أنه الأقرب للأخبار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الأخبار هو العزيمة؛ للتعبير في كثير منها بعد السؤال عن النساء ما لهن من الميراث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الطُّوْبِ و َالْبِنَاءِ وَ الخشَبِ وَ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لهُنَّ قِيْمَةٌ الْبِنَاءِ وَ الشَّجَرِ 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يزيد الصائغ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لهنَّ </w:t>
      </w:r>
      <w:r>
        <w:rPr>
          <w:rStyle w:val="FootnoteAnchor"/>
          <w:rtl w:val="true"/>
        </w:rPr>
        <w:footnoteReference w:id="2462"/>
      </w:r>
      <w:r>
        <w:rPr>
          <w:rFonts w:ascii="Amiri" w:hAnsi="Amiri" w:eastAsia="Amiri" w:cs="Amiri"/>
          <w:color w:val="111111"/>
          <w:sz w:val="28"/>
          <w:sz w:val="28"/>
          <w:szCs w:val="28"/>
          <w:rtl w:val="true"/>
          <w:lang w:bidi="ar-SA"/>
        </w:rPr>
        <w:t>قِيْمَةُ الطَّوْبِ 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روايته الأخرى </w:t>
      </w:r>
      <w:r>
        <w:rPr>
          <w:rStyle w:val="FootnoteAnchor"/>
          <w:rtl w:val="true"/>
        </w:rPr>
        <w:footnoteReference w:id="2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يَرِثْنَ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Style w:val="FootnoteAnchor"/>
          <w:rtl w:val="true"/>
        </w:rPr>
        <w:footnoteReference w:id="2464"/>
      </w:r>
      <w:r>
        <w:rPr>
          <w:rFonts w:ascii="Amiri" w:hAnsi="Amiri" w:eastAsia="Amiri" w:cs="Amiri"/>
          <w:color w:val="111111"/>
          <w:sz w:val="28"/>
          <w:sz w:val="28"/>
          <w:szCs w:val="28"/>
          <w:rtl w:val="true"/>
          <w:lang w:bidi="ar-SA"/>
        </w:rPr>
        <w:t>إِنَّ النَّاسَ لَا يَأْخُذُونَ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وَلِيْنَاهُمْ </w:t>
      </w:r>
    </w:p>
    <w:p>
      <w:pPr>
        <w:pStyle w:val="BookText"/>
        <w:rPr/>
      </w:pPr>
      <w:r>
        <w:rPr>
          <w:rFonts w:ascii="Amiri" w:hAnsi="Amiri" w:eastAsia="Amiri" w:cs="Amiri"/>
          <w:color w:val="111111"/>
          <w:sz w:val="28"/>
          <w:sz w:val="28"/>
          <w:szCs w:val="28"/>
          <w:rtl w:val="true"/>
          <w:lang w:bidi="ar-SA"/>
        </w:rPr>
        <w:t>ضَرَبْنَاهُمْ بِالسَّوْطِ، فَإِنِ انْتَهَوْا وَ إِلَّا ضَرَبْنَاهُمْ بِالسَّيْفِ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كلام في ظهور هذه العبارات في الوجوب و الحتم، سيما و قد تعقبها ذلك القول الذي هو نصّ في التشديد </w:t>
      </w:r>
      <w:r>
        <w:rPr>
          <w:rStyle w:val="FootnoteAnchor"/>
          <w:rtl w:val="true"/>
        </w:rPr>
        <w:footnoteReference w:id="2465"/>
      </w:r>
      <w:r>
        <w:rPr>
          <w:rFonts w:ascii="Amiri" w:hAnsi="Amiri" w:eastAsia="Amiri" w:cs="Amiri"/>
          <w:color w:val="111111"/>
          <w:sz w:val="28"/>
          <w:sz w:val="28"/>
          <w:szCs w:val="28"/>
          <w:rtl w:val="true"/>
          <w:lang w:bidi="ar-SA"/>
        </w:rPr>
        <w:t>لما فيه من التوعد بالمعاقبة في أول مرة بالضرب بالسوط، و في الأخرى عدم الانتهاء بالضرب بالسيف، الدال دلالة واضحة على ارتداد من لم يأخذ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تضمنه كثير من تلك الأخبار من الأوامر التي الأصل فيها الوجوب </w:t>
      </w:r>
      <w:r>
        <w:rPr>
          <w:rStyle w:val="FootnoteAnchor"/>
          <w:rtl w:val="true"/>
        </w:rPr>
        <w:footnoteReference w:id="2466"/>
      </w:r>
      <w:r>
        <w:rPr>
          <w:rFonts w:ascii="Amiri" w:hAnsi="Amiri" w:eastAsia="Amiri" w:cs="Amiri"/>
          <w:color w:val="111111"/>
          <w:sz w:val="28"/>
          <w:sz w:val="28"/>
          <w:szCs w:val="28"/>
          <w:rtl w:val="true"/>
          <w:lang w:bidi="ar-SA"/>
        </w:rPr>
        <w:t xml:space="preserve">، مثل قوله علیه السلام في صحيحة زرارة و خبر طربال – الذين مر ذكرهما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يُقَوَّمُ النقضُ وَ الْأَجْذَاعُ </w:t>
      </w:r>
      <w:r>
        <w:rPr>
          <w:rStyle w:val="FootnoteAnchor"/>
          <w:rtl w:val="true"/>
        </w:rPr>
        <w:footnoteReference w:id="2467"/>
      </w:r>
      <w:r>
        <w:rPr>
          <w:rFonts w:ascii="Amiri" w:hAnsi="Amiri" w:eastAsia="Amiri" w:cs="Amiri"/>
          <w:color w:val="111111"/>
          <w:sz w:val="28"/>
          <w:sz w:val="28"/>
          <w:szCs w:val="28"/>
          <w:rtl w:val="true"/>
          <w:lang w:bidi="ar-SA"/>
        </w:rPr>
        <w:t>وَ الْقَصَبُ وَ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روايتاهما الأخيرتان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يُقَوَّمُ النَّقْضُ وَ الْأَبْوَابُ وَ الجُذُوعُ وَ الْقَصَبُ وَ تُعْطَى حَقَّهَا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كلام في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كانت 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كما هو الحق؛ بدليل عطف جملة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تُعْطَى حَقَّهَا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كلام في أن الثانية للوجوب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تلك الروايات على القول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أن الأمر صدر منهم علیهم السلام في التقويم على جهة العزيمة لا الرخصة و لا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جليّة لا يختلج من جهتها الشك و الارتياب عند منصفي أولي الألباب</w:t>
      </w:r>
      <w:r>
        <w:rPr>
          <w:rFonts w:eastAsia="IRNazanin" w:cs="IRNazanin"/>
          <w:color w:val="111111"/>
          <w:sz w:val="28"/>
          <w:szCs w:val="28"/>
          <w:rtl w:val="true"/>
          <w:lang w:bidi="fa-IR"/>
        </w:rPr>
        <w:t xml:space="preserve">.. </w:t>
      </w:r>
      <w:bookmarkStart w:id="209" w:name="pg2523_39979"/>
    </w:p>
    <w:p>
      <w:pPr>
        <w:pStyle w:val="Heading4"/>
        <w:numPr>
          <w:ilvl w:val="3"/>
          <w:numId w:val="1"/>
        </w:numPr>
        <w:rPr/>
      </w:pPr>
      <w:bookmarkStart w:id="210" w:name="__RefHeading___Toc4264944_3804643083"/>
      <w:bookmarkStart w:id="211" w:name="_Toc70"/>
      <w:bookmarkEnd w:id="209"/>
      <w:bookmarkEnd w:id="210"/>
      <w:r>
        <w:rPr>
          <w:rtl w:val="true"/>
        </w:rPr>
        <w:t>الرابع</w:t>
      </w:r>
      <w:r>
        <w:rPr>
          <w:rtl w:val="true"/>
        </w:rPr>
        <w:t>:</w:t>
      </w:r>
      <w:bookmarkEnd w:id="211"/>
    </w:p>
    <w:p>
      <w:pPr>
        <w:pStyle w:val="BookText"/>
        <w:rPr/>
      </w:pPr>
      <w:r>
        <w:rPr>
          <w:rFonts w:ascii="Amiri" w:hAnsi="Amiri" w:eastAsia="Amiri" w:cs="Amiri"/>
          <w:color w:val="111111"/>
          <w:sz w:val="28"/>
          <w:sz w:val="28"/>
          <w:szCs w:val="28"/>
          <w:rtl w:val="true"/>
          <w:lang w:bidi="ar-SA"/>
        </w:rPr>
        <w:t>أنه إذا اجتمعت ذات الولد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المشهور من اختصاص الحرمان بغير ذات الولد، فهل تختص بثمن الأرض أجمع و ثمن عين ما حرمت منه الأخرى من الآلات و الطوب و الخشب و نحوهما، أو تختص به الورثة، أو يكون مشتركا بين الجميع؟</w:t>
      </w:r>
    </w:p>
    <w:p>
      <w:pPr>
        <w:pStyle w:val="BookText"/>
        <w:rPr/>
      </w:pPr>
      <w:r>
        <w:rPr>
          <w:rFonts w:ascii="Amiri" w:hAnsi="Amiri" w:eastAsia="Amiri" w:cs="Amiri"/>
          <w:color w:val="111111"/>
          <w:sz w:val="28"/>
          <w:sz w:val="28"/>
          <w:szCs w:val="28"/>
          <w:rtl w:val="true"/>
          <w:lang w:bidi="ar-SA"/>
        </w:rPr>
        <w:t xml:space="preserve">أوجه و احتمالات أظهرُها الأوّل، و هو اختيار شهيد </w:t>
      </w:r>
      <w:r>
        <w:rPr>
          <w:rStyle w:val="FootnoteAnchor"/>
          <w:rtl w:val="true"/>
        </w:rPr>
        <w:footnoteReference w:id="2468"/>
      </w:r>
      <w:r>
        <w:rPr>
          <w:rFonts w:ascii="Amiri" w:hAnsi="Amiri" w:eastAsia="Amiri" w:cs="Amiri"/>
          <w:color w:val="111111"/>
          <w:sz w:val="28"/>
          <w:sz w:val="28"/>
          <w:szCs w:val="28"/>
          <w:rtl w:val="true"/>
          <w:lang w:bidi="ar-SA"/>
        </w:rPr>
        <w:t xml:space="preserve">المسالك </w:t>
      </w:r>
      <w:r>
        <w:rPr>
          <w:rStyle w:val="FootnoteAnchor"/>
          <w:rtl w:val="true"/>
        </w:rPr>
        <w:footnoteReference w:id="2469"/>
      </w:r>
      <w:r>
        <w:rPr>
          <w:rFonts w:ascii="Amiri" w:hAnsi="Amiri" w:eastAsia="Amiri" w:cs="Amiri"/>
          <w:color w:val="111111"/>
          <w:sz w:val="28"/>
          <w:sz w:val="28"/>
          <w:szCs w:val="28"/>
          <w:rtl w:val="true"/>
          <w:lang w:bidi="ar-SA"/>
        </w:rPr>
        <w:t xml:space="preserve">؛ لأنَّ الثمن حق الزوجة بنص الكتاب و السنة، و إنما تنقص عنه </w:t>
      </w:r>
      <w:r>
        <w:rPr>
          <w:rStyle w:val="FootnoteAnchor"/>
          <w:rtl w:val="true"/>
        </w:rPr>
        <w:footnoteReference w:id="2470"/>
      </w:r>
      <w:r>
        <w:rPr>
          <w:rFonts w:ascii="Amiri" w:hAnsi="Amiri" w:eastAsia="Amiri" w:cs="Amiri"/>
          <w:color w:val="111111"/>
          <w:sz w:val="28"/>
          <w:sz w:val="28"/>
          <w:szCs w:val="28"/>
          <w:rtl w:val="true"/>
          <w:lang w:bidi="ar-SA"/>
        </w:rPr>
        <w:t xml:space="preserve">بمشاركة أخرى لها، فحيث تنتفي المشاركة تبقى على حالها، و كل من تختص به العين يتوجه عليه دفع القيمة، فعلى ما اخترناه يتوجه على الزوجة، و حيث إن هذا من الفروع على ما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الحرمان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فالخطب هيّنُ</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264946_3804643083"/>
      <w:bookmarkStart w:id="213" w:name="_Toc71"/>
      <w:bookmarkEnd w:id="212"/>
      <w:r>
        <w:rPr>
          <w:rtl w:val="true"/>
        </w:rPr>
        <w:t>الخامس</w:t>
      </w:r>
      <w:r>
        <w:rPr>
          <w:rtl w:val="true"/>
        </w:rPr>
        <w:t>:</w:t>
      </w:r>
      <w:bookmarkEnd w:id="21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ذكر غير واحد أن إطلاق الولد محمول على ولد الصلب، و في تعديته هناك إلى ولد الولد وجهان مبنيان على كونه ولدًا حقيقيا أم لا </w:t>
      </w:r>
      <w:r>
        <w:rPr>
          <w:rStyle w:val="FootnoteAnchor"/>
          <w:rtl w:val="true"/>
        </w:rPr>
        <w:footnoteReference w:id="2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من تصريحهم في باب النكاح و الميراث في غير هذا على أن إطلاق </w:t>
      </w:r>
    </w:p>
    <w:p>
      <w:pPr>
        <w:pStyle w:val="BookText"/>
        <w:rPr/>
      </w:pPr>
      <w:r>
        <w:rPr>
          <w:rFonts w:ascii="IRNazanin" w:hAnsi="IRNazanin" w:eastAsia="IRNazanin"/>
          <w:color w:val="111111"/>
          <w:sz w:val="28"/>
          <w:sz w:val="28"/>
          <w:szCs w:val="28"/>
          <w:rtl w:val="true"/>
          <w:lang w:bidi="fa-IR"/>
        </w:rPr>
        <w:t xml:space="preserve">الولد </w:t>
      </w:r>
      <w:r>
        <w:rPr>
          <w:rStyle w:val="FootnoteAnchor"/>
          <w:rtl w:val="true"/>
        </w:rPr>
        <w:footnoteReference w:id="2472"/>
      </w:r>
      <w:r>
        <w:rPr>
          <w:rFonts w:ascii="Amiri" w:hAnsi="Amiri" w:eastAsia="Amiri" w:cs="Amiri"/>
          <w:color w:val="111111"/>
          <w:sz w:val="28"/>
          <w:sz w:val="28"/>
          <w:szCs w:val="28"/>
          <w:rtl w:val="true"/>
          <w:lang w:bidi="ar-SA"/>
        </w:rPr>
        <w:t>حقيقي، فالاختلاف في هذا المقام دون غيره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الأدلة المعتبرة دالة على أنه ولد حقيقة، وأنه كولد الصلب في الميراث و في الحجب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خبر زرارة على ما في الكافي و التهذيب في حديث طويل ذكر فيه ميراث الزوج و الزوجة مع الولد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يَكُنْ لَهُ </w:t>
      </w:r>
      <w:r>
        <w:rPr>
          <w:rStyle w:val="FootnoteAnchor"/>
          <w:rtl w:val="true"/>
        </w:rPr>
        <w:footnoteReference w:id="2473"/>
      </w:r>
      <w:r>
        <w:rPr>
          <w:rFonts w:ascii="Amiri" w:hAnsi="Amiri" w:eastAsia="Amiri" w:cs="Amiri"/>
          <w:color w:val="111111"/>
          <w:sz w:val="28"/>
          <w:sz w:val="28"/>
          <w:szCs w:val="28"/>
          <w:rtl w:val="true"/>
          <w:lang w:bidi="ar-SA"/>
        </w:rPr>
        <w:t xml:space="preserve">وَلَدٌ وَكَانَ لَهُ </w:t>
      </w:r>
      <w:r>
        <w:rPr>
          <w:rStyle w:val="FootnoteAnchor"/>
          <w:rtl w:val="true"/>
        </w:rPr>
        <w:footnoteReference w:id="2474"/>
      </w:r>
      <w:r>
        <w:rPr>
          <w:rFonts w:ascii="Amiri" w:hAnsi="Amiri" w:eastAsia="Amiri" w:cs="Amiri"/>
          <w:color w:val="111111"/>
          <w:sz w:val="28"/>
          <w:sz w:val="28"/>
          <w:szCs w:val="28"/>
          <w:rtl w:val="true"/>
          <w:lang w:bidi="ar-SA"/>
        </w:rPr>
        <w:t xml:space="preserve">وَلَدٌ لِوَلَدٍ </w:t>
      </w:r>
      <w:r>
        <w:rPr>
          <w:rStyle w:val="FootnoteAnchor"/>
          <w:rtl w:val="true"/>
        </w:rPr>
        <w:footnoteReference w:id="2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كانوا أو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بِمَنْزِلَةِ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البَنيْنِ بِمَنْزِلَةِ الْبَنِيْنِ، يُوَرَّثُونَ </w:t>
      </w:r>
      <w:r>
        <w:rPr>
          <w:rStyle w:val="FootnoteAnchor"/>
          <w:rtl w:val="true"/>
        </w:rPr>
        <w:footnoteReference w:id="2476"/>
      </w:r>
      <w:r>
        <w:rPr>
          <w:rFonts w:ascii="Amiri" w:hAnsi="Amiri" w:eastAsia="Amiri" w:cs="Amiri"/>
          <w:color w:val="111111"/>
          <w:sz w:val="28"/>
          <w:sz w:val="28"/>
          <w:szCs w:val="28"/>
          <w:rtl w:val="true"/>
          <w:lang w:bidi="ar-SA"/>
        </w:rPr>
        <w:t xml:space="preserve">مِيَرَاثَ البَنِينَ، وَ وَلَدُ الْبَنَاتِ بِمَنْزِلَةِ الْبَنَاتِ يُوَرَّثُونَ </w:t>
      </w:r>
      <w:r>
        <w:rPr>
          <w:rStyle w:val="FootnoteAnchor"/>
          <w:rtl w:val="true"/>
        </w:rPr>
        <w:footnoteReference w:id="2477"/>
      </w:r>
      <w:r>
        <w:rPr>
          <w:rFonts w:ascii="Amiri" w:hAnsi="Amiri" w:eastAsia="Amiri" w:cs="Amiri"/>
          <w:color w:val="111111"/>
          <w:sz w:val="28"/>
          <w:sz w:val="28"/>
          <w:szCs w:val="28"/>
          <w:rtl w:val="true"/>
          <w:lang w:bidi="ar-SA"/>
        </w:rPr>
        <w:t xml:space="preserve">بميْرَاثَ الْبَنَاتِ </w:t>
      </w:r>
      <w:r>
        <w:rPr>
          <w:rStyle w:val="FootnoteAnchor"/>
          <w:rtl w:val="true"/>
        </w:rPr>
        <w:footnoteReference w:id="2478"/>
      </w:r>
      <w:r>
        <w:rPr>
          <w:rFonts w:ascii="Amiri" w:hAnsi="Amiri" w:eastAsia="Amiri" w:cs="Amiri"/>
          <w:color w:val="111111"/>
          <w:sz w:val="28"/>
          <w:sz w:val="28"/>
          <w:szCs w:val="28"/>
          <w:rtl w:val="true"/>
          <w:lang w:bidi="ar-SA"/>
        </w:rPr>
        <w:t xml:space="preserve">، وَ يحَجبُونَ </w:t>
      </w:r>
      <w:r>
        <w:rPr>
          <w:rStyle w:val="FootnoteAnchor"/>
          <w:rtl w:val="true"/>
        </w:rPr>
        <w:footnoteReference w:id="2479"/>
      </w:r>
      <w:r>
        <w:rPr>
          <w:rFonts w:ascii="Amiri" w:hAnsi="Amiri" w:eastAsia="Amiri" w:cs="Amiri"/>
          <w:color w:val="111111"/>
          <w:sz w:val="28"/>
          <w:sz w:val="28"/>
          <w:szCs w:val="28"/>
          <w:rtl w:val="true"/>
          <w:lang w:bidi="ar-SA"/>
        </w:rPr>
        <w:t xml:space="preserve">الأبَوَيْنِ وَ الزَّوْجَ وَ الزَّوْجَةَ </w:t>
      </w:r>
      <w:r>
        <w:rPr>
          <w:rStyle w:val="FootnoteAnchor"/>
          <w:rtl w:val="true"/>
        </w:rPr>
        <w:footnoteReference w:id="2480"/>
      </w:r>
      <w:r>
        <w:rPr>
          <w:rFonts w:ascii="Amiri" w:hAnsi="Amiri" w:eastAsia="Amiri" w:cs="Amiri"/>
          <w:color w:val="111111"/>
          <w:sz w:val="28"/>
          <w:sz w:val="28"/>
          <w:szCs w:val="28"/>
          <w:rtl w:val="true"/>
          <w:lang w:bidi="ar-SA"/>
        </w:rPr>
        <w:t xml:space="preserve">عَنْ سِهَامِهِمُ الْأَكْثَرِ وَ إِنْ سَفَلُوا بِبَطْنَيْنِ وَ ثَلَاثَةٍ وَ أَكْثَرَ، يُوَرَّثُونَ </w:t>
      </w:r>
      <w:r>
        <w:rPr>
          <w:rStyle w:val="FootnoteAnchor"/>
          <w:rtl w:val="true"/>
        </w:rPr>
        <w:footnoteReference w:id="2481"/>
      </w:r>
      <w:r>
        <w:rPr>
          <w:rFonts w:ascii="Amiri" w:hAnsi="Amiri" w:eastAsia="Amiri" w:cs="Amiri"/>
          <w:color w:val="111111"/>
          <w:sz w:val="28"/>
          <w:sz w:val="28"/>
          <w:szCs w:val="28"/>
          <w:rtl w:val="true"/>
          <w:lang w:bidi="ar-SA"/>
        </w:rPr>
        <w:t xml:space="preserve">مَا يُوَرَّثُ </w:t>
      </w:r>
      <w:r>
        <w:rPr>
          <w:rStyle w:val="FootnoteAnchor"/>
          <w:rtl w:val="true"/>
        </w:rPr>
        <w:footnoteReference w:id="2482"/>
      </w:r>
      <w:r>
        <w:rPr>
          <w:rFonts w:ascii="Amiri" w:hAnsi="Amiri" w:eastAsia="Amiri" w:cs="Amiri"/>
          <w:color w:val="111111"/>
          <w:sz w:val="28"/>
          <w:sz w:val="28"/>
          <w:szCs w:val="28"/>
          <w:rtl w:val="true"/>
          <w:lang w:bidi="ar-SA"/>
        </w:rPr>
        <w:t xml:space="preserve">وَلَدُ الصُّلْبِ، يَحْجبُونَ </w:t>
      </w:r>
      <w:r>
        <w:rPr>
          <w:rStyle w:val="FootnoteAnchor"/>
          <w:rtl w:val="true"/>
        </w:rPr>
        <w:footnoteReference w:id="2483"/>
      </w:r>
      <w:r>
        <w:rPr>
          <w:rFonts w:ascii="Amiri" w:hAnsi="Amiri" w:eastAsia="Amiri" w:cs="Amiri"/>
          <w:color w:val="111111"/>
          <w:sz w:val="28"/>
          <w:sz w:val="28"/>
          <w:szCs w:val="28"/>
          <w:rtl w:val="true"/>
          <w:lang w:bidi="ar-SA"/>
        </w:rPr>
        <w:t>مَا يَحِجبُ وَلَدُ الصُّلْبِ</w:t>
      </w:r>
      <w:r>
        <w:rPr>
          <w:rFonts w:eastAsia="Amiri" w:cs="Amiri" w:ascii="Amiri" w:hAnsi="Amiri"/>
          <w:color w:val="111111"/>
          <w:sz w:val="28"/>
          <w:szCs w:val="28"/>
          <w:rtl w:val="true"/>
          <w:lang w:bidi="ar-SA"/>
        </w:rPr>
        <w:t xml:space="preserve">» </w:t>
      </w:r>
      <w:r>
        <w:rPr>
          <w:rStyle w:val="FootnoteAnchor"/>
          <w:rtl w:val="true"/>
        </w:rPr>
        <w:footnoteReference w:id="2484"/>
      </w:r>
      <w:r>
        <w:rPr>
          <w:rFonts w:ascii="Amiri" w:hAnsi="Amiri" w:eastAsia="Amiri" w:cs="Amiri"/>
          <w:color w:val="111111"/>
          <w:sz w:val="28"/>
          <w:sz w:val="28"/>
          <w:szCs w:val="28"/>
          <w:rtl w:val="true"/>
          <w:lang w:bidi="ar-SA"/>
        </w:rPr>
        <w:t>، و هي – كما ترى – نص</w:t>
      </w:r>
      <w:r>
        <w:rPr>
          <w:rFonts w:eastAsia="Amiri" w:cs="Amiri" w:ascii="Amiri" w:hAnsi="Amiri"/>
          <w:color w:val="111111"/>
          <w:sz w:val="28"/>
          <w:szCs w:val="28"/>
          <w:rtl w:val="true"/>
          <w:lang w:bidi="ar-SA"/>
        </w:rPr>
        <w:t xml:space="preserve">. </w:t>
      </w:r>
      <w:bookmarkStart w:id="214" w:name="pg2523_39981"/>
    </w:p>
    <w:p>
      <w:pPr>
        <w:pStyle w:val="BookText"/>
        <w:rPr/>
      </w:pPr>
      <w:bookmarkEnd w:id="214"/>
      <w:r>
        <w:rPr>
          <w:rFonts w:ascii="Amiri" w:hAnsi="Amiri" w:eastAsia="Amiri" w:cs="Amiri"/>
          <w:color w:val="111111"/>
          <w:sz w:val="28"/>
          <w:sz w:val="28"/>
          <w:szCs w:val="28"/>
          <w:rtl w:val="true"/>
          <w:lang w:bidi="ar-SA"/>
        </w:rPr>
        <w:t xml:space="preserve">فيما قلناه، ورادةٌ في أصل هذه المسألة، فلا حاجة فيها إلى الإحالة على الدليل العام و لما </w:t>
      </w:r>
      <w:r>
        <w:rPr>
          <w:rStyle w:val="FootnoteAnchor"/>
          <w:rtl w:val="true"/>
        </w:rPr>
        <w:footnoteReference w:id="2485"/>
      </w:r>
      <w:r>
        <w:rPr>
          <w:rFonts w:ascii="Amiri" w:hAnsi="Amiri" w:eastAsia="Amiri" w:cs="Amiri"/>
          <w:color w:val="111111"/>
          <w:sz w:val="28"/>
          <w:sz w:val="28"/>
          <w:szCs w:val="28"/>
          <w:rtl w:val="true"/>
          <w:lang w:bidi="ar-SA"/>
        </w:rPr>
        <w:t>أثمر كونه ولدًا بقول مطلق حقيقةً أو مجازا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شيخنا المتقدم ذكره </w:t>
      </w:r>
      <w:r>
        <w:rPr>
          <w:rStyle w:val="FootnoteAnchor"/>
          <w:rtl w:val="true"/>
        </w:rPr>
        <w:footnoteReference w:id="2486"/>
      </w:r>
      <w:r>
        <w:rPr>
          <w:rFonts w:ascii="Amiri" w:hAnsi="Amiri" w:eastAsia="Amiri" w:cs="Amiri"/>
          <w:color w:val="111111"/>
          <w:sz w:val="28"/>
          <w:sz w:val="28"/>
          <w:szCs w:val="28"/>
          <w:rtl w:val="true"/>
          <w:lang w:bidi="ar-SA"/>
        </w:rPr>
        <w:t xml:space="preserve">و من كان من قبله من الأفاضل الذين وقفنا على كلامهم في مثل هذا المقام و غفلتهم عن هذا المستند و الدليل الواضح المؤيَّد بالأدلة العامة من السنة، و لكن الغفلة و تقليد من تقدم في نقل الأدلة أوجبا </w:t>
      </w:r>
      <w:r>
        <w:rPr>
          <w:rStyle w:val="FootnoteAnchor"/>
          <w:rtl w:val="true"/>
        </w:rPr>
        <w:footnoteReference w:id="2487"/>
      </w:r>
      <w:r>
        <w:rPr>
          <w:rFonts w:ascii="Amiri" w:hAnsi="Amiri" w:eastAsia="Amiri" w:cs="Amiri"/>
          <w:color w:val="111111"/>
          <w:sz w:val="28"/>
          <w:sz w:val="28"/>
          <w:szCs w:val="28"/>
          <w:rtl w:val="true"/>
          <w:lang w:bidi="ar-SA"/>
        </w:rPr>
        <w:t>ذلك كما هي عادتهم عند التأليف</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264948_3804643083"/>
      <w:bookmarkStart w:id="216" w:name="_Toc72"/>
      <w:bookmarkEnd w:id="215"/>
      <w:r>
        <w:rPr>
          <w:rtl w:val="true"/>
        </w:rPr>
        <w:t>السادس</w:t>
      </w:r>
      <w:r>
        <w:rPr>
          <w:rtl w:val="true"/>
        </w:rPr>
        <w:t>:</w:t>
      </w:r>
      <w:bookmarkEnd w:id="216"/>
    </w:p>
    <w:p>
      <w:pPr>
        <w:pStyle w:val="BookText"/>
        <w:rPr/>
      </w:pPr>
      <w:r>
        <w:rPr>
          <w:rFonts w:ascii="Amiri" w:hAnsi="Amiri" w:eastAsia="Amiri" w:cs="Amiri"/>
          <w:color w:val="111111"/>
          <w:sz w:val="28"/>
          <w:sz w:val="28"/>
          <w:szCs w:val="28"/>
          <w:rtl w:val="true"/>
          <w:lang w:bidi="ar-SA"/>
        </w:rPr>
        <w:t xml:space="preserve">لو كان من المُخَلَّفِ ماءٌ في أرض مملوكة كمياه العيون الواقعة فيها، أو ماء مملوك في بئر أو قناة له فعلى ما اخترناه من عموم الحرمان في مطلق الزوجة، هل تستحق من قيمة تلك المياه دون عينها كآلات البناء و الأشجار أو في </w:t>
      </w:r>
      <w:r>
        <w:rPr>
          <w:rStyle w:val="FootnoteAnchor"/>
          <w:rtl w:val="true"/>
        </w:rPr>
        <w:footnoteReference w:id="2488"/>
      </w:r>
      <w:r>
        <w:rPr>
          <w:rFonts w:ascii="Amiri" w:hAnsi="Amiri" w:eastAsia="Amiri" w:cs="Amiri"/>
          <w:color w:val="111111"/>
          <w:sz w:val="28"/>
          <w:sz w:val="28"/>
          <w:szCs w:val="28"/>
          <w:rtl w:val="true"/>
          <w:lang w:bidi="ar-SA"/>
        </w:rPr>
        <w:t>عينها كسائر المنقولات؟ أو تحرم منها عينًا و قيمة كالأرض؟ وجوه تنشأ من الشك في تبعية الماء لأحد هذه الأمور المنصوصة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رجح بعضهم الأول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كونه مملوكا بتبعية </w:t>
      </w:r>
      <w:r>
        <w:rPr>
          <w:rStyle w:val="FootnoteAnchor"/>
          <w:rtl w:val="true"/>
        </w:rPr>
        <w:footnoteReference w:id="2489"/>
      </w:r>
      <w:r>
        <w:rPr>
          <w:rFonts w:ascii="IRNazanin" w:hAnsi="IRNazanin" w:eastAsia="IRNazanin"/>
          <w:color w:val="111111"/>
          <w:sz w:val="28"/>
          <w:sz w:val="28"/>
          <w:szCs w:val="28"/>
          <w:rtl w:val="true"/>
          <w:lang w:bidi="fa-IR"/>
        </w:rPr>
        <w:t xml:space="preserve">الأرض </w:t>
      </w:r>
    </w:p>
    <w:p>
      <w:pPr>
        <w:pStyle w:val="BookText"/>
        <w:rPr/>
      </w:pP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r>
        <w:rPr>
          <w:rStyle w:val="FootnoteAnchor"/>
          <w:rtl w:val="true"/>
        </w:rPr>
        <w:footnoteReference w:id="2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المسألة محل إشكال؛ لعدم ورود نص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المولى الأردبيلي في شرح الإرشاد اختيار الأول </w:t>
      </w:r>
      <w:r>
        <w:rPr>
          <w:rStyle w:val="FootnoteAnchor"/>
          <w:rtl w:val="true"/>
        </w:rPr>
        <w:footnoteReference w:id="2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 السادة من فضلاء المتأخرين في هذه المسألة تفصيل استوجهه شيخنا المذكور في الرسالة الميراثية،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القدر الموجود منه وقت الموت ترث منه كسائر المنقولات، و ما لم يكن كذلك فلا يكون </w:t>
      </w:r>
      <w:r>
        <w:rPr>
          <w:rStyle w:val="FootnoteAnchor"/>
          <w:rtl w:val="true"/>
        </w:rPr>
        <w:footnoteReference w:id="2492"/>
      </w:r>
      <w:r>
        <w:rPr>
          <w:rFonts w:ascii="Amiri" w:hAnsi="Amiri" w:eastAsia="Amiri" w:cs="Amiri"/>
          <w:color w:val="111111"/>
          <w:sz w:val="28"/>
          <w:sz w:val="28"/>
          <w:szCs w:val="28"/>
          <w:rtl w:val="true"/>
          <w:lang w:bidi="ar-SA"/>
        </w:rPr>
        <w:t xml:space="preserve">تركة عند الموت، إذ الماء إنما </w:t>
      </w:r>
      <w:r>
        <w:rPr>
          <w:rStyle w:val="FootnoteAnchor"/>
          <w:rtl w:val="true"/>
        </w:rPr>
        <w:footnoteReference w:id="2493"/>
      </w:r>
      <w:r>
        <w:rPr>
          <w:rFonts w:ascii="Amiri" w:hAnsi="Amiri" w:eastAsia="Amiri" w:cs="Amiri"/>
          <w:color w:val="111111"/>
          <w:sz w:val="28"/>
          <w:sz w:val="28"/>
          <w:szCs w:val="28"/>
          <w:rtl w:val="true"/>
          <w:lang w:bidi="ar-SA"/>
        </w:rPr>
        <w:t>يتجدد شيئا فشيء، فهو من تمام الأرض، فيكون تابعا لها</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الأرجح هو الحرمان منه مطلقًا؛ لدلالة أخبار الحرمان من العقارات الشاملة له، فإنه لا كلام في إطلاق العقار على الأرض و ما حل فيها كما قدمنا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بإرثها من قيمة تلك الآلات و الأبنية و الأشجار و النخيل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من خارج على ذلك، و إلا كان المتجه هو الحرمان فيها، مع أخبار العلل الشاهدة بأن علة ذلك الحكم في الحرمان هو </w:t>
      </w:r>
      <w:r>
        <w:rPr>
          <w:rStyle w:val="FootnoteAnchor"/>
          <w:rtl w:val="true"/>
        </w:rPr>
        <w:footnoteReference w:id="2495"/>
      </w:r>
      <w:r>
        <w:rPr>
          <w:rFonts w:ascii="Amiri" w:hAnsi="Amiri" w:eastAsia="Amiri" w:cs="Amiri"/>
          <w:color w:val="111111"/>
          <w:sz w:val="28"/>
          <w:sz w:val="28"/>
          <w:szCs w:val="28"/>
          <w:rtl w:val="true"/>
          <w:lang w:bidi="ar-SA"/>
        </w:rPr>
        <w:t>إدخال الضرر على الورثة، و أنها دخيل عليهم، فلا ترث إلا في الفرع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هذه العلل شاهدة بحرمانها من الماء المذكور مطلقًا؛ لترتب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إدخال الضرر لو </w:t>
      </w:r>
      <w:r>
        <w:rPr>
          <w:rStyle w:val="FootnoteAnchor"/>
          <w:rtl w:val="true"/>
        </w:rPr>
        <w:footnoteReference w:id="2497"/>
      </w:r>
      <w:r>
        <w:rPr>
          <w:rFonts w:ascii="IRNazanin" w:hAnsi="IRNazanin" w:eastAsia="IRNazanin"/>
          <w:color w:val="111111"/>
          <w:sz w:val="28"/>
          <w:sz w:val="28"/>
          <w:szCs w:val="28"/>
          <w:rtl w:val="true"/>
          <w:lang w:bidi="fa-IR"/>
        </w:rPr>
        <w:t xml:space="preserve">قلنا بإرثها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w:t>
      </w:r>
      <w:r>
        <w:rPr>
          <w:rStyle w:val="FootnoteAnchor"/>
          <w:rtl w:val="true"/>
        </w:rPr>
        <w:footnoteReference w:id="2498"/>
      </w:r>
      <w:r>
        <w:rPr>
          <w:rFonts w:ascii="Amiri" w:hAnsi="Amiri" w:eastAsia="Amiri" w:cs="Amiri"/>
          <w:color w:val="111111"/>
          <w:sz w:val="28"/>
          <w:sz w:val="28"/>
          <w:szCs w:val="28"/>
          <w:rtl w:val="true"/>
          <w:lang w:bidi="ar-SA"/>
        </w:rPr>
        <w:t>الماء من الأصول الثابتة التي لا تقبل التحويل فلا يناسبه الإرث؛ لأنها فرع كما عرفت صراحة خبر محمد بن سنان و نحوه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قوة ما اخترناه من الحرمان في الماء مطلقا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 بمقاصد أوليائه</w:t>
      </w:r>
      <w:r>
        <w:rPr>
          <w:rFonts w:eastAsia="Amiri" w:cs="Amiri" w:ascii="Amiri" w:hAnsi="Amiri"/>
          <w:color w:val="111111"/>
          <w:sz w:val="28"/>
          <w:szCs w:val="28"/>
          <w:rtl w:val="true"/>
          <w:lang w:bidi="ar-SA"/>
        </w:rPr>
        <w:t xml:space="preserve">.. </w:t>
      </w:r>
      <w:bookmarkStart w:id="217" w:name="pg2523_39984"/>
    </w:p>
    <w:p>
      <w:pPr>
        <w:pStyle w:val="Heading2"/>
        <w:numPr>
          <w:ilvl w:val="1"/>
          <w:numId w:val="1"/>
        </w:numPr>
        <w:rPr/>
      </w:pPr>
      <w:bookmarkStart w:id="218" w:name="__RefHeading___Toc4264950_3804643083"/>
      <w:bookmarkStart w:id="219" w:name="_Toc73"/>
      <w:bookmarkEnd w:id="217"/>
      <w:bookmarkEnd w:id="218"/>
      <w:r>
        <w:rPr>
          <w:rtl w:val="true"/>
        </w:rPr>
        <w:t xml:space="preserve">المسألة التاسعة </w:t>
      </w:r>
      <w:r>
        <w:rPr>
          <w:rtl w:val="true"/>
        </w:rPr>
        <w:t>: [</w:t>
      </w:r>
      <w:r>
        <w:rPr>
          <w:rtl w:val="true"/>
        </w:rPr>
        <w:t>نصيب الزوجة من الميراث عند انحصار الوارث بها</w:t>
      </w:r>
      <w:r>
        <w:rPr>
          <w:rtl w:val="true"/>
        </w:rPr>
        <w:t>]</w:t>
      </w:r>
      <w:bookmarkEnd w:id="219"/>
    </w:p>
    <w:p>
      <w:pPr>
        <w:pStyle w:val="Heading3"/>
        <w:numPr>
          <w:ilvl w:val="2"/>
          <w:numId w:val="1"/>
        </w:numPr>
        <w:rPr/>
      </w:pPr>
      <w:bookmarkStart w:id="220" w:name="__RefHeading___Toc4264952_3804643083"/>
      <w:bookmarkStart w:id="221" w:name="_Toc74"/>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المسألة التاسعة </w:t>
      </w:r>
      <w:r>
        <w:rPr>
          <w:rStyle w:val="FootnoteAnchor"/>
          <w:rtl w:val="true"/>
        </w:rPr>
        <w:footnoteReference w:id="2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 الزوجة من الميراث عند انحصار الوارث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مات الزوج و لم يكن له وارث غير الزوجة، هل يدفع إليها الربع أو المال كله؟</w:t>
      </w:r>
    </w:p>
    <w:p>
      <w:pPr>
        <w:pStyle w:val="BookText"/>
        <w:rPr/>
      </w:pPr>
      <w:r>
        <w:rPr>
          <w:rFonts w:ascii="IRNazanin" w:hAnsi="IRNazanin" w:eastAsia="IRNazanin"/>
          <w:color w:val="111111"/>
          <w:sz w:val="28"/>
          <w:sz w:val="28"/>
          <w:szCs w:val="28"/>
          <w:rtl w:val="true"/>
          <w:lang w:bidi="fa-IR"/>
        </w:rPr>
        <w:t xml:space="preserve">الجواب و منه سبحانه استمداد </w:t>
      </w:r>
      <w:r>
        <w:rPr>
          <w:rStyle w:val="FootnoteAnchor"/>
          <w:rtl w:val="true"/>
        </w:rPr>
        <w:footnoteReference w:id="2500"/>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الظاهر من كلمات </w:t>
      </w:r>
      <w:r>
        <w:rPr>
          <w:rStyle w:val="FootnoteAnchor"/>
          <w:rtl w:val="true"/>
        </w:rPr>
        <w:footnoteReference w:id="2501"/>
      </w:r>
      <w:r>
        <w:rPr>
          <w:rFonts w:ascii="Amiri" w:hAnsi="Amiri" w:eastAsia="Amiri" w:cs="Amiri"/>
          <w:color w:val="111111"/>
          <w:sz w:val="28"/>
          <w:sz w:val="28"/>
          <w:szCs w:val="28"/>
          <w:rtl w:val="true"/>
          <w:lang w:bidi="ar-SA"/>
        </w:rPr>
        <w:t xml:space="preserve">الأصحاب و أخبار أئمتنا الأنجاب أن الوارث بالقرابة و غيرها إذا انفرد فله المال كله سوى الزوج و الزوجة إذا لم تنحصر القرابة في أحدهما، و أن الأوّل متفق عليه عندهم نصا و فتوى </w:t>
      </w:r>
      <w:r>
        <w:rPr>
          <w:rStyle w:val="FootnoteAnchor"/>
          <w:rtl w:val="true"/>
        </w:rPr>
        <w:footnoteReference w:id="2502"/>
      </w:r>
      <w:r>
        <w:rPr>
          <w:rFonts w:ascii="Amiri" w:hAnsi="Amiri" w:eastAsia="Amiri" w:cs="Amiri"/>
          <w:color w:val="111111"/>
          <w:sz w:val="28"/>
          <w:sz w:val="28"/>
          <w:szCs w:val="28"/>
          <w:rtl w:val="true"/>
          <w:lang w:bidi="ar-SA"/>
        </w:rPr>
        <w:t xml:space="preserve">،و أما الحكم الثاني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حكم الزوج و الزوجة – فليس اتفاقيًا عندهم، بل الخلاف فيهما مشهور </w:t>
      </w:r>
    </w:p>
    <w:p>
      <w:pPr>
        <w:pStyle w:val="BookText"/>
        <w:rPr/>
      </w:pPr>
      <w:r>
        <w:rPr>
          <w:rFonts w:ascii="Amiri" w:hAnsi="Amiri" w:eastAsia="Amiri" w:cs="Amiri"/>
          <w:color w:val="111111"/>
          <w:sz w:val="28"/>
          <w:sz w:val="28"/>
          <w:szCs w:val="28"/>
          <w:rtl w:val="true"/>
          <w:lang w:bidi="ar-SA"/>
        </w:rPr>
        <w:t xml:space="preserve">إلا أن أكثر الأخبار و المشهور بين علمائنا الأخيار أن حكم الزوج حكم سائر القرابة في أن له الرد عند انفراده </w:t>
      </w:r>
      <w:r>
        <w:rPr>
          <w:rStyle w:val="FootnoteAnchor"/>
          <w:rtl w:val="true"/>
        </w:rPr>
        <w:footnoteReference w:id="2503"/>
      </w:r>
      <w:r>
        <w:rPr>
          <w:rFonts w:ascii="Amiri" w:hAnsi="Amiri" w:eastAsia="Amiri" w:cs="Amiri"/>
          <w:color w:val="111111"/>
          <w:sz w:val="28"/>
          <w:sz w:val="28"/>
          <w:szCs w:val="28"/>
          <w:rtl w:val="true"/>
          <w:lang w:bidi="ar-SA"/>
        </w:rPr>
        <w:t>، و ليس هذا المقام مقام بيان خلافه و التعرض لأدلته و بيان الأرجح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2504"/>
      </w:r>
      <w:r>
        <w:rPr>
          <w:rFonts w:ascii="Amiri" w:hAnsi="Amiri" w:eastAsia="Amiri" w:cs="Amiri"/>
          <w:color w:val="111111"/>
          <w:sz w:val="28"/>
          <w:sz w:val="28"/>
          <w:szCs w:val="28"/>
          <w:rtl w:val="true"/>
          <w:lang w:bidi="ar-SA"/>
        </w:rPr>
        <w:t xml:space="preserve">الزوجة فهي </w:t>
      </w:r>
      <w:r>
        <w:rPr>
          <w:rStyle w:val="FootnoteAnchor"/>
          <w:rtl w:val="true"/>
        </w:rPr>
        <w:footnoteReference w:id="2505"/>
      </w:r>
      <w:r>
        <w:rPr>
          <w:rFonts w:ascii="Amiri" w:hAnsi="Amiri" w:eastAsia="Amiri" w:cs="Amiri"/>
          <w:color w:val="111111"/>
          <w:sz w:val="28"/>
          <w:sz w:val="28"/>
          <w:szCs w:val="28"/>
          <w:rtl w:val="true"/>
          <w:lang w:bidi="ar-SA"/>
        </w:rPr>
        <w:t>موضع المسألة بالخصوص، و محل الخلاف المشهور في الفتوى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الرد عليها مطلقًا كالزوج</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الصدوق الأول </w:t>
      </w:r>
      <w:r>
        <w:rPr>
          <w:rStyle w:val="FootnoteAnchor"/>
          <w:rtl w:val="true"/>
        </w:rPr>
        <w:footnoteReference w:id="2506"/>
      </w:r>
      <w:r>
        <w:rPr>
          <w:rFonts w:ascii="Amiri" w:hAnsi="Amiri" w:eastAsia="Amiri" w:cs="Amiri"/>
          <w:color w:val="111111"/>
          <w:sz w:val="28"/>
          <w:sz w:val="28"/>
          <w:szCs w:val="28"/>
          <w:rtl w:val="true"/>
          <w:lang w:bidi="ar-SA"/>
        </w:rPr>
        <w:t xml:space="preserve">و ابنه في الفقيه </w:t>
      </w:r>
      <w:r>
        <w:rPr>
          <w:rStyle w:val="FootnoteAnchor"/>
          <w:rtl w:val="true"/>
        </w:rPr>
        <w:footnoteReference w:id="2507"/>
      </w:r>
      <w:r>
        <w:rPr>
          <w:rFonts w:ascii="Amiri" w:hAnsi="Amiri" w:eastAsia="Amiri" w:cs="Amiri"/>
          <w:color w:val="111111"/>
          <w:sz w:val="28"/>
          <w:sz w:val="28"/>
          <w:szCs w:val="28"/>
          <w:rtl w:val="true"/>
          <w:lang w:bidi="ar-SA"/>
        </w:rPr>
        <w:t xml:space="preserve">، و نجيب الدين يحيى بن سعيد في الجامع </w:t>
      </w:r>
      <w:r>
        <w:rPr>
          <w:rStyle w:val="FootnoteAnchor"/>
          <w:rtl w:val="true"/>
        </w:rPr>
        <w:footnoteReference w:id="2508"/>
      </w:r>
      <w:r>
        <w:rPr>
          <w:rFonts w:ascii="Amiri" w:hAnsi="Amiri" w:eastAsia="Amiri" w:cs="Amiri"/>
          <w:color w:val="111111"/>
          <w:sz w:val="28"/>
          <w:sz w:val="28"/>
          <w:szCs w:val="28"/>
          <w:rtl w:val="true"/>
          <w:lang w:bidi="ar-SA"/>
        </w:rPr>
        <w:t xml:space="preserve">، و العلامة في التحرير </w:t>
      </w:r>
      <w:r>
        <w:rPr>
          <w:rStyle w:val="FootnoteAnchor"/>
          <w:rtl w:val="true"/>
        </w:rPr>
        <w:footnoteReference w:id="2509"/>
      </w:r>
      <w:r>
        <w:rPr>
          <w:rFonts w:ascii="Amiri" w:hAnsi="Amiri" w:eastAsia="Amiri" w:cs="Amiri"/>
          <w:color w:val="111111"/>
          <w:sz w:val="28"/>
          <w:sz w:val="28"/>
          <w:szCs w:val="28"/>
          <w:rtl w:val="true"/>
          <w:lang w:bidi="ar-SA"/>
        </w:rPr>
        <w:t xml:space="preserve">و التلخيص </w:t>
      </w:r>
      <w:r>
        <w:rPr>
          <w:rStyle w:val="FootnoteAnchor"/>
          <w:rtl w:val="true"/>
        </w:rPr>
        <w:footnoteReference w:id="2510"/>
      </w:r>
      <w:r>
        <w:rPr>
          <w:rFonts w:ascii="IRNazanin" w:hAnsi="IRNazanin" w:eastAsia="IRNazanin"/>
          <w:color w:val="111111"/>
          <w:sz w:val="28"/>
          <w:sz w:val="28"/>
          <w:szCs w:val="28"/>
          <w:rtl w:val="true"/>
          <w:lang w:bidi="fa-IR"/>
        </w:rPr>
        <w:t xml:space="preserve">و الإرشاد </w:t>
      </w:r>
      <w:r>
        <w:rPr>
          <w:rStyle w:val="FootnoteAnchor"/>
          <w:rtl w:val="true"/>
        </w:rPr>
        <w:footnoteReference w:id="2511"/>
      </w:r>
      <w:r>
        <w:rPr>
          <w:rFonts w:ascii="Amiri" w:hAnsi="Amiri" w:eastAsia="Amiri" w:cs="Amiri"/>
          <w:color w:val="111111"/>
          <w:sz w:val="28"/>
          <w:sz w:val="28"/>
          <w:szCs w:val="28"/>
          <w:rtl w:val="true"/>
          <w:lang w:bidi="ar-SA"/>
        </w:rPr>
        <w:t xml:space="preserve">، و أول الشهيدين في اللمعة </w:t>
      </w:r>
      <w:r>
        <w:rPr>
          <w:rStyle w:val="FootnoteAnchor"/>
          <w:rtl w:val="true"/>
        </w:rPr>
        <w:footnoteReference w:id="2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بالحضور و الغيبة، فإن كان الأول فالأول، و إن كان الثاني فالثاني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المعتمد عندي هو الأول؛ لأنه مقتضى الظاهر القرآني، حيث حصر نصيبها الأعلى في الربع، و مقتضاه منعها من الزائد حال حضور الإمام و غيبته، و كان مقتضى ذلك أن الزوج كذلك لولا الأدلة التي أخرجته من هذه القاعدة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ادعي فيه الإجماع كما نقله غير واحد من علمائنا عن السيد المرتضى و الشيخين من الأصحاب </w:t>
      </w:r>
      <w:r>
        <w:rPr>
          <w:rStyle w:val="FootnoteAnchor"/>
          <w:rtl w:val="true"/>
        </w:rPr>
        <w:footnoteReference w:id="2513"/>
      </w:r>
      <w:r>
        <w:rPr>
          <w:rFonts w:ascii="Amiri" w:hAnsi="Amiri" w:eastAsia="Amiri" w:cs="Amiri"/>
          <w:color w:val="111111"/>
          <w:sz w:val="28"/>
          <w:sz w:val="28"/>
          <w:szCs w:val="28"/>
          <w:rtl w:val="true"/>
          <w:lang w:bidi="ar-SA"/>
        </w:rPr>
        <w:t>، حتى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جل أصحابنا نقلوا الإجماع فيه، و نقلهم حجة</w:t>
      </w:r>
      <w:r>
        <w:rPr>
          <w:rFonts w:eastAsia="Amiri" w:cs="Amiri" w:ascii="Amiri" w:hAnsi="Amiri"/>
          <w:color w:val="111111"/>
          <w:sz w:val="28"/>
          <w:szCs w:val="28"/>
          <w:rtl w:val="true"/>
          <w:lang w:bidi="ar-SA"/>
        </w:rPr>
        <w:t xml:space="preserve">» </w:t>
      </w:r>
      <w:r>
        <w:rPr>
          <w:rStyle w:val="FootnoteAnchor"/>
          <w:rtl w:val="true"/>
        </w:rPr>
        <w:footnoteReference w:id="2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قد أخرجته الأدلة و الإجماع المدعى، فبقيت الزوجة على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المعصومية بتلك الكلية فيها </w:t>
      </w:r>
      <w:r>
        <w:rPr>
          <w:rStyle w:val="FootnoteAnchor"/>
          <w:rtl w:val="true"/>
        </w:rPr>
        <w:footnoteReference w:id="2515"/>
      </w:r>
      <w:r>
        <w:rPr>
          <w:rFonts w:ascii="Amiri" w:hAnsi="Amiri" w:eastAsia="Amiri" w:cs="Amiri"/>
          <w:color w:val="111111"/>
          <w:sz w:val="28"/>
          <w:sz w:val="28"/>
          <w:szCs w:val="28"/>
          <w:rtl w:val="true"/>
          <w:lang w:bidi="ar-SA"/>
        </w:rPr>
        <w:t>شاهدة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ابن مهزيار كما في الكافي </w:t>
      </w:r>
      <w:r>
        <w:rPr>
          <w:rStyle w:val="FootnoteAnchor"/>
          <w:rtl w:val="true"/>
        </w:rPr>
        <w:footnoteReference w:id="2516"/>
      </w:r>
      <w:r>
        <w:rPr>
          <w:rFonts w:ascii="Amiri" w:hAnsi="Amiri" w:eastAsia="Amiri" w:cs="Amiri"/>
          <w:color w:val="111111"/>
          <w:sz w:val="28"/>
          <w:sz w:val="28"/>
          <w:szCs w:val="28"/>
          <w:rtl w:val="true"/>
          <w:lang w:bidi="ar-SA"/>
        </w:rPr>
        <w:t xml:space="preserve">و التهذيب </w:t>
      </w:r>
      <w:r>
        <w:rPr>
          <w:rStyle w:val="FootnoteAnchor"/>
          <w:rtl w:val="true"/>
        </w:rPr>
        <w:footnoteReference w:id="2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مُحَمَّدُ بنُ حَمْزَةَ </w:t>
      </w:r>
      <w:r>
        <w:rPr>
          <w:rStyle w:val="FootnoteAnchor"/>
          <w:rtl w:val="true"/>
        </w:rPr>
        <w:footnoteReference w:id="2518"/>
      </w:r>
      <w:r>
        <w:rPr>
          <w:rFonts w:ascii="Amiri" w:hAnsi="Amiri" w:eastAsia="Amiri" w:cs="Amiri"/>
          <w:color w:val="111111"/>
          <w:sz w:val="28"/>
          <w:sz w:val="28"/>
          <w:szCs w:val="28"/>
          <w:rtl w:val="true"/>
          <w:lang w:bidi="ar-SA"/>
        </w:rPr>
        <w:t xml:space="preserve">العَلَوِيّ إِلَى أَبِي جَعْفَرٍ الثَّاني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لَكَ أَوْصى بمأَته دِرْهَم إِلَيَّ </w:t>
      </w:r>
      <w:r>
        <w:rPr>
          <w:rStyle w:val="FootnoteAnchor"/>
          <w:rtl w:val="true"/>
        </w:rPr>
        <w:footnoteReference w:id="2519"/>
      </w:r>
      <w:r>
        <w:rPr>
          <w:rFonts w:ascii="Amiri" w:hAnsi="Amiri" w:eastAsia="Amiri" w:cs="Amiri"/>
          <w:color w:val="111111"/>
          <w:sz w:val="28"/>
          <w:sz w:val="28"/>
          <w:szCs w:val="28"/>
          <w:rtl w:val="true"/>
          <w:lang w:bidi="ar-SA"/>
        </w:rPr>
        <w:t>، وَ كُنْتُ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لِيَ فَهُو لَموْلَايَ، فَماتَ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تَرَكَهَا، وَ لَمْ يَأْمُرْ فِيْهَا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بِبَغْدَادَ لَا أَعْرِفُ </w:t>
      </w:r>
      <w:r>
        <w:rPr>
          <w:rStyle w:val="FootnoteAnchor"/>
          <w:rtl w:val="true"/>
        </w:rPr>
        <w:footnoteReference w:id="2520"/>
      </w:r>
      <w:r>
        <w:rPr>
          <w:rFonts w:ascii="Amiri" w:hAnsi="Amiri" w:eastAsia="Amiri" w:cs="Amiri"/>
          <w:color w:val="111111"/>
          <w:sz w:val="28"/>
          <w:sz w:val="28"/>
          <w:szCs w:val="28"/>
          <w:rtl w:val="true"/>
          <w:lang w:bidi="ar-SA"/>
        </w:rPr>
        <w:t>لَهَا مَوْضِعًا السَّاعَةَ، وَ الْأُخْرَى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Style w:val="FootnoteAnchor"/>
          <w:rtl w:val="true"/>
        </w:rPr>
        <w:footnoteReference w:id="2521"/>
      </w:r>
      <w:r>
        <w:rPr>
          <w:rFonts w:ascii="Amiri" w:hAnsi="Amiri" w:eastAsia="Amiri" w:cs="Amiri"/>
          <w:color w:val="111111"/>
          <w:sz w:val="28"/>
          <w:sz w:val="28"/>
          <w:szCs w:val="28"/>
          <w:rtl w:val="true"/>
          <w:lang w:bidi="ar-SA"/>
        </w:rPr>
        <w:t xml:space="preserve">الَّذِي تَأْمُرُنی بِهِ </w:t>
      </w:r>
      <w:r>
        <w:rPr>
          <w:rStyle w:val="FootnoteAnchor"/>
          <w:rtl w:val="true"/>
        </w:rPr>
        <w:footnoteReference w:id="2522"/>
      </w:r>
      <w:r>
        <w:rPr>
          <w:rFonts w:ascii="Amiri" w:hAnsi="Amiri" w:eastAsia="Amiri" w:cs="Amiri"/>
          <w:color w:val="111111"/>
          <w:sz w:val="28"/>
          <w:sz w:val="28"/>
          <w:szCs w:val="28"/>
          <w:rtl w:val="true"/>
          <w:lang w:bidi="ar-SA"/>
        </w:rPr>
        <w:t xml:space="preserve">فِي هَذِهِ المِائَةِ دِرْهَم؟ فَكَتَبَ علیه السلام إِلَيَّ </w:t>
      </w:r>
      <w:r>
        <w:rPr>
          <w:rStyle w:val="FootnoteAnchor"/>
          <w:rtl w:val="true"/>
        </w:rPr>
        <w:footnoteReference w:id="2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أَنْ </w:t>
      </w:r>
      <w:r>
        <w:rPr>
          <w:rStyle w:val="FootnoteAnchor"/>
          <w:rtl w:val="true"/>
        </w:rPr>
        <w:footnoteReference w:id="2524"/>
      </w:r>
      <w:r>
        <w:rPr>
          <w:rFonts w:ascii="Amiri" w:hAnsi="Amiri" w:eastAsia="Amiri" w:cs="Amiri"/>
          <w:color w:val="111111"/>
          <w:sz w:val="28"/>
          <w:sz w:val="28"/>
          <w:szCs w:val="28"/>
          <w:rtl w:val="true"/>
          <w:lang w:bidi="ar-SA"/>
        </w:rPr>
        <w:t xml:space="preserve">تَدْفَعَ مِنْ هَذِهِ المَاتَةِ الدَّرْهَم </w:t>
      </w:r>
      <w:r>
        <w:rPr>
          <w:rStyle w:val="FootnoteAnchor"/>
          <w:rtl w:val="true"/>
        </w:rPr>
        <w:footnoteReference w:id="2525"/>
      </w:r>
      <w:r>
        <w:rPr>
          <w:rFonts w:ascii="Amiri" w:hAnsi="Amiri" w:eastAsia="Amiri" w:cs="Amiri"/>
          <w:color w:val="111111"/>
          <w:sz w:val="28"/>
          <w:sz w:val="28"/>
          <w:szCs w:val="28"/>
          <w:rtl w:val="true"/>
          <w:lang w:bidi="ar-SA"/>
        </w:rPr>
        <w:t xml:space="preserve">إِلَى زَوْجَتَيْ الرَّجُل، وَ حَقُهُمَا </w:t>
      </w:r>
      <w:r>
        <w:rPr>
          <w:rStyle w:val="FootnoteAnchor"/>
          <w:rtl w:val="true"/>
        </w:rPr>
        <w:footnoteReference w:id="2526"/>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إِنْ كَانَ لَهُ وَلَدٌ، وَإِنْ </w:t>
      </w:r>
      <w:r>
        <w:rPr>
          <w:rStyle w:val="FootnoteAnchor"/>
          <w:rtl w:val="true"/>
        </w:rPr>
        <w:footnoteReference w:id="2527"/>
      </w:r>
      <w:r>
        <w:rPr>
          <w:rFonts w:ascii="Amiri" w:hAnsi="Amiri" w:eastAsia="Amiri" w:cs="Amiri"/>
          <w:color w:val="111111"/>
          <w:sz w:val="28"/>
          <w:sz w:val="28"/>
          <w:szCs w:val="28"/>
          <w:rtl w:val="true"/>
          <w:lang w:bidi="ar-SA"/>
        </w:rPr>
        <w:t xml:space="preserve">لم يَكُنْ لَهُ </w:t>
      </w:r>
      <w:r>
        <w:rPr>
          <w:rStyle w:val="FootnoteAnchor"/>
          <w:rtl w:val="true"/>
        </w:rPr>
        <w:footnoteReference w:id="2528"/>
      </w:r>
      <w:r>
        <w:rPr>
          <w:rFonts w:ascii="Amiri" w:hAnsi="Amiri" w:eastAsia="Amiri" w:cs="Amiri"/>
          <w:color w:val="111111"/>
          <w:sz w:val="28"/>
          <w:sz w:val="28"/>
          <w:szCs w:val="28"/>
          <w:rtl w:val="true"/>
          <w:lang w:bidi="ar-SA"/>
        </w:rPr>
        <w:t xml:space="preserve">فَالرُّبُعُ، وَ تَصَدَّقْ بِالْبَاقِي عَلَى مَنْ تَعْرِفُ أَنَّ إِلَيْهِ حَاجَةً إِنْ شَاءَ اللَّهُ </w:t>
      </w:r>
      <w:r>
        <w:rPr>
          <w:rFonts w:eastAsia="Amiri" w:cs="Amiri" w:ascii="Amiri" w:hAnsi="Amiri"/>
          <w:color w:val="111111"/>
          <w:sz w:val="28"/>
          <w:szCs w:val="28"/>
          <w:rtl w:val="true"/>
          <w:lang w:bidi="ar-SA"/>
        </w:rPr>
        <w:t xml:space="preserve">»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يرد على الاستدلال بها ما طعن به شهيد المسالك من أنها مكاتبة، و أن الظاهر أن هذه المائة له عليه بسبب الإقرار الصادر من الميت، فلعله علیه السلام عالم بالحال، و أمره </w:t>
      </w:r>
      <w:r>
        <w:rPr>
          <w:rStyle w:val="FootnoteAnchor"/>
          <w:rtl w:val="true"/>
        </w:rPr>
        <w:footnoteReference w:id="2530"/>
      </w:r>
      <w:r>
        <w:rPr>
          <w:rFonts w:ascii="Amiri" w:hAnsi="Amiri" w:eastAsia="Amiri" w:cs="Amiri"/>
          <w:color w:val="111111"/>
          <w:sz w:val="28"/>
          <w:sz w:val="28"/>
          <w:szCs w:val="28"/>
          <w:rtl w:val="true"/>
          <w:lang w:bidi="ar-SA"/>
        </w:rPr>
        <w:t xml:space="preserve">بإعطاء الزوجين </w:t>
      </w:r>
      <w:r>
        <w:rPr>
          <w:rStyle w:val="FootnoteAnchor"/>
          <w:rtl w:val="true"/>
        </w:rPr>
        <w:footnoteReference w:id="2531"/>
      </w:r>
      <w:r>
        <w:rPr>
          <w:rFonts w:ascii="Amiri" w:hAnsi="Amiri" w:eastAsia="Amiri" w:cs="Amiri"/>
          <w:color w:val="111111"/>
          <w:sz w:val="28"/>
          <w:sz w:val="28"/>
          <w:szCs w:val="28"/>
          <w:rtl w:val="true"/>
          <w:lang w:bidi="ar-SA"/>
        </w:rPr>
        <w:t xml:space="preserve">لا يدل على أنه إرث </w:t>
      </w:r>
      <w:r>
        <w:rPr>
          <w:rStyle w:val="FootnoteAnchor"/>
          <w:rtl w:val="true"/>
        </w:rPr>
        <w:footnoteReference w:id="2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تقرر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عندنا في الأصول الواردة عن آل الرسول أن المكاتبة الثابتة </w:t>
      </w:r>
      <w:r>
        <w:rPr>
          <w:rStyle w:val="FootnoteAnchor"/>
          <w:rtl w:val="true"/>
        </w:rPr>
        <w:footnoteReference w:id="2533"/>
      </w:r>
      <w:r>
        <w:rPr>
          <w:rFonts w:ascii="Amiri" w:hAnsi="Amiri" w:eastAsia="Amiri" w:cs="Amiri"/>
          <w:color w:val="111111"/>
          <w:sz w:val="28"/>
          <w:sz w:val="28"/>
          <w:szCs w:val="28"/>
          <w:rtl w:val="true"/>
          <w:lang w:bidi="ar-SA"/>
        </w:rPr>
        <w:t>عن المعصوم كالمشافهة في الحجية، و هي هاهنا ثابتة بشهادة الثقة العدل علي بن مهزيار، فهي كالقول بالمشافهة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ترجّح المشافهة عليها في مقام المعارضة، و هو </w:t>
      </w:r>
      <w:r>
        <w:rPr>
          <w:rStyle w:val="FootnoteAnchor"/>
          <w:rtl w:val="true"/>
        </w:rPr>
        <w:footnoteReference w:id="2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في غير محله على ما </w:t>
      </w:r>
      <w:r>
        <w:rPr>
          <w:rStyle w:val="FootnoteAnchor"/>
          <w:rtl w:val="true"/>
        </w:rPr>
        <w:footnoteReference w:id="2535"/>
      </w:r>
      <w:r>
        <w:rPr>
          <w:rFonts w:ascii="Amiri" w:hAnsi="Amiri" w:eastAsia="Amiri" w:cs="Amiri"/>
          <w:color w:val="111111"/>
          <w:sz w:val="28"/>
          <w:sz w:val="28"/>
          <w:szCs w:val="28"/>
          <w:rtl w:val="true"/>
          <w:lang w:bidi="ar-SA"/>
        </w:rPr>
        <w:t xml:space="preserve">حققه المولى الأردبيلي في هذه المسألة من </w:t>
      </w:r>
      <w:r>
        <w:rPr>
          <w:rStyle w:val="FootnoteAnchor"/>
          <w:rtl w:val="true"/>
        </w:rPr>
        <w:footnoteReference w:id="2536"/>
      </w:r>
      <w:r>
        <w:rPr>
          <w:rFonts w:ascii="IRNazanin" w:hAnsi="IRNazanin" w:eastAsia="IRNazanin"/>
          <w:color w:val="111111"/>
          <w:sz w:val="28"/>
          <w:sz w:val="28"/>
          <w:szCs w:val="28"/>
          <w:rtl w:val="true"/>
          <w:lang w:bidi="fa-IR"/>
        </w:rPr>
        <w:t xml:space="preserve">شرح الإرشاد </w:t>
      </w:r>
      <w:r>
        <w:rPr>
          <w:rStyle w:val="FootnoteAnchor"/>
          <w:rtl w:val="true"/>
        </w:rPr>
        <w:footnoteReference w:id="2537"/>
      </w:r>
      <w:r>
        <w:rPr>
          <w:rFonts w:ascii="IRNazanin" w:hAnsi="IRNazanin" w:eastAsia="IRNazanin"/>
          <w:color w:val="111111"/>
          <w:sz w:val="28"/>
          <w:sz w:val="28"/>
          <w:szCs w:val="28"/>
          <w:rtl w:val="true"/>
          <w:lang w:bidi="fa-IR"/>
        </w:rPr>
        <w:t xml:space="preserve">إذ </w:t>
      </w:r>
      <w:r>
        <w:rPr>
          <w:rStyle w:val="FootnoteAnchor"/>
          <w:rtl w:val="true"/>
        </w:rPr>
        <w:footnoteReference w:id="2538"/>
      </w:r>
      <w:r>
        <w:rPr>
          <w:rFonts w:ascii="Amiri" w:hAnsi="Amiri" w:eastAsia="Amiri" w:cs="Amiri"/>
          <w:color w:val="111111"/>
          <w:sz w:val="28"/>
          <w:sz w:val="28"/>
          <w:szCs w:val="28"/>
          <w:rtl w:val="true"/>
          <w:lang w:bidi="ar-SA"/>
        </w:rPr>
        <w:t xml:space="preserve">الاهتمام بالكتابة أكثر،و من التقية أبعد، و احتمال تطرق التغيير مما تشاركها المشافهة فيه </w:t>
      </w:r>
      <w:r>
        <w:rPr>
          <w:rStyle w:val="FootnoteAnchor"/>
          <w:rtl w:val="true"/>
        </w:rPr>
        <w:footnoteReference w:id="2539"/>
      </w:r>
      <w:r>
        <w:rPr>
          <w:rFonts w:ascii="Amiri" w:hAnsi="Amiri" w:eastAsia="Amiri" w:cs="Amiri"/>
          <w:color w:val="111111"/>
          <w:sz w:val="28"/>
          <w:sz w:val="28"/>
          <w:szCs w:val="28"/>
          <w:rtl w:val="true"/>
          <w:lang w:bidi="ar-SA"/>
        </w:rPr>
        <w:t xml:space="preserve">، و أن الأخبار كلها مما آل </w:t>
      </w:r>
      <w:r>
        <w:rPr>
          <w:rStyle w:val="FootnoteAnchor"/>
          <w:rtl w:val="true"/>
        </w:rPr>
        <w:footnoteReference w:id="2540"/>
      </w:r>
      <w:r>
        <w:rPr>
          <w:rFonts w:ascii="Amiri" w:hAnsi="Amiri" w:eastAsia="Amiri" w:cs="Amiri"/>
          <w:color w:val="111111"/>
          <w:sz w:val="28"/>
          <w:sz w:val="28"/>
          <w:szCs w:val="28"/>
          <w:rtl w:val="true"/>
          <w:lang w:bidi="ar-SA"/>
        </w:rPr>
        <w:t>أمرها إلى الكتابة و إن أخذت بالمشافهة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لِي فَهُوَ لَموْلَايَ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المراد به أنه مال له ثابت بذمته أو عين ماله له، بل إما بطريق الانقطاع كلما يقال كلما أملك الله و لرسوله، و المعنى أنه مما يصرف في سبيل الله، أو أنه حاصل من بركات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يبعد كونه ماله عنده و علمه علیه السلام إلى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وقع على سبيل الوصية 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عدم كونه له و كون الإعطاء ميراثا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حَقُهُمَا مِنْ ذَلِكَ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المتبادر منه كونه إرثا، إذ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كان له علیه السلام ما كان ذلك لهما حقا، و لا كان مقداره ثمنًا ولا 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يمكن فرض كونه له على وجه يكون ثمنه أو ربعه للزوجين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الحكم منه علیه السلام بذلك جريًا على الظاهر و العرف التام، فإنهما مما يدعيان ذلك، و ذلك لهما بحسب الظاهر ، فلم يمكنه علیه السلام دفعهما، أو يمكنه و لكن 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كلها تكليفات شديدة، و احتمالات 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احتمال كونه وصية فيكون الرد عليهما على تقدير عدم وصيته بالباقي شاهد على أن وجه الرد لها،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أن يكون ذلك الميت ممن </w:t>
      </w:r>
      <w:r>
        <w:rPr>
          <w:rStyle w:val="FootnoteAnchor"/>
          <w:rtl w:val="true"/>
        </w:rPr>
        <w:footnoteReference w:id="2541"/>
      </w:r>
      <w:r>
        <w:rPr>
          <w:rFonts w:ascii="IRNazanin" w:hAnsi="IRNazanin" w:eastAsia="IRNazanin"/>
          <w:color w:val="111111"/>
          <w:sz w:val="28"/>
          <w:sz w:val="28"/>
          <w:szCs w:val="28"/>
          <w:rtl w:val="true"/>
          <w:lang w:bidi="fa-IR"/>
        </w:rPr>
        <w:t>أعتقه علیه السلام فيكون الباقي بعد حصة الزوج له علیه السلام بالإرث الشرعي من أبعد البعيد، إلا أنه أقرب من توجيه ذلك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في الأخبار إنما بني </w:t>
      </w:r>
      <w:r>
        <w:rPr>
          <w:rStyle w:val="FootnoteAnchor"/>
          <w:rtl w:val="true"/>
        </w:rPr>
        <w:footnoteReference w:id="2542"/>
      </w:r>
      <w:r>
        <w:rPr>
          <w:rFonts w:ascii="IRNazanin" w:hAnsi="IRNazanin" w:eastAsia="IRNazanin"/>
          <w:color w:val="111111"/>
          <w:sz w:val="28"/>
          <w:sz w:val="28"/>
          <w:szCs w:val="28"/>
          <w:rtl w:val="true"/>
          <w:lang w:bidi="fa-IR"/>
        </w:rPr>
        <w:t>على الظواهر، و قد عرفت ظهورها في عدم الرد ،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هي دالة على الصدقة بالباقي، و الظاهر أن وقوع ذلك منه علیه السلام إذنا في ماله و رخصة في الصدقة به، و إن احتمل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ذلك بيانًا لمصرف الباقي، و سيأتي منا في أواخر البحث من هذه المسألة زيادة تحقيق أَوردناه على كلام الفاضل الأردبيلي</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محمد بن نعيم الصحاف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مُحَمَّدُ ابْنُ أَبِي عُمَيْرٍ بَيَّاع السَّابِرِي، وَ أَوْصَى إِلَيَّ، وَ تَرَكَ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543"/>
      </w:r>
      <w:r>
        <w:rPr>
          <w:rFonts w:ascii="IRNazanin" w:hAnsi="IRNazanin" w:eastAsia="IRNazanin"/>
          <w:color w:val="111111"/>
          <w:sz w:val="28"/>
          <w:sz w:val="28"/>
          <w:szCs w:val="28"/>
          <w:rtl w:val="true"/>
          <w:lang w:bidi="fa-IR"/>
        </w:rPr>
        <w:t xml:space="preserve">لم </w:t>
      </w:r>
      <w:r>
        <w:rPr>
          <w:rStyle w:val="FootnoteAnchor"/>
          <w:rtl w:val="true"/>
        </w:rPr>
        <w:footnoteReference w:id="2544"/>
      </w:r>
      <w:r>
        <w:rPr>
          <w:rFonts w:ascii="Amiri" w:hAnsi="Amiri" w:eastAsia="Amiri" w:cs="Amiri"/>
          <w:color w:val="111111"/>
          <w:sz w:val="28"/>
          <w:sz w:val="28"/>
          <w:szCs w:val="28"/>
          <w:rtl w:val="true"/>
          <w:lang w:bidi="ar-SA"/>
        </w:rPr>
        <w:t xml:space="preserve">يَتْرُكْ وَ ارثا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الْعَبْدِ الصَّالِحِ </w:t>
      </w:r>
      <w:r>
        <w:rPr>
          <w:rStyle w:val="FootnoteAnchor"/>
          <w:rtl w:val="true"/>
        </w:rPr>
        <w:footnoteReference w:id="2545"/>
      </w:r>
      <w:r>
        <w:rPr>
          <w:rFonts w:ascii="Amiri" w:hAnsi="Amiri" w:eastAsia="Amiri" w:cs="Amiri"/>
          <w:color w:val="111111"/>
          <w:sz w:val="28"/>
          <w:sz w:val="28"/>
          <w:szCs w:val="28"/>
          <w:rtl w:val="true"/>
          <w:lang w:bidi="ar-SA"/>
        </w:rPr>
        <w:t xml:space="preserve">علیه السلام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2546"/>
      </w:r>
      <w:r>
        <w:rPr>
          <w:rStyle w:val="FootnoteAnchor"/>
          <w:rtl w:val="true"/>
        </w:rPr>
        <w:footnoteReference w:id="2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المَرْأَةَ الرُّبعَ،وَ احْملِ الْبَاقِيَ إِلَيْنَا</w:t>
      </w:r>
      <w:r>
        <w:rPr>
          <w:rFonts w:eastAsia="Amiri" w:cs="Amiri" w:ascii="Amiri" w:hAnsi="Amiri"/>
          <w:color w:val="111111"/>
          <w:sz w:val="28"/>
          <w:szCs w:val="28"/>
          <w:rtl w:val="true"/>
          <w:lang w:bidi="ar-SA"/>
        </w:rPr>
        <w:t xml:space="preserve">»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أبي بصير المروي بعدة طرق </w:t>
      </w:r>
      <w:r>
        <w:rPr>
          <w:rStyle w:val="FootnoteAnchor"/>
          <w:rtl w:val="true"/>
        </w:rPr>
        <w:footnoteReference w:id="25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550"/>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تُوُفِّيَتْ وَ تَرَكَتْ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Style w:val="FootnoteAnchor"/>
          <w:rtl w:val="true"/>
        </w:rPr>
        <w:footnoteReference w:id="2551"/>
      </w:r>
      <w:r>
        <w:rPr>
          <w:rFonts w:ascii="Amiri" w:hAnsi="Amiri" w:eastAsia="Amiri" w:cs="Amiri"/>
          <w:color w:val="111111"/>
          <w:sz w:val="28"/>
          <w:sz w:val="28"/>
          <w:szCs w:val="28"/>
          <w:rtl w:val="true"/>
          <w:lang w:bidi="ar-SA"/>
        </w:rPr>
        <w:t>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تُوُفِّيَ وَ تَرَكَ امْرَأَةٌ </w:t>
      </w:r>
      <w:r>
        <w:rPr>
          <w:rStyle w:val="FootnoteAnchor"/>
          <w:rtl w:val="true"/>
        </w:rPr>
        <w:footnoteReference w:id="2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 مَا بَقِيَ فَلِلإِمَامِ</w:t>
      </w:r>
      <w:r>
        <w:rPr>
          <w:rFonts w:eastAsia="Amiri" w:cs="Amiri" w:ascii="Amiri" w:hAnsi="Amiri"/>
          <w:color w:val="111111"/>
          <w:sz w:val="28"/>
          <w:szCs w:val="28"/>
          <w:rtl w:val="true"/>
          <w:lang w:bidi="ar-SA"/>
        </w:rPr>
        <w:t xml:space="preserve">» </w:t>
      </w:r>
      <w:r>
        <w:rPr>
          <w:rStyle w:val="FootnoteAnchor"/>
          <w:rtl w:val="true"/>
        </w:rPr>
        <w:footnoteReference w:id="2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موثقته </w:t>
      </w:r>
      <w:r>
        <w:rPr>
          <w:rStyle w:val="FootnoteAnchor"/>
          <w:rtl w:val="true"/>
        </w:rPr>
        <w:footnoteReference w:id="2554"/>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تُوُفِّيَ وَ تَرَكَ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الرُّبُعُ، وَ مَا بَقِيَ فَلِلْإِمَامِ </w:t>
      </w:r>
      <w:r>
        <w:rPr>
          <w:rFonts w:eastAsia="Amiri" w:cs="Amiri" w:ascii="Amiri" w:hAnsi="Amiri"/>
          <w:color w:val="111111"/>
          <w:sz w:val="28"/>
          <w:szCs w:val="28"/>
          <w:rtl w:val="true"/>
          <w:lang w:bidi="ar-SA"/>
        </w:rPr>
        <w:t xml:space="preserve">»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w:t>
      </w:r>
      <w:r>
        <w:rPr>
          <w:rStyle w:val="FootnoteAnchor"/>
          <w:rtl w:val="true"/>
        </w:rPr>
        <w:footnoteReference w:id="2557"/>
      </w:r>
      <w:r>
        <w:rPr>
          <w:rFonts w:ascii="Amiri" w:hAnsi="Amiri" w:eastAsia="Amiri" w:cs="Amiri"/>
          <w:color w:val="111111"/>
          <w:sz w:val="28"/>
          <w:sz w:val="28"/>
          <w:szCs w:val="28"/>
          <w:rtl w:val="true"/>
          <w:lang w:bidi="ar-SA"/>
        </w:rPr>
        <w:t xml:space="preserve">ابن مسلم عن 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w:t>
      </w:r>
      <w:r>
        <w:rPr>
          <w:rStyle w:val="FootnoteAnchor"/>
          <w:rtl w:val="true"/>
        </w:rPr>
        <w:footnoteReference w:id="2558"/>
      </w:r>
      <w:r>
        <w:rPr>
          <w:rFonts w:ascii="Amiri" w:hAnsi="Amiri" w:eastAsia="Amiri" w:cs="Amiri"/>
          <w:color w:val="111111"/>
          <w:sz w:val="28"/>
          <w:sz w:val="28"/>
          <w:szCs w:val="28"/>
          <w:rtl w:val="true"/>
          <w:lang w:bidi="ar-SA"/>
        </w:rPr>
        <w:t xml:space="preserve">مَاتَ وَ تَرَكَ امْرَأَتَهُ </w:t>
      </w:r>
      <w:r>
        <w:rPr>
          <w:rStyle w:val="FootnoteAnchor"/>
          <w:rtl w:val="true"/>
        </w:rPr>
        <w:footnoteReference w:id="2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الرُّبُعُ، وَ ادْفَع </w:t>
      </w:r>
      <w:r>
        <w:rPr>
          <w:rStyle w:val="FootnoteAnchor"/>
          <w:rtl w:val="true"/>
        </w:rPr>
        <w:footnoteReference w:id="2561"/>
      </w:r>
      <w:r>
        <w:rPr>
          <w:rFonts w:ascii="Amiri" w:hAnsi="Amiri" w:eastAsia="Amiri" w:cs="Amiri"/>
          <w:color w:val="111111"/>
          <w:sz w:val="28"/>
          <w:sz w:val="28"/>
          <w:szCs w:val="28"/>
          <w:rtl w:val="true"/>
          <w:lang w:bidi="ar-SA"/>
        </w:rPr>
        <w:t>الْبَاقِيَ إِلَيْنَا</w:t>
      </w:r>
      <w:r>
        <w:rPr>
          <w:rFonts w:eastAsia="Amiri" w:cs="Amiri" w:ascii="Amiri" w:hAnsi="Amiri"/>
          <w:color w:val="111111"/>
          <w:sz w:val="28"/>
          <w:szCs w:val="28"/>
          <w:rtl w:val="true"/>
          <w:lang w:bidi="ar-SA"/>
        </w:rPr>
        <w:t xml:space="preserve">»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بن مروان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زَوْجِ مَاتَ وَ تَرَكَ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الرُّبُعُ، وَمَا بَقِيَ فَلِلْإِمَامِ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العبدي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تُزَادُ المَرْأَةُ عَلَى الرُّبُعِ، وَ لَا تَنْقُصُ عَنِ </w:t>
      </w:r>
      <w:r>
        <w:rPr>
          <w:rStyle w:val="FootnoteAnchor"/>
          <w:rtl w:val="true"/>
        </w:rPr>
        <w:footnoteReference w:id="2565"/>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موثقة ابن دراج </w:t>
      </w:r>
      <w:r>
        <w:rPr>
          <w:rStyle w:val="FootnoteAnchor"/>
          <w:rtl w:val="true"/>
        </w:rPr>
        <w:footnoteReference w:id="2567"/>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الرَّدُّ عَلَى زَوْجِ وَلَا عَلَى </w:t>
      </w:r>
      <w:r>
        <w:rPr>
          <w:rStyle w:val="FootnoteAnchor"/>
          <w:rtl w:val="true"/>
        </w:rPr>
        <w:footnoteReference w:id="2568"/>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 xml:space="preserve">.. </w:t>
      </w:r>
      <w:bookmarkStart w:id="222" w:name="pg2523_39992"/>
    </w:p>
    <w:p>
      <w:pPr>
        <w:pStyle w:val="BookText"/>
        <w:rPr/>
      </w:pPr>
      <w:bookmarkEnd w:id="222"/>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حد الاستفاضة، واضحة الدلالة على ما قلناه من عدم استحقاقها الرد ، و أن ليس لها سوى الفرض كما هو مقتضى التحديد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حجة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التهذيب </w:t>
      </w:r>
      <w:r>
        <w:rPr>
          <w:rStyle w:val="FootnoteAnchor"/>
          <w:rtl w:val="true"/>
        </w:rPr>
        <w:footnoteReference w:id="2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امْرَأَةٍ مَاتَتْ وَ تَرَكَتْ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كُلُّهُ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يَمُوْتُ وَ يَتْرِكُ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لَهَا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2"/>
      </w:r>
      <w:r>
        <w:rPr>
          <w:rFonts w:ascii="IRNazanin" w:hAnsi="IRNazanin" w:eastAsia="IRNazanin"/>
          <w:color w:val="111111"/>
          <w:sz w:val="28"/>
          <w:sz w:val="28"/>
          <w:szCs w:val="28"/>
          <w:rtl w:val="true"/>
          <w:lang w:bidi="fa-IR"/>
        </w:rPr>
        <w:t xml:space="preserve">، فظاهرها – كما ترى – كون ذلك الحكم كليًا لا يختص به زمان دون زمان، و أنه علیه السلام قد حكم به حال حضوره، فيكون في الغيبة بالطريق الأولى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4264954_3804643083"/>
      <w:bookmarkStart w:id="224" w:name="_Toc75"/>
      <w:bookmarkEnd w:id="223"/>
      <w:r>
        <w:rPr>
          <w:rtl w:val="true"/>
        </w:rPr>
        <w:t>[</w:t>
      </w:r>
      <w:r>
        <w:rPr>
          <w:rtl w:val="true"/>
        </w:rPr>
        <w:t>مناقشة القول بالتفصيل</w:t>
      </w:r>
      <w:r>
        <w:rPr>
          <w:rtl w:val="true"/>
        </w:rPr>
        <w:t>]</w:t>
      </w:r>
      <w:bookmarkEnd w:id="22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بالتفصيل فلم نعثر لهم على دليل </w:t>
      </w:r>
      <w:r>
        <w:rPr>
          <w:rStyle w:val="FootnoteAnchor"/>
          <w:rtl w:val="true"/>
        </w:rPr>
        <w:footnoteReference w:id="2574"/>
      </w:r>
      <w:r>
        <w:rPr>
          <w:rFonts w:ascii="Amiri" w:hAnsi="Amiri" w:eastAsia="Amiri" w:cs="Amiri"/>
          <w:color w:val="111111"/>
          <w:sz w:val="28"/>
          <w:sz w:val="28"/>
          <w:szCs w:val="28"/>
          <w:rtl w:val="true"/>
          <w:lang w:bidi="ar-SA"/>
        </w:rPr>
        <w:t xml:space="preserve">سوى دعوى الجمع بين تلك الأخبار الأوّلة </w:t>
      </w:r>
      <w:r>
        <w:rPr>
          <w:rStyle w:val="FootnoteAnchor"/>
          <w:rtl w:val="true"/>
        </w:rPr>
        <w:footnoteReference w:id="2575"/>
      </w:r>
      <w:r>
        <w:rPr>
          <w:rFonts w:ascii="Amiri" w:hAnsi="Amiri" w:eastAsia="Amiri" w:cs="Amiri"/>
          <w:color w:val="111111"/>
          <w:sz w:val="28"/>
          <w:sz w:val="28"/>
          <w:szCs w:val="28"/>
          <w:rtl w:val="true"/>
          <w:lang w:bidi="ar-SA"/>
        </w:rPr>
        <w:t>و بين ما احتج به المفيد من معتبرتي أبي بصير المتقدمتين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أول من صرح بذلك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الفقيه، حيث قال فيه </w:t>
      </w:r>
      <w:r>
        <w:rPr>
          <w:rStyle w:val="FootnoteAnchor"/>
          <w:rtl w:val="true"/>
        </w:rPr>
        <w:footnoteReference w:id="2576"/>
      </w:r>
      <w:r>
        <w:rPr>
          <w:rFonts w:ascii="Amiri" w:hAnsi="Amiri" w:eastAsia="Amiri" w:cs="Amiri"/>
          <w:color w:val="111111"/>
          <w:sz w:val="28"/>
          <w:sz w:val="28"/>
          <w:szCs w:val="28"/>
          <w:rtl w:val="true"/>
          <w:lang w:bidi="ar-SA"/>
        </w:rPr>
        <w:t>بعد نقل رواية أبي بصير الدالة على عدم الرد عليها التي مر ذكرها مع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ظهور الإمام أما في حال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مات الرجل و ترك امرأة </w:t>
      </w:r>
      <w:r>
        <w:rPr>
          <w:rStyle w:val="FootnoteAnchor"/>
          <w:rtl w:val="true"/>
        </w:rPr>
        <w:footnoteReference w:id="2577"/>
      </w:r>
      <w:r>
        <w:rPr>
          <w:rFonts w:ascii="Amiri" w:hAnsi="Amiri" w:eastAsia="Amiri" w:cs="Amiri"/>
          <w:color w:val="111111"/>
          <w:sz w:val="28"/>
          <w:sz w:val="28"/>
          <w:szCs w:val="28"/>
          <w:rtl w:val="true"/>
          <w:lang w:bidi="ar-SA"/>
        </w:rPr>
        <w:t xml:space="preserve">و لا وارث له غيرها كان لها الباقي </w:t>
      </w:r>
      <w:r>
        <w:rPr>
          <w:rStyle w:val="FootnoteAnchor"/>
          <w:rtl w:val="true"/>
        </w:rPr>
        <w:footnoteReference w:id="2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579"/>
      </w:r>
      <w:r>
        <w:rPr>
          <w:rFonts w:ascii="Amiri" w:hAnsi="Amiri" w:eastAsia="Amiri" w:cs="Amiri"/>
          <w:color w:val="111111"/>
          <w:sz w:val="28"/>
          <w:sz w:val="28"/>
          <w:szCs w:val="28"/>
          <w:rtl w:val="true"/>
          <w:lang w:bidi="ar-SA"/>
        </w:rPr>
        <w:t>تصديق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إن أبي عمير </w:t>
      </w:r>
      <w:r>
        <w:rPr>
          <w:rFonts w:eastAsia="Amiri" w:cs="Amiri" w:ascii="Amiri" w:hAnsi="Amiri"/>
          <w:color w:val="111111"/>
          <w:sz w:val="28"/>
          <w:szCs w:val="28"/>
          <w:rtl w:val="true"/>
          <w:lang w:bidi="ar-SA"/>
        </w:rPr>
        <w:t xml:space="preserve">» </w:t>
      </w:r>
      <w:r>
        <w:rPr>
          <w:rStyle w:val="FootnoteAnchor"/>
          <w:rtl w:val="true"/>
        </w:rPr>
        <w:footnoteReference w:id="2580"/>
      </w:r>
      <w:r>
        <w:rPr>
          <w:rFonts w:ascii="Amiri" w:hAnsi="Amiri" w:eastAsia="Amiri" w:cs="Amiri"/>
          <w:color w:val="111111"/>
          <w:sz w:val="28"/>
          <w:sz w:val="28"/>
          <w:szCs w:val="28"/>
          <w:rtl w:val="true"/>
          <w:lang w:bidi="ar-SA"/>
        </w:rPr>
        <w:t xml:space="preserve">و ذكر موثقة أبي بصير </w:t>
      </w:r>
      <w:r>
        <w:rPr>
          <w:rStyle w:val="FootnoteAnchor"/>
          <w:rtl w:val="true"/>
        </w:rPr>
        <w:footnoteReference w:id="2581"/>
      </w:r>
      <w:r>
        <w:rPr>
          <w:rFonts w:ascii="Amiri" w:hAnsi="Amiri" w:eastAsia="Amiri" w:cs="Amiri"/>
          <w:color w:val="111111"/>
          <w:sz w:val="28"/>
          <w:sz w:val="28"/>
          <w:szCs w:val="28"/>
          <w:rtl w:val="true"/>
          <w:lang w:bidi="ar-SA"/>
        </w:rPr>
        <w:t xml:space="preserve">التي هي حجة المفيد رحمه الله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اقتفى أثره في ذلك شيخ التهذيبين، إلا أنه جعله أحد الاحتمالين،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الأولى عنده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ما دل على ثبوت الرد لها على أن تكون تلك المرأة قريبة من الزوج و أن لا قرابة سواها، فيكون الربع لها بالزوجية و الباقي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أيده في الكتابين المذكورين بصحيحة الفضيل البصري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الرِّضَا عَلیه السلام عَنْ رَجُلٍ مَاتَ وَ تَرَكَ امْرَأَةٌ </w:t>
      </w:r>
      <w:r>
        <w:rPr>
          <w:rStyle w:val="FootnoteAnchor"/>
          <w:rtl w:val="true"/>
        </w:rPr>
        <w:footnoteReference w:id="2582"/>
      </w:r>
      <w:r>
        <w:rPr>
          <w:rFonts w:ascii="Amiri" w:hAnsi="Amiri" w:eastAsia="Amiri" w:cs="Amiri"/>
          <w:color w:val="111111"/>
          <w:sz w:val="28"/>
          <w:sz w:val="28"/>
          <w:szCs w:val="28"/>
          <w:rtl w:val="true"/>
          <w:lang w:bidi="ar-SA"/>
        </w:rPr>
        <w:t>قَرَابَةٌ لَهُ لَيْسَ لَهُ قَرَابَةٌ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 xml:space="preserve">»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ساوى بين هذا الاحتمال و بين الاحتمال الأول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يخفى بعد هذين التأويلين و الحمل عليهما، بل عدم إمكان الأول؛ إذ لا يعقل كون المال الذي تركه الزوج المسؤول عنه في هذين المعتبرين حال غيبة صاحب الأمر علیه السلام مع كون السؤال عنه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حملا على المرأة التي يموت زوجها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غير مفهوم منهما رأسًا، و لم يكن الجواب فيهما مطابقا 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حملت الغيبة في كلام مشترطيها في الحكم على غيبة الإمام في ذلك الوقت عن بلد الميت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غير متعارف، بل الظاهر أنه لا قائل به ولا هو مقصود لذلك المؤول </w:t>
      </w:r>
      <w:r>
        <w:rPr>
          <w:rStyle w:val="FootnoteAnchor"/>
          <w:rtl w:val="true"/>
        </w:rPr>
        <w:footnoteReference w:id="2585"/>
      </w:r>
      <w:r>
        <w:rPr>
          <w:rFonts w:ascii="Amiri" w:hAnsi="Amiri" w:eastAsia="Amiri" w:cs="Amiri"/>
          <w:color w:val="111111"/>
          <w:sz w:val="28"/>
          <w:sz w:val="28"/>
          <w:szCs w:val="28"/>
          <w:rtl w:val="true"/>
          <w:lang w:bidi="ar-SA"/>
        </w:rPr>
        <w:t>و لا لذلك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يرد على ما رجحه الشيخ من الحمل و تأييده له بتلك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بعده عن دلالة الأخبار لظهورها في مساواتها للزوج في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عمل </w:t>
      </w:r>
      <w:r>
        <w:rPr>
          <w:rStyle w:val="FootnoteAnchor"/>
          <w:rtl w:val="true"/>
        </w:rPr>
        <w:footnoteReference w:id="2586"/>
      </w:r>
      <w:r>
        <w:rPr>
          <w:rFonts w:ascii="Amiri" w:hAnsi="Amiri" w:eastAsia="Amiri" w:cs="Amiri"/>
          <w:color w:val="111111"/>
          <w:sz w:val="28"/>
          <w:sz w:val="28"/>
          <w:szCs w:val="28"/>
          <w:rtl w:val="true"/>
          <w:lang w:bidi="ar-SA"/>
        </w:rPr>
        <w:t>لا داعي له على ما سنبرهن عليه، و أن تلك الصحيحة لا تأييد فيها؛ لعدم ظهور كون تلك المرأة فيها زوجة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اعتقاد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تلك الأخبار و صراحتها في حضوره </w:t>
      </w:r>
      <w:r>
        <w:rPr>
          <w:rStyle w:val="FootnoteAnchor"/>
          <w:rtl w:val="true"/>
        </w:rPr>
        <w:footnoteReference w:id="2587"/>
      </w:r>
      <w:r>
        <w:rPr>
          <w:rFonts w:ascii="IRNazanin" w:hAnsi="IRNazanin" w:eastAsia="IRNazanin"/>
          <w:color w:val="111111"/>
          <w:sz w:val="28"/>
          <w:sz w:val="28"/>
          <w:szCs w:val="28"/>
          <w:rtl w:val="true"/>
          <w:lang w:bidi="fa-IR"/>
        </w:rPr>
        <w:t>علیه السلام عجيب جدا، و لكنه مما قلد فيه المتأخرُ المتقدم من غير تأمل فيه و لا إمعان نظر فيما يرد عليه</w:t>
      </w:r>
      <w:r>
        <w:rPr>
          <w:rFonts w:eastAsia="IRNazanin" w:cs="IRNazanin"/>
          <w:color w:val="111111"/>
          <w:sz w:val="28"/>
          <w:szCs w:val="28"/>
          <w:rtl w:val="true"/>
          <w:lang w:bidi="fa-IR"/>
        </w:rPr>
        <w:t xml:space="preserve">.. </w:t>
      </w:r>
      <w:bookmarkStart w:id="225" w:name="pg2523_39995"/>
    </w:p>
    <w:p>
      <w:pPr>
        <w:pStyle w:val="BookText"/>
        <w:rPr/>
      </w:pPr>
      <w:bookmarkEnd w:id="225"/>
      <w:r>
        <w:rPr>
          <w:rFonts w:ascii="Amiri" w:hAnsi="Amiri" w:eastAsia="Amiri" w:cs="Amiri"/>
          <w:color w:val="111111"/>
          <w:sz w:val="28"/>
          <w:sz w:val="28"/>
          <w:szCs w:val="28"/>
          <w:rtl w:val="true"/>
          <w:lang w:bidi="ar-SA"/>
        </w:rPr>
        <w:t xml:space="preserve">و قد تفطن لذلك جماعة من المحققين، حيث لم يقتنعوا </w:t>
      </w:r>
      <w:r>
        <w:rPr>
          <w:rStyle w:val="FootnoteAnchor"/>
          <w:rtl w:val="true"/>
        </w:rPr>
        <w:footnoteReference w:id="2588"/>
      </w:r>
      <w:r>
        <w:rPr>
          <w:rFonts w:ascii="Amiri" w:hAnsi="Amiri" w:eastAsia="Amiri" w:cs="Amiri"/>
          <w:color w:val="111111"/>
          <w:sz w:val="28"/>
          <w:sz w:val="28"/>
          <w:szCs w:val="28"/>
          <w:rtl w:val="true"/>
          <w:lang w:bidi="ar-SA"/>
        </w:rPr>
        <w:t>في ذلك بالتقييد، و تأملوا في ذلك بالنظر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 المولى الأردبيلي في شرحه على الإرشاد </w:t>
      </w:r>
      <w:r>
        <w:rPr>
          <w:rStyle w:val="FootnoteAnchor"/>
          <w:rtl w:val="true"/>
        </w:rPr>
        <w:footnoteReference w:id="2589"/>
      </w:r>
      <w:r>
        <w:rPr>
          <w:rFonts w:ascii="Amiri" w:hAnsi="Amiri" w:eastAsia="Amiri" w:cs="Amiri"/>
          <w:color w:val="111111"/>
          <w:sz w:val="28"/>
          <w:sz w:val="28"/>
          <w:szCs w:val="28"/>
          <w:rtl w:val="true"/>
          <w:lang w:bidi="ar-SA"/>
        </w:rPr>
        <w:t xml:space="preserve">، و المحدّث الكاشى في الوافي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من فاضل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اعتماده على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حملي الشيخ في التهذيب و الاستبصار، من غير التفات لذلك الأخبار </w:t>
      </w:r>
      <w:r>
        <w:rPr>
          <w:rStyle w:val="FootnoteAnchor"/>
          <w:rtl w:val="true"/>
        </w:rPr>
        <w:footnoteReference w:id="2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الحامل على ذلك </w:t>
      </w:r>
      <w:r>
        <w:rPr>
          <w:rStyle w:val="FootnoteAnchor"/>
          <w:rtl w:val="true"/>
        </w:rPr>
        <w:footnoteReference w:id="2592"/>
      </w:r>
      <w:r>
        <w:rPr>
          <w:rFonts w:ascii="Amiri" w:hAnsi="Amiri" w:eastAsia="Amiri" w:cs="Amiri"/>
          <w:color w:val="111111"/>
          <w:sz w:val="28"/>
          <w:sz w:val="28"/>
          <w:szCs w:val="28"/>
          <w:rtl w:val="true"/>
          <w:lang w:bidi="ar-SA"/>
        </w:rPr>
        <w:t>ما نبهنا عليه غير مرة من حسن الظن بهم، سيما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لك من هذا التحقيق ضعف القول بالتفصيل، و أنه –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عن الدليل</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264956_3804643083"/>
      <w:bookmarkStart w:id="227" w:name="_Toc76"/>
      <w:bookmarkEnd w:id="226"/>
      <w:r>
        <w:rPr>
          <w:rtl w:val="true"/>
        </w:rPr>
        <w:t>[</w:t>
      </w:r>
      <w:r>
        <w:rPr>
          <w:rtl w:val="true"/>
        </w:rPr>
        <w:t>الجمع بين أخبار المذهبين</w:t>
      </w:r>
      <w:r>
        <w:rPr>
          <w:rtl w:val="true"/>
        </w:rPr>
        <w:t>]</w:t>
      </w:r>
      <w:bookmarkEnd w:id="22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وجه الجمع بين أخبار ذينك المذهبين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اشتهار روايات المذهب الأول و تعددها و تكررها في الأصول التي عليها المعوّل و عمل المشهور سيما القدماء، وموافقتها لظاهر الكتاب العزيز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يرد عليها كونها موافقة لمذاهب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تراءى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على ما لا يقولون به من ثبوت الرد على الزوج، ولأنهم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ذهبوا إلى نفي الرد فيهما، لكن الباقي عندهم لبيت مال المسلمين، و ظاهرهم الإطباق على ذلك كما صرح به شيخ الخلاف </w:t>
      </w:r>
      <w:r>
        <w:rPr>
          <w:rStyle w:val="FootnoteAnchor"/>
          <w:rtl w:val="true"/>
        </w:rPr>
        <w:footnoteReference w:id="2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الأخبار –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عيّنته للإمام علیه السلام، فيبعدها ذلك من </w:t>
      </w:r>
      <w:r>
        <w:rPr>
          <w:rStyle w:val="FootnoteAnchor"/>
          <w:rtl w:val="true"/>
        </w:rPr>
        <w:footnoteReference w:id="2594"/>
      </w:r>
      <w:r>
        <w:rPr>
          <w:rFonts w:ascii="Amiri" w:hAnsi="Amiri" w:eastAsia="Amiri" w:cs="Amiri"/>
          <w:color w:val="111111"/>
          <w:sz w:val="28"/>
          <w:sz w:val="28"/>
          <w:szCs w:val="28"/>
          <w:rtl w:val="true"/>
          <w:lang w:bidi="ar-SA"/>
        </w:rPr>
        <w:t>الانتظام في سمت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هنا ما جمع به فاضل الوافي من أن ما دل على </w:t>
      </w:r>
      <w:r>
        <w:rPr>
          <w:rStyle w:val="FootnoteAnchor"/>
          <w:rtl w:val="true"/>
        </w:rPr>
        <w:footnoteReference w:id="2595"/>
      </w:r>
      <w:r>
        <w:rPr>
          <w:rFonts w:ascii="IRNazanin" w:hAnsi="IRNazanin" w:eastAsia="IRNazanin"/>
          <w:color w:val="111111"/>
          <w:sz w:val="28"/>
          <w:sz w:val="28"/>
          <w:szCs w:val="28"/>
          <w:rtl w:val="true"/>
          <w:lang w:bidi="fa-IR"/>
        </w:rPr>
        <w:t xml:space="preserve">الرد عليها ليس لاستحقاقها له، و إنما هو تفضل و رخصة منه علیه السلام بحقه؛ حيث إنه ماله و مستحقه، فيصرفه لمن يشاء </w:t>
      </w:r>
      <w:r>
        <w:rPr>
          <w:rStyle w:val="FootnoteAnchor"/>
          <w:rtl w:val="true"/>
        </w:rPr>
        <w:footnoteReference w:id="2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إعطاؤها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عليه هذان الخبران إلا كأمره علیه السلام بالصدقة به في صحيح ابن مهزیار و غيره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احتمله الفاضل الأردبيلي في شرحه على الإرشاد – و أشرنا إليه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أخبار التصدق بالباقي من باب بيان المصرف له </w:t>
      </w:r>
      <w:r>
        <w:rPr>
          <w:rStyle w:val="FootnoteAnchor"/>
          <w:rtl w:val="true"/>
        </w:rPr>
        <w:footnoteReference w:id="2597"/>
      </w:r>
      <w:r>
        <w:rPr>
          <w:rFonts w:ascii="IRNazanin" w:hAnsi="IRNazanin" w:eastAsia="IRNazanin"/>
          <w:color w:val="111111"/>
          <w:sz w:val="28"/>
          <w:sz w:val="28"/>
          <w:szCs w:val="28"/>
          <w:rtl w:val="true"/>
          <w:lang w:bidi="fa-IR"/>
        </w:rPr>
        <w:t xml:space="preserve">لا </w:t>
      </w:r>
      <w:r>
        <w:rPr>
          <w:rStyle w:val="FootnoteAnchor"/>
          <w:rtl w:val="true"/>
        </w:rPr>
        <w:footnoteReference w:id="2598"/>
      </w:r>
      <w:r>
        <w:rPr>
          <w:rFonts w:ascii="Amiri" w:hAnsi="Amiri" w:eastAsia="Amiri" w:cs="Amiri"/>
          <w:color w:val="111111"/>
          <w:sz w:val="28"/>
          <w:sz w:val="28"/>
          <w:szCs w:val="28"/>
          <w:rtl w:val="true"/>
          <w:lang w:bidi="ar-SA"/>
        </w:rPr>
        <w:t>أن تفضل منه بسهمه،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الحكم بما بقي بعد </w:t>
      </w:r>
      <w:r>
        <w:rPr>
          <w:rStyle w:val="FootnoteAnchor"/>
          <w:rtl w:val="true"/>
        </w:rPr>
        <w:footnoteReference w:id="2599"/>
      </w:r>
      <w:r>
        <w:rPr>
          <w:rFonts w:ascii="Amiri" w:hAnsi="Amiri" w:eastAsia="Amiri" w:cs="Amiri"/>
          <w:color w:val="111111"/>
          <w:sz w:val="28"/>
          <w:sz w:val="28"/>
          <w:szCs w:val="28"/>
          <w:rtl w:val="true"/>
          <w:lang w:bidi="ar-SA"/>
        </w:rPr>
        <w:t xml:space="preserve">سهم الزوجية هكذا، و لا يكون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مردودًا عليها و لا للإمام علیه السلام ، بل مصرفه مصرف الصدقة، بأن يتصدق به </w:t>
      </w:r>
      <w:r>
        <w:rPr>
          <w:rStyle w:val="FootnoteAnchor"/>
          <w:rtl w:val="true"/>
        </w:rPr>
        <w:footnoteReference w:id="2600"/>
      </w:r>
      <w:r>
        <w:rPr>
          <w:rFonts w:ascii="IRNazanin" w:hAnsi="IRNazanin" w:eastAsia="IRNazanin"/>
          <w:color w:val="111111"/>
          <w:sz w:val="28"/>
          <w:sz w:val="28"/>
          <w:szCs w:val="28"/>
          <w:rtl w:val="true"/>
          <w:lang w:bidi="fa-IR"/>
        </w:rPr>
        <w:t xml:space="preserve">على فقراء أهل بلد الميت كما هو مذهب البعض عند نفي الوارث سوى الإمام كما دل عليه الروايات مثل ما جاء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فيمن مات و لا وارث له كان يقسمه على فقراء أهل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مذهب البعض </w:t>
      </w:r>
      <w:r>
        <w:rPr>
          <w:rStyle w:val="FootnoteAnchor"/>
          <w:rtl w:val="true"/>
        </w:rPr>
        <w:footnoteReference w:id="2601"/>
      </w:r>
      <w:r>
        <w:rPr>
          <w:rFonts w:ascii="Amiri" w:hAnsi="Amiri" w:eastAsia="Amiri" w:cs="Amiri"/>
          <w:color w:val="111111"/>
          <w:sz w:val="28"/>
          <w:sz w:val="28"/>
          <w:szCs w:val="28"/>
          <w:rtl w:val="true"/>
          <w:lang w:bidi="ar-SA"/>
        </w:rPr>
        <w:t>عند نفي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 خبر آخر أن من مات و ليس له وارث فميراثه لهمشاريجه </w:t>
      </w:r>
      <w:r>
        <w:rPr>
          <w:rStyle w:val="FootnoteAnchor"/>
          <w:rtl w:val="true"/>
        </w:rPr>
        <w:footnoteReference w:id="2602"/>
      </w:r>
      <w:r>
        <w:rPr>
          <w:rFonts w:ascii="IRNazanin" w:hAnsi="IRNazanin" w:eastAsia="IRNazanin"/>
          <w:color w:val="111111"/>
          <w:sz w:val="28"/>
          <w:sz w:val="28"/>
          <w:szCs w:val="28"/>
          <w:rtl w:val="true"/>
          <w:lang w:bidi="fa-IR"/>
        </w:rPr>
        <w:t>، يعني أهل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صحيحة سليمان بن خالد عن أبي عبدالله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رجل مسلم قُتِلَ و له أب نصراني، لمن تكون ديته؟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فتجعل في بيت مال المسلمين</w:t>
      </w:r>
      <w:r>
        <w:rPr>
          <w:rFonts w:eastAsia="IRNazanin" w:cs="IRNazanin"/>
          <w:color w:val="111111"/>
          <w:sz w:val="28"/>
          <w:szCs w:val="28"/>
          <w:rtl w:val="true"/>
          <w:lang w:bidi="fa-IR"/>
        </w:rPr>
        <w:t xml:space="preserve">) » </w:t>
      </w:r>
      <w:r>
        <w:rPr>
          <w:rStyle w:val="FootnoteAnchor"/>
          <w:rtl w:val="true"/>
        </w:rPr>
        <w:footnoteReference w:id="2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صريحة في وجوب دفعه إلى الإمام و أنها مستحقه، و إن كان قد وقع في صحيحة ابن مهزيار الأمر منه بالتصدق فإن ذلك لا ينافي الاستحقاق بل يؤيده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المسألة التي وقع التنظير بها في كلامه قدس سره، فالتحقيق فيها أنما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بمنزلة هذه المسألة، و أن الوارث هو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أخبار الصدقة به على فقراء أهل بلده، مثل الخبر الذي رواه عن أمير المؤمنين علیه السلام، و المرسلة التي أشار إليها و هي مروّية في الفقيه </w:t>
      </w:r>
      <w:r>
        <w:rPr>
          <w:rStyle w:val="FootnoteAnchor"/>
          <w:rtl w:val="true"/>
        </w:rPr>
        <w:footnoteReference w:id="2605"/>
      </w:r>
      <w:r>
        <w:rPr>
          <w:rFonts w:ascii="Amiri" w:hAnsi="Amiri" w:eastAsia="Amiri" w:cs="Amiri"/>
          <w:color w:val="111111"/>
          <w:sz w:val="28"/>
          <w:sz w:val="28"/>
          <w:szCs w:val="28"/>
          <w:rtl w:val="true"/>
          <w:lang w:bidi="ar-SA"/>
        </w:rPr>
        <w:t xml:space="preserve">، و مثلما رواه الكليني في الحسن </w:t>
      </w:r>
      <w:r>
        <w:rPr>
          <w:rStyle w:val="FootnoteAnchor"/>
          <w:rtl w:val="true"/>
        </w:rPr>
        <w:footnoteReference w:id="2606"/>
      </w:r>
      <w:r>
        <w:rPr>
          <w:rFonts w:ascii="Amiri" w:hAnsi="Amiri" w:eastAsia="Amiri" w:cs="Amiri"/>
          <w:color w:val="111111"/>
          <w:sz w:val="28"/>
          <w:sz w:val="28"/>
          <w:szCs w:val="28"/>
          <w:rtl w:val="true"/>
          <w:lang w:bidi="ar-SA"/>
        </w:rPr>
        <w:t>عن خلاد السندي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علیه السلام يَقُولُ فِي الرَّجُل يَمُوْتُ وَ يَتْرِكُ مَالًا وَلَيْسَ لَهُ أَحَدٌ </w:t>
      </w:r>
      <w:r>
        <w:rPr>
          <w:rStyle w:val="FootnoteAnchor"/>
          <w:rtl w:val="true"/>
        </w:rPr>
        <w:footnoteReference w:id="2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المالَ لهمْشَارِیجه </w:t>
      </w:r>
      <w:r>
        <w:rPr>
          <w:rStyle w:val="FootnoteAnchor"/>
          <w:rtl w:val="true"/>
        </w:rPr>
        <w:footnoteReference w:id="2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خير حفص الأعور </w:t>
      </w:r>
      <w:r>
        <w:rPr>
          <w:rStyle w:val="FootnoteAnchor"/>
          <w:rtl w:val="true"/>
        </w:rPr>
        <w:footnoteReference w:id="2609"/>
      </w:r>
      <w:r>
        <w:rPr>
          <w:rFonts w:ascii="IRNazanin" w:hAnsi="IRNazanin" w:eastAsia="IRNazanin"/>
          <w:color w:val="111111"/>
          <w:sz w:val="28"/>
          <w:sz w:val="28"/>
          <w:szCs w:val="28"/>
          <w:rtl w:val="true"/>
          <w:lang w:bidi="fa-IR"/>
        </w:rPr>
        <w:t xml:space="preserve">عن أبي عبدالله علیه السلام حيث سئل و هو جالس عنده </w:t>
      </w:r>
      <w:r>
        <w:rPr>
          <w:rStyle w:val="FootnoteAnchor"/>
          <w:rtl w:val="true"/>
        </w:rPr>
        <w:footnoteReference w:id="26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لِأَبِي أَجِيْرٌ كَانَ يَقُومُ </w:t>
      </w:r>
      <w:r>
        <w:rPr>
          <w:rStyle w:val="FootnoteAnchor"/>
          <w:rtl w:val="true"/>
        </w:rPr>
        <w:footnoteReference w:id="2611"/>
      </w:r>
      <w:r>
        <w:rPr>
          <w:rFonts w:ascii="Amiri" w:hAnsi="Amiri" w:eastAsia="Amiri" w:cs="Amiri"/>
          <w:color w:val="111111"/>
          <w:sz w:val="28"/>
          <w:sz w:val="28"/>
          <w:szCs w:val="28"/>
          <w:rtl w:val="true"/>
          <w:lang w:bidi="ar-SA"/>
        </w:rPr>
        <w:t xml:space="preserve">فِي رَحَاهُ، وَ لَهُ عِنْدَنَا </w:t>
      </w:r>
      <w:r>
        <w:rPr>
          <w:rStyle w:val="FootnoteAnchor"/>
          <w:rtl w:val="true"/>
        </w:rPr>
        <w:footnoteReference w:id="2612"/>
      </w:r>
      <w:r>
        <w:rPr>
          <w:rFonts w:ascii="Amiri" w:hAnsi="Amiri" w:eastAsia="Amiri" w:cs="Amiri"/>
          <w:color w:val="111111"/>
          <w:sz w:val="28"/>
          <w:sz w:val="28"/>
          <w:szCs w:val="28"/>
          <w:rtl w:val="true"/>
          <w:lang w:bidi="ar-SA"/>
        </w:rPr>
        <w:t>دَرَاهِمُ ، وَ لَيْسَ لَهُ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613"/>
      </w:r>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w:t>
      </w:r>
      <w:r>
        <w:rPr>
          <w:rStyle w:val="FootnoteAnchor"/>
          <w:rtl w:val="true"/>
        </w:rPr>
        <w:footnoteReference w:id="2614"/>
      </w:r>
      <w:r>
        <w:rPr>
          <w:rFonts w:ascii="Amiri" w:hAnsi="Amiri" w:eastAsia="Amiri" w:cs="Amiri"/>
          <w:color w:val="111111"/>
          <w:sz w:val="28"/>
          <w:sz w:val="28"/>
          <w:szCs w:val="28"/>
          <w:rtl w:val="true"/>
          <w:lang w:bidi="ar-SA"/>
        </w:rPr>
        <w:t xml:space="preserve">إِلَى الْمِسْكِينِ الحديث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6"/>
      </w:r>
      <w:r>
        <w:rPr>
          <w:rFonts w:ascii="IRNazanin" w:hAnsi="IRNazanin" w:eastAsia="IRNazanin"/>
          <w:color w:val="111111"/>
          <w:sz w:val="28"/>
          <w:sz w:val="28"/>
          <w:szCs w:val="28"/>
          <w:rtl w:val="true"/>
          <w:lang w:bidi="fa-IR"/>
        </w:rPr>
        <w:t>و أمثالها من الأخبار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أمره علیه السلام بالصدقة على المساكين من باب التفضل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الإذن في أمواله علیه السلام ، و إلا فقد ثبت في الأخبار الصحاح المستفيضة عنهم علیهم السلام أنه وارث من لا وارث له، و أن مثل ذلك المال من الأنفال، و صحيحة الحلبي </w:t>
      </w:r>
      <w:r>
        <w:rPr>
          <w:rStyle w:val="FootnoteAnchor"/>
          <w:rtl w:val="true"/>
        </w:rPr>
        <w:footnoteReference w:id="2618"/>
      </w:r>
      <w:r>
        <w:rPr>
          <w:rFonts w:ascii="IRNazanin" w:hAnsi="IRNazanin" w:eastAsia="IRNazanin"/>
          <w:color w:val="111111"/>
          <w:sz w:val="28"/>
          <w:sz w:val="28"/>
          <w:szCs w:val="28"/>
          <w:rtl w:val="true"/>
          <w:lang w:bidi="fa-IR"/>
        </w:rPr>
        <w:t xml:space="preserve">عن أبي عبد الله علیه السلام في قول الله تعالى </w:t>
      </w:r>
      <w:r>
        <w:rPr>
          <w:rFonts w:ascii="Amiri" w:hAnsi="Amiri" w:eastAsia="Amiri" w:cs="Amiri"/>
          <w:color w:val="111111"/>
          <w:sz w:val="28"/>
          <w:sz w:val="28"/>
          <w:szCs w:val="28"/>
          <w:rtl w:val="true"/>
          <w:lang w:bidi="ar-SA"/>
        </w:rPr>
        <w:t>يَسْأَلُوْنَكَ عَنِ الْأَنْفَالِ</w:t>
      </w:r>
      <w:r>
        <w:rPr>
          <w:rStyle w:val="FootnoteAnchor"/>
          <w:rtl w:val="true"/>
        </w:rPr>
        <w:footnoteReference w:id="2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 لَيْسَ لَهُ مَوْلَى </w:t>
      </w:r>
      <w:r>
        <w:rPr>
          <w:rStyle w:val="FootnoteAnchor"/>
          <w:rtl w:val="true"/>
        </w:rPr>
        <w:footnoteReference w:id="2620"/>
      </w:r>
      <w:r>
        <w:rPr>
          <w:rFonts w:ascii="Amiri" w:hAnsi="Amiri" w:eastAsia="Amiri" w:cs="Amiri"/>
          <w:color w:val="111111"/>
          <w:sz w:val="28"/>
          <w:sz w:val="28"/>
          <w:szCs w:val="28"/>
          <w:rtl w:val="true"/>
          <w:lang w:bidi="ar-SA"/>
        </w:rPr>
        <w:t>فمالُهُ مِنَ الأَنْفَالِ</w:t>
      </w:r>
      <w:r>
        <w:rPr>
          <w:rFonts w:eastAsia="Amiri" w:cs="Amiri" w:ascii="Amiri" w:hAnsi="Amiri"/>
          <w:color w:val="111111"/>
          <w:sz w:val="28"/>
          <w:szCs w:val="28"/>
          <w:rtl w:val="true"/>
          <w:lang w:bidi="ar-SA"/>
        </w:rPr>
        <w:t xml:space="preserve">»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 تَرَكَ دَيْنًا فَعَلَيْنَا دَيْنُهُ وَ عَلَيْنَا </w:t>
      </w:r>
      <w:r>
        <w:rPr>
          <w:rStyle w:val="FootnoteAnchor"/>
          <w:rtl w:val="true"/>
        </w:rPr>
        <w:footnoteReference w:id="2622"/>
      </w:r>
      <w:r>
        <w:rPr>
          <w:rFonts w:ascii="Amiri" w:hAnsi="Amiri" w:eastAsia="Amiri" w:cs="Amiri"/>
          <w:color w:val="111111"/>
          <w:sz w:val="28"/>
          <w:sz w:val="28"/>
          <w:szCs w:val="28"/>
          <w:rtl w:val="true"/>
          <w:lang w:bidi="ar-SA"/>
        </w:rPr>
        <w:t xml:space="preserve">عِيَالُهُ، وَ مَنْ مَاتَ وَ تَرَكَ مَالاً فَلِوَرَثَتِهِ </w:t>
      </w:r>
      <w:r>
        <w:rPr>
          <w:rStyle w:val="FootnoteAnchor"/>
          <w:rtl w:val="true"/>
        </w:rPr>
        <w:footnoteReference w:id="2623"/>
      </w:r>
      <w:r>
        <w:rPr>
          <w:rFonts w:ascii="Amiri" w:hAnsi="Amiri" w:eastAsia="Amiri" w:cs="Amiri"/>
          <w:color w:val="111111"/>
          <w:sz w:val="28"/>
          <w:sz w:val="28"/>
          <w:szCs w:val="28"/>
          <w:rtl w:val="true"/>
          <w:lang w:bidi="ar-SA"/>
        </w:rPr>
        <w:t xml:space="preserve">، وَ مَنْ مَاتَ وَ لَيْسَ لَهُ مَوَالِي </w:t>
      </w:r>
      <w:r>
        <w:rPr>
          <w:rStyle w:val="FootnoteAnchor"/>
          <w:rtl w:val="true"/>
        </w:rPr>
        <w:footnoteReference w:id="2624"/>
      </w:r>
      <w:r>
        <w:rPr>
          <w:rFonts w:ascii="Amiri" w:hAnsi="Amiri" w:eastAsia="Amiri" w:cs="Amiri"/>
          <w:color w:val="111111"/>
          <w:sz w:val="28"/>
          <w:sz w:val="28"/>
          <w:szCs w:val="28"/>
          <w:rtl w:val="true"/>
          <w:lang w:bidi="ar-SA"/>
        </w:rPr>
        <w:t>فَمالُهُ مِنَ الْأَنْفَالِ</w:t>
      </w:r>
      <w:r>
        <w:rPr>
          <w:rFonts w:eastAsia="Amiri" w:cs="Amiri" w:ascii="Amiri" w:hAnsi="Amiri"/>
          <w:color w:val="111111"/>
          <w:sz w:val="28"/>
          <w:szCs w:val="28"/>
          <w:rtl w:val="true"/>
          <w:lang w:bidi="ar-SA"/>
        </w:rPr>
        <w:t>)»</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ابن رئاب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 عَنِ 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الْقُرْآنِ، فَمَا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فَتَحْرِيرُ </w:t>
      </w:r>
      <w:r>
        <w:rPr>
          <w:rStyle w:val="FootnoteAnchor"/>
          <w:rtl w:val="true"/>
        </w:rPr>
        <w:footnoteReference w:id="2626"/>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يَا عَمَّارُ السَّائِبَةُ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w:t>
      </w:r>
      <w:r>
        <w:rPr>
          <w:rStyle w:val="FootnoteAnchor"/>
          <w:rtl w:val="true"/>
        </w:rPr>
        <w:footnoteReference w:id="2627"/>
      </w:r>
      <w:r>
        <w:rPr>
          <w:rFonts w:ascii="Amiri" w:hAnsi="Amiri" w:eastAsia="Amiri" w:cs="Amiri"/>
          <w:color w:val="111111"/>
          <w:sz w:val="28"/>
          <w:sz w:val="28"/>
          <w:szCs w:val="28"/>
          <w:rtl w:val="true"/>
          <w:lang w:bidi="ar-SA"/>
        </w:rPr>
        <w:t xml:space="preserve">لَا وَلَاءَ لِأَحَدٍ عَلَيْهَا إِلَّا اللَّهَ تَعَالَى، فَمَا كَانَ وَلَاؤُهُ </w:t>
      </w:r>
      <w:r>
        <w:rPr>
          <w:rStyle w:val="FootnoteAnchor"/>
          <w:rtl w:val="true"/>
        </w:rPr>
        <w:footnoteReference w:id="2628"/>
      </w:r>
      <w:r>
        <w:rPr>
          <w:rFonts w:ascii="Amiri" w:hAnsi="Amiri" w:eastAsia="Amiri" w:cs="Amiri"/>
          <w:color w:val="111111"/>
          <w:sz w:val="28"/>
          <w:sz w:val="28"/>
          <w:szCs w:val="28"/>
          <w:rtl w:val="true"/>
          <w:lang w:bidi="ar-SA"/>
        </w:rPr>
        <w:t xml:space="preserve">للهِ فَهُوَ لِرَسُوْلِ الله صلی الله علیه و آله و سلم ، وَ مَا كَانَ لِرَسُولِ اللهِ صلی الله علیه و آله و سلم فَإِنَّ وَلَاءَهُ </w:t>
      </w:r>
      <w:r>
        <w:rPr>
          <w:rStyle w:val="FootnoteAnchor"/>
          <w:rtl w:val="true"/>
        </w:rPr>
        <w:footnoteReference w:id="2629"/>
      </w:r>
      <w:r>
        <w:rPr>
          <w:rFonts w:ascii="Amiri" w:hAnsi="Amiri" w:eastAsia="Amiri" w:cs="Amiri"/>
          <w:color w:val="111111"/>
          <w:sz w:val="28"/>
          <w:sz w:val="28"/>
          <w:szCs w:val="28"/>
          <w:rtl w:val="true"/>
          <w:lang w:bidi="ar-SA"/>
        </w:rPr>
        <w:t xml:space="preserve">لِلإِمَامِ، وَ جنَايَتَهُ عَلَى الْإِمَامِ، وَ مِيرَاثَهُ لَهُ </w:t>
      </w:r>
      <w:r>
        <w:rPr>
          <w:rFonts w:eastAsia="Amiri" w:cs="Amiri" w:ascii="Amiri" w:hAnsi="Amiri"/>
          <w:color w:val="111111"/>
          <w:sz w:val="28"/>
          <w:szCs w:val="28"/>
          <w:rtl w:val="true"/>
          <w:lang w:bidi="ar-SA"/>
        </w:rPr>
        <w:t xml:space="preserve">»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موثقة أبان بن تغلب </w:t>
      </w:r>
      <w:r>
        <w:rPr>
          <w:rStyle w:val="FootnoteAnchor"/>
          <w:rtl w:val="true"/>
        </w:rPr>
        <w:footnoteReference w:id="2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مَوْلَى لَهُ وَ لَا وَرَثَةَ فَهُوَ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 قُلِ الْأَنْفَالُ للهِ وَالرَّسُوْلِ</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في هذا المعنى مستفيضة جدا،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في كونه علیه السلام هو الوارث عند عدم الوارث رأسًا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لك أن حكم الباقي بعد سهم الزوجية </w:t>
      </w:r>
      <w:r>
        <w:rPr>
          <w:rStyle w:val="FootnoteAnchor"/>
          <w:rtl w:val="true"/>
        </w:rPr>
        <w:footnoteReference w:id="2633"/>
      </w:r>
      <w:r>
        <w:rPr>
          <w:rFonts w:ascii="Amiri" w:hAnsi="Amiri" w:eastAsia="Amiri" w:cs="Amiri"/>
          <w:color w:val="111111"/>
          <w:sz w:val="28"/>
          <w:sz w:val="28"/>
          <w:szCs w:val="28"/>
          <w:rtl w:val="true"/>
          <w:lang w:bidi="ar-SA"/>
        </w:rPr>
        <w:t xml:space="preserve">حكم مال </w:t>
      </w:r>
      <w:r>
        <w:rPr>
          <w:rStyle w:val="FootnoteAnchor"/>
          <w:rtl w:val="true"/>
        </w:rPr>
        <w:footnoteReference w:id="2634"/>
      </w:r>
      <w:r>
        <w:rPr>
          <w:rFonts w:ascii="IRNazanin" w:hAnsi="IRNazanin" w:eastAsia="IRNazanin"/>
          <w:color w:val="111111"/>
          <w:sz w:val="28"/>
          <w:sz w:val="28"/>
          <w:szCs w:val="28"/>
          <w:rtl w:val="true"/>
          <w:lang w:bidi="fa-IR"/>
        </w:rPr>
        <w:t>من لا وارث له، و أنه للإمام علیه السلام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w:t>
      </w:r>
      <w:r>
        <w:rPr>
          <w:rStyle w:val="FootnoteAnchor"/>
          <w:rtl w:val="true"/>
        </w:rPr>
        <w:footnoteReference w:id="2635"/>
      </w:r>
      <w:r>
        <w:rPr>
          <w:rFonts w:ascii="IRNazanin" w:hAnsi="IRNazanin" w:eastAsia="IRNazanin"/>
          <w:color w:val="111111"/>
          <w:sz w:val="28"/>
          <w:sz w:val="28"/>
          <w:szCs w:val="28"/>
          <w:rtl w:val="true"/>
          <w:lang w:bidi="fa-IR"/>
        </w:rPr>
        <w:t>الصدقة فيهما من باب الرخصة و الإذن منه علیه السلام ؛ لأنه المالك له حقيقة، فيكون حكم هذه المسألة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2636"/>
      </w:r>
      <w:r>
        <w:rPr>
          <w:rFonts w:ascii="Amiri" w:hAnsi="Amiri" w:eastAsia="Amiri" w:cs="Amiri"/>
          <w:color w:val="111111"/>
          <w:sz w:val="28"/>
          <w:sz w:val="28"/>
          <w:szCs w:val="28"/>
          <w:rtl w:val="true"/>
          <w:lang w:bidi="ar-SA"/>
        </w:rPr>
        <w:t xml:space="preserve">زمن الغيبة أن يقتصر على دفع الربع للزوجة، و ما بقى </w:t>
      </w:r>
      <w:r>
        <w:rPr>
          <w:rStyle w:val="FootnoteAnchor"/>
          <w:rtl w:val="true"/>
        </w:rPr>
        <w:footnoteReference w:id="2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أهلًا للصدقة تصدق عليها بالباقي احتياطاً، وإلا فسبيله سبيل الأنفال و ما ينبغي أن تصرف فيه زمن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ظهر لنا من تتبع أخبار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الإباحة لشيعتهم علیهم السلام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 بالأحكام، و إليه مرجع الأنام</w:t>
      </w:r>
      <w:r>
        <w:rPr>
          <w:rFonts w:eastAsia="Amiri" w:cs="Amiri" w:ascii="Amiri" w:hAnsi="Amiri"/>
          <w:color w:val="111111"/>
          <w:sz w:val="28"/>
          <w:szCs w:val="28"/>
          <w:rtl w:val="true"/>
          <w:lang w:bidi="ar-SA"/>
        </w:rPr>
        <w:t xml:space="preserve">.) </w:t>
      </w:r>
      <w:bookmarkStart w:id="228" w:name="pg2523_40002"/>
    </w:p>
    <w:p>
      <w:pPr>
        <w:pStyle w:val="Heading2"/>
        <w:numPr>
          <w:ilvl w:val="1"/>
          <w:numId w:val="1"/>
        </w:numPr>
        <w:rPr/>
      </w:pPr>
      <w:bookmarkStart w:id="229" w:name="__RefHeading___Toc4264958_3804643083"/>
      <w:bookmarkStart w:id="230" w:name="_Toc77"/>
      <w:bookmarkEnd w:id="228"/>
      <w:bookmarkEnd w:id="229"/>
      <w:r>
        <w:rPr>
          <w:rtl w:val="true"/>
        </w:rPr>
        <w:t xml:space="preserve">المسألة العاشرة </w:t>
      </w:r>
      <w:r>
        <w:rPr>
          <w:rtl w:val="true"/>
        </w:rPr>
        <w:t>: [</w:t>
      </w:r>
      <w:r>
        <w:rPr>
          <w:rtl w:val="true"/>
        </w:rPr>
        <w:t>حكم ما عند الزوجة من منقولات من مال الزوج بعد موته</w:t>
      </w:r>
      <w:r>
        <w:rPr>
          <w:rtl w:val="true"/>
        </w:rPr>
        <w:t>]</w:t>
      </w:r>
      <w:bookmarkEnd w:id="230"/>
    </w:p>
    <w:p>
      <w:pPr>
        <w:pStyle w:val="Heading3"/>
        <w:numPr>
          <w:ilvl w:val="2"/>
          <w:numId w:val="1"/>
        </w:numPr>
        <w:rPr/>
      </w:pPr>
      <w:bookmarkStart w:id="231" w:name="__RefHeading___Toc4264960_3804643083"/>
      <w:bookmarkStart w:id="232" w:name="_Toc78"/>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المسألة العاشرة </w:t>
      </w:r>
      <w:r>
        <w:rPr>
          <w:rStyle w:val="FootnoteAnchor"/>
          <w:rtl w:val="true"/>
        </w:rPr>
        <w:footnoteReference w:id="2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عند الزوجة من منقولات من مال الزوج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مات الزوج </w:t>
      </w:r>
      <w:r>
        <w:rPr>
          <w:rStyle w:val="FootnoteAnchor"/>
          <w:rtl w:val="true"/>
        </w:rPr>
        <w:footnoteReference w:id="2639"/>
      </w:r>
      <w:r>
        <w:rPr>
          <w:rFonts w:ascii="Amiri" w:hAnsi="Amiri" w:eastAsia="Amiri" w:cs="Amiri"/>
          <w:color w:val="111111"/>
          <w:sz w:val="28"/>
          <w:sz w:val="28"/>
          <w:szCs w:val="28"/>
          <w:rtl w:val="true"/>
          <w:lang w:bidi="ar-SA"/>
        </w:rPr>
        <w:t xml:space="preserve">و عند الزوجة </w:t>
      </w:r>
      <w:r>
        <w:rPr>
          <w:rStyle w:val="FootnoteAnchor"/>
          <w:rtl w:val="true"/>
        </w:rPr>
        <w:footnoteReference w:id="2640"/>
      </w:r>
      <w:r>
        <w:rPr>
          <w:rFonts w:ascii="Amiri" w:hAnsi="Amiri" w:eastAsia="Amiri" w:cs="Amiri"/>
          <w:color w:val="111111"/>
          <w:sz w:val="28"/>
          <w:sz w:val="28"/>
          <w:szCs w:val="28"/>
          <w:rtl w:val="true"/>
          <w:lang w:bidi="ar-SA"/>
        </w:rPr>
        <w:t>ملابس و حلي من مال الزوج قد تصرفت فيه هل يحكم بكونه لها أم يؤخذ منها؟</w:t>
      </w:r>
    </w:p>
    <w:p>
      <w:pPr>
        <w:pStyle w:val="BookText"/>
        <w:rPr/>
      </w:pPr>
      <w:r>
        <w:rPr>
          <w:rFonts w:ascii="Amiri" w:hAnsi="Amiri" w:eastAsia="Amiri" w:cs="Amiri"/>
          <w:color w:val="111111"/>
          <w:sz w:val="28"/>
          <w:sz w:val="28"/>
          <w:szCs w:val="28"/>
          <w:rtl w:val="true"/>
          <w:lang w:bidi="ar-SA"/>
        </w:rPr>
        <w:t xml:space="preserve">الجواب و منه سبحانه استفاضة الصواب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السؤال، و إن كان لا يخلو من شائبة الإبهام، إلا أن الذي ظهر لنا فيه 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الباعث عليه هو أنه هل يحكم بذلك التصرف الواقع من المرأة في تلك الألباس </w:t>
      </w:r>
      <w:r>
        <w:rPr>
          <w:rStyle w:val="FootnoteAnchor"/>
          <w:rtl w:val="true"/>
        </w:rPr>
        <w:footnoteReference w:id="2642"/>
      </w:r>
      <w:r>
        <w:rPr>
          <w:rFonts w:ascii="Amiri" w:hAnsi="Amiri" w:eastAsia="Amiri" w:cs="Amiri"/>
          <w:color w:val="111111"/>
          <w:sz w:val="28"/>
          <w:sz w:val="28"/>
          <w:szCs w:val="28"/>
          <w:rtl w:val="true"/>
          <w:lang w:bidi="ar-SA"/>
        </w:rPr>
        <w:t xml:space="preserve">و الحلى بملكيتها ، أو </w:t>
      </w:r>
      <w:r>
        <w:rPr>
          <w:rStyle w:val="FootnoteAnchor"/>
          <w:rtl w:val="true"/>
        </w:rPr>
        <w:footnoteReference w:id="2643"/>
      </w:r>
      <w:r>
        <w:rPr>
          <w:rFonts w:ascii="Amiri" w:hAnsi="Amiri" w:eastAsia="Amiri" w:cs="Amiri"/>
          <w:color w:val="111111"/>
          <w:sz w:val="28"/>
          <w:sz w:val="28"/>
          <w:szCs w:val="28"/>
          <w:rtl w:val="true"/>
          <w:lang w:bidi="ar-SA"/>
        </w:rPr>
        <w:t xml:space="preserve">يُستصحب ملك الزوج له وإن وقع ذلك التصرف؟ </w:t>
      </w:r>
      <w:bookmarkStart w:id="233" w:name="pg2523_40003"/>
    </w:p>
    <w:p>
      <w:pPr>
        <w:pStyle w:val="BookText"/>
        <w:rPr/>
      </w:pPr>
      <w:bookmarkEnd w:id="233"/>
      <w:r>
        <w:rPr>
          <w:rFonts w:ascii="Amiri" w:hAnsi="Amiri" w:eastAsia="Amiri" w:cs="Amiri"/>
          <w:color w:val="111111"/>
          <w:sz w:val="28"/>
          <w:sz w:val="28"/>
          <w:szCs w:val="28"/>
          <w:rtl w:val="true"/>
          <w:lang w:bidi="ar-SA"/>
        </w:rPr>
        <w:t xml:space="preserve">و الظاهر أن المراد بالملابس غير الملابس الواجبة لها على الزوج؛ فإن الحق عندنا فيها هو الاستحقاق على جهة التمليك لا الاستمتاع </w:t>
      </w:r>
      <w:r>
        <w:rPr>
          <w:rStyle w:val="FootnoteAnchor"/>
          <w:rtl w:val="true"/>
        </w:rPr>
        <w:footnoteReference w:id="2644"/>
      </w:r>
      <w:r>
        <w:rPr>
          <w:rFonts w:ascii="Amiri" w:hAnsi="Amiri" w:eastAsia="Amiri" w:cs="Amiri"/>
          <w:color w:val="111111"/>
          <w:sz w:val="28"/>
          <w:sz w:val="28"/>
          <w:szCs w:val="28"/>
          <w:rtl w:val="true"/>
          <w:lang w:bidi="ar-SA"/>
        </w:rPr>
        <w:t xml:space="preserve">و إن اشتهر بين المتأخرين الثاني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لا غرض لنا و لا تعلق في الكلام على هذه المسألة فلنرجع إلى تحقيق أمر السؤال، فنقول</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4264962_3804643083"/>
      <w:bookmarkStart w:id="235" w:name="_Toc79"/>
      <w:bookmarkEnd w:id="234"/>
      <w:r>
        <w:rPr>
          <w:rtl w:val="true"/>
        </w:rPr>
        <w:t>[</w:t>
      </w:r>
      <w:r>
        <w:rPr>
          <w:rtl w:val="true"/>
        </w:rPr>
        <w:t>رجوع المسألة لدليل ملك ذي اليد</w:t>
      </w:r>
      <w:r>
        <w:rPr>
          <w:rtl w:val="true"/>
        </w:rPr>
        <w:t>]</w:t>
      </w:r>
      <w:bookmarkEnd w:id="235"/>
    </w:p>
    <w:p>
      <w:pPr>
        <w:pStyle w:val="BookText"/>
        <w:rPr/>
      </w:pPr>
      <w:r>
        <w:rPr>
          <w:rFonts w:ascii="IRNazanin" w:hAnsi="IRNazanin" w:eastAsia="IRNazanin"/>
          <w:color w:val="111111"/>
          <w:sz w:val="28"/>
          <w:sz w:val="28"/>
          <w:szCs w:val="28"/>
          <w:rtl w:val="true"/>
          <w:lang w:bidi="fa-IR"/>
        </w:rPr>
        <w:t>الظاهر أن إليه دليلًا شرعيًا من أوضح الأدلة على ملك ذي اليد كما دلت عليه النصوص المستفيضة عنهم علیهم السلام و حكم به إجماع المسلمين، فهو كالثابت بالتواتر، و قد دلّا على وجوب الحكم بالشيء لمن هو في يده من غير تتبع لمن كان قبله، و جواز الشهادة بالملك له بمجرد حصول العلم باليد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فلها على الملك إذًا دلالتان عقلية مستندة إلى ظاهر الحال، و شرعية مستندة إلى نص الشارع و اعتباره إياها دليلًا شرعيا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الحكم بها، إلا أن يعارضها ما هو أقوى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 البينة على أنها يد غصب و استيلاء و ظلم، أو أنه أقر من نفسه ذلك؛ إذ اليد مجملة في نفسها محتملة لوجوه، فيقدم عليها ما عارضها من البينات و الأقارير المفصلة كما هو شأن كل مجمل و مفصل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إذا كانت مما </w:t>
      </w:r>
      <w:r>
        <w:rPr>
          <w:rStyle w:val="FootnoteAnchor"/>
          <w:rtl w:val="true"/>
        </w:rPr>
        <w:footnoteReference w:id="2646"/>
      </w:r>
      <w:r>
        <w:rPr>
          <w:rFonts w:ascii="Amiri" w:hAnsi="Amiri" w:eastAsia="Amiri" w:cs="Amiri"/>
          <w:color w:val="111111"/>
          <w:sz w:val="28"/>
          <w:sz w:val="28"/>
          <w:szCs w:val="28"/>
          <w:rtl w:val="true"/>
          <w:lang w:bidi="ar-SA"/>
        </w:rPr>
        <w:t xml:space="preserve">قد أكّدها التصرف المتكرر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و الهدم و الإجارة في من شأنه ذلك، و كذا ما شاكله من التصرفات في كل بحسبه على 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Style w:val="FootnoteAnchor"/>
          <w:rtl w:val="true"/>
        </w:rPr>
        <w:footnoteReference w:id="2647"/>
      </w:r>
      <w:r>
        <w:rPr>
          <w:rFonts w:ascii="Amiri" w:hAnsi="Amiri" w:eastAsia="Amiri" w:cs="Amiri"/>
          <w:color w:val="111111"/>
          <w:sz w:val="28"/>
          <w:sz w:val="28"/>
          <w:szCs w:val="28"/>
          <w:rtl w:val="true"/>
          <w:lang w:bidi="ar-SA"/>
        </w:rPr>
        <w:t>ريب في دلالتها على الملك و إفادتها الظن الغالب و العلم الشرعي به، فهناك تجوز الشهادة به لذي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المعروف من مذهب أصحابنا </w:t>
      </w:r>
      <w:r>
        <w:rPr>
          <w:rStyle w:val="FootnoteAnchor"/>
          <w:rtl w:val="true"/>
        </w:rPr>
        <w:footnoteReference w:id="2648"/>
      </w:r>
      <w:r>
        <w:rPr>
          <w:rFonts w:ascii="Amiri" w:hAnsi="Amiri" w:eastAsia="Amiri" w:cs="Amiri"/>
          <w:color w:val="111111"/>
          <w:sz w:val="28"/>
          <w:sz w:val="28"/>
          <w:szCs w:val="28"/>
          <w:rtl w:val="true"/>
          <w:lang w:bidi="ar-SA"/>
        </w:rPr>
        <w:t xml:space="preserve">، بل ادعى عليه شيخ الخلاف إجماعهم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سيأتي من الأدلة </w:t>
      </w:r>
      <w:r>
        <w:rPr>
          <w:rStyle w:val="FootnoteAnchor"/>
          <w:rtl w:val="true"/>
        </w:rPr>
        <w:footnoteReference w:id="2650"/>
      </w:r>
      <w:r>
        <w:rPr>
          <w:rFonts w:ascii="Amiri" w:hAnsi="Amiri" w:eastAsia="Amiri" w:cs="Amiri"/>
          <w:color w:val="111111"/>
          <w:sz w:val="28"/>
          <w:sz w:val="28"/>
          <w:szCs w:val="28"/>
          <w:rtl w:val="true"/>
          <w:lang w:bidi="ar-SA"/>
        </w:rPr>
        <w:t xml:space="preserve">و لزوم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شراء ما في يده منه، و ادعاء المشتري ملكه لنفسه بعد شرائه و استمتاعه منه بما شاء من الوجوه المباحة، و إنكاره على من ادعاه لنفسه بعد ذلك، و حلفه على أنه المستحق و المالك على سبيل البت و القطع هنالك، ولا شك أنه أقوى من الشهادة؛ لجوازها مع الظن بالنص و الفتوى، و عدم جواز الحلف إلا على اليقين كما نص عليه النصوص والبراهين</w:t>
      </w:r>
      <w:r>
        <w:rPr>
          <w:rFonts w:eastAsia="Amiri" w:cs="Amiri" w:ascii="Amiri" w:hAnsi="Amiri"/>
          <w:color w:val="111111"/>
          <w:sz w:val="28"/>
          <w:szCs w:val="28"/>
          <w:rtl w:val="true"/>
          <w:lang w:bidi="ar-SA"/>
        </w:rPr>
        <w:t xml:space="preserve">. . </w:t>
      </w:r>
      <w:bookmarkStart w:id="236" w:name="pg2523_40005"/>
    </w:p>
    <w:p>
      <w:pPr>
        <w:pStyle w:val="Heading3"/>
        <w:numPr>
          <w:ilvl w:val="2"/>
          <w:numId w:val="1"/>
        </w:numPr>
        <w:rPr/>
      </w:pPr>
      <w:bookmarkStart w:id="237" w:name="__RefHeading___Toc4264964_3804643083"/>
      <w:bookmarkStart w:id="238" w:name="_Toc80"/>
      <w:bookmarkEnd w:id="236"/>
      <w:bookmarkEnd w:id="237"/>
      <w:r>
        <w:rPr>
          <w:rtl w:val="true"/>
        </w:rPr>
        <w:t>[</w:t>
      </w:r>
      <w:r>
        <w:rPr>
          <w:rtl w:val="true"/>
        </w:rPr>
        <w:t xml:space="preserve">اليد المنفردة عن التصرف وأدلة مساواتها للمؤكدة </w:t>
      </w:r>
      <w:r>
        <w:rPr>
          <w:rtl w:val="true"/>
        </w:rPr>
        <w:t>]</w:t>
      </w:r>
      <w:bookmarkEnd w:id="238"/>
    </w:p>
    <w:p>
      <w:pPr>
        <w:pStyle w:val="BookText"/>
        <w:rPr/>
      </w:pPr>
      <w:r>
        <w:rPr>
          <w:rFonts w:ascii="Amiri" w:hAnsi="Amiri" w:eastAsia="Amiri" w:cs="Amiri"/>
          <w:color w:val="111111"/>
          <w:sz w:val="28"/>
          <w:sz w:val="28"/>
          <w:szCs w:val="28"/>
          <w:rtl w:val="true"/>
          <w:lang w:bidi="ar-SA"/>
        </w:rPr>
        <w:t>أما اليد المنفردة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تخلو عن شائبة الخلاف، إلا أن الذي عليه العلامة و أكثر المتأخرين مساواتها للمؤكدة </w:t>
      </w:r>
      <w:r>
        <w:rPr>
          <w:rStyle w:val="FootnoteAnchor"/>
          <w:rtl w:val="true"/>
        </w:rPr>
        <w:footnoteReference w:id="2651"/>
      </w:r>
      <w:r>
        <w:rPr>
          <w:rFonts w:ascii="Amiri" w:hAnsi="Amiri" w:eastAsia="Amiri" w:cs="Amiri"/>
          <w:color w:val="111111"/>
          <w:sz w:val="28"/>
          <w:sz w:val="28"/>
          <w:szCs w:val="28"/>
          <w:rtl w:val="true"/>
          <w:lang w:bidi="ar-SA"/>
        </w:rPr>
        <w:t xml:space="preserve">في أصل الحكم </w:t>
      </w:r>
      <w:r>
        <w:rPr>
          <w:rStyle w:val="FootnoteAnchor"/>
          <w:rtl w:val="true"/>
        </w:rPr>
        <w:footnoteReference w:id="2652"/>
      </w:r>
      <w:r>
        <w:rPr>
          <w:rFonts w:ascii="Amiri" w:hAnsi="Amiri" w:eastAsia="Amiri" w:cs="Amiri"/>
          <w:color w:val="111111"/>
          <w:sz w:val="28"/>
          <w:sz w:val="28"/>
          <w:szCs w:val="28"/>
          <w:rtl w:val="true"/>
          <w:lang w:bidi="ar-SA"/>
        </w:rPr>
        <w:t>، و إنما كانت المؤكدة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الحق، و الذي يدل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جواز شرائه و الحلف عليه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العباس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التهذيب – عن أبي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ذَكَرَ لَوْ أُفْضِيَ إِلَيْهِ الْحُكْمُ لَأَقَرَ النَّاسَ عَلَى 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طويلا </w:t>
      </w:r>
      <w:r>
        <w:rPr>
          <w:rStyle w:val="FootnoteAnchor"/>
          <w:rtl w:val="true"/>
        </w:rPr>
        <w:footnoteReference w:id="2653"/>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صلی الله علیه و آله و سلم لَمْ يَنظُرْ فِي حَدِيثٍ </w:t>
      </w:r>
      <w:r>
        <w:rPr>
          <w:rStyle w:val="FootnoteAnchor"/>
          <w:rtl w:val="true"/>
        </w:rPr>
        <w:footnoteReference w:id="2654"/>
      </w:r>
      <w:r>
        <w:rPr>
          <w:rFonts w:ascii="Amiri" w:hAnsi="Amiri" w:eastAsia="Amiri" w:cs="Amiri"/>
          <w:color w:val="111111"/>
          <w:sz w:val="28"/>
          <w:sz w:val="28"/>
          <w:szCs w:val="28"/>
          <w:rtl w:val="true"/>
          <w:lang w:bidi="ar-SA"/>
        </w:rPr>
        <w:t xml:space="preserve">أَحْدَثُوهُ وَ هُمْ مُشْرِكُوْنَ، وَأَنَّ مَنْ أَسْلَمَ أَقرَهُ عَلَى مَا فِي يَدِهِ </w:t>
      </w:r>
      <w:r>
        <w:rPr>
          <w:rFonts w:eastAsia="Amiri" w:cs="Amiri" w:ascii="Amiri" w:hAnsi="Amiri"/>
          <w:color w:val="111111"/>
          <w:sz w:val="28"/>
          <w:szCs w:val="28"/>
          <w:rtl w:val="true"/>
          <w:lang w:bidi="ar-SA"/>
        </w:rPr>
        <w:t xml:space="preserve">» </w:t>
      </w:r>
      <w:r>
        <w:rPr>
          <w:rStyle w:val="FootnoteAnchor"/>
          <w:rtl w:val="true"/>
        </w:rPr>
        <w:footnoteReference w:id="2655"/>
      </w:r>
      <w:r>
        <w:rPr>
          <w:rFonts w:ascii="Amiri" w:hAnsi="Amiri" w:eastAsia="Amiri" w:cs="Amiri"/>
          <w:color w:val="111111"/>
          <w:sz w:val="28"/>
          <w:sz w:val="28"/>
          <w:szCs w:val="28"/>
          <w:rtl w:val="true"/>
          <w:lang w:bidi="ar-SA"/>
        </w:rPr>
        <w:t xml:space="preserve">، فإنه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Style w:val="FootnoteAnchor"/>
          <w:rtl w:val="true"/>
        </w:rPr>
        <w:footnoteReference w:id="2656"/>
      </w:r>
      <w:r>
        <w:rPr>
          <w:rFonts w:ascii="Amiri" w:hAnsi="Amiri" w:eastAsia="Amiri" w:cs="Amiri"/>
          <w:color w:val="111111"/>
          <w:sz w:val="28"/>
          <w:sz w:val="28"/>
          <w:szCs w:val="28"/>
          <w:rtl w:val="true"/>
          <w:lang w:bidi="ar-SA"/>
        </w:rPr>
        <w:t xml:space="preserve">على أنه لا فرق في ذي اليد بين أن يكون </w:t>
      </w:r>
    </w:p>
    <w:p>
      <w:pPr>
        <w:pStyle w:val="BookText"/>
        <w:rPr/>
      </w:pPr>
      <w:r>
        <w:rPr>
          <w:rFonts w:ascii="Amiri" w:hAnsi="Amiri" w:eastAsia="Amiri" w:cs="Amiri"/>
          <w:color w:val="111111"/>
          <w:sz w:val="28"/>
          <w:sz w:val="28"/>
          <w:szCs w:val="28"/>
          <w:rtl w:val="true"/>
          <w:lang w:bidi="ar-SA"/>
        </w:rPr>
        <w:t xml:space="preserve">من العامة أو من الخاصة، أو </w:t>
      </w:r>
      <w:r>
        <w:rPr>
          <w:rStyle w:val="FootnoteAnchor"/>
          <w:rtl w:val="true"/>
        </w:rPr>
        <w:footnoteReference w:id="2657"/>
      </w:r>
      <w:r>
        <w:rPr>
          <w:rFonts w:ascii="Amiri" w:hAnsi="Amiri" w:eastAsia="Amiri" w:cs="Amiri"/>
          <w:color w:val="111111"/>
          <w:sz w:val="28"/>
          <w:sz w:val="28"/>
          <w:szCs w:val="28"/>
          <w:rtl w:val="true"/>
          <w:lang w:bidi="ar-SA"/>
        </w:rPr>
        <w:t xml:space="preserve">من المسلمين أو من المشركين، بل على الحكم بملكية </w:t>
      </w:r>
      <w:r>
        <w:rPr>
          <w:rStyle w:val="FootnoteAnchor"/>
          <w:rtl w:val="true"/>
        </w:rPr>
        <w:footnoteReference w:id="2658"/>
      </w:r>
      <w:r>
        <w:rPr>
          <w:rFonts w:ascii="Amiri" w:hAnsi="Amiri" w:eastAsia="Amiri" w:cs="Amiri"/>
          <w:color w:val="111111"/>
          <w:sz w:val="28"/>
          <w:sz w:val="28"/>
          <w:szCs w:val="28"/>
          <w:rtl w:val="true"/>
          <w:lang w:bidi="ar-SA"/>
        </w:rPr>
        <w:t xml:space="preserve">المتصرف مع علم الحاكم بملكية </w:t>
      </w:r>
      <w:r>
        <w:rPr>
          <w:rStyle w:val="FootnoteAnchor"/>
          <w:rtl w:val="true"/>
        </w:rPr>
        <w:footnoteReference w:id="2659"/>
      </w:r>
      <w:r>
        <w:rPr>
          <w:rFonts w:ascii="Amiri" w:hAnsi="Amiri" w:eastAsia="Amiri" w:cs="Amiri"/>
          <w:color w:val="111111"/>
          <w:sz w:val="28"/>
          <w:sz w:val="28"/>
          <w:szCs w:val="28"/>
          <w:rtl w:val="true"/>
          <w:lang w:bidi="ar-SA"/>
        </w:rPr>
        <w:t xml:space="preserve">سابقة، و هو شامل لما إذا أقر المتصرف بها و لما إذا ادعى سببًا خاصا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حفص بن غياث المروي في الكافي و التهذيب و الفقيه بطرق متعددة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شَيْئًا فِي يَدَيْ </w:t>
      </w:r>
      <w:r>
        <w:rPr>
          <w:rStyle w:val="FootnoteAnchor"/>
          <w:rtl w:val="true"/>
        </w:rPr>
        <w:footnoteReference w:id="2661"/>
      </w:r>
      <w:r>
        <w:rPr>
          <w:rFonts w:ascii="Amiri" w:hAnsi="Amiri" w:eastAsia="Amiri" w:cs="Amiri"/>
          <w:color w:val="111111"/>
          <w:sz w:val="28"/>
          <w:sz w:val="28"/>
          <w:szCs w:val="28"/>
          <w:rtl w:val="true"/>
          <w:lang w:bidi="ar-SA"/>
        </w:rPr>
        <w:t xml:space="preserve">رَجُلٍ ، يَجُوزُ لِي أَنْ أَشْهَدَ أَنَّهُ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 لَا أَشْهَدُ أَنَّهُ لَهُ، فَلَعَلَّهُ لِغَيْرِهِ؟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فَمِنْ أَيْنَ جَازَ لَكَ أَنْ تَشْتَرِيَهُ وَ يَصِیرَ مِلْكًا لَكَ ثُمَّ تَقُوْلُ بَعْدَ الْمِلْكِ هُوَ لِي وَ تَحلفُ عَلَيْهِ، وَ لَا يَجُوزُ أَنْ تَنْسِبَهُ إِلَى مَنْ صَارَ مِلْكَهُ مِنْ </w:t>
      </w:r>
      <w:r>
        <w:rPr>
          <w:rStyle w:val="FootnoteAnchor"/>
          <w:rtl w:val="true"/>
        </w:rPr>
        <w:footnoteReference w:id="2662"/>
      </w:r>
      <w:r>
        <w:rPr>
          <w:rFonts w:ascii="Amiri" w:hAnsi="Amiri" w:eastAsia="Amiri" w:cs="Amiri"/>
          <w:color w:val="111111"/>
          <w:sz w:val="28"/>
          <w:sz w:val="28"/>
          <w:szCs w:val="28"/>
          <w:rtl w:val="true"/>
          <w:lang w:bidi="ar-SA"/>
        </w:rPr>
        <w:t xml:space="preserve">قَبْلِهِ اليَّدُ؟ 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لم يَقُمْ لِلْمُسْلِمِيْنَ سُوْقٌ</w:t>
      </w:r>
      <w:r>
        <w:rPr>
          <w:rFonts w:eastAsia="Amiri" w:cs="Amiri" w:ascii="Amiri" w:hAnsi="Amiri"/>
          <w:color w:val="111111"/>
          <w:sz w:val="28"/>
          <w:szCs w:val="28"/>
          <w:rtl w:val="true"/>
          <w:lang w:bidi="ar-SA"/>
        </w:rPr>
        <w:t xml:space="preserve">»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هو و إن ضعفه المتأخرون على اصطلاحهم </w:t>
      </w:r>
      <w:r>
        <w:rPr>
          <w:rStyle w:val="FootnoteAnchor"/>
          <w:rtl w:val="true"/>
        </w:rPr>
        <w:footnoteReference w:id="2664"/>
      </w:r>
      <w:r>
        <w:rPr>
          <w:rFonts w:ascii="Amiri" w:hAnsi="Amiri" w:eastAsia="Amiri" w:cs="Amiri"/>
          <w:color w:val="111111"/>
          <w:sz w:val="28"/>
          <w:sz w:val="28"/>
          <w:szCs w:val="28"/>
          <w:rtl w:val="true"/>
          <w:lang w:bidi="ar-SA"/>
        </w:rPr>
        <w:t xml:space="preserve">، لكنه معتبر متكرر في تلك الأصول المعتبرة، موافق للقواعد الشرعية و العقلية </w:t>
      </w:r>
      <w:r>
        <w:rPr>
          <w:rStyle w:val="FootnoteAnchor"/>
          <w:rtl w:val="true"/>
        </w:rPr>
        <w:footnoteReference w:id="2665"/>
      </w:r>
      <w:r>
        <w:rPr>
          <w:rFonts w:ascii="Amiri" w:hAnsi="Amiri" w:eastAsia="Amiri" w:cs="Amiri"/>
          <w:color w:val="111111"/>
          <w:sz w:val="28"/>
          <w:sz w:val="28"/>
          <w:szCs w:val="28"/>
          <w:rtl w:val="true"/>
          <w:lang w:bidi="ar-SA"/>
        </w:rPr>
        <w:t xml:space="preserve">، مشتمل على حجة قائمة قل أن يوجد مثلها في الأحكام الفرعية النظرية، معتضد بغيره من الأخبار على ما مضى و يأتي ، خال عن </w:t>
      </w:r>
      <w:r>
        <w:rPr>
          <w:rStyle w:val="FootnoteAnchor"/>
          <w:rtl w:val="true"/>
        </w:rPr>
        <w:footnoteReference w:id="2666"/>
      </w:r>
      <w:r>
        <w:rPr>
          <w:rFonts w:ascii="Amiri" w:hAnsi="Amiri" w:eastAsia="Amiri" w:cs="Amiri"/>
          <w:color w:val="111111"/>
          <w:sz w:val="28"/>
          <w:sz w:val="28"/>
          <w:szCs w:val="28"/>
          <w:rtl w:val="true"/>
          <w:lang w:bidi="ar-SA"/>
        </w:rPr>
        <w:t xml:space="preserve">المعارض، و لا مجال للعدول عنه، ولا داعي إلى تأويله، و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لحمله على اليد المؤكدة بالتصرف كما وقع ليحيى بن سعيد في الجامع </w:t>
      </w:r>
      <w:r>
        <w:rPr>
          <w:rStyle w:val="FootnoteAnchor"/>
          <w:rtl w:val="true"/>
        </w:rPr>
        <w:footnoteReference w:id="2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ما </w:t>
      </w:r>
      <w:r>
        <w:rPr>
          <w:rStyle w:val="FootnoteAnchor"/>
          <w:rtl w:val="true"/>
        </w:rPr>
        <w:footnoteReference w:id="2668"/>
      </w:r>
      <w:r>
        <w:rPr>
          <w:rFonts w:ascii="Amiri" w:hAnsi="Amiri" w:eastAsia="Amiri" w:cs="Amiri"/>
          <w:color w:val="111111"/>
          <w:sz w:val="28"/>
          <w:sz w:val="28"/>
          <w:szCs w:val="28"/>
          <w:rtl w:val="true"/>
          <w:lang w:bidi="ar-SA"/>
        </w:rPr>
        <w:t xml:space="preserve">فيه من التعليلين المذكورين </w:t>
      </w:r>
      <w:r>
        <w:rPr>
          <w:rStyle w:val="FootnoteAnchor"/>
          <w:rtl w:val="true"/>
        </w:rPr>
        <w:footnoteReference w:id="2669"/>
      </w:r>
      <w:r>
        <w:rPr>
          <w:rFonts w:ascii="Amiri" w:hAnsi="Amiri" w:eastAsia="Amiri" w:cs="Amiri"/>
          <w:color w:val="111111"/>
          <w:sz w:val="28"/>
          <w:sz w:val="28"/>
          <w:szCs w:val="28"/>
          <w:rtl w:val="true"/>
          <w:lang w:bidi="ar-SA"/>
        </w:rPr>
        <w:t>صريحان في عموم الحكم لليد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الحر في الرسالة التي وضعها في حكم ذي اليد بعد ذكره لهذا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نص واضح بليغ جدا، و فيه عموم و إطلاق كما ترى مع قوة الدليل و صحة التعليل</w:t>
      </w:r>
      <w:r>
        <w:rPr>
          <w:rFonts w:eastAsia="Amiri" w:cs="Amiri" w:ascii="Amiri" w:hAnsi="Amiri"/>
          <w:color w:val="111111"/>
          <w:sz w:val="28"/>
          <w:szCs w:val="28"/>
          <w:rtl w:val="true"/>
          <w:lang w:bidi="ar-SA"/>
        </w:rPr>
        <w:t xml:space="preserve">» </w:t>
      </w:r>
      <w:r>
        <w:rPr>
          <w:rStyle w:val="FootnoteAnchor"/>
          <w:rtl w:val="true"/>
        </w:rPr>
        <w:footnoteReference w:id="2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في شرحه على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الرواية ضعيفة ن </w:t>
      </w:r>
    </w:p>
    <w:p>
      <w:pPr>
        <w:pStyle w:val="BookText"/>
        <w:rPr/>
      </w:pPr>
      <w:r>
        <w:rPr>
          <w:rFonts w:ascii="Amiri" w:hAnsi="Amiri" w:eastAsia="Amiri" w:cs="Amiri"/>
          <w:color w:val="111111"/>
          <w:sz w:val="28"/>
          <w:sz w:val="28"/>
          <w:szCs w:val="28"/>
          <w:rtl w:val="true"/>
          <w:lang w:bidi="ar-SA"/>
        </w:rPr>
        <w:t>الإسناد، إلا أن مضمونها مطابق للقواعد الشرعية</w:t>
      </w:r>
      <w:r>
        <w:rPr>
          <w:rFonts w:eastAsia="Amiri" w:cs="Amiri" w:ascii="Amiri" w:hAnsi="Amiri"/>
          <w:color w:val="111111"/>
          <w:sz w:val="28"/>
          <w:szCs w:val="28"/>
          <w:rtl w:val="true"/>
          <w:lang w:bidi="ar-SA"/>
        </w:rPr>
        <w:t xml:space="preserve">»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حماد بن عثمان </w:t>
      </w:r>
      <w:r>
        <w:rPr>
          <w:rStyle w:val="FootnoteAnchor"/>
          <w:rtl w:val="true"/>
        </w:rPr>
        <w:footnoteReference w:id="2672"/>
      </w:r>
      <w:r>
        <w:rPr>
          <w:rFonts w:ascii="IRNazanin" w:hAnsi="IRNazanin" w:eastAsia="IRNazanin"/>
          <w:color w:val="111111"/>
          <w:sz w:val="28"/>
          <w:sz w:val="28"/>
          <w:szCs w:val="28"/>
          <w:rtl w:val="true"/>
          <w:lang w:bidi="fa-IR"/>
        </w:rPr>
        <w:t xml:space="preserve">المروية في تفسير القمي عن أبي عبد الله علیه السلام في حديث فدك لما ادعتها فاطمة سلام الله علیها و كانت في يدها، و ادعت أن أباها وهبها إياها، فطلب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 </w:t>
      </w:r>
      <w:r>
        <w:rPr>
          <w:rStyle w:val="FootnoteAnchor"/>
          <w:rtl w:val="true"/>
        </w:rPr>
        <w:footnoteReference w:id="2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البينة فعجزت عنها، فعند ذلك انتزعها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Style w:val="FootnoteAnchor"/>
          <w:rtl w:val="true"/>
        </w:rPr>
        <w:footnoteReference w:id="2674"/>
      </w:r>
      <w:r>
        <w:rPr>
          <w:rFonts w:ascii="Amiri" w:hAnsi="Amiri" w:eastAsia="Amiri" w:cs="Amiri"/>
          <w:color w:val="111111"/>
          <w:sz w:val="28"/>
          <w:sz w:val="28"/>
          <w:szCs w:val="28"/>
          <w:rtl w:val="true"/>
          <w:lang w:bidi="ar-SA"/>
        </w:rPr>
        <w:t>، تَحْكُمُ فِيْنَا بِخِلَافِ حُكْمِ اللهِ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أَيْدِي </w:t>
      </w:r>
      <w:r>
        <w:rPr>
          <w:rStyle w:val="FootnoteAnchor"/>
          <w:rtl w:val="true"/>
        </w:rPr>
        <w:footnoteReference w:id="2675"/>
      </w:r>
      <w:r>
        <w:rPr>
          <w:rFonts w:ascii="Amiri" w:hAnsi="Amiri" w:eastAsia="Amiri" w:cs="Amiri"/>
          <w:color w:val="111111"/>
          <w:sz w:val="28"/>
          <w:sz w:val="28"/>
          <w:szCs w:val="28"/>
          <w:rtl w:val="true"/>
          <w:lang w:bidi="ar-SA"/>
        </w:rPr>
        <w:t xml:space="preserve">الْمُسْلِمِيْنَ شَيْءٌ يَمْلِكُوْنَهُ فَادَّعَيْتُ أَنَا فِيْهِ ، مَنْ كُنْتَ </w:t>
      </w:r>
      <w:r>
        <w:rPr>
          <w:rStyle w:val="FootnoteAnchor"/>
          <w:rtl w:val="true"/>
        </w:rPr>
        <w:footnoteReference w:id="2676"/>
      </w:r>
      <w:r>
        <w:rPr>
          <w:rFonts w:ascii="Amiri" w:hAnsi="Amiri" w:eastAsia="Amiri" w:cs="Amiri"/>
          <w:color w:val="111111"/>
          <w:sz w:val="28"/>
          <w:sz w:val="28"/>
          <w:szCs w:val="28"/>
          <w:rtl w:val="true"/>
          <w:lang w:bidi="ar-SA"/>
        </w:rPr>
        <w:t xml:space="preserve">تَسْأَلُ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كُنْتُ أَسْأَلُ الْبَيِّنَةَ </w:t>
      </w:r>
      <w:r>
        <w:rPr>
          <w:rStyle w:val="FootnoteAnchor"/>
          <w:rtl w:val="true"/>
        </w:rPr>
        <w:footnoteReference w:id="2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فَادَّعَى </w:t>
      </w:r>
      <w:r>
        <w:rPr>
          <w:rStyle w:val="FootnoteAnchor"/>
          <w:rtl w:val="true"/>
        </w:rPr>
        <w:footnoteReference w:id="2678"/>
      </w:r>
      <w:r>
        <w:rPr>
          <w:rFonts w:ascii="Amiri" w:hAnsi="Amiri" w:eastAsia="Amiri" w:cs="Amiri"/>
          <w:color w:val="111111"/>
          <w:sz w:val="28"/>
          <w:sz w:val="28"/>
          <w:szCs w:val="28"/>
          <w:rtl w:val="true"/>
          <w:lang w:bidi="ar-SA"/>
        </w:rPr>
        <w:t xml:space="preserve">فِيْهِ الْمُسْلِمُونَ، تَسْأَلُنِي </w:t>
      </w:r>
      <w:r>
        <w:rPr>
          <w:rStyle w:val="FootnoteAnchor"/>
          <w:rtl w:val="true"/>
        </w:rPr>
        <w:footnoteReference w:id="2679"/>
      </w:r>
      <w:r>
        <w:rPr>
          <w:rFonts w:ascii="Amiri" w:hAnsi="Amiri" w:eastAsia="Amiri" w:cs="Amiri"/>
          <w:color w:val="111111"/>
          <w:sz w:val="28"/>
          <w:sz w:val="28"/>
          <w:szCs w:val="28"/>
          <w:rtl w:val="true"/>
          <w:lang w:bidi="ar-SA"/>
        </w:rPr>
        <w:t xml:space="preserve">فِيهِ الْبَيِّنَةَ عَلَى مَا فِي يَدِي وَ قَدْ مَلَكْتُهُ فِي حَيَاةِ رَسُولِ اللهِ صلی الله علیه و آله و سلم وَ بَعْدَهُ، وَ لَمْ تَسْأَلِ المُسْلِمينَ الْبَيِّنَةَ عَلَى مَا ادَّعَوْا </w:t>
      </w:r>
      <w:r>
        <w:rPr>
          <w:rStyle w:val="FootnoteAnchor"/>
          <w:rtl w:val="true"/>
        </w:rPr>
        <w:footnoteReference w:id="2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ادَّعَى وَ الْيَمِيْنُ عَلَى مَنْ أَنْكَرَ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في جملة كتبه </w:t>
      </w:r>
      <w:r>
        <w:rPr>
          <w:rStyle w:val="FootnoteAnchor"/>
          <w:rtl w:val="true"/>
        </w:rPr>
        <w:footnoteReference w:id="2683"/>
      </w:r>
      <w:r>
        <w:rPr>
          <w:rFonts w:ascii="Amiri" w:hAnsi="Amiri" w:eastAsia="Amiri" w:cs="Amiri"/>
          <w:color w:val="111111"/>
          <w:sz w:val="28"/>
          <w:sz w:val="28"/>
          <w:szCs w:val="28"/>
          <w:rtl w:val="true"/>
          <w:lang w:bidi="ar-SA"/>
        </w:rPr>
        <w:t xml:space="preserve">، و رواه الطبرسي في الاحتجاج </w:t>
      </w:r>
      <w:r>
        <w:rPr>
          <w:rStyle w:val="FootnoteAnchor"/>
          <w:rtl w:val="true"/>
        </w:rPr>
        <w:footnoteReference w:id="2684"/>
      </w:r>
      <w:r>
        <w:rPr>
          <w:rFonts w:ascii="Amiri" w:hAnsi="Amiri" w:eastAsia="Amiri" w:cs="Amiri"/>
          <w:color w:val="111111"/>
          <w:sz w:val="28"/>
          <w:sz w:val="28"/>
          <w:szCs w:val="28"/>
          <w:rtl w:val="true"/>
          <w:lang w:bidi="ar-SA"/>
        </w:rPr>
        <w:t xml:space="preserve">و غيره </w:t>
      </w:r>
      <w:r>
        <w:rPr>
          <w:rStyle w:val="FootnoteAnchor"/>
          <w:rtl w:val="true"/>
        </w:rPr>
        <w:footnoteReference w:id="2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رواه بعض المخالفين على ما نقله المحدث الصالح الشيخ عبد الله بن صالح في بعض رسائله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صحته و تكرره في أصول </w:t>
      </w:r>
      <w:r>
        <w:rPr>
          <w:rStyle w:val="FootnoteAnchor"/>
          <w:rtl w:val="true"/>
        </w:rPr>
        <w:footnoteReference w:id="2687"/>
      </w: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 بعض الأفاضل من علمائنا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متواتر مشهور في كتب الحديث، مطابق لما في السير و التواريخ </w:t>
      </w:r>
      <w:r>
        <w:rPr>
          <w:rFonts w:eastAsia="Amiri" w:cs="Amiri" w:ascii="Amiri" w:hAnsi="Amiri"/>
          <w:color w:val="111111"/>
          <w:sz w:val="28"/>
          <w:szCs w:val="28"/>
          <w:rtl w:val="true"/>
          <w:lang w:bidi="ar-SA"/>
        </w:rPr>
        <w:t xml:space="preserve">» </w:t>
      </w:r>
      <w:r>
        <w:rPr>
          <w:rStyle w:val="FootnoteAnchor"/>
          <w:rtl w:val="true"/>
        </w:rPr>
        <w:footnoteReference w:id="2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ذا اليد منكر لا مدع، و أن </w:t>
      </w:r>
      <w:r>
        <w:rPr>
          <w:rStyle w:val="FootnoteAnchor"/>
          <w:rtl w:val="true"/>
        </w:rPr>
        <w:footnoteReference w:id="2689"/>
      </w:r>
      <w:r>
        <w:rPr>
          <w:rFonts w:ascii="Amiri" w:hAnsi="Amiri" w:eastAsia="Amiri" w:cs="Amiri"/>
          <w:color w:val="111111"/>
          <w:sz w:val="28"/>
          <w:sz w:val="28"/>
          <w:szCs w:val="28"/>
          <w:rtl w:val="true"/>
          <w:lang w:bidi="ar-SA"/>
        </w:rPr>
        <w:t xml:space="preserve">اليمين وظيفته و إن ادعى سببًا خاصا كالهبة هنا أو اعترف بملكية سابقة كما هو صريحه ، و أنه </w:t>
      </w:r>
      <w:r>
        <w:rPr>
          <w:rStyle w:val="FootnoteAnchor"/>
          <w:rtl w:val="true"/>
        </w:rPr>
        <w:footnoteReference w:id="2690"/>
      </w:r>
      <w:r>
        <w:rPr>
          <w:rFonts w:ascii="Amiri" w:hAnsi="Amiri" w:eastAsia="Amiri" w:cs="Amiri"/>
          <w:color w:val="111111"/>
          <w:sz w:val="28"/>
          <w:sz w:val="28"/>
          <w:szCs w:val="28"/>
          <w:rtl w:val="true"/>
          <w:lang w:bidi="ar-SA"/>
        </w:rPr>
        <w:t xml:space="preserve">إذا لم يثبت السبب الخاص لم يبطل التصرف و لا الملك الذي دلت عليه اليد </w:t>
      </w:r>
      <w:r>
        <w:rPr>
          <w:rStyle w:val="FootnoteAnchor"/>
          <w:rtl w:val="true"/>
        </w:rPr>
        <w:footnoteReference w:id="2691"/>
      </w:r>
      <w:r>
        <w:rPr>
          <w:rFonts w:ascii="IRNazanin" w:hAnsi="IRNazanin" w:eastAsia="IRNazanin"/>
          <w:color w:val="111111"/>
          <w:sz w:val="28"/>
          <w:sz w:val="28"/>
          <w:szCs w:val="28"/>
          <w:rtl w:val="true"/>
          <w:lang w:bidi="fa-IR"/>
        </w:rPr>
        <w:t>كما أعلن به استدلال أمير المؤمنين علیه السلام و احتجاجه على أبي بكر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لا يرد عليه كون هذا مثمرًا لذلك لكونه عن المعصوم و أمثاله من المناقشات لديه علیه السلام ، حيث لم يلتفت إلى ذلك؛ لما </w:t>
      </w:r>
      <w:r>
        <w:rPr>
          <w:rStyle w:val="FootnoteAnchor"/>
          <w:rtl w:val="true"/>
        </w:rPr>
        <w:footnoteReference w:id="2692"/>
      </w:r>
      <w:r>
        <w:rPr>
          <w:rFonts w:ascii="Amiri" w:hAnsi="Amiri" w:eastAsia="Amiri" w:cs="Amiri"/>
          <w:color w:val="111111"/>
          <w:sz w:val="28"/>
          <w:sz w:val="28"/>
          <w:szCs w:val="28"/>
          <w:rtl w:val="true"/>
          <w:lang w:bidi="ar-SA"/>
        </w:rPr>
        <w:t>احتَجَّ بالقاعدة المُسَلّمة في دعاوى سائر المسلمين، فدلالته على تلك الدعوى لا غبار عليها، سيما قد أيدها جملة من الأخبار المعوّل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عَلَى مَن ادَّعَى وَ 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2693"/>
      </w:r>
      <w:r>
        <w:rPr>
          <w:rFonts w:ascii="Amiri" w:hAnsi="Amiri" w:eastAsia="Amiri" w:cs="Amiri"/>
          <w:color w:val="111111"/>
          <w:sz w:val="28"/>
          <w:sz w:val="28"/>
          <w:szCs w:val="28"/>
          <w:rtl w:val="true"/>
          <w:lang w:bidi="ar-SA"/>
        </w:rPr>
        <w:t>، فإنه متواتر من اللفظ بين المؤلّفين كما هو غير خفي على من لاحظ الأصول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منصور بن حازم على ما في التهذيب عن أبي عبدالله علیه السلام في حديث تعارض اليمينين في شاة في ید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لِلْمُدَّعِي، وَ لَا أَقْبَلُ مِنَ الَّذِي فِي يَدِهِ بَيِّنَةٌ </w:t>
      </w:r>
      <w:r>
        <w:rPr>
          <w:rStyle w:val="FootnoteAnchor"/>
          <w:rtl w:val="true"/>
        </w:rPr>
        <w:footnoteReference w:id="2694"/>
      </w:r>
      <w:r>
        <w:rPr>
          <w:rFonts w:ascii="Amiri" w:hAnsi="Amiri" w:eastAsia="Amiri" w:cs="Amiri"/>
          <w:color w:val="111111"/>
          <w:sz w:val="28"/>
          <w:sz w:val="28"/>
          <w:szCs w:val="28"/>
          <w:rtl w:val="true"/>
          <w:lang w:bidi="ar-SA"/>
        </w:rPr>
        <w:t xml:space="preserve">لِأَنَّ اللهَ عَزَّ وَجَلَّ إِنَّمَا أَمَرَ أَنْ تُطْلَبَ </w:t>
      </w:r>
      <w:r>
        <w:rPr>
          <w:rStyle w:val="FootnoteAnchor"/>
          <w:rtl w:val="true"/>
        </w:rPr>
        <w:footnoteReference w:id="2695"/>
      </w:r>
      <w:r>
        <w:rPr>
          <w:rFonts w:ascii="Amiri" w:hAnsi="Amiri" w:eastAsia="Amiri" w:cs="Amiri"/>
          <w:color w:val="111111"/>
          <w:sz w:val="28"/>
          <w:sz w:val="28"/>
          <w:szCs w:val="28"/>
          <w:rtl w:val="true"/>
          <w:lang w:bidi="ar-SA"/>
        </w:rPr>
        <w:t xml:space="preserve">الْبَيِّنَةُ عَلَى </w:t>
      </w:r>
      <w:r>
        <w:rPr>
          <w:rStyle w:val="FootnoteAnchor"/>
          <w:rtl w:val="true"/>
        </w:rPr>
        <w:footnoteReference w:id="2696"/>
      </w:r>
      <w:r>
        <w:rPr>
          <w:rFonts w:ascii="Amiri" w:hAnsi="Amiri" w:eastAsia="Amiri" w:cs="Amiri"/>
          <w:color w:val="111111"/>
          <w:sz w:val="28"/>
          <w:sz w:val="28"/>
          <w:szCs w:val="28"/>
          <w:rtl w:val="true"/>
          <w:lang w:bidi="ar-SA"/>
        </w:rPr>
        <w:t xml:space="preserve">المُدَّعِي، فَإِنْ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Style w:val="FootnoteAnchor"/>
          <w:rtl w:val="true"/>
        </w:rPr>
        <w:footnoteReference w:id="2697"/>
      </w:r>
      <w:r>
        <w:rPr>
          <w:rFonts w:ascii="Amiri" w:hAnsi="Amiri" w:eastAsia="Amiri" w:cs="Amiri"/>
          <w:color w:val="111111"/>
          <w:sz w:val="28"/>
          <w:sz w:val="28"/>
          <w:szCs w:val="28"/>
          <w:rtl w:val="true"/>
          <w:lang w:bidi="ar-SA"/>
        </w:rPr>
        <w:t xml:space="preserve">وَ إِلَّا فَيَمِيْنُ الَّذِي فِي يَدِهِ، هَكَذَا أَمَرَ اللهُ عَزَّ وَجَلَّ </w:t>
      </w:r>
      <w:r>
        <w:rPr>
          <w:rFonts w:eastAsia="Amiri" w:cs="Amiri" w:ascii="Amiri" w:hAnsi="Amiri"/>
          <w:color w:val="111111"/>
          <w:sz w:val="28"/>
          <w:szCs w:val="28"/>
          <w:rtl w:val="true"/>
          <w:lang w:bidi="ar-SA"/>
        </w:rPr>
        <w:t xml:space="preserve">» </w:t>
      </w:r>
      <w:r>
        <w:rPr>
          <w:rStyle w:val="FootnoteAnchor"/>
          <w:rtl w:val="true"/>
        </w:rPr>
        <w:footnoteReference w:id="2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أن ذا اليد مدعى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لا مدع، وأنه لا يطالب بالبينة، بل لا يسمع منه لو أقامها؛ بل هو منكر فرضه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عموم و إطلاق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استفاض عنهم علیهم السلام و قام عليه الإجماع القطعي و السيرة المعلومة من النبي صلی الله علیه و آله و سلم و الحجج بعده و من بعدهم من المسلمين في جميع الأعصار و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قبول إهداء ذي اليد لما في يده، و أكله، و لبسه، و صلته، و بيعه، و إجارته، و إنكاح أمته و تحليلها و جواز وطئها و الاستيلاد منها و غير ذلك من أنواع التصرفات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غير </w:t>
      </w:r>
      <w:r>
        <w:rPr>
          <w:rStyle w:val="FootnoteAnchor"/>
          <w:rtl w:val="true"/>
        </w:rPr>
        <w:footnoteReference w:id="2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لحاله و طلب لجهة السند، بل مع التهمة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الطبرسي في كتاب الاحتجاج عن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صاحب الزمان علیه السلام يسأله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مِنْ وُكَلَاءِ الْوَقْفِ مُسْتَحِلَّا </w:t>
      </w:r>
      <w:r>
        <w:rPr>
          <w:rStyle w:val="FootnoteAnchor"/>
          <w:rtl w:val="true"/>
        </w:rPr>
        <w:footnoteReference w:id="2700"/>
      </w:r>
      <w:r>
        <w:rPr>
          <w:rFonts w:ascii="Amiri" w:hAnsi="Amiri" w:eastAsia="Amiri" w:cs="Amiri"/>
          <w:color w:val="111111"/>
          <w:sz w:val="28"/>
          <w:sz w:val="28"/>
          <w:szCs w:val="28"/>
          <w:rtl w:val="true"/>
          <w:lang w:bidi="ar-SA"/>
        </w:rPr>
        <w:t xml:space="preserve">لَا فِي يَدِهِ، لَا يَتَوَرَّعُ </w:t>
      </w:r>
      <w:r>
        <w:rPr>
          <w:rStyle w:val="FootnoteAnchor"/>
          <w:rtl w:val="true"/>
        </w:rPr>
        <w:footnoteReference w:id="2701"/>
      </w:r>
      <w:r>
        <w:rPr>
          <w:rFonts w:ascii="Amiri" w:hAnsi="Amiri" w:eastAsia="Amiri" w:cs="Amiri"/>
          <w:color w:val="111111"/>
          <w:sz w:val="28"/>
          <w:sz w:val="28"/>
          <w:szCs w:val="28"/>
          <w:rtl w:val="true"/>
          <w:lang w:bidi="ar-SA"/>
        </w:rPr>
        <w:t xml:space="preserve">عَنْ أَخْذِ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نَزَلْتُ فِي قَرْيَةٍ </w:t>
      </w:r>
      <w:r>
        <w:rPr>
          <w:rStyle w:val="FootnoteAnchor"/>
          <w:rtl w:val="true"/>
        </w:rPr>
        <w:footnoteReference w:id="2702"/>
      </w:r>
      <w:r>
        <w:rPr>
          <w:rFonts w:ascii="Amiri" w:hAnsi="Amiri" w:eastAsia="Amiri" w:cs="Amiri"/>
          <w:color w:val="111111"/>
          <w:sz w:val="28"/>
          <w:sz w:val="28"/>
          <w:szCs w:val="28"/>
          <w:rtl w:val="true"/>
          <w:lang w:bidi="ar-SA"/>
        </w:rPr>
        <w:t xml:space="preserve">وَ هُوَ فِيْهَا، أَوْ أَدْخُلُ مَنْزِلَهُ وَ قَدْ حَضَرَ طَعَامُهُ فَيَدْعُوْنِي إِلَيْهِ، فَإِنْ لَمْ أَكُلُ مِنْ طَعَامِهِ عَادَانِي عَلَيْهِ </w:t>
      </w:r>
      <w:r>
        <w:rPr>
          <w:rStyle w:val="FootnoteAnchor"/>
          <w:rtl w:val="true"/>
        </w:rPr>
        <w:footnoteReference w:id="2703"/>
      </w:r>
      <w:r>
        <w:rPr>
          <w:rFonts w:ascii="Amiri" w:hAnsi="Amiri" w:eastAsia="Amiri" w:cs="Amiri"/>
          <w:color w:val="111111"/>
          <w:sz w:val="28"/>
          <w:sz w:val="28"/>
          <w:szCs w:val="28"/>
          <w:rtl w:val="true"/>
          <w:lang w:bidi="ar-SA"/>
        </w:rPr>
        <w:t xml:space="preserve">فَهَلْ يَجُوْزُ لِي أَنْ أَكُلَ طَعَامَهُ وَ أَتَصَدَّقَ بِصَدَقَتِهِ </w:t>
      </w:r>
      <w:r>
        <w:rPr>
          <w:rStyle w:val="FootnoteAnchor"/>
          <w:rtl w:val="true"/>
        </w:rPr>
        <w:footnoteReference w:id="27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كَمْ مِقْدَارُ الصَّدقَةِ؟ وَ إِنْ أَهْدَى هَذَا الْوَكِيْلُ هَدِيَّةٌ إِلَى رَجُلٍ آخَر فَيَدْعُوْنِي إلَى مَا </w:t>
      </w:r>
      <w:r>
        <w:rPr>
          <w:rStyle w:val="FootnoteAnchor"/>
          <w:rtl w:val="true"/>
        </w:rPr>
        <w:footnoteReference w:id="2705"/>
      </w:r>
      <w:r>
        <w:rPr>
          <w:rFonts w:ascii="Amiri" w:hAnsi="Amiri" w:eastAsia="Amiri" w:cs="Amiri"/>
          <w:color w:val="111111"/>
          <w:sz w:val="28"/>
          <w:sz w:val="28"/>
          <w:szCs w:val="28"/>
          <w:rtl w:val="true"/>
          <w:lang w:bidi="ar-SA"/>
        </w:rPr>
        <w:t xml:space="preserve">أَنَالُ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أَعْلَمُ أَنَّ الْوَكِيْلَ لَا يَتَوَرَّعُ </w:t>
      </w:r>
      <w:r>
        <w:rPr>
          <w:rStyle w:val="FootnoteAnchor"/>
          <w:rtl w:val="true"/>
        </w:rPr>
        <w:footnoteReference w:id="2706"/>
      </w:r>
      <w:r>
        <w:rPr>
          <w:rFonts w:ascii="Amiri" w:hAnsi="Amiri" w:eastAsia="Amiri" w:cs="Amiri"/>
          <w:color w:val="111111"/>
          <w:sz w:val="28"/>
          <w:sz w:val="28"/>
          <w:szCs w:val="28"/>
          <w:rtl w:val="true"/>
          <w:lang w:bidi="ar-SA"/>
        </w:rPr>
        <w:t xml:space="preserve">عَنْ أَخْذِ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فِيهِ </w:t>
      </w:r>
      <w:r>
        <w:rPr>
          <w:rStyle w:val="FootnoteAnchor"/>
          <w:rtl w:val="true"/>
        </w:rPr>
        <w:footnoteReference w:id="2707"/>
      </w:r>
      <w:r>
        <w:rPr>
          <w:rFonts w:ascii="Amiri" w:hAnsi="Amiri" w:eastAsia="Amiri" w:cs="Amiri"/>
          <w:color w:val="111111"/>
          <w:sz w:val="28"/>
          <w:sz w:val="28"/>
          <w:szCs w:val="28"/>
          <w:rtl w:val="true"/>
          <w:lang w:bidi="ar-SA"/>
        </w:rPr>
        <w:t>شيءٌ إِنْ أَنَا نِلْتُ مِنْهَا؟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الرَّجُلِ مَالٌ أَوْ مَعَاشُ مِنْ </w:t>
      </w:r>
      <w:r>
        <w:rPr>
          <w:rStyle w:val="FootnoteAnchor"/>
          <w:rtl w:val="true"/>
        </w:rPr>
        <w:footnoteReference w:id="2708"/>
      </w:r>
      <w:r>
        <w:rPr>
          <w:rFonts w:ascii="Amiri" w:hAnsi="Amiri" w:eastAsia="Amiri" w:cs="Amiri"/>
          <w:color w:val="111111"/>
          <w:sz w:val="28"/>
          <w:sz w:val="28"/>
          <w:szCs w:val="28"/>
          <w:rtl w:val="true"/>
          <w:lang w:bidi="ar-SA"/>
        </w:rPr>
        <w:t xml:space="preserve">غَيْرِ مَا فِي يَدِهِ فَكُلْ مِنْ </w:t>
      </w:r>
      <w:r>
        <w:rPr>
          <w:rStyle w:val="FootnoteAnchor"/>
          <w:rtl w:val="true"/>
        </w:rPr>
        <w:footnoteReference w:id="2709"/>
      </w:r>
      <w:r>
        <w:rPr>
          <w:rFonts w:ascii="Amiri" w:hAnsi="Amiri" w:eastAsia="Amiri" w:cs="Amiri"/>
          <w:color w:val="111111"/>
          <w:sz w:val="28"/>
          <w:sz w:val="28"/>
          <w:szCs w:val="28"/>
          <w:rtl w:val="true"/>
          <w:lang w:bidi="ar-SA"/>
        </w:rPr>
        <w:t>طَعَامِهِ وَ اقْبَلْ بِرَّهُ، وَ إِلَّا فَلَا</w:t>
      </w:r>
      <w:r>
        <w:rPr>
          <w:rFonts w:eastAsia="Amiri" w:cs="Amiri" w:ascii="Amiri" w:hAnsi="Amiri"/>
          <w:color w:val="111111"/>
          <w:sz w:val="28"/>
          <w:szCs w:val="28"/>
          <w:rtl w:val="true"/>
          <w:lang w:bidi="ar-SA"/>
        </w:rPr>
        <w:t xml:space="preserve">» </w:t>
      </w:r>
      <w:r>
        <w:rPr>
          <w:rStyle w:val="FootnoteAnchor"/>
          <w:rtl w:val="true"/>
        </w:rPr>
        <w:footnoteReference w:id="2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w:t>
      </w:r>
      <w:r>
        <w:rPr>
          <w:rStyle w:val="FootnoteAnchor"/>
          <w:rtl w:val="true"/>
        </w:rPr>
        <w:footnoteReference w:id="2711"/>
      </w:r>
      <w:r>
        <w:rPr>
          <w:rFonts w:ascii="Amiri" w:hAnsi="Amiri" w:eastAsia="Amiri" w:cs="Amiri"/>
          <w:color w:val="111111"/>
          <w:sz w:val="28"/>
          <w:sz w:val="28"/>
          <w:szCs w:val="28"/>
          <w:rtl w:val="true"/>
          <w:lang w:bidi="ar-SA"/>
        </w:rPr>
        <w:t xml:space="preserve">الشيخ في كتاب الغيبة نحوه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ناهيك دلالة ما رواه الشيخ و محمد بن يعقوب في الموثق </w:t>
      </w:r>
      <w:r>
        <w:rPr>
          <w:rStyle w:val="FootnoteAnchor"/>
          <w:rtl w:val="true"/>
        </w:rPr>
        <w:footnoteReference w:id="2713"/>
      </w:r>
      <w:r>
        <w:rPr>
          <w:rFonts w:ascii="Amiri" w:hAnsi="Amiri" w:eastAsia="Amiri" w:cs="Amiri"/>
          <w:color w:val="111111"/>
          <w:sz w:val="28"/>
          <w:sz w:val="28"/>
          <w:szCs w:val="28"/>
          <w:rtl w:val="true"/>
          <w:lang w:bidi="ar-SA"/>
        </w:rPr>
        <w:t>عن مسعدة بن صدقة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هُوَ لَكَ حَلَالٌ حَتَّى تَعْرِفَ الحرام </w:t>
      </w:r>
      <w:r>
        <w:rPr>
          <w:rStyle w:val="FootnoteAnchor"/>
          <w:rtl w:val="true"/>
        </w:rPr>
        <w:footnoteReference w:id="2714"/>
      </w:r>
      <w:r>
        <w:rPr>
          <w:rFonts w:ascii="Amiri" w:hAnsi="Amiri" w:eastAsia="Amiri" w:cs="Amiri"/>
          <w:color w:val="111111"/>
          <w:sz w:val="28"/>
          <w:sz w:val="28"/>
          <w:szCs w:val="28"/>
          <w:rtl w:val="true"/>
          <w:lang w:bidi="ar-SA"/>
        </w:rPr>
        <w:t>بِعَيْنِهِ فَتَدَعَهُ مِنْ قِبَلِ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Style w:val="FootnoteAnchor"/>
          <w:rtl w:val="true"/>
        </w:rPr>
        <w:footnoteReference w:id="2715"/>
      </w:r>
      <w:r>
        <w:rPr>
          <w:rFonts w:ascii="Amiri" w:hAnsi="Amiri" w:eastAsia="Amiri" w:cs="Amiri"/>
          <w:color w:val="111111"/>
          <w:sz w:val="28"/>
          <w:sz w:val="28"/>
          <w:szCs w:val="28"/>
          <w:rtl w:val="true"/>
          <w:lang w:bidi="ar-SA"/>
        </w:rPr>
        <w:t xml:space="preserve">مِثْلُ الثوْبِ يَكُونُ عَلَيْكَ </w:t>
      </w:r>
      <w:r>
        <w:rPr>
          <w:rStyle w:val="FootnoteAnchor"/>
          <w:rtl w:val="true"/>
        </w:rPr>
        <w:footnoteReference w:id="2716"/>
      </w:r>
      <w:r>
        <w:rPr>
          <w:rFonts w:ascii="Amiri" w:hAnsi="Amiri" w:eastAsia="Amiri" w:cs="Amiri"/>
          <w:color w:val="111111"/>
          <w:sz w:val="28"/>
          <w:sz w:val="28"/>
          <w:szCs w:val="28"/>
          <w:rtl w:val="true"/>
          <w:lang w:bidi="ar-SA"/>
        </w:rPr>
        <w:t xml:space="preserve">قَدِ اشْتَريْتَهُ وَ هُوَ سَرِقَةٌ، أَو المَمْلُوكُ يَكُونُ عِنْدَكَ وَ لَعَلَّهُ حُرٌّ قَدْ بَاعَ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نَفْسَهُ أَوْ خُدِعَ فَبِيْعَ قَهْرًا </w:t>
      </w:r>
      <w:r>
        <w:rPr>
          <w:rStyle w:val="FootnoteAnchor"/>
          <w:rtl w:val="true"/>
        </w:rPr>
        <w:footnoteReference w:id="2717"/>
      </w:r>
      <w:r>
        <w:rPr>
          <w:rFonts w:ascii="Amiri" w:hAnsi="Amiri" w:eastAsia="Amiri" w:cs="Amiri"/>
          <w:color w:val="111111"/>
          <w:sz w:val="28"/>
          <w:sz w:val="28"/>
          <w:szCs w:val="28"/>
          <w:rtl w:val="true"/>
          <w:lang w:bidi="ar-SA"/>
        </w:rPr>
        <w:t xml:space="preserve">، أو امْرَأَةٌ </w:t>
      </w:r>
      <w:r>
        <w:rPr>
          <w:rStyle w:val="FootnoteAnchor"/>
          <w:rtl w:val="true"/>
        </w:rPr>
        <w:footnoteReference w:id="2718"/>
      </w:r>
      <w:r>
        <w:rPr>
          <w:rFonts w:ascii="Amiri" w:hAnsi="Amiri" w:eastAsia="Amiri" w:cs="Amiri"/>
          <w:color w:val="111111"/>
          <w:sz w:val="28"/>
          <w:sz w:val="28"/>
          <w:szCs w:val="28"/>
          <w:rtl w:val="true"/>
          <w:lang w:bidi="ar-SA"/>
        </w:rPr>
        <w:t xml:space="preserve">تَحْتَكَ وَ هِيَ ابْنَتُكَ </w:t>
      </w:r>
      <w:r>
        <w:rPr>
          <w:rStyle w:val="FootnoteAnchor"/>
          <w:rtl w:val="true"/>
        </w:rPr>
        <w:footnoteReference w:id="2719"/>
      </w:r>
      <w:r>
        <w:rPr>
          <w:rFonts w:ascii="Amiri" w:hAnsi="Amiri" w:eastAsia="Amiri" w:cs="Amiri"/>
          <w:color w:val="111111"/>
          <w:sz w:val="28"/>
          <w:sz w:val="28"/>
          <w:szCs w:val="28"/>
          <w:rtl w:val="true"/>
          <w:lang w:bidi="ar-SA"/>
        </w:rPr>
        <w:t>أَوْ رَضِيْعَتُكَ، وَ الأشْيَاءُ كُلُّهَا عَلَى هَذَا حَتَّى يَسْتَبِيْنَ لَكَ غَيْرُ ذَلِكَ أَوْ تَقُوْمَ لَكَ بِهِ الْبَيِّنَةُ</w:t>
      </w:r>
      <w:r>
        <w:rPr>
          <w:rFonts w:eastAsia="Amiri" w:cs="Amiri" w:ascii="Amiri" w:hAnsi="Amiri"/>
          <w:color w:val="111111"/>
          <w:sz w:val="28"/>
          <w:szCs w:val="28"/>
          <w:rtl w:val="true"/>
          <w:lang w:bidi="ar-SA"/>
        </w:rPr>
        <w:t xml:space="preserve">»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هذا المعنى كثيرة تكاد 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أن ذلك الاستحلال فرع العلم بالإباحة المتوقفة على ملك ذي اليد و المبيح الرافع للحرج المنفي بالآية و الرواية </w:t>
      </w:r>
      <w:r>
        <w:rPr>
          <w:rStyle w:val="FootnoteAnchor"/>
          <w:rtl w:val="true"/>
        </w:rPr>
        <w:footnoteReference w:id="2721"/>
      </w:r>
      <w:r>
        <w:rPr>
          <w:rFonts w:ascii="Amiri" w:hAnsi="Amiri" w:eastAsia="Amiri" w:cs="Amiri"/>
          <w:color w:val="111111"/>
          <w:sz w:val="28"/>
          <w:sz w:val="28"/>
          <w:szCs w:val="28"/>
          <w:rtl w:val="true"/>
          <w:lang w:bidi="ar-SA"/>
        </w:rPr>
        <w:t>لولا ملاحظة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قوله علیه السلام في خبر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مَا قَامَتْ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2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الكليني 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723"/>
      </w:r>
      <w:r>
        <w:rPr>
          <w:rFonts w:ascii="Amiri" w:hAnsi="Amiri" w:eastAsia="Amiri" w:cs="Amiri"/>
          <w:color w:val="111111"/>
          <w:sz w:val="28"/>
          <w:sz w:val="28"/>
          <w:szCs w:val="28"/>
          <w:rtl w:val="true"/>
          <w:lang w:bidi="ar-SA"/>
        </w:rPr>
        <w:t xml:space="preserve">يَغِيْبُ عَنْهَا ثَلَاثِيْنَ سَنَةٌ وَ يَدَعُ فِيْهَا عِيَالَهُ، ثُمَّ يَأْتِيْنَا هَلَاكُهُ وَ نَحْنُ لَا نَدْرِي مَا أَحْدَثَ فِي دَارِهِ، وَ لَا نَدْرِي مَا حَدَثَ لَهُ مِنْ الوُلْدِ </w:t>
      </w:r>
      <w:r>
        <w:rPr>
          <w:rStyle w:val="FootnoteAnchor"/>
          <w:rtl w:val="true"/>
        </w:rPr>
        <w:footnoteReference w:id="2724"/>
      </w:r>
      <w:r>
        <w:rPr>
          <w:rFonts w:ascii="Amiri" w:hAnsi="Amiri" w:eastAsia="Amiri" w:cs="Amiri"/>
          <w:color w:val="111111"/>
          <w:sz w:val="28"/>
          <w:sz w:val="28"/>
          <w:szCs w:val="28"/>
          <w:rtl w:val="true"/>
          <w:lang w:bidi="ar-SA"/>
        </w:rPr>
        <w:t xml:space="preserve">، إِلَّا أَنَّا لَا نَعْلَمُ نَحْنُ أَنَّهُ أَحْدَثَ فِي دَارِهِ شَيْئًا، وَ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لَهُ وَلَدٌ، وَ لَا تُقْسَمُ </w:t>
      </w:r>
      <w:r>
        <w:rPr>
          <w:rStyle w:val="FootnoteAnchor"/>
          <w:rtl w:val="true"/>
        </w:rPr>
        <w:footnoteReference w:id="2725"/>
      </w:r>
      <w:r>
        <w:rPr>
          <w:rFonts w:ascii="Amiri" w:hAnsi="Amiri" w:eastAsia="Amiri" w:cs="Amiri"/>
          <w:color w:val="111111"/>
          <w:sz w:val="28"/>
          <w:sz w:val="28"/>
          <w:szCs w:val="28"/>
          <w:rtl w:val="true"/>
          <w:lang w:bidi="ar-SA"/>
        </w:rPr>
        <w:t xml:space="preserve">هَذِهِ الدَّارُ بَيْنَ وَرَثَتِهِ الَّذِيْنَ تَرَكَ فِي الدَّارِ حَتَّى يَشْهَدَ شَاهِدَا </w:t>
      </w:r>
      <w:r>
        <w:rPr>
          <w:rStyle w:val="FootnoteAnchor"/>
          <w:rtl w:val="true"/>
        </w:rPr>
        <w:footnoteReference w:id="2726"/>
      </w:r>
      <w:r>
        <w:rPr>
          <w:rFonts w:ascii="Amiri" w:hAnsi="Amiri" w:eastAsia="Amiri" w:cs="Amiri"/>
          <w:color w:val="111111"/>
          <w:sz w:val="28"/>
          <w:sz w:val="28"/>
          <w:szCs w:val="28"/>
          <w:rtl w:val="true"/>
          <w:lang w:bidi="ar-SA"/>
        </w:rPr>
        <w:t xml:space="preserve">عَدْلٍ أَنَّ هَذِهِ الدَّارَ دَارُ فُلَانِ بنِ فُلَانٍ </w:t>
      </w:r>
      <w:r>
        <w:rPr>
          <w:rStyle w:val="FootnoteAnchor"/>
          <w:rtl w:val="true"/>
        </w:rPr>
        <w:footnoteReference w:id="2727"/>
      </w:r>
      <w:r>
        <w:rPr>
          <w:rFonts w:ascii="Amiri" w:hAnsi="Amiri" w:eastAsia="Amiri" w:cs="Amiri"/>
          <w:color w:val="111111"/>
          <w:sz w:val="28"/>
          <w:sz w:val="28"/>
          <w:szCs w:val="28"/>
          <w:rtl w:val="true"/>
          <w:lang w:bidi="ar-SA"/>
        </w:rPr>
        <w:t xml:space="preserve">مَاتَ وَ تَرَكَهَا مِبْرَاثا بَيْنَ فَلَانٍ وَ فُلَانٍ، أَفَنَشْهَدُ </w:t>
      </w:r>
      <w:r>
        <w:rPr>
          <w:rStyle w:val="FootnoteAnchor"/>
          <w:rtl w:val="true"/>
        </w:rPr>
        <w:footnoteReference w:id="2728"/>
      </w:r>
      <w:r>
        <w:rPr>
          <w:rFonts w:ascii="Amiri" w:hAnsi="Amiri" w:eastAsia="Amiri" w:cs="Amiri"/>
          <w:color w:val="111111"/>
          <w:sz w:val="28"/>
          <w:sz w:val="28"/>
          <w:szCs w:val="28"/>
          <w:rtl w:val="true"/>
          <w:lang w:bidi="ar-SA"/>
        </w:rPr>
        <w:t>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الْعَبْدُ وَ الْأَمَةُ،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وَ أَبَقَتْ أَمَتِي، فَيُؤْخَذُ </w:t>
      </w:r>
      <w:r>
        <w:rPr>
          <w:rStyle w:val="FootnoteAnchor"/>
          <w:rtl w:val="true"/>
        </w:rPr>
        <w:footnoteReference w:id="2729"/>
      </w:r>
      <w:r>
        <w:rPr>
          <w:rFonts w:ascii="Amiri" w:hAnsi="Amiri" w:eastAsia="Amiri" w:cs="Amiri"/>
          <w:color w:val="111111"/>
          <w:sz w:val="28"/>
          <w:sz w:val="28"/>
          <w:szCs w:val="28"/>
          <w:rtl w:val="true"/>
          <w:lang w:bidi="ar-SA"/>
        </w:rPr>
        <w:t xml:space="preserve">فِي الْبَلَدِ، فَيُكَلِّفُهُ الْقَاضِي الْبَيِّنَةَ </w:t>
      </w:r>
      <w:r>
        <w:rPr>
          <w:rStyle w:val="FootnoteAnchor"/>
          <w:rtl w:val="true"/>
        </w:rPr>
        <w:footnoteReference w:id="2730"/>
      </w:r>
      <w:r>
        <w:rPr>
          <w:rFonts w:ascii="Amiri" w:hAnsi="Amiri" w:eastAsia="Amiri" w:cs="Amiri"/>
          <w:color w:val="111111"/>
          <w:sz w:val="28"/>
          <w:sz w:val="28"/>
          <w:szCs w:val="28"/>
          <w:rtl w:val="true"/>
          <w:lang w:bidi="ar-SA"/>
        </w:rPr>
        <w:t xml:space="preserve">أَنَّ هَذَا غُلَامُ فُلَانِ </w:t>
      </w:r>
      <w:r>
        <w:rPr>
          <w:rStyle w:val="FootnoteAnchor"/>
          <w:rtl w:val="true"/>
        </w:rPr>
        <w:footnoteReference w:id="2731"/>
      </w:r>
      <w:r>
        <w:rPr>
          <w:rFonts w:ascii="Amiri" w:hAnsi="Amiri" w:eastAsia="Amiri" w:cs="Amiri"/>
          <w:color w:val="111111"/>
          <w:sz w:val="28"/>
          <w:sz w:val="28"/>
          <w:szCs w:val="28"/>
          <w:rtl w:val="true"/>
          <w:lang w:bidi="ar-SA"/>
        </w:rPr>
        <w:t xml:space="preserve">لم يَبعْهُ وَ لم يَهِبْهُ، أَفَنَشْهَدُ عَلَى هَذَا إِذَا كُلّفْنَا </w:t>
      </w:r>
      <w:r>
        <w:rPr>
          <w:rStyle w:val="FootnoteAnchor"/>
          <w:rtl w:val="true"/>
        </w:rPr>
        <w:footnoteReference w:id="2732"/>
      </w:r>
      <w:r>
        <w:rPr>
          <w:rFonts w:ascii="Amiri" w:hAnsi="Amiri" w:eastAsia="Amiri" w:cs="Amiri"/>
          <w:color w:val="111111"/>
          <w:sz w:val="28"/>
          <w:sz w:val="28"/>
          <w:szCs w:val="28"/>
          <w:rtl w:val="true"/>
          <w:lang w:bidi="ar-SA"/>
        </w:rPr>
        <w:t xml:space="preserve">وَ نَحْنُ لم نَعْلَمْ أَنَّهُ </w:t>
      </w:r>
      <w:r>
        <w:rPr>
          <w:rStyle w:val="FootnoteAnchor"/>
          <w:rtl w:val="true"/>
        </w:rPr>
        <w:footnoteReference w:id="2733"/>
      </w:r>
      <w:r>
        <w:rPr>
          <w:rFonts w:ascii="Amiri" w:hAnsi="Amiri" w:eastAsia="Amiri" w:cs="Amiri"/>
          <w:color w:val="111111"/>
          <w:sz w:val="28"/>
          <w:sz w:val="28"/>
          <w:szCs w:val="28"/>
          <w:rtl w:val="true"/>
          <w:lang w:bidi="ar-SA"/>
        </w:rPr>
        <w:t>أَحْدَثَ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غَابَ عَنْ يَدِ المَرْءِ المُسْلِمِ غُلَامُهُ وَ </w:t>
      </w:r>
      <w:r>
        <w:rPr>
          <w:rStyle w:val="FootnoteAnchor"/>
          <w:rtl w:val="true"/>
        </w:rPr>
        <w:footnoteReference w:id="2734"/>
      </w:r>
      <w:r>
        <w:rPr>
          <w:rFonts w:ascii="Amiri" w:hAnsi="Amiri" w:eastAsia="Amiri" w:cs="Amiri"/>
          <w:color w:val="111111"/>
          <w:sz w:val="28"/>
          <w:sz w:val="28"/>
          <w:szCs w:val="28"/>
          <w:rtl w:val="true"/>
          <w:lang w:bidi="ar-SA"/>
        </w:rPr>
        <w:t xml:space="preserve">أَمَتُهُ أَوْ غَابَ عَنْكَ لم تَشْهَدْ عَلَيْهِ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في تلك الدعوى؛ لقوله علیه السلام في المسألة الأولى بعد سؤال السائل عن جواز الشهادة فيها المثمرة لجواز مثل هذه الشهادة ،و قد ثبت أنها لا تجوز إلا على القطع ؛ لقول النبي صلی الله علیه و آله و سلم للرجل الشاهد بعد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قاله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الشَّمْسَ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مِثْلِهَا فَاشْهَدْ</w:t>
      </w:r>
      <w:r>
        <w:rPr>
          <w:rFonts w:eastAsia="Amiri" w:cs="Amiri" w:ascii="Amiri" w:hAnsi="Amiri"/>
          <w:color w:val="111111"/>
          <w:sz w:val="28"/>
          <w:szCs w:val="28"/>
          <w:rtl w:val="true"/>
          <w:lang w:bidi="ar-SA"/>
        </w:rPr>
        <w:t xml:space="preserve">» </w:t>
      </w:r>
      <w:r>
        <w:rPr>
          <w:rStyle w:val="FootnoteAnchor"/>
          <w:rtl w:val="true"/>
        </w:rPr>
        <w:footnoteReference w:id="2736"/>
      </w:r>
      <w:r>
        <w:rPr>
          <w:rFonts w:ascii="Amiri" w:hAnsi="Amiri" w:eastAsia="Amiri" w:cs="Amiri"/>
          <w:color w:val="111111"/>
          <w:sz w:val="28"/>
          <w:sz w:val="28"/>
          <w:szCs w:val="28"/>
          <w:rtl w:val="true"/>
          <w:lang w:bidi="ar-SA"/>
        </w:rPr>
        <w:t>، و خبر علي بن غياث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 بِشَهَادَةٍ حَتَّى تَعْرِفَهَا كَمَا تَعْرِفُ كَفَّكَ</w:t>
      </w:r>
      <w:r>
        <w:rPr>
          <w:rFonts w:eastAsia="Amiri" w:cs="Amiri" w:ascii="Amiri" w:hAnsi="Amiri"/>
          <w:color w:val="111111"/>
          <w:sz w:val="28"/>
          <w:szCs w:val="28"/>
          <w:rtl w:val="true"/>
          <w:lang w:bidi="ar-SA"/>
        </w:rPr>
        <w:t xml:space="preserve">» </w:t>
      </w:r>
      <w:r>
        <w:rPr>
          <w:rStyle w:val="FootnoteAnchor"/>
          <w:rtl w:val="true"/>
        </w:rPr>
        <w:footnoteReference w:id="2737"/>
      </w:r>
      <w:r>
        <w:rPr>
          <w:rFonts w:ascii="Amiri" w:hAnsi="Amiri" w:eastAsia="Amiri" w:cs="Amiri"/>
          <w:color w:val="111111"/>
          <w:sz w:val="28"/>
          <w:sz w:val="28"/>
          <w:szCs w:val="28"/>
          <w:rtl w:val="true"/>
          <w:lang w:bidi="ar-SA"/>
        </w:rPr>
        <w:t>، و أمثالها مما دل على اشتراط القطع و الحزم في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حيث إنه علیه السلام أذن له في الشهادة على هذه الدار لأنها </w:t>
      </w:r>
      <w:r>
        <w:rPr>
          <w:rStyle w:val="FootnoteAnchor"/>
          <w:rtl w:val="true"/>
        </w:rPr>
        <w:footnoteReference w:id="2738"/>
      </w:r>
      <w:r>
        <w:rPr>
          <w:rFonts w:ascii="Amiri" w:hAnsi="Amiri" w:eastAsia="Amiri" w:cs="Amiri"/>
          <w:color w:val="111111"/>
          <w:sz w:val="28"/>
          <w:sz w:val="28"/>
          <w:szCs w:val="28"/>
          <w:rtl w:val="true"/>
          <w:lang w:bidi="ar-SA"/>
        </w:rPr>
        <w:t>ملك الميت و أنها لهؤلاء الورثة، دلّ على حصول القطع له، و ما ذاك إلا لكون الميت ذا يد على الدار حتى مات، فيكون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القطع بمجرد اليد و إن استمر و تطاول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بخلافه 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يأذن له علیه السلام في الشهادة مع الاشتراك في حصول التصرف في الجملة؛ إلا أنه لما كان في الثانية قد انقطع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بإباق العبد و الجارية و بغيبته عن نظر ذاك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له ذلك القطع الذي هو أساس الشهادة، و من هنا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فَكُلَّمَا غَابَ عَنْ يَدِ المَرْءِ المُسْلِمِ غُلَامُهُ أَوْ أَمَتُهُ أَوْ غَابَ عَنْكَ لَمْ تَشْهَدْ عليه </w:t>
      </w:r>
      <w:r>
        <w:rPr>
          <w:rStyle w:val="FootnoteAnchor"/>
          <w:rtl w:val="true"/>
        </w:rPr>
        <w:footnoteReference w:id="2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ذاك إلا لكونها علة لحصول ذلك القطع، فيكون بقاؤه مترتبا على بقائها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ظهر لك قوة اليد في الحال على اليد في الزمن الماضى، و أنه لا أثر</w:t>
      </w:r>
      <w:r>
        <w:rPr>
          <w:rFonts w:eastAsia="Amiri" w:cs="Amiri" w:ascii="Amiri" w:hAnsi="Amiri"/>
          <w:color w:val="111111"/>
          <w:sz w:val="28"/>
          <w:szCs w:val="28"/>
          <w:rtl w:val="true"/>
          <w:lang w:bidi="ar-SA"/>
        </w:rPr>
        <w:t xml:space="preserve">. </w:t>
      </w:r>
      <w:bookmarkStart w:id="239" w:name="pg2523_40016"/>
    </w:p>
    <w:p>
      <w:pPr>
        <w:pStyle w:val="BookText"/>
        <w:rPr/>
      </w:pPr>
      <w:bookmarkEnd w:id="239"/>
      <w:r>
        <w:rPr>
          <w:rFonts w:ascii="Amiri" w:hAnsi="Amiri" w:eastAsia="Amiri" w:cs="Amiri"/>
          <w:color w:val="111111"/>
          <w:sz w:val="28"/>
          <w:sz w:val="28"/>
          <w:szCs w:val="28"/>
          <w:rtl w:val="true"/>
          <w:lang w:bidi="ar-SA"/>
        </w:rPr>
        <w:t xml:space="preserve">لذلك الاستصحاب في مقابلتها؛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اعتبرت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ظنيًا محضا </w:t>
      </w:r>
      <w:r>
        <w:rPr>
          <w:rStyle w:val="FootnoteAnchor"/>
          <w:rtl w:val="true"/>
        </w:rPr>
        <w:footnoteReference w:id="2740"/>
      </w:r>
      <w:r>
        <w:rPr>
          <w:rFonts w:ascii="Amiri" w:hAnsi="Amiri" w:eastAsia="Amiri" w:cs="Amiri"/>
          <w:color w:val="111111"/>
          <w:sz w:val="28"/>
          <w:sz w:val="28"/>
          <w:szCs w:val="28"/>
          <w:rtl w:val="true"/>
          <w:lang w:bidi="ar-SA"/>
        </w:rPr>
        <w:t>،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شرعًا، و لا كلام في إلغاء الظني عند مقابلته القطع كما سيأتي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في هذه الرواية بين المسألتين </w:t>
      </w:r>
      <w:r>
        <w:rPr>
          <w:rStyle w:val="FootnoteAnchor"/>
          <w:rtl w:val="true"/>
        </w:rPr>
        <w:footnoteReference w:id="2741"/>
      </w:r>
      <w:r>
        <w:rPr>
          <w:rFonts w:ascii="Amiri" w:hAnsi="Amiri" w:eastAsia="Amiri" w:cs="Amiri"/>
          <w:color w:val="111111"/>
          <w:sz w:val="28"/>
          <w:sz w:val="28"/>
          <w:szCs w:val="28"/>
          <w:rtl w:val="true"/>
          <w:lang w:bidi="ar-SA"/>
        </w:rPr>
        <w:t xml:space="preserve">في جواز الشهادة دليل واضح على قوة اليد، وأنها من الأسباب </w:t>
      </w:r>
      <w:r>
        <w:rPr>
          <w:rStyle w:val="FootnoteAnchor"/>
          <w:rtl w:val="true"/>
        </w:rPr>
        <w:footnoteReference w:id="2742"/>
      </w:r>
      <w:r>
        <w:rPr>
          <w:rFonts w:ascii="Amiri" w:hAnsi="Amiri" w:eastAsia="Amiri" w:cs="Amiri"/>
          <w:color w:val="111111"/>
          <w:sz w:val="28"/>
          <w:sz w:val="28"/>
          <w:szCs w:val="28"/>
          <w:rtl w:val="true"/>
          <w:lang w:bidi="ar-SA"/>
        </w:rPr>
        <w:t xml:space="preserve">المعتبرة شرعًا كما هو مختارنا وافقته </w:t>
      </w:r>
      <w:r>
        <w:rPr>
          <w:rStyle w:val="FootnoteAnchor"/>
          <w:rtl w:val="true"/>
        </w:rPr>
        <w:footnoteReference w:id="2743"/>
      </w:r>
      <w:r>
        <w:rPr>
          <w:rFonts w:ascii="Amiri" w:hAnsi="Amiri" w:eastAsia="Amiri" w:cs="Amiri"/>
          <w:color w:val="111111"/>
          <w:sz w:val="28"/>
          <w:sz w:val="28"/>
          <w:szCs w:val="28"/>
          <w:rtl w:val="true"/>
          <w:lang w:bidi="ar-SA"/>
        </w:rPr>
        <w:t>تلك الأدلة التي ذكرنا شطرًا منها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4264966_3804643083"/>
      <w:bookmarkStart w:id="241" w:name="_Toc81"/>
      <w:bookmarkEnd w:id="240"/>
      <w:r>
        <w:rPr>
          <w:rtl w:val="true"/>
        </w:rPr>
        <w:t>[</w:t>
      </w:r>
      <w:r>
        <w:rPr>
          <w:rtl w:val="true"/>
        </w:rPr>
        <w:t>دفع إيراد</w:t>
      </w:r>
      <w:r>
        <w:rPr>
          <w:rtl w:val="true"/>
        </w:rPr>
        <w:t>]</w:t>
      </w:r>
      <w:bookmarkEnd w:id="24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يرد على ما قررناه ما ناقش به بعضهم من أن اليد لو دلت على الملك لكان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الدار التي بيد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الدار </w:t>
      </w:r>
      <w:r>
        <w:rPr>
          <w:rStyle w:val="FootnoteAnchor"/>
          <w:rtl w:val="true"/>
        </w:rPr>
        <w:footnoteReference w:id="2745"/>
      </w:r>
      <w:r>
        <w:rPr>
          <w:rFonts w:ascii="Amiri" w:hAnsi="Amiri" w:eastAsia="Amiri" w:cs="Amiri"/>
          <w:color w:val="111111"/>
          <w:sz w:val="28"/>
          <w:sz w:val="28"/>
          <w:szCs w:val="28"/>
          <w:rtl w:val="true"/>
          <w:lang w:bidi="ar-SA"/>
        </w:rPr>
        <w:t>التي ملكه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التالي باطل، فالمقدم مثله </w:t>
      </w:r>
      <w:r>
        <w:rPr>
          <w:rStyle w:val="FootnoteAnchor"/>
          <w:rtl w:val="true"/>
        </w:rPr>
        <w:footnoteReference w:id="2746"/>
      </w:r>
      <w:r>
        <w:rPr>
          <w:rFonts w:ascii="Amiri" w:hAnsi="Amiri" w:eastAsia="Amiri" w:cs="Amiri"/>
          <w:color w:val="111111"/>
          <w:sz w:val="28"/>
          <w:sz w:val="28"/>
          <w:szCs w:val="28"/>
          <w:rtl w:val="true"/>
          <w:lang w:bidi="ar-SA"/>
        </w:rPr>
        <w:t>؛ لأنه من أشكال الغالطة،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حله أسهل من حل الإشكال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كأن ذلك المورد زعم أن مدلولها لازم عقلي أو ثابت برهان هندسي،و إلا فما المانع من أن ينكشف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ككونها من غصب و 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زعم أن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مدلوله إنما يتحقق لو كان اللفظ مما يمتنع نقله عن معناه و استعماله فيما عداه و لو بقيام ألف قرينة، و إلا فأي مانع عن دلالته على الملك عند تجرده و انسلاخه من </w:t>
      </w:r>
      <w:r>
        <w:rPr>
          <w:rStyle w:val="FootnoteAnchor"/>
          <w:rtl w:val="true"/>
        </w:rPr>
        <w:footnoteReference w:id="2749"/>
      </w:r>
      <w:r>
        <w:rPr>
          <w:rFonts w:ascii="Amiri" w:hAnsi="Amiri" w:eastAsia="Amiri" w:cs="Amiri"/>
          <w:color w:val="111111"/>
          <w:sz w:val="28"/>
          <w:sz w:val="28"/>
          <w:szCs w:val="28"/>
          <w:rtl w:val="true"/>
          <w:lang w:bidi="ar-SA"/>
        </w:rPr>
        <w:t xml:space="preserve">القرائن – التي منها قول ذلك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يصرفها </w:t>
      </w:r>
      <w:r>
        <w:rPr>
          <w:rStyle w:val="FootnoteAnchor"/>
          <w:rtl w:val="true"/>
        </w:rPr>
        <w:footnoteReference w:id="2750"/>
      </w:r>
      <w:r>
        <w:rPr>
          <w:rFonts w:ascii="IRNazanin" w:hAnsi="IRNazanin" w:eastAsia="IRNazanin"/>
          <w:color w:val="111111"/>
          <w:sz w:val="28"/>
          <w:sz w:val="28"/>
          <w:szCs w:val="28"/>
          <w:rtl w:val="true"/>
          <w:lang w:bidi="fa-IR"/>
        </w:rPr>
        <w:t>عن معناه؟</w:t>
      </w:r>
    </w:p>
    <w:p>
      <w:pPr>
        <w:pStyle w:val="BookText"/>
        <w:rPr/>
      </w:pPr>
      <w:r>
        <w:rPr>
          <w:rFonts w:ascii="Amiri" w:hAnsi="Amiri" w:eastAsia="Amiri" w:cs="Amiri"/>
          <w:color w:val="111111"/>
          <w:sz w:val="28"/>
          <w:sz w:val="28"/>
          <w:szCs w:val="28"/>
          <w:rtl w:val="true"/>
          <w:lang w:bidi="ar-SA"/>
        </w:rPr>
        <w:t xml:space="preserve">و ليت شعري، ماذا يجيب هذا المناقش عن الآيات التي جاءت بهذه المثابة،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رَمَيْتَ إِذْ رَمَيْتَ وَ لَكِنَّ اللهَ رَمَى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2"/>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2753"/>
      </w:r>
      <w:r>
        <w:rPr>
          <w:rFonts w:ascii="IRNazanin" w:hAnsi="IRNazanin" w:eastAsia="IRNazanin"/>
          <w:color w:val="111111"/>
          <w:sz w:val="28"/>
          <w:sz w:val="28"/>
          <w:szCs w:val="28"/>
          <w:rtl w:val="true"/>
          <w:lang w:bidi="fa-IR"/>
        </w:rPr>
        <w:t>أنه محجوج بلزوم مثل هذا في اليد المؤكدة؛ فإنه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الدار التي بيدك و في تصرفك هي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تلك الدعوى، مع أَنک قد عرفت الكلام في اليد المؤكدة ، و أن الإجماع قد قام على دلالتها على الملك بلا كلام، فتأمل</w:t>
      </w:r>
      <w:r>
        <w:rPr>
          <w:rFonts w:eastAsia="IRNazanin" w:cs="IRNazanin"/>
          <w:color w:val="111111"/>
          <w:sz w:val="28"/>
          <w:szCs w:val="28"/>
          <w:rtl w:val="true"/>
          <w:lang w:bidi="fa-IR"/>
        </w:rPr>
        <w:t xml:space="preserve">.. </w:t>
      </w:r>
      <w:bookmarkStart w:id="242" w:name="pg2523_40018"/>
    </w:p>
    <w:p>
      <w:pPr>
        <w:pStyle w:val="Heading3"/>
        <w:numPr>
          <w:ilvl w:val="2"/>
          <w:numId w:val="1"/>
        </w:numPr>
        <w:rPr/>
      </w:pPr>
      <w:bookmarkStart w:id="243" w:name="__RefHeading___Toc4264968_3804643083"/>
      <w:bookmarkStart w:id="244" w:name="_Toc82"/>
      <w:bookmarkEnd w:id="242"/>
      <w:bookmarkEnd w:id="243"/>
      <w:r>
        <w:rPr>
          <w:rtl w:val="true"/>
        </w:rPr>
        <w:t>[</w:t>
      </w:r>
      <w:r>
        <w:rPr>
          <w:rtl w:val="true"/>
        </w:rPr>
        <w:t>في تقديم البينة على اليد عند تعارضهما</w:t>
      </w:r>
      <w:r>
        <w:rPr>
          <w:rtl w:val="true"/>
        </w:rPr>
        <w:t>]</w:t>
      </w:r>
      <w:bookmarkEnd w:id="24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ما قد برهنا عليه من تقدم ذي اليد في الحال على ذي اليد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أقام المدعي بينة على أن العين كانت بيده أو في ملكه أمس </w:t>
      </w:r>
      <w:r>
        <w:rPr>
          <w:rStyle w:val="FootnoteAnchor"/>
          <w:rtl w:val="true"/>
        </w:rPr>
        <w:footnoteReference w:id="2754"/>
      </w:r>
      <w:r>
        <w:rPr>
          <w:rFonts w:ascii="Amiri" w:hAnsi="Amiri" w:eastAsia="Amiri" w:cs="Amiri"/>
          <w:color w:val="111111"/>
          <w:sz w:val="28"/>
          <w:sz w:val="28"/>
          <w:szCs w:val="28"/>
          <w:rtl w:val="true"/>
          <w:lang w:bidi="ar-SA"/>
        </w:rPr>
        <w:t xml:space="preserve">،كانَ القول قول من هي بيده، و إن كان للأصحاب في هذه المسألة قولان حتى للشيخ </w:t>
      </w:r>
      <w:r>
        <w:rPr>
          <w:rStyle w:val="FootnoteAnchor"/>
          <w:rtl w:val="true"/>
        </w:rPr>
        <w:footnoteReference w:id="2755"/>
      </w:r>
      <w:r>
        <w:rPr>
          <w:rFonts w:ascii="Amiri" w:hAnsi="Amiri" w:eastAsia="Amiri" w:cs="Amiri"/>
          <w:color w:val="111111"/>
          <w:sz w:val="28"/>
          <w:sz w:val="28"/>
          <w:szCs w:val="28"/>
          <w:rtl w:val="true"/>
          <w:lang w:bidi="ar-SA"/>
        </w:rPr>
        <w:t xml:space="preserve">وحده في كل من المبسوط </w:t>
      </w:r>
      <w:r>
        <w:rPr>
          <w:rStyle w:val="FootnoteAnchor"/>
          <w:rtl w:val="true"/>
        </w:rPr>
        <w:footnoteReference w:id="2756"/>
      </w:r>
      <w:r>
        <w:rPr>
          <w:rFonts w:ascii="IRNazanin" w:hAnsi="IRNazanin" w:eastAsia="IRNazanin"/>
          <w:color w:val="111111"/>
          <w:sz w:val="28"/>
          <w:sz w:val="28"/>
          <w:szCs w:val="28"/>
          <w:rtl w:val="true"/>
          <w:lang w:bidi="fa-IR"/>
        </w:rPr>
        <w:t xml:space="preserve">و الخلاف </w:t>
      </w:r>
      <w:r>
        <w:rPr>
          <w:rStyle w:val="FootnoteAnchor"/>
          <w:rtl w:val="true"/>
        </w:rPr>
        <w:footnoteReference w:id="2757"/>
      </w:r>
      <w:r>
        <w:rPr>
          <w:rFonts w:ascii="Amiri" w:hAnsi="Amiri" w:eastAsia="Amiri" w:cs="Amiri"/>
          <w:color w:val="111111"/>
          <w:sz w:val="28"/>
          <w:sz w:val="28"/>
          <w:szCs w:val="28"/>
          <w:rtl w:val="true"/>
          <w:lang w:bidi="ar-SA"/>
        </w:rPr>
        <w:t xml:space="preserve">، وإن كان ما اخترناه هو الأقوى، و هو خيرة أبي علي ابن الشيخ الطوسي </w:t>
      </w:r>
      <w:r>
        <w:rPr>
          <w:rStyle w:val="FootnoteAnchor"/>
          <w:rtl w:val="true"/>
        </w:rPr>
        <w:footnoteReference w:id="2758"/>
      </w:r>
      <w:r>
        <w:rPr>
          <w:rFonts w:ascii="Amiri" w:hAnsi="Amiri" w:eastAsia="Amiri" w:cs="Amiri"/>
          <w:color w:val="111111"/>
          <w:sz w:val="28"/>
          <w:sz w:val="28"/>
          <w:szCs w:val="28"/>
          <w:rtl w:val="true"/>
          <w:lang w:bidi="ar-SA"/>
        </w:rPr>
        <w:t xml:space="preserve">،و الخراساني و الكاشي في الكفاية </w:t>
      </w:r>
      <w:r>
        <w:rPr>
          <w:rStyle w:val="FootnoteAnchor"/>
          <w:rtl w:val="true"/>
        </w:rPr>
        <w:footnoteReference w:id="2759"/>
      </w:r>
      <w:r>
        <w:rPr>
          <w:rFonts w:ascii="Amiri" w:hAnsi="Amiri" w:eastAsia="Amiri" w:cs="Amiri"/>
          <w:color w:val="111111"/>
          <w:sz w:val="28"/>
          <w:sz w:val="28"/>
          <w:szCs w:val="28"/>
          <w:rtl w:val="true"/>
          <w:lang w:bidi="ar-SA"/>
        </w:rPr>
        <w:t xml:space="preserve">و المفاتيح </w:t>
      </w:r>
      <w:r>
        <w:rPr>
          <w:rStyle w:val="FootnoteAnchor"/>
          <w:rtl w:val="true"/>
        </w:rPr>
        <w:footnoteReference w:id="2760"/>
      </w:r>
      <w:r>
        <w:rPr>
          <w:rFonts w:ascii="Amiri" w:hAnsi="Amiri" w:eastAsia="Amiri" w:cs="Amiri"/>
          <w:color w:val="111111"/>
          <w:sz w:val="28"/>
          <w:sz w:val="28"/>
          <w:szCs w:val="28"/>
          <w:rtl w:val="true"/>
          <w:lang w:bidi="ar-SA"/>
        </w:rPr>
        <w:t xml:space="preserve">، و ظاهر الشهيد الثاني في المسالك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من أدلة </w:t>
      </w:r>
      <w:r>
        <w:rPr>
          <w:rStyle w:val="FootnoteAnchor"/>
          <w:rtl w:val="true"/>
        </w:rPr>
        <w:footnoteReference w:id="2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الحالية محسوسة قطعية، و المتحقق </w:t>
      </w:r>
      <w:r>
        <w:rPr>
          <w:rStyle w:val="FootnoteAnchor"/>
          <w:rtl w:val="true"/>
        </w:rPr>
        <w:footnoteReference w:id="2763"/>
      </w:r>
      <w:r>
        <w:rPr>
          <w:rFonts w:ascii="Amiri" w:hAnsi="Amiri" w:eastAsia="Amiri" w:cs="Amiri"/>
          <w:color w:val="111111"/>
          <w:sz w:val="28"/>
          <w:sz w:val="28"/>
          <w:szCs w:val="28"/>
          <w:rtl w:val="true"/>
          <w:lang w:bidi="ar-SA"/>
        </w:rPr>
        <w:t xml:space="preserve">، والسابقة </w:t>
      </w:r>
      <w:r>
        <w:rPr>
          <w:rStyle w:val="FootnoteAnchor"/>
          <w:rtl w:val="true"/>
        </w:rPr>
        <w:footnoteReference w:id="2764"/>
      </w:r>
      <w:r>
        <w:rPr>
          <w:rFonts w:ascii="Amiri" w:hAnsi="Amiri" w:eastAsia="Amiri" w:cs="Amiri"/>
          <w:color w:val="111111"/>
          <w:sz w:val="28"/>
          <w:sz w:val="28"/>
          <w:szCs w:val="28"/>
          <w:rtl w:val="true"/>
          <w:lang w:bidi="ar-SA"/>
        </w:rPr>
        <w:t>المدلول عليها بالبينة ظنية الدلالة، فترجيح الحالية متجه؛ لقطعية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لو شهدَتْ أيضا بالملك مستندة </w:t>
      </w:r>
      <w:r>
        <w:rPr>
          <w:rStyle w:val="FootnoteAnchor"/>
          <w:rtl w:val="true"/>
        </w:rPr>
        <w:footnoteReference w:id="2765"/>
      </w:r>
      <w:r>
        <w:rPr>
          <w:rFonts w:ascii="Amiri" w:hAnsi="Amiri" w:eastAsia="Amiri" w:cs="Amiri"/>
          <w:color w:val="111111"/>
          <w:sz w:val="28"/>
          <w:sz w:val="28"/>
          <w:szCs w:val="28"/>
          <w:rtl w:val="true"/>
          <w:lang w:bidi="ar-SA"/>
        </w:rPr>
        <w:t xml:space="preserve">إلى اليد، فتكون </w:t>
      </w:r>
      <w:r>
        <w:rPr>
          <w:rStyle w:val="FootnoteAnchor"/>
          <w:rtl w:val="true"/>
        </w:rPr>
        <w:footnoteReference w:id="2766"/>
      </w:r>
      <w:r>
        <w:rPr>
          <w:rFonts w:ascii="Amiri" w:hAnsi="Amiri" w:eastAsia="Amiri" w:cs="Amiri"/>
          <w:color w:val="111111"/>
          <w:sz w:val="28"/>
          <w:sz w:val="28"/>
          <w:szCs w:val="28"/>
          <w:rtl w:val="true"/>
          <w:lang w:bidi="ar-SA"/>
        </w:rPr>
        <w:t>حينئذ مساوية لليد، و قد عرفت مما سبق رجحان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حينئذ أن تلك البينة بعينها شهدت بالملك الحالي لذي اليد استنادًا ليده الحالية لصدقت الشهادتان معًا على السواء، من غير أن يكون هناك تعارض و لا ظهور ترجيح لإحداهما على الأخرى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صرحوا به من ترجيح الملك على اليد لكونها أعم من الملك و لو </w:t>
      </w:r>
      <w:r>
        <w:rPr>
          <w:rStyle w:val="FootnoteAnchor"/>
          <w:rtl w:val="true"/>
        </w:rPr>
        <w:footnoteReference w:id="2767"/>
      </w:r>
      <w:r>
        <w:rPr>
          <w:rFonts w:ascii="Amiri" w:hAnsi="Amiri" w:eastAsia="Amiri" w:cs="Amiri"/>
          <w:color w:val="111111"/>
          <w:sz w:val="28"/>
          <w:sz w:val="28"/>
          <w:szCs w:val="28"/>
          <w:rtl w:val="true"/>
          <w:lang w:bidi="ar-SA"/>
        </w:rPr>
        <w:t xml:space="preserve">عقلا، فتكون أعم من الدعوى و غير صريحة فيها بخلاف الملك </w:t>
      </w:r>
      <w:r>
        <w:rPr>
          <w:rStyle w:val="FootnoteAnchor"/>
          <w:rtl w:val="true"/>
        </w:rPr>
        <w:footnoteReference w:id="2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ليس </w:t>
      </w:r>
      <w:r>
        <w:rPr>
          <w:rStyle w:val="FootnoteAnchor"/>
          <w:rtl w:val="true"/>
        </w:rPr>
        <w:footnoteReference w:id="2769"/>
      </w:r>
      <w:r>
        <w:rPr>
          <w:rFonts w:ascii="Amiri" w:hAnsi="Amiri" w:eastAsia="Amiri" w:cs="Amiri"/>
          <w:color w:val="111111"/>
          <w:sz w:val="28"/>
          <w:sz w:val="28"/>
          <w:szCs w:val="28"/>
          <w:rtl w:val="true"/>
          <w:lang w:bidi="ar-SA"/>
        </w:rPr>
        <w:t>أمرًا كليا عندهم، و إنما أثبتوه عند تعارض البينتين بأن شهدت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باليد في زمان معين و الأخرى بالملك فيه بعينه </w:t>
      </w:r>
      <w:r>
        <w:rPr>
          <w:rStyle w:val="FootnoteAnchor"/>
          <w:rtl w:val="true"/>
        </w:rPr>
        <w:footnoteReference w:id="2770"/>
      </w:r>
      <w:r>
        <w:rPr>
          <w:rFonts w:ascii="IRNazanin" w:hAnsi="IRNazanin" w:eastAsia="IRNazanin"/>
          <w:color w:val="111111"/>
          <w:sz w:val="28"/>
          <w:sz w:val="28"/>
          <w:szCs w:val="28"/>
          <w:rtl w:val="true"/>
          <w:lang w:bidi="fa-IR"/>
        </w:rPr>
        <w:t xml:space="preserve">، و هو حسن، و لا </w:t>
      </w:r>
      <w:r>
        <w:rPr>
          <w:rStyle w:val="FootnoteAnchor"/>
          <w:rtl w:val="true"/>
        </w:rPr>
        <w:footnoteReference w:id="2771"/>
      </w:r>
      <w:r>
        <w:rPr>
          <w:rFonts w:ascii="Amiri" w:hAnsi="Amiri" w:eastAsia="Amiri" w:cs="Amiri"/>
          <w:color w:val="111111"/>
          <w:sz w:val="28"/>
          <w:sz w:val="28"/>
          <w:szCs w:val="28"/>
          <w:rtl w:val="true"/>
          <w:lang w:bidi="ar-SA"/>
        </w:rPr>
        <w:t xml:space="preserve">ينفعهم هنا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لهم هنا دليل على حصول المعارضة فيما نحن فيه إلا بتوسط استصحاب السابق إلى الزمن الحالي </w:t>
      </w:r>
      <w:r>
        <w:rPr>
          <w:rStyle w:val="FootnoteAnchor"/>
          <w:rtl w:val="true"/>
        </w:rPr>
        <w:footnoteReference w:id="2773"/>
      </w:r>
      <w:r>
        <w:rPr>
          <w:rFonts w:ascii="Amiri" w:hAnsi="Amiri" w:eastAsia="Amiri" w:cs="Amiri"/>
          <w:color w:val="111111"/>
          <w:sz w:val="28"/>
          <w:sz w:val="28"/>
          <w:szCs w:val="28"/>
          <w:rtl w:val="true"/>
          <w:lang w:bidi="ar-SA"/>
        </w:rPr>
        <w:t xml:space="preserve">، فيؤول إلى معارضة اليد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محققة 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الحالي الناشئ 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w:t>
      </w:r>
      <w:r>
        <w:rPr>
          <w:rStyle w:val="FootnoteAnchor"/>
          <w:rtl w:val="true"/>
        </w:rPr>
        <w:footnoteReference w:id="2774"/>
      </w:r>
      <w:r>
        <w:rPr>
          <w:rFonts w:ascii="Amiri" w:hAnsi="Amiri" w:eastAsia="Amiri" w:cs="Amiri"/>
          <w:color w:val="111111"/>
          <w:sz w:val="28"/>
          <w:sz w:val="28"/>
          <w:szCs w:val="28"/>
          <w:rtl w:val="true"/>
          <w:lang w:bidi="ar-SA"/>
        </w:rPr>
        <w:t>بماضيته – و هو ظني السند بل و الدلالة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فلتوقفه على تحقق اعتبار الاستصحاب في الحجية، و لم يقم لهم برهان على ذلك، بل ربما برهن جماعة من فضلائنا </w:t>
      </w:r>
      <w:r>
        <w:rPr>
          <w:rStyle w:val="FootnoteAnchor"/>
          <w:rtl w:val="true"/>
        </w:rPr>
        <w:footnoteReference w:id="2775"/>
      </w:r>
      <w:r>
        <w:rPr>
          <w:rFonts w:ascii="Amiri" w:hAnsi="Amiri" w:eastAsia="Amiri" w:cs="Amiri"/>
          <w:color w:val="111111"/>
          <w:sz w:val="28"/>
          <w:sz w:val="28"/>
          <w:szCs w:val="28"/>
          <w:rtl w:val="true"/>
          <w:lang w:bidi="ar-SA"/>
        </w:rPr>
        <w:t xml:space="preserve">المتأخرين على نفي </w:t>
      </w:r>
      <w:r>
        <w:rPr>
          <w:rStyle w:val="FootnoteAnchor"/>
          <w:rtl w:val="true"/>
        </w:rPr>
        <w:footnoteReference w:id="2776"/>
      </w:r>
      <w:r>
        <w:rPr>
          <w:rFonts w:ascii="Amiri" w:hAnsi="Amiri" w:eastAsia="Amiri" w:cs="Amiri"/>
          <w:color w:val="111111"/>
          <w:sz w:val="28"/>
          <w:sz w:val="28"/>
          <w:szCs w:val="28"/>
          <w:rtl w:val="true"/>
          <w:lang w:bidi="ar-SA"/>
        </w:rPr>
        <w:t xml:space="preserve">حجيته و أنه من الأصول العامية </w:t>
      </w:r>
      <w:r>
        <w:rPr>
          <w:rStyle w:val="FootnoteAnchor"/>
          <w:rtl w:val="true"/>
        </w:rPr>
        <w:footnoteReference w:id="2777"/>
      </w:r>
      <w:r>
        <w:rPr>
          <w:rFonts w:ascii="Amiri" w:hAnsi="Amiri" w:eastAsia="Amiri" w:cs="Amiri"/>
          <w:color w:val="111111"/>
          <w:sz w:val="28"/>
          <w:sz w:val="28"/>
          <w:szCs w:val="28"/>
          <w:rtl w:val="true"/>
          <w:lang w:bidi="ar-SA"/>
        </w:rPr>
        <w:t>، بخلاف اليد؛ لما عرفت من أنها قطعية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الملك الماضي الثابت بالبينة ظني الدلالة بالنسبة إلى الحاكم لتجويزه استناد تلك الشهادة إلى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استندت بينة الملك </w:t>
      </w:r>
      <w:r>
        <w:rPr>
          <w:rStyle w:val="FootnoteAnchor"/>
          <w:rtl w:val="true"/>
        </w:rPr>
        <w:footnoteReference w:id="2778"/>
      </w:r>
      <w:r>
        <w:rPr>
          <w:rFonts w:ascii="Amiri" w:hAnsi="Amiri" w:eastAsia="Amiri" w:cs="Amiri"/>
          <w:color w:val="111111"/>
          <w:sz w:val="28"/>
          <w:sz w:val="28"/>
          <w:szCs w:val="28"/>
          <w:rtl w:val="true"/>
          <w:lang w:bidi="ar-SA"/>
        </w:rPr>
        <w:t>إلى سبب غير اليد، سواء نص عليه بخصوصه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تقديمه </w:t>
      </w:r>
      <w:r>
        <w:rPr>
          <w:rStyle w:val="FootnoteAnchor"/>
          <w:rtl w:val="true"/>
        </w:rPr>
        <w:footnoteReference w:id="2779"/>
      </w:r>
      <w:r>
        <w:rPr>
          <w:rFonts w:ascii="Amiri" w:hAnsi="Amiri" w:eastAsia="Amiri" w:cs="Amiri"/>
          <w:color w:val="111111"/>
          <w:sz w:val="28"/>
          <w:sz w:val="28"/>
          <w:szCs w:val="28"/>
          <w:rtl w:val="true"/>
          <w:lang w:bidi="ar-SA"/>
        </w:rPr>
        <w:t xml:space="preserve">على اليد حينئذ </w:t>
      </w:r>
      <w:r>
        <w:rPr>
          <w:rStyle w:val="FootnoteAnchor"/>
          <w:rtl w:val="true"/>
        </w:rPr>
        <w:footnoteReference w:id="2780"/>
      </w:r>
      <w:r>
        <w:rPr>
          <w:rFonts w:ascii="Amiri" w:hAnsi="Amiri" w:eastAsia="Amiri" w:cs="Amiri"/>
          <w:color w:val="111111"/>
          <w:sz w:val="28"/>
          <w:sz w:val="28"/>
          <w:szCs w:val="28"/>
          <w:rtl w:val="true"/>
          <w:lang w:bidi="ar-SA"/>
        </w:rPr>
        <w:t xml:space="preserve">، على أن ترجيح </w:t>
      </w:r>
      <w:r>
        <w:rPr>
          <w:rStyle w:val="FootnoteAnchor"/>
          <w:rtl w:val="true"/>
        </w:rPr>
        <w:footnoteReference w:id="2781"/>
      </w:r>
      <w:r>
        <w:rPr>
          <w:rFonts w:ascii="Amiri" w:hAnsi="Amiri" w:eastAsia="Amiri" w:cs="Amiri"/>
          <w:color w:val="111111"/>
          <w:sz w:val="28"/>
          <w:sz w:val="28"/>
          <w:szCs w:val="28"/>
          <w:rtl w:val="true"/>
          <w:lang w:bidi="ar-SA"/>
        </w:rPr>
        <w:t>شهادة الملك المطلق على شهادة اليد لا يوجب ترجيحها على نفس اليد المحققة المحسوسة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2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الحالية قد دلت على ملك ذي اليد في الحال، و البينة على ملك الآخر في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من ترجيح الثاني طرح الأول رأسًا، بخلاف الأول؛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783"/>
      </w:r>
      <w:r>
        <w:rPr>
          <w:rFonts w:ascii="Amiri" w:hAnsi="Amiri" w:eastAsia="Amiri" w:cs="Amiri"/>
          <w:color w:val="111111"/>
          <w:sz w:val="28"/>
          <w:sz w:val="28"/>
          <w:szCs w:val="28"/>
          <w:rtl w:val="true"/>
          <w:lang w:bidi="ar-SA"/>
        </w:rPr>
        <w:t xml:space="preserve">ترجيحه جمعا </w:t>
      </w:r>
      <w:r>
        <w:rPr>
          <w:rStyle w:val="FootnoteAnchor"/>
          <w:rtl w:val="true"/>
        </w:rPr>
        <w:footnoteReference w:id="2784"/>
      </w:r>
      <w:r>
        <w:rPr>
          <w:rFonts w:ascii="Amiri" w:hAnsi="Amiri" w:eastAsia="Amiri" w:cs="Amiri"/>
          <w:color w:val="111111"/>
          <w:sz w:val="28"/>
          <w:sz w:val="28"/>
          <w:szCs w:val="28"/>
          <w:rtl w:val="true"/>
          <w:lang w:bidi="ar-SA"/>
        </w:rPr>
        <w:t>بين الدليلين بقدر الإمكان و إمضاء كل منهما فيما يخصه من الزمان و مهما أمكن الجمع فهو أولى و أتقن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يرد أن في ترجيح الأول طرحًا لاستصحاب الملك السابق و قد ثبت بالبينة؛ لأن هذا إنما يتم لو تم دليل الاستصحاب و اعتباره هنا، و سنحقق </w:t>
      </w:r>
      <w:r>
        <w:rPr>
          <w:rStyle w:val="FootnoteAnchor"/>
          <w:rtl w:val="true"/>
        </w:rPr>
        <w:footnoteReference w:id="2785"/>
      </w:r>
      <w:r>
        <w:rPr>
          <w:rFonts w:ascii="Amiri" w:hAnsi="Amiri" w:eastAsia="Amiri" w:cs="Amiri"/>
          <w:color w:val="111111"/>
          <w:sz w:val="28"/>
          <w:sz w:val="28"/>
          <w:szCs w:val="28"/>
          <w:rtl w:val="true"/>
          <w:lang w:bidi="ar-SA"/>
        </w:rPr>
        <w:t>عدم جريانه في هذا الباب</w:t>
      </w:r>
      <w:r>
        <w:rPr>
          <w:rFonts w:eastAsia="Amiri" w:cs="Amiri" w:ascii="Amiri" w:hAnsi="Amiri"/>
          <w:color w:val="111111"/>
          <w:sz w:val="28"/>
          <w:szCs w:val="28"/>
          <w:rtl w:val="true"/>
          <w:lang w:bidi="ar-SA"/>
        </w:rPr>
        <w:t xml:space="preserve">.. </w:t>
      </w:r>
      <w:bookmarkStart w:id="245" w:name="pg2523_40022"/>
    </w:p>
    <w:p>
      <w:pPr>
        <w:pStyle w:val="Heading3"/>
        <w:numPr>
          <w:ilvl w:val="2"/>
          <w:numId w:val="1"/>
        </w:numPr>
        <w:rPr/>
      </w:pPr>
      <w:bookmarkStart w:id="246" w:name="__RefHeading___Toc4264970_3804643083"/>
      <w:bookmarkStart w:id="247" w:name="_Toc83"/>
      <w:bookmarkEnd w:id="245"/>
      <w:bookmarkEnd w:id="246"/>
      <w:r>
        <w:rPr>
          <w:rtl w:val="true"/>
        </w:rPr>
        <w:t>[</w:t>
      </w:r>
      <w:r>
        <w:rPr>
          <w:rtl w:val="true"/>
        </w:rPr>
        <w:t>أدلة القول بتقديم البينة ونقاشها</w:t>
      </w:r>
      <w:r>
        <w:rPr>
          <w:rtl w:val="true"/>
        </w:rPr>
        <w:t>]</w:t>
      </w:r>
      <w:bookmarkEnd w:id="247"/>
    </w:p>
    <w:p>
      <w:pPr>
        <w:pStyle w:val="BookText"/>
        <w:rPr/>
      </w:pPr>
      <w:r>
        <w:rPr>
          <w:rFonts w:ascii="Amiri" w:hAnsi="Amiri" w:eastAsia="Amiri" w:cs="Amiri"/>
          <w:color w:val="111111"/>
          <w:sz w:val="28"/>
          <w:sz w:val="28"/>
          <w:szCs w:val="28"/>
          <w:rtl w:val="true"/>
          <w:lang w:bidi="ar-SA"/>
        </w:rPr>
        <w:t xml:space="preserve">و أما أدلة القائلين بتقديم ما اقتضته البينة من الملك و اليد في الزمن الماضي على اليد فكثيرة </w:t>
      </w:r>
      <w:r>
        <w:rPr>
          <w:rStyle w:val="FootnoteAnchor"/>
          <w:rtl w:val="true"/>
        </w:rPr>
        <w:footnoteReference w:id="2786"/>
      </w:r>
      <w:r>
        <w:rPr>
          <w:rFonts w:ascii="Amiri" w:hAnsi="Amiri" w:eastAsia="Amiri" w:cs="Amiri"/>
          <w:color w:val="111111"/>
          <w:sz w:val="28"/>
          <w:sz w:val="28"/>
          <w:szCs w:val="28"/>
          <w:rtl w:val="true"/>
          <w:lang w:bidi="ar-SA"/>
        </w:rPr>
        <w:t xml:space="preserve">، لكنها </w:t>
      </w:r>
      <w:r>
        <w:rPr>
          <w:rStyle w:val="FootnoteAnchor"/>
          <w:rtl w:val="true"/>
        </w:rPr>
        <w:footnoteReference w:id="2787"/>
      </w:r>
      <w:r>
        <w:rPr>
          <w:rFonts w:ascii="IRNazanin" w:hAnsi="IRNazanin" w:eastAsia="IRNazanin"/>
          <w:color w:val="111111"/>
          <w:sz w:val="28"/>
          <w:sz w:val="28"/>
          <w:szCs w:val="28"/>
          <w:rtl w:val="true"/>
          <w:lang w:bidi="fa-IR"/>
        </w:rPr>
        <w:t>كلها موهومة لهم، لم نر لهم دليلا منصوصا سوی قواعد اجتهادية لم يقم عليها نص و لا دليل، إلا أنا لا بد أن نتعرض لأقواها و بيان رده؛ لئلا يتمسك بها من لم تشتد قريحته و ملكته في الاستنباط من القواعد المعصومية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ما قرره زين المحققين </w:t>
      </w:r>
      <w:r>
        <w:rPr>
          <w:rStyle w:val="FootnoteAnchor"/>
          <w:rtl w:val="true"/>
        </w:rPr>
        <w:footnoteReference w:id="2788"/>
      </w:r>
      <w:r>
        <w:rPr>
          <w:rFonts w:ascii="Amiri" w:hAnsi="Amiri" w:eastAsia="Amiri" w:cs="Amiri"/>
          <w:color w:val="111111"/>
          <w:sz w:val="28"/>
          <w:sz w:val="28"/>
          <w:szCs w:val="28"/>
          <w:rtl w:val="true"/>
          <w:lang w:bidi="ar-SA"/>
        </w:rPr>
        <w:t xml:space="preserve">و غيره </w:t>
      </w:r>
      <w:r>
        <w:rPr>
          <w:rStyle w:val="FootnoteAnchor"/>
          <w:rtl w:val="true"/>
        </w:rPr>
        <w:footnoteReference w:id="2789"/>
      </w:r>
      <w:r>
        <w:rPr>
          <w:rFonts w:ascii="Amiri" w:hAnsi="Amiri" w:eastAsia="Amiri" w:cs="Amiri"/>
          <w:color w:val="111111"/>
          <w:sz w:val="28"/>
          <w:sz w:val="28"/>
          <w:szCs w:val="28"/>
          <w:rtl w:val="true"/>
          <w:lang w:bidi="ar-SA"/>
        </w:rPr>
        <w:t xml:space="preserve">من أن اليد الحالية و إن كان شاهد الملك، لكن البينة أولى لمشاركتها </w:t>
      </w:r>
      <w:r>
        <w:rPr>
          <w:rStyle w:val="FootnoteAnchor"/>
          <w:rtl w:val="true"/>
        </w:rPr>
        <w:footnoteReference w:id="2790"/>
      </w:r>
      <w:r>
        <w:rPr>
          <w:rFonts w:ascii="Amiri" w:hAnsi="Amiri" w:eastAsia="Amiri" w:cs="Amiri"/>
          <w:color w:val="111111"/>
          <w:sz w:val="28"/>
          <w:sz w:val="28"/>
          <w:szCs w:val="28"/>
          <w:rtl w:val="true"/>
          <w:lang w:bidi="ar-SA"/>
        </w:rPr>
        <w:t xml:space="preserve">في زمن الحال باستصحاب السابق ،و انفراد </w:t>
      </w:r>
      <w:r>
        <w:rPr>
          <w:rStyle w:val="FootnoteAnchor"/>
          <w:rtl w:val="true"/>
        </w:rPr>
        <w:footnoteReference w:id="2791"/>
      </w:r>
      <w:r>
        <w:rPr>
          <w:rFonts w:ascii="Amiri" w:hAnsi="Amiri" w:eastAsia="Amiri" w:cs="Amiri"/>
          <w:color w:val="111111"/>
          <w:sz w:val="28"/>
          <w:sz w:val="28"/>
          <w:szCs w:val="28"/>
          <w:rtl w:val="true"/>
          <w:lang w:bidi="ar-SA"/>
        </w:rPr>
        <w:t xml:space="preserve">البينة بالماضي، فتكون أرجح </w:t>
      </w:r>
      <w:r>
        <w:rPr>
          <w:rStyle w:val="FootnoteAnchor"/>
          <w:rtl w:val="true"/>
        </w:rPr>
        <w:footnoteReference w:id="2792"/>
      </w:r>
      <w:r>
        <w:rPr>
          <w:rFonts w:ascii="Amiri" w:hAnsi="Amiri" w:eastAsia="Amiri" w:cs="Amiri"/>
          <w:color w:val="111111"/>
          <w:sz w:val="28"/>
          <w:sz w:val="28"/>
          <w:szCs w:val="28"/>
          <w:rtl w:val="true"/>
          <w:lang w:bidi="ar-SA"/>
        </w:rPr>
        <w:t xml:space="preserve">من اليد و أقوى؛ لاشتمالها على مؤدى </w:t>
      </w:r>
      <w:r>
        <w:rPr>
          <w:rStyle w:val="FootnoteAnchor"/>
          <w:rtl w:val="true"/>
        </w:rPr>
        <w:footnoteReference w:id="2793"/>
      </w:r>
      <w:r>
        <w:rPr>
          <w:rFonts w:ascii="Amiri" w:hAnsi="Amiri" w:eastAsia="Amiri" w:cs="Amiri"/>
          <w:color w:val="111111"/>
          <w:sz w:val="28"/>
          <w:sz w:val="28"/>
          <w:szCs w:val="28"/>
          <w:rtl w:val="true"/>
          <w:lang w:bidi="ar-SA"/>
        </w:rPr>
        <w:t xml:space="preserve">اليد و زيادة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2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عندنا كما عرفت – لو </w:t>
      </w:r>
    </w:p>
    <w:p>
      <w:pPr>
        <w:pStyle w:val="BookText"/>
        <w:rPr/>
      </w:pPr>
      <w:r>
        <w:rPr>
          <w:rFonts w:ascii="Amiri" w:hAnsi="Amiri" w:eastAsia="Amiri" w:cs="Amiri"/>
          <w:color w:val="111111"/>
          <w:sz w:val="28"/>
          <w:sz w:val="28"/>
          <w:szCs w:val="28"/>
          <w:rtl w:val="true"/>
          <w:lang w:bidi="ar-SA"/>
        </w:rPr>
        <w:t xml:space="preserve">سلمنا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عند عدم دليل شرعي على خلافه لا مطلقا، بالاتفاق من معتبريه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قيام الدليل على خلافه ينقطع استمرار الحكم الشرعي </w:t>
      </w:r>
      <w:r>
        <w:rPr>
          <w:rStyle w:val="FootnoteAnchor"/>
          <w:rtl w:val="true"/>
        </w:rPr>
        <w:footnoteReference w:id="2796"/>
      </w:r>
      <w:r>
        <w:rPr>
          <w:rFonts w:ascii="Amiri" w:hAnsi="Amiri" w:eastAsia="Amiri" w:cs="Amiri"/>
          <w:color w:val="111111"/>
          <w:sz w:val="28"/>
          <w:sz w:val="28"/>
          <w:szCs w:val="28"/>
          <w:rtl w:val="true"/>
          <w:lang w:bidi="ar-SA"/>
        </w:rPr>
        <w:t>، و يندفع استصحابه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المجمع عليه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دليل شرعي، فاستصحاب الملك السابق بعد تبدل اليد السابقة بلاحقة مثل استصحاب الحدث بعدحصول الطهارة، و هو مما ثبت فساده؛ ضرورة أن في العمل </w:t>
      </w:r>
      <w:r>
        <w:rPr>
          <w:rStyle w:val="FootnoteAnchor"/>
          <w:rtl w:val="true"/>
        </w:rPr>
        <w:footnoteReference w:id="2797"/>
      </w:r>
      <w:r>
        <w:rPr>
          <w:rFonts w:ascii="Amiri" w:hAnsi="Amiri" w:eastAsia="Amiri" w:cs="Amiri"/>
          <w:color w:val="111111"/>
          <w:sz w:val="28"/>
          <w:sz w:val="28"/>
          <w:szCs w:val="28"/>
          <w:rtl w:val="true"/>
          <w:lang w:bidi="ar-SA"/>
        </w:rPr>
        <w:t>بهذا الاستصحاب ما يضحك أولي الألباب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غاية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التحرز من نقض اليقين بالشك كما يظهر من أدلتهم على حجيته </w:t>
      </w:r>
      <w:r>
        <w:rPr>
          <w:rStyle w:val="FootnoteAnchor"/>
          <w:rtl w:val="true"/>
        </w:rPr>
        <w:footnoteReference w:id="2798"/>
      </w:r>
      <w:r>
        <w:rPr>
          <w:rFonts w:ascii="Amiri" w:hAnsi="Amiri" w:eastAsia="Amiri" w:cs="Amiri"/>
          <w:color w:val="111111"/>
          <w:sz w:val="28"/>
          <w:sz w:val="28"/>
          <w:szCs w:val="28"/>
          <w:rtl w:val="true"/>
          <w:lang w:bidi="ar-SA"/>
        </w:rPr>
        <w:t xml:space="preserve">، حيث </w:t>
      </w:r>
      <w:r>
        <w:rPr>
          <w:rStyle w:val="FootnoteAnchor"/>
          <w:rtl w:val="true"/>
        </w:rPr>
        <w:footnoteReference w:id="2799"/>
      </w:r>
      <w:r>
        <w:rPr>
          <w:rFonts w:ascii="Amiri" w:hAnsi="Amiri" w:eastAsia="Amiri" w:cs="Amiri"/>
          <w:color w:val="111111"/>
          <w:sz w:val="28"/>
          <w:sz w:val="28"/>
          <w:szCs w:val="28"/>
          <w:rtl w:val="true"/>
          <w:lang w:bidi="ar-SA"/>
        </w:rPr>
        <w:t>قد تكرر و استفاض في النصوص عنهم علیهم السلام علی وجه قد بلغ حد التواتر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أَبَدًا</w:t>
      </w:r>
      <w:r>
        <w:rPr>
          <w:rFonts w:eastAsia="Amiri" w:cs="Amiri" w:ascii="Amiri" w:hAnsi="Amiri"/>
          <w:color w:val="111111"/>
          <w:sz w:val="28"/>
          <w:szCs w:val="28"/>
          <w:rtl w:val="true"/>
          <w:lang w:bidi="ar-SA"/>
        </w:rPr>
        <w:t xml:space="preserve">» </w:t>
      </w:r>
      <w:r>
        <w:rPr>
          <w:rStyle w:val="FootnoteAnchor"/>
          <w:rtl w:val="true"/>
        </w:rPr>
        <w:footnoteReference w:id="2800"/>
      </w:r>
      <w:r>
        <w:rPr>
          <w:rFonts w:ascii="Amiri" w:hAnsi="Amiri" w:eastAsia="Amiri" w:cs="Amiri"/>
          <w:color w:val="111111"/>
          <w:sz w:val="28"/>
          <w:sz w:val="28"/>
          <w:szCs w:val="28"/>
          <w:rtl w:val="true"/>
          <w:lang w:bidi="ar-SA"/>
        </w:rPr>
        <w:t xml:space="preserve">، و قولهم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يُرِیبُكَ إِلَى مَا لَا يُرِيبُكُ</w:t>
      </w:r>
      <w:r>
        <w:rPr>
          <w:rFonts w:eastAsia="Amiri" w:cs="Amiri" w:ascii="Amiri" w:hAnsi="Amiri"/>
          <w:color w:val="111111"/>
          <w:sz w:val="28"/>
          <w:szCs w:val="28"/>
          <w:rtl w:val="true"/>
          <w:lang w:bidi="ar-SA"/>
        </w:rPr>
        <w:t xml:space="preserve">» </w:t>
      </w:r>
      <w:r>
        <w:rPr>
          <w:rStyle w:val="FootnoteAnchor"/>
          <w:rtl w:val="true"/>
        </w:rPr>
        <w:footnoteReference w:id="2801"/>
      </w:r>
      <w:r>
        <w:rPr>
          <w:rFonts w:ascii="Amiri" w:hAnsi="Amiri" w:eastAsia="Amiri" w:cs="Amiri"/>
          <w:color w:val="111111"/>
          <w:sz w:val="28"/>
          <w:sz w:val="28"/>
          <w:szCs w:val="28"/>
          <w:rtl w:val="true"/>
          <w:lang w:bidi="ar-SA"/>
        </w:rPr>
        <w:t xml:space="preserve">و نحوهما، فيجب استصحاب الحكم المتيقن </w:t>
      </w:r>
      <w:r>
        <w:rPr>
          <w:rStyle w:val="FootnoteAnchor"/>
          <w:rtl w:val="true"/>
        </w:rPr>
        <w:footnoteReference w:id="2802"/>
      </w:r>
      <w:r>
        <w:rPr>
          <w:rFonts w:ascii="Amiri" w:hAnsi="Amiri" w:eastAsia="Amiri" w:cs="Amiri"/>
          <w:color w:val="111111"/>
          <w:sz w:val="28"/>
          <w:sz w:val="28"/>
          <w:szCs w:val="28"/>
          <w:rtl w:val="true"/>
          <w:lang w:bidi="ar-SA"/>
        </w:rPr>
        <w:t>ما لم يتيقن مزيله، ولا يجوز قطعه مع الشك في مزيله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إذا تأملت الاستصحاب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لك أن العمل به يؤدي إلى نقض تلك القاعدة، و هو نقض اليقين بالشك؛ ضرورة أن رافع حكم اليد </w:t>
      </w:r>
      <w:r>
        <w:rPr>
          <w:rStyle w:val="FootnoteAnchor"/>
          <w:rtl w:val="true"/>
        </w:rPr>
        <w:footnoteReference w:id="2803"/>
      </w:r>
      <w:r>
        <w:rPr>
          <w:rFonts w:ascii="Amiri" w:hAnsi="Amiri" w:eastAsia="Amiri" w:cs="Amiri"/>
          <w:color w:val="111111"/>
          <w:sz w:val="28"/>
          <w:sz w:val="28"/>
          <w:szCs w:val="28"/>
          <w:rtl w:val="true"/>
          <w:lang w:bidi="ar-SA"/>
        </w:rPr>
        <w:t xml:space="preserve">الحالية و ناقضها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مما قد ثبت قطعيتها و أنها يقين 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نفس الملك السابق أو اليد السابقة؛ حيث لا منافاة بينها و بين هذه الحالية؛ لجواز أن تنقل الأشياء من يد إلى أخرى كما هو معلوم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الرافع ليقينها عندهم </w:t>
      </w:r>
      <w:r>
        <w:rPr>
          <w:rStyle w:val="FootnoteAnchor"/>
          <w:rtl w:val="true"/>
        </w:rPr>
        <w:footnoteReference w:id="2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w:t>
      </w:r>
      <w:r>
        <w:rPr>
          <w:rStyle w:val="FootnoteAnchor"/>
          <w:rtl w:val="true"/>
        </w:rPr>
        <w:footnoteReference w:id="2805"/>
      </w:r>
      <w:r>
        <w:rPr>
          <w:rFonts w:ascii="Amiri" w:hAnsi="Amiri" w:eastAsia="Amiri" w:cs="Amiri"/>
          <w:color w:val="111111"/>
          <w:sz w:val="28"/>
          <w:sz w:val="28"/>
          <w:szCs w:val="28"/>
          <w:rtl w:val="true"/>
          <w:lang w:bidi="ar-SA"/>
        </w:rPr>
        <w:t>الحال الاستصحابي ظني الوجود عقلا و شرعا، و اليد المحقة المحسوسة قطعية الوجود عقلا و شرعًا، فنقض حكمها بأحد ذينك الظنيين الاستصحابيين نقضّ للمتيقن بالمشكوك فيه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المعقول و المعهود في الأسباب العقلية و المعرفات الشرعية المتعاقبة عند المناقضة إنما هو نقض اللاحق لسابقه و نسخه إياه لا العكس، فبعد تحقق كل لاحق و اليقين بحصوله و وجوب الحكم برفعه لسابقه لا معنى للحكم ثانيًا بارتفاعها السابقة استصحابًا </w:t>
      </w:r>
      <w:r>
        <w:rPr>
          <w:rStyle w:val="FootnoteAnchor"/>
          <w:rtl w:val="true"/>
        </w:rPr>
        <w:footnoteReference w:id="2806"/>
      </w:r>
      <w:r>
        <w:rPr>
          <w:rFonts w:ascii="Amiri" w:hAnsi="Amiri" w:eastAsia="Amiri" w:cs="Amiri"/>
          <w:color w:val="111111"/>
          <w:sz w:val="28"/>
          <w:sz w:val="28"/>
          <w:szCs w:val="28"/>
          <w:rtl w:val="true"/>
          <w:lang w:bidi="ar-SA"/>
        </w:rPr>
        <w:t xml:space="preserve">، على أن في القول بذلك التزام </w:t>
      </w:r>
      <w:r>
        <w:rPr>
          <w:rStyle w:val="FootnoteAnchor"/>
          <w:rtl w:val="true"/>
        </w:rPr>
        <w:footnoteReference w:id="2807"/>
      </w:r>
      <w:r>
        <w:rPr>
          <w:rFonts w:ascii="Amiri" w:hAnsi="Amiri" w:eastAsia="Amiri" w:cs="Amiri"/>
          <w:color w:val="111111"/>
          <w:sz w:val="28"/>
          <w:sz w:val="28"/>
          <w:szCs w:val="28"/>
          <w:rtl w:val="true"/>
          <w:lang w:bidi="ar-SA"/>
        </w:rPr>
        <w:t>القول بتأثير المعدوم و تعطيل الموجود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العقود الناقلة أيضا كذلك </w:t>
      </w:r>
      <w:r>
        <w:rPr>
          <w:rStyle w:val="FootnoteAnchor"/>
          <w:rtl w:val="true"/>
        </w:rPr>
        <w:footnoteReference w:id="2808"/>
      </w:r>
      <w:r>
        <w:rPr>
          <w:rFonts w:ascii="Amiri" w:hAnsi="Amiri" w:eastAsia="Amiri" w:cs="Amiri"/>
          <w:color w:val="111111"/>
          <w:sz w:val="28"/>
          <w:sz w:val="28"/>
          <w:szCs w:val="28"/>
          <w:rtl w:val="true"/>
          <w:lang w:bidi="ar-SA"/>
        </w:rPr>
        <w:t xml:space="preserve">ضرورةً أن الناقل الثاني ناسخ لحكم الأول، و اليد </w:t>
      </w:r>
      <w:r>
        <w:rPr>
          <w:rStyle w:val="FootnoteAnchor"/>
          <w:rtl w:val="true"/>
        </w:rPr>
        <w:footnoteReference w:id="2809"/>
      </w:r>
      <w:r>
        <w:rPr>
          <w:rFonts w:ascii="Amiri" w:hAnsi="Amiri" w:eastAsia="Amiri" w:cs="Amiri"/>
          <w:color w:val="111111"/>
          <w:sz w:val="28"/>
          <w:sz w:val="28"/>
          <w:szCs w:val="28"/>
          <w:rtl w:val="true"/>
          <w:lang w:bidi="ar-SA"/>
        </w:rPr>
        <w:t xml:space="preserve">بمنزلة الناقل؛ لما </w:t>
      </w:r>
      <w:r>
        <w:rPr>
          <w:rStyle w:val="FootnoteAnchor"/>
          <w:rtl w:val="true"/>
        </w:rPr>
        <w:footnoteReference w:id="2810"/>
      </w:r>
      <w:r>
        <w:rPr>
          <w:rFonts w:ascii="IRNazanin" w:hAnsi="IRNazanin" w:eastAsia="IRNazanin"/>
          <w:color w:val="111111"/>
          <w:sz w:val="28"/>
          <w:sz w:val="28"/>
          <w:szCs w:val="28"/>
          <w:rtl w:val="true"/>
          <w:lang w:bidi="fa-IR"/>
        </w:rPr>
        <w:t xml:space="preserve">مر من البرهان </w:t>
      </w:r>
      <w:r>
        <w:rPr>
          <w:rStyle w:val="FootnoteAnchor"/>
          <w:rtl w:val="true"/>
        </w:rPr>
        <w:footnoteReference w:id="2811"/>
      </w:r>
      <w:r>
        <w:rPr>
          <w:rFonts w:ascii="Amiri" w:hAnsi="Amiri" w:eastAsia="Amiri" w:cs="Amiri"/>
          <w:color w:val="111111"/>
          <w:sz w:val="28"/>
          <w:sz w:val="28"/>
          <w:szCs w:val="28"/>
          <w:rtl w:val="true"/>
          <w:lang w:bidi="ar-SA"/>
        </w:rPr>
        <w:t>، فحال اليد المنقطعة كالعقود المنسوخة في عدم جواز استصحابها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لهذا </w:t>
      </w:r>
      <w:r>
        <w:rPr>
          <w:rStyle w:val="FootnoteAnchor"/>
          <w:rtl w:val="true"/>
        </w:rPr>
        <w:footnoteReference w:id="2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بينة أن زيدا اشترى العين من بكر، و أخرى أن عمراً اشتراها من زيد، لم تكن ثمة تعارض بين البينتين؛ لعدم التنافي، بل يحكم هناك بانتقالها من بكر إلى زيد، و منه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بيد عمرو و ثبت </w:t>
      </w:r>
      <w:r>
        <w:rPr>
          <w:rStyle w:val="FootnoteAnchor"/>
          <w:rtl w:val="true"/>
        </w:rPr>
        <w:footnoteReference w:id="2813"/>
      </w:r>
      <w:r>
        <w:rPr>
          <w:rFonts w:ascii="Amiri" w:hAnsi="Amiri" w:eastAsia="Amiri" w:cs="Amiri"/>
          <w:color w:val="111111"/>
          <w:sz w:val="28"/>
          <w:sz w:val="28"/>
          <w:szCs w:val="28"/>
          <w:rtl w:val="true"/>
          <w:lang w:bidi="ar-SA"/>
        </w:rPr>
        <w:t>بالبينة أنها كانت بيد زيد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الحكم بأنها كانت ملكا لزيد في ذلك العام ثم انتقلت بحكم تبدل اليد، فلا تعارض إذًا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لم يجز أن يستصحب العقد المنسوخ بعد ثبوت نسخه، كذا لايجوز استصحاب اليد المنقطعة حتى يلزم التعارض بين الماضي و الحال، و لا فرق في ذلك بين انقطاع السابق بما هو من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بِيَدِ –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بِعَقْدِ أو 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الثاني المغاير جنسًا أقوى و أضعف </w:t>
      </w:r>
      <w:r>
        <w:rPr>
          <w:rStyle w:val="FootnoteAnchor"/>
          <w:rtl w:val="true"/>
        </w:rPr>
        <w:footnoteReference w:id="2814"/>
      </w:r>
      <w:r>
        <w:rPr>
          <w:rFonts w:ascii="Amiri" w:hAnsi="Amiri" w:eastAsia="Amiri" w:cs="Amiri"/>
          <w:color w:val="111111"/>
          <w:sz w:val="28"/>
          <w:sz w:val="28"/>
          <w:szCs w:val="28"/>
          <w:rtl w:val="true"/>
          <w:lang w:bidi="ar-SA"/>
        </w:rPr>
        <w:t>أو مساويًا للأول؛ إذ اعتبارُ كون الثاني دليلا شرعيا مما يوجب الحكم به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هذا </w:t>
      </w:r>
      <w:r>
        <w:rPr>
          <w:rStyle w:val="FootnoteAnchor"/>
          <w:rtl w:val="true"/>
        </w:rPr>
        <w:footnoteReference w:id="2815"/>
      </w:r>
      <w:r>
        <w:rPr>
          <w:rFonts w:ascii="Amiri" w:hAnsi="Amiri" w:eastAsia="Amiri" w:cs="Amiri"/>
          <w:color w:val="111111"/>
          <w:sz w:val="28"/>
          <w:sz w:val="28"/>
          <w:szCs w:val="28"/>
          <w:rtl w:val="true"/>
          <w:lang w:bidi="ar-SA"/>
        </w:rPr>
        <w:t>مخصوصا بشهادة البينة باليد أو الملك، بل الإقرار من ذي اليد بهذه المنزلة، فلو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يقرّ بفساد يده أو عدم استحقاق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r>
        <w:rPr>
          <w:rStyle w:val="FootnoteAnchor"/>
          <w:rtl w:val="true"/>
        </w:rPr>
        <w:footnoteReference w:id="2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غَصَبَها أو استأجرها من المدعى سابقا، أو تشهد البينة بإقراره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يقرَّ باليد السابقة أو الملك السابق، أو تشهد بينة بإقراره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نعرف لهم خلافًا </w:t>
      </w:r>
      <w:r>
        <w:rPr>
          <w:rStyle w:val="FootnoteAnchor"/>
          <w:rtl w:val="true"/>
        </w:rPr>
        <w:footnoteReference w:id="2818"/>
      </w:r>
      <w:r>
        <w:rPr>
          <w:rFonts w:ascii="Amiri" w:hAnsi="Amiri" w:eastAsia="Amiri" w:cs="Amiri"/>
          <w:color w:val="111111"/>
          <w:sz w:val="28"/>
          <w:sz w:val="28"/>
          <w:szCs w:val="28"/>
          <w:rtl w:val="true"/>
          <w:lang w:bidi="ar-SA"/>
        </w:rPr>
        <w:t xml:space="preserve">في استصحاب حكم الإقرار و انتزاع العين من ذي اليد، كما لو قامت تلك البينة على فساد يده أو عدم استحقاقه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مطرح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السابق و انتزاع العين من المثبت </w:t>
      </w:r>
      <w:r>
        <w:rPr>
          <w:rStyle w:val="FootnoteAnchor"/>
          <w:rtl w:val="true"/>
        </w:rPr>
        <w:footnoteReference w:id="2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الإقرار و البينة ، فلا انتزاع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استصحاب فيهما، كما عليه العلامة السبزواري في كفاية الأحكام </w:t>
      </w:r>
      <w:r>
        <w:rPr>
          <w:rStyle w:val="FootnoteAnchor"/>
          <w:rtl w:val="true"/>
        </w:rPr>
        <w:footnoteReference w:id="28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الفاضل الهندي في كشف اللثام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زين المحققين في تمهيد 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ملكك بالأمس،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 به، كما لو قامت بينة بأنه كان ملكه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أنه يؤاخذ كما لو شهدت البينة بأنه أقر أمس </w:t>
      </w:r>
      <w:r>
        <w:rPr>
          <w:rFonts w:eastAsia="Amiri" w:cs="Amiri" w:ascii="Amiri" w:hAnsi="Amiri"/>
          <w:color w:val="111111"/>
          <w:sz w:val="28"/>
          <w:szCs w:val="28"/>
          <w:rtl w:val="true"/>
          <w:lang w:bidi="ar-SA"/>
        </w:rPr>
        <w:t xml:space="preserve">»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لهم في هذه المسألة معلوم من عباراتهم في مؤلفاتهم، إلا أنهم لم يذكروا دليلا على كل من المدعيين </w:t>
      </w:r>
      <w:r>
        <w:rPr>
          <w:rStyle w:val="FootnoteAnchor"/>
          <w:rtl w:val="true"/>
        </w:rPr>
        <w:footnoteReference w:id="2824"/>
      </w:r>
      <w:r>
        <w:rPr>
          <w:rFonts w:ascii="Amiri" w:hAnsi="Amiri" w:eastAsia="Amiri" w:cs="Amiri"/>
          <w:color w:val="111111"/>
          <w:sz w:val="28"/>
          <w:sz w:val="28"/>
          <w:szCs w:val="28"/>
          <w:rtl w:val="true"/>
          <w:lang w:bidi="ar-SA"/>
        </w:rPr>
        <w:t>سوى ما ذكره العلامة من الفرق بين الإقرار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المقر مخبر عن تحقق </w:t>
      </w:r>
      <w:r>
        <w:rPr>
          <w:rStyle w:val="FootnoteAnchor"/>
          <w:rtl w:val="true"/>
        </w:rPr>
        <w:footnoteReference w:id="2825"/>
      </w:r>
      <w:r>
        <w:rPr>
          <w:rFonts w:ascii="Amiri" w:hAnsi="Amiri" w:eastAsia="Amiri" w:cs="Amiri"/>
          <w:color w:val="111111"/>
          <w:sz w:val="28"/>
          <w:sz w:val="28"/>
          <w:szCs w:val="28"/>
          <w:rtl w:val="true"/>
          <w:lang w:bidi="ar-SA"/>
        </w:rPr>
        <w:t xml:space="preserve">لأنه يخبر عن حال نفسه، فيستصحب ما أقر به، بخلاف الشاهد بملك المدعي أمس </w:t>
      </w:r>
      <w:r>
        <w:rPr>
          <w:rStyle w:val="FootnoteAnchor"/>
          <w:rtl w:val="true"/>
        </w:rPr>
        <w:footnoteReference w:id="2826"/>
      </w:r>
      <w:r>
        <w:rPr>
          <w:rFonts w:ascii="Amiri" w:hAnsi="Amiri" w:eastAsia="Amiri" w:cs="Amiri"/>
          <w:color w:val="111111"/>
          <w:sz w:val="28"/>
          <w:sz w:val="28"/>
          <w:szCs w:val="28"/>
          <w:rtl w:val="true"/>
          <w:lang w:bidi="ar-SA"/>
        </w:rPr>
        <w:t>؛ فإنه ربما بناه على التخمين، فيخبر عن تخمين مستند إلى مجرد يد أو استفاضة، حتى لو استندت الشهادة إلى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هو ملكه اشتراه منه قبل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على هذا الفرق </w:t>
      </w:r>
      <w:r>
        <w:rPr>
          <w:rStyle w:val="FootnoteAnchor"/>
          <w:rtl w:val="true"/>
        </w:rPr>
        <w:footnoteReference w:id="2828"/>
      </w:r>
      <w:r>
        <w:rPr>
          <w:rFonts w:ascii="Amiri" w:hAnsi="Amiri" w:eastAsia="Amiri" w:cs="Amiri"/>
          <w:color w:val="111111"/>
          <w:sz w:val="28"/>
          <w:sz w:val="28"/>
          <w:szCs w:val="28"/>
          <w:rtl w:val="true"/>
          <w:lang w:bidi="ar-SA"/>
        </w:rPr>
        <w:t>اعتمد زين المحققين في ترجيح المشهور، ولم نقف لهم على مستنده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بحث؛ لأن استصحاب كل حكم إنما يتوقف على ثبوت ذلك الحكم شرعًا ليصح استصحابه، سواء كان طريق ثبوته قطعيًا أو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الاستصحابي ظني الثبوت؛ لأن مأخذه الاستصحاب، و ظنيته مما قام عليها الدليل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الحكم المستصحب قطعيًا لقطعية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ثبت ذلك الأصل بدليل و إلا فلا يتفاوت الأمر في حجية الاستصحاب و ظنيته، لكنه </w:t>
      </w:r>
      <w:r>
        <w:rPr>
          <w:rStyle w:val="FootnoteAnchor"/>
          <w:rtl w:val="true"/>
        </w:rPr>
        <w:footnoteReference w:id="2829"/>
      </w:r>
      <w:r>
        <w:rPr>
          <w:rFonts w:ascii="Amiri" w:hAnsi="Amiri" w:eastAsia="Amiri" w:cs="Amiri"/>
          <w:color w:val="111111"/>
          <w:sz w:val="28"/>
          <w:sz w:val="28"/>
          <w:szCs w:val="28"/>
          <w:rtl w:val="true"/>
          <w:lang w:bidi="ar-SA"/>
        </w:rPr>
        <w:t xml:space="preserve">مما ثبت تفاوته؛ نظرًا إلى ضعف ذلك الاستصحاب و قوته، فاستصحاب مقتضى الدليل القطعي أقوى من استصحاب مقتضى الدليل الظني؛ لأن هذا ممنوع، إذ لا مدخل للدليل إلا في نفس حكم الأصل، و أما الفرع الاستصحابي فليس داخلا تحت ما يقتضيه الدليل، بل لا </w:t>
      </w:r>
      <w:r>
        <w:rPr>
          <w:rStyle w:val="FootnoteAnchor"/>
          <w:rtl w:val="true"/>
        </w:rPr>
        <w:footnoteReference w:id="2830"/>
      </w:r>
      <w:r>
        <w:rPr>
          <w:rFonts w:ascii="Amiri" w:hAnsi="Amiri" w:eastAsia="Amiri" w:cs="Amiri"/>
          <w:color w:val="111111"/>
          <w:sz w:val="28"/>
          <w:sz w:val="28"/>
          <w:szCs w:val="28"/>
          <w:rtl w:val="true"/>
          <w:lang w:bidi="ar-SA"/>
        </w:rPr>
        <w:t>مقتضي له سوى الاستصحاب و أدلة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الفرع ظني، سواء كان ثبوت الأصل قطعيًا أو ظنيا؛ فقوة الاستصحاب و ضعفه مترتبان على أدلة حجيته قوة و ضعفا لا على دليل الأصل و ضعفه، و هذا أمر غير منكور</w:t>
      </w:r>
      <w:r>
        <w:rPr>
          <w:rFonts w:eastAsia="Amiri" w:cs="Amiri" w:ascii="Amiri" w:hAnsi="Amiri"/>
          <w:color w:val="111111"/>
          <w:sz w:val="28"/>
          <w:szCs w:val="28"/>
          <w:rtl w:val="true"/>
          <w:lang w:bidi="ar-SA"/>
        </w:rPr>
        <w:t xml:space="preserve">.. </w:t>
      </w:r>
      <w:bookmarkStart w:id="248" w:name="pg2523_40029"/>
    </w:p>
    <w:p>
      <w:pPr>
        <w:pStyle w:val="BookText"/>
        <w:rPr/>
      </w:pPr>
      <w:bookmarkEnd w:id="248"/>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ثمرة الاستصحاب مع الإقرار كثمرته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2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فكما أن الاستصحاب قد ثبت أنه لا اعتداد به عند اليد الحالية و هو عام في كل الحالات، فليس حالة الإقرار مما قام الدليل على ترجيحها بمرجح حتى يكون هناك خصوصية؛ إذ الإقرار عندهم كالبينة لا غير، فدعوى الفرق هنا تحكم محض</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4264972_3804643083"/>
      <w:bookmarkStart w:id="250" w:name="_Toc84"/>
      <w:bookmarkEnd w:id="249"/>
      <w:r>
        <w:rPr>
          <w:rtl w:val="true"/>
        </w:rPr>
        <w:t>[</w:t>
      </w:r>
      <w:r>
        <w:rPr>
          <w:rtl w:val="true"/>
        </w:rPr>
        <w:t>دفع إيراد على عدم اعتبار ثمرة الاستصحاب</w:t>
      </w:r>
      <w:r>
        <w:rPr>
          <w:rtl w:val="true"/>
        </w:rPr>
        <w:t>]</w:t>
      </w:r>
      <w:bookmarkEnd w:id="25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ما ادعيتم من عدم اعتبار ثمرة الاستصحاب و أنه لا اعتداد به في الحجية ما رواه الشيخ و الكليني في الصحيح </w:t>
      </w:r>
      <w:r>
        <w:rPr>
          <w:rStyle w:val="FootnoteAnchor"/>
          <w:rtl w:val="true"/>
        </w:rPr>
        <w:footnoteReference w:id="2832"/>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Style w:val="FootnoteAnchor"/>
          <w:rtl w:val="true"/>
        </w:rPr>
        <w:footnoteReference w:id="2833"/>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لَيْلَى يَسْأَلُنِي الشَّهَادَةَ عَلَى أَنَّ هَذِهِ الدَّارَ مَاتَ فُلَانٌ وَتَرَكَهَا </w:t>
      </w:r>
      <w:r>
        <w:rPr>
          <w:rStyle w:val="FootnoteAnchor"/>
          <w:rtl w:val="true"/>
        </w:rPr>
        <w:footnoteReference w:id="2834"/>
      </w:r>
      <w:r>
        <w:rPr>
          <w:rFonts w:ascii="Amiri" w:hAnsi="Amiri" w:eastAsia="Amiri" w:cs="Amiri"/>
          <w:color w:val="111111"/>
          <w:sz w:val="28"/>
          <w:sz w:val="28"/>
          <w:szCs w:val="28"/>
          <w:rtl w:val="true"/>
          <w:lang w:bidi="ar-SA"/>
        </w:rPr>
        <w:t xml:space="preserve">مِيرَانا </w:t>
      </w:r>
      <w:r>
        <w:rPr>
          <w:rStyle w:val="FootnoteAnchor"/>
          <w:rtl w:val="true"/>
        </w:rPr>
        <w:footnoteReference w:id="2835"/>
      </w:r>
      <w:r>
        <w:rPr>
          <w:rFonts w:ascii="Amiri" w:hAnsi="Amiri" w:eastAsia="Amiri" w:cs="Amiri"/>
          <w:color w:val="111111"/>
          <w:sz w:val="28"/>
          <w:sz w:val="28"/>
          <w:szCs w:val="28"/>
          <w:rtl w:val="true"/>
          <w:lang w:bidi="ar-SA"/>
        </w:rPr>
        <w:t xml:space="preserve">، فَإِنَّهُ </w:t>
      </w:r>
      <w:r>
        <w:rPr>
          <w:rStyle w:val="FootnoteAnchor"/>
          <w:rtl w:val="true"/>
        </w:rPr>
        <w:footnoteReference w:id="2836"/>
      </w:r>
      <w:r>
        <w:rPr>
          <w:rFonts w:ascii="Amiri" w:hAnsi="Amiri" w:eastAsia="Amiri" w:cs="Amiri"/>
          <w:color w:val="111111"/>
          <w:sz w:val="28"/>
          <w:sz w:val="28"/>
          <w:szCs w:val="28"/>
          <w:rtl w:val="true"/>
          <w:lang w:bidi="ar-SA"/>
        </w:rPr>
        <w:t>لَيْسَ لَهُ وَارِثُ غَيْرُ الَّذِي شَهِدْنَا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فَإِنَّا </w:t>
      </w:r>
      <w:r>
        <w:rPr>
          <w:rStyle w:val="FootnoteAnchor"/>
          <w:rtl w:val="true"/>
        </w:rPr>
        <w:footnoteReference w:id="2837"/>
      </w:r>
      <w:r>
        <w:rPr>
          <w:rFonts w:ascii="Amiri" w:hAnsi="Amiri" w:eastAsia="Amiri" w:cs="Amiri"/>
          <w:color w:val="111111"/>
          <w:sz w:val="28"/>
          <w:sz w:val="28"/>
          <w:szCs w:val="28"/>
          <w:rtl w:val="true"/>
          <w:lang w:bidi="ar-SA"/>
        </w:rPr>
        <w:t>هُوَ عَلَى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2839"/>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 xml:space="preserve">أَبی لَيْلَى يُخَلَّفْنَا بِغَمْوس </w:t>
      </w:r>
      <w:r>
        <w:rPr>
          <w:rStyle w:val="FootnoteAnchor"/>
          <w:rtl w:val="true"/>
        </w:rPr>
        <w:footnoteReference w:id="2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2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إِنَّمَا هُوَ عَلَى عِلْمِكَ</w:t>
      </w:r>
      <w:r>
        <w:rPr>
          <w:rFonts w:eastAsia="Amiri" w:cs="Amiri" w:ascii="Amiri" w:hAnsi="Amiri"/>
          <w:color w:val="111111"/>
          <w:sz w:val="28"/>
          <w:szCs w:val="28"/>
          <w:rtl w:val="true"/>
          <w:lang w:bidi="ar-SA"/>
        </w:rPr>
        <w:t xml:space="preserve">»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التهذيب عن ابن وهب في الموثق </w:t>
      </w:r>
      <w:r>
        <w:rPr>
          <w:rStyle w:val="FootnoteAnchor"/>
          <w:rtl w:val="true"/>
        </w:rPr>
        <w:footnoteReference w:id="2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 الْأَمَةُ قَدْ عُرِفَ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و أَمَتی ،فَيُكَلِّفُونَهُ الْقُضَاةُ شَاهِدَيْنِ هَذَا غُلَامَهُ أَوْ أَمَتَهُ لَمْ يَبِعْ وَ لَمْ يَهَبْ، فَنَشْهَدُ </w:t>
      </w:r>
      <w:r>
        <w:rPr>
          <w:rStyle w:val="FootnoteAnchor"/>
          <w:rtl w:val="true"/>
        </w:rPr>
        <w:footnoteReference w:id="2844"/>
      </w:r>
      <w:r>
        <w:rPr>
          <w:rFonts w:ascii="Amiri" w:hAnsi="Amiri" w:eastAsia="Amiri" w:cs="Amiri"/>
          <w:color w:val="111111"/>
          <w:sz w:val="28"/>
          <w:sz w:val="28"/>
          <w:szCs w:val="28"/>
          <w:rtl w:val="true"/>
          <w:lang w:bidi="ar-SA"/>
        </w:rPr>
        <w:t>عَلَى هَذَا إِذَا كُلَّفْنَاهُ؟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صحيحة ابن مهزیار </w:t>
      </w:r>
      <w:r>
        <w:rPr>
          <w:rStyle w:val="FootnoteAnchor"/>
          <w:rtl w:val="true"/>
        </w:rPr>
        <w:footnoteReference w:id="28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أَبَاجعفر </w:t>
      </w:r>
      <w:r>
        <w:rPr>
          <w:rStyle w:val="FootnoteAnchor"/>
          <w:rtl w:val="true"/>
        </w:rPr>
        <w:footnoteReference w:id="2847"/>
      </w:r>
      <w:r>
        <w:rPr>
          <w:rFonts w:ascii="Amiri" w:hAnsi="Amiri" w:eastAsia="Amiri" w:cs="Amiri"/>
          <w:color w:val="111111"/>
          <w:sz w:val="28"/>
          <w:sz w:val="28"/>
          <w:szCs w:val="28"/>
          <w:rtl w:val="true"/>
          <w:lang w:bidi="ar-SA"/>
        </w:rPr>
        <w:t xml:space="preserve">علیه السلام عَنْ دَارٍ كَانَتْ لاِمْرَأَةٍ، وَ كَانَ لَهَا ابْنُ وَ ابْنَةٌ </w:t>
      </w:r>
      <w:r>
        <w:rPr>
          <w:rStyle w:val="FootnoteAnchor"/>
          <w:rtl w:val="true"/>
        </w:rPr>
        <w:footnoteReference w:id="2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فَغَابَ </w:t>
      </w:r>
      <w:r>
        <w:rPr>
          <w:rStyle w:val="FootnoteAnchor"/>
          <w:rtl w:val="true"/>
        </w:rPr>
        <w:footnoteReference w:id="2849"/>
      </w:r>
      <w:r>
        <w:rPr>
          <w:rFonts w:ascii="Amiri" w:hAnsi="Amiri" w:eastAsia="Amiri" w:cs="Amiri"/>
          <w:color w:val="111111"/>
          <w:sz w:val="28"/>
          <w:sz w:val="28"/>
          <w:szCs w:val="28"/>
          <w:rtl w:val="true"/>
          <w:lang w:bidi="ar-SA"/>
        </w:rPr>
        <w:t xml:space="preserve">الإِبْنُ فِي الْبَحْرِ </w:t>
      </w:r>
      <w:r>
        <w:rPr>
          <w:rStyle w:val="FootnoteAnchor"/>
          <w:rtl w:val="true"/>
        </w:rPr>
        <w:footnoteReference w:id="2850"/>
      </w:r>
      <w:r>
        <w:rPr>
          <w:rFonts w:ascii="Amiri" w:hAnsi="Amiri" w:eastAsia="Amiri" w:cs="Amiri"/>
          <w:color w:val="111111"/>
          <w:sz w:val="28"/>
          <w:sz w:val="28"/>
          <w:szCs w:val="28"/>
          <w:rtl w:val="true"/>
          <w:lang w:bidi="ar-SA"/>
        </w:rPr>
        <w:t xml:space="preserve">وَ مَاتَتِ المرأَةُ، فَادَّعَت ابْنَتْهَا أَنَّ أُمَّهَا كَانَتْ صَيَّرَتْ هَذِهِ الدَّارَ لَهَا ، وَ بَاعَتْ أَشْقاصًا </w:t>
      </w:r>
      <w:r>
        <w:rPr>
          <w:rStyle w:val="FootnoteAnchor"/>
          <w:rtl w:val="true"/>
        </w:rPr>
        <w:footnoteReference w:id="2851"/>
      </w:r>
      <w:r>
        <w:rPr>
          <w:rFonts w:ascii="Amiri" w:hAnsi="Amiri" w:eastAsia="Amiri" w:cs="Amiri"/>
          <w:color w:val="111111"/>
          <w:sz w:val="28"/>
          <w:sz w:val="28"/>
          <w:szCs w:val="28"/>
          <w:rtl w:val="true"/>
          <w:lang w:bidi="ar-SA"/>
        </w:rPr>
        <w:t>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بَقِيْتَ فِي الدَّارِ قِطْعَةٌ إِلَى جَنْبِ دَارِ رَجُلٍ </w:t>
      </w:r>
      <w:r>
        <w:rPr>
          <w:rStyle w:val="FootnoteAnchor"/>
          <w:rtl w:val="true"/>
        </w:rPr>
        <w:footnoteReference w:id="2852"/>
      </w:r>
      <w:r>
        <w:rPr>
          <w:rFonts w:ascii="Amiri" w:hAnsi="Amiri" w:eastAsia="Amiri" w:cs="Amiri"/>
          <w:color w:val="111111"/>
          <w:sz w:val="28"/>
          <w:sz w:val="28"/>
          <w:szCs w:val="28"/>
          <w:rtl w:val="true"/>
          <w:lang w:bidi="ar-SA"/>
        </w:rPr>
        <w:t xml:space="preserve">مِنْ أَصْحَابِنَا، وَ هُوَ يَكْرَهُ أَنْ يَشْتَرِيَهَا؛ لِغَيْبَةِ الابنِ، وَمَا يَتَخَوَّفُ مِنْ أَنْ لَا یحِلَّ لَهُ شِرَاؤُهَا، وَ لَيْسَ يُعْرَفُ لِلابْنِ خَبَر </w:t>
      </w:r>
      <w:r>
        <w:rPr>
          <w:rStyle w:val="FootnoteAnchor"/>
          <w:rtl w:val="true"/>
        </w:rPr>
        <w:footnoteReference w:id="2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كَمْ غَابَ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 غَيْبَةَ </w:t>
      </w:r>
      <w:r>
        <w:rPr>
          <w:rStyle w:val="FootnoteAnchor"/>
          <w:rtl w:val="true"/>
        </w:rPr>
        <w:footnoteReference w:id="2855"/>
      </w:r>
      <w:r>
        <w:rPr>
          <w:rFonts w:ascii="Amiri" w:hAnsi="Amiri" w:eastAsia="Amiri" w:cs="Amiri"/>
          <w:color w:val="111111"/>
          <w:sz w:val="28"/>
          <w:sz w:val="28"/>
          <w:szCs w:val="28"/>
          <w:rtl w:val="true"/>
          <w:lang w:bidi="ar-SA"/>
        </w:rPr>
        <w:t xml:space="preserve">عَشْرَ سِنِيْنَ ثُمَّ يَشْتَرِي </w:t>
      </w:r>
      <w:r>
        <w:rPr>
          <w:rStyle w:val="FootnoteAnchor"/>
          <w:rtl w:val="true"/>
        </w:rPr>
        <w:footnoteReference w:id="2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انْتَظَرَ بِهِ غَيْبَ </w:t>
      </w:r>
      <w:r>
        <w:rPr>
          <w:rStyle w:val="FootnoteAnchor"/>
          <w:rtl w:val="true"/>
        </w:rPr>
        <w:footnoteReference w:id="2857"/>
      </w:r>
      <w:r>
        <w:rPr>
          <w:rFonts w:ascii="Amiri" w:hAnsi="Amiri" w:eastAsia="Amiri" w:cs="Amiri"/>
          <w:color w:val="111111"/>
          <w:sz w:val="28"/>
          <w:sz w:val="28"/>
          <w:szCs w:val="28"/>
          <w:rtl w:val="true"/>
          <w:lang w:bidi="ar-SA"/>
        </w:rPr>
        <w:t>عَشْرِ سِنِيْنَ يَحِلُّ شِرَاؤُهَا؟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الإيراد</w:t>
      </w:r>
      <w:r>
        <w:rPr>
          <w:rFonts w:eastAsia="Amiri" w:cs="Amiri" w:ascii="Amiri" w:hAnsi="Amiri"/>
          <w:color w:val="111111"/>
          <w:sz w:val="28"/>
          <w:szCs w:val="28"/>
          <w:rtl w:val="true"/>
          <w:lang w:bidi="ar-SA"/>
        </w:rPr>
        <w:t xml:space="preserve">:] </w:t>
      </w:r>
      <w:r>
        <w:rPr>
          <w:rStyle w:val="FootnoteAnchor"/>
          <w:rtl w:val="true"/>
        </w:rPr>
        <w:footnoteReference w:id="2859"/>
      </w:r>
      <w:r>
        <w:rPr>
          <w:rFonts w:ascii="IRNazanin" w:hAnsi="IRNazanin" w:eastAsia="IRNazanin"/>
          <w:color w:val="111111"/>
          <w:sz w:val="28"/>
          <w:sz w:val="28"/>
          <w:szCs w:val="28"/>
          <w:rtl w:val="true"/>
          <w:lang w:bidi="fa-IR"/>
        </w:rPr>
        <w:t xml:space="preserve">لإعلان </w:t>
      </w:r>
      <w:r>
        <w:rPr>
          <w:rStyle w:val="FootnoteAnchor"/>
          <w:rtl w:val="true"/>
        </w:rPr>
        <w:footnoteReference w:id="2860"/>
      </w:r>
      <w:r>
        <w:rPr>
          <w:rFonts w:ascii="Amiri" w:hAnsi="Amiri" w:eastAsia="Amiri" w:cs="Amiri"/>
          <w:color w:val="111111"/>
          <w:sz w:val="28"/>
          <w:sz w:val="28"/>
          <w:szCs w:val="28"/>
          <w:rtl w:val="true"/>
          <w:lang w:bidi="ar-SA"/>
        </w:rPr>
        <w:t xml:space="preserve">الأولين بجواز الشهادة بمجرد اليد السابقة المنقطعة بالإباق </w:t>
      </w:r>
      <w:r>
        <w:rPr>
          <w:rStyle w:val="FootnoteAnchor"/>
          <w:rtl w:val="true"/>
        </w:rPr>
        <w:footnoteReference w:id="2861"/>
      </w:r>
      <w:r>
        <w:rPr>
          <w:rFonts w:ascii="Amiri" w:hAnsi="Amiri" w:eastAsia="Amiri" w:cs="Amiri"/>
          <w:color w:val="111111"/>
          <w:sz w:val="28"/>
          <w:sz w:val="28"/>
          <w:szCs w:val="28"/>
          <w:rtl w:val="true"/>
          <w:lang w:bidi="ar-SA"/>
        </w:rPr>
        <w:t>، و ما ذاك إلا لثبوت العمل بالاستصحاب و أنه طريق شرعي يصح البناء عليه حتى في الشهادة التي قد ثبت وجوب بنائها على القطع و الجزم ، حتى أنه عليه السلام جعله علما؛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فَإِنَّمَا هُوَ عَلَى عِلْمِكَ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دلالة صحيحة ابن مهزيار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علیه السلام قد منع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بظاهر الحال </w:t>
      </w:r>
      <w:r>
        <w:rPr>
          <w:rStyle w:val="FootnoteAnchor"/>
          <w:rtl w:val="true"/>
        </w:rPr>
        <w:footnoteReference w:id="2862"/>
      </w:r>
      <w:r>
        <w:rPr>
          <w:rFonts w:ascii="IRNazanin" w:hAnsi="IRNazanin" w:eastAsia="IRNazanin"/>
          <w:color w:val="111111"/>
          <w:sz w:val="28"/>
          <w:sz w:val="28"/>
          <w:szCs w:val="28"/>
          <w:rtl w:val="true"/>
          <w:lang w:bidi="fa-IR"/>
        </w:rPr>
        <w:t xml:space="preserve">لشرائه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المفقود</w:t>
      </w:r>
      <w:r>
        <w:rPr>
          <w:rFonts w:eastAsia="IRNazanin" w:cs="IRNazanin"/>
          <w:color w:val="111111"/>
          <w:sz w:val="28"/>
          <w:szCs w:val="28"/>
          <w:rtl w:val="true"/>
          <w:lang w:bidi="fa-IR"/>
        </w:rPr>
        <w:t xml:space="preserve">] </w:t>
      </w:r>
      <w:r>
        <w:rPr>
          <w:rStyle w:val="FootnoteAnchor"/>
          <w:rtl w:val="true"/>
        </w:rPr>
        <w:footnoteReference w:id="2863"/>
      </w:r>
      <w:r>
        <w:rPr>
          <w:rFonts w:ascii="Amiri" w:hAnsi="Amiri" w:eastAsia="Amiri" w:cs="Amiri"/>
          <w:color w:val="111111"/>
          <w:sz w:val="28"/>
          <w:sz w:val="28"/>
          <w:szCs w:val="28"/>
          <w:rtl w:val="true"/>
          <w:lang w:bidi="ar-SA"/>
        </w:rPr>
        <w:t xml:space="preserve">تلك </w:t>
      </w:r>
      <w:r>
        <w:rPr>
          <w:rStyle w:val="FootnoteAnchor"/>
          <w:rtl w:val="true"/>
        </w:rPr>
        <w:footnoteReference w:id="2864"/>
      </w:r>
      <w:r>
        <w:rPr>
          <w:rFonts w:ascii="Amiri" w:hAnsi="Amiri" w:eastAsia="Amiri" w:cs="Amiri"/>
          <w:color w:val="111111"/>
          <w:sz w:val="28"/>
          <w:sz w:val="28"/>
          <w:szCs w:val="28"/>
          <w:rtl w:val="true"/>
          <w:lang w:bidi="ar-SA"/>
        </w:rPr>
        <w:t xml:space="preserve">الأسهم من الدار، مع كونها قابضة متصرفة، وما ذاك إلا لاعتبار أثر الاستصحاب فيها؛ حيث إن المرأة كانت مالكة لها، و إن كان ذلك أمرا معلوما عندهم، و إن دعوى البنت أن الأم قد صيرت ذلك لها غير مسموعة؛ لأن الأصل بقاء ما كان على الملك على ما هو عليه من حاله </w:t>
      </w:r>
      <w:r>
        <w:rPr>
          <w:rStyle w:val="FootnoteAnchor"/>
          <w:rtl w:val="true"/>
        </w:rPr>
        <w:footnoteReference w:id="2865"/>
      </w:r>
      <w:r>
        <w:rPr>
          <w:rFonts w:ascii="Amiri" w:hAnsi="Amiri" w:eastAsia="Amiri" w:cs="Amiri"/>
          <w:color w:val="111111"/>
          <w:sz w:val="28"/>
          <w:sz w:val="28"/>
          <w:szCs w:val="28"/>
          <w:rtl w:val="true"/>
          <w:lang w:bidi="ar-SA"/>
        </w:rPr>
        <w:t xml:space="preserve">الأول، فيكون سهم </w:t>
      </w:r>
      <w:r>
        <w:rPr>
          <w:rStyle w:val="FootnoteAnchor"/>
          <w:rtl w:val="true"/>
        </w:rPr>
        <w:footnoteReference w:id="2866"/>
      </w:r>
      <w:r>
        <w:rPr>
          <w:rFonts w:ascii="Amiri" w:hAnsi="Amiri" w:eastAsia="Amiri" w:cs="Amiri"/>
          <w:color w:val="111111"/>
          <w:sz w:val="28"/>
          <w:sz w:val="28"/>
          <w:szCs w:val="28"/>
          <w:rtl w:val="true"/>
          <w:lang w:bidi="ar-SA"/>
        </w:rPr>
        <w:t xml:space="preserve">الابن بذلك فيها ثابتا، و إنما أذن في شرائها بعد عشر سنين من جهة أن الابن مفقود و يحل قسمة أمواله بعد مضي العشر كما هو مذهب جماعة من أصحابنا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الثلاثة تنادي بثبوت ثمرة الاستصحاب ،و هو خلاف ما قررتم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لكم فيها ذكرتم من هذه الأخبار الثلاثة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منها، فليس ظاهره جواز الإذن في الشهادة على أن هذه الدار باقية على ملك ذي اليد بعد انقطاع يده عنه و أنها باقية للوارث، و إنما أذن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أن يشهد على ما هو معلوم به </w:t>
      </w:r>
      <w:r>
        <w:rPr>
          <w:rStyle w:val="FootnoteAnchor"/>
          <w:rtl w:val="true"/>
        </w:rPr>
        <w:footnoteReference w:id="2868"/>
      </w:r>
      <w:r>
        <w:rPr>
          <w:rFonts w:ascii="Amiri" w:hAnsi="Amiri" w:eastAsia="Amiri" w:cs="Amiri"/>
          <w:color w:val="111111"/>
          <w:sz w:val="28"/>
          <w:sz w:val="28"/>
          <w:szCs w:val="28"/>
          <w:rtl w:val="true"/>
          <w:lang w:bidi="ar-SA"/>
        </w:rPr>
        <w:t xml:space="preserve">، بمعنى الاقتصار على ما يحصل منه </w:t>
      </w:r>
      <w:r>
        <w:rPr>
          <w:rStyle w:val="FootnoteAnchor"/>
          <w:rtl w:val="true"/>
        </w:rPr>
        <w:footnoteReference w:id="2869"/>
      </w:r>
      <w:r>
        <w:rPr>
          <w:rFonts w:ascii="Amiri" w:hAnsi="Amiri" w:eastAsia="Amiri" w:cs="Amiri"/>
          <w:color w:val="111111"/>
          <w:sz w:val="28"/>
          <w:sz w:val="28"/>
          <w:szCs w:val="28"/>
          <w:rtl w:val="true"/>
          <w:lang w:bidi="ar-SA"/>
        </w:rPr>
        <w:t>العلم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فاضل الوافي عند كلامه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w:t>
      </w:r>
      <w:r>
        <w:rPr>
          <w:rStyle w:val="FootnoteAnchor"/>
          <w:rtl w:val="true"/>
        </w:rPr>
        <w:footnoteReference w:id="2870"/>
      </w:r>
      <w:r>
        <w:rPr>
          <w:rFonts w:ascii="Amiri" w:hAnsi="Amiri" w:eastAsia="Amiri" w:cs="Amiri"/>
          <w:color w:val="111111"/>
          <w:sz w:val="28"/>
          <w:sz w:val="28"/>
          <w:szCs w:val="28"/>
          <w:rtl w:val="true"/>
          <w:lang w:bidi="ar-SA"/>
        </w:rPr>
        <w:t>على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إنما يشهد أو يحلف </w:t>
      </w:r>
      <w:r>
        <w:rPr>
          <w:rStyle w:val="FootnoteAnchor"/>
          <w:rtl w:val="true"/>
        </w:rPr>
        <w:footnoteReference w:id="2871"/>
      </w:r>
      <w:r>
        <w:rPr>
          <w:rFonts w:ascii="Amiri" w:hAnsi="Amiri" w:eastAsia="Amiri" w:cs="Amiri"/>
          <w:color w:val="111111"/>
          <w:sz w:val="28"/>
          <w:sz w:val="28"/>
          <w:szCs w:val="28"/>
          <w:rtl w:val="true"/>
          <w:lang w:bidi="ar-SA"/>
        </w:rPr>
        <w:t>على ما يعلم من ذلك دون ما لا يعلم</w:t>
      </w:r>
      <w:r>
        <w:rPr>
          <w:rFonts w:eastAsia="Amiri" w:cs="Amiri" w:ascii="Amiri" w:hAnsi="Amiri"/>
          <w:color w:val="111111"/>
          <w:sz w:val="28"/>
          <w:szCs w:val="28"/>
          <w:rtl w:val="true"/>
          <w:lang w:bidi="ar-SA"/>
        </w:rPr>
        <w:t xml:space="preserve">»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الكلام في الموثق؛ إذ ليس فيه دلالة على جواز الشهادة بأن ذلك الغلام و الأمة غلامه و أمته الآن، بل المأذون أن يشهد بأن هذين كانا غلاما و أمة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الكاشي </w:t>
      </w:r>
      <w:r>
        <w:rPr>
          <w:rStyle w:val="FootnoteAnchor"/>
          <w:rtl w:val="true"/>
        </w:rPr>
        <w:footnoteReference w:id="2873"/>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يكلفونه بعد وجدانه </w:t>
      </w:r>
      <w:r>
        <w:rPr>
          <w:rStyle w:val="FootnoteAnchor"/>
          <w:rtl w:val="true"/>
        </w:rPr>
        <w:footnoteReference w:id="2874"/>
      </w:r>
      <w:r>
        <w:rPr>
          <w:rFonts w:ascii="Amiri" w:hAnsi="Amiri" w:eastAsia="Amiri" w:cs="Amiri"/>
          <w:color w:val="111111"/>
          <w:sz w:val="28"/>
          <w:sz w:val="28"/>
          <w:szCs w:val="28"/>
          <w:rtl w:val="true"/>
          <w:lang w:bidi="ar-SA"/>
        </w:rPr>
        <w:t>، و إنما تجوز الشهادة على أنه كان له، لا على أنه الآن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يجمع بينه و بين الخبر الآتي</w:t>
      </w:r>
      <w:r>
        <w:rPr>
          <w:rFonts w:eastAsia="Amiri" w:cs="Amiri" w:ascii="Amiri" w:hAnsi="Amiri"/>
          <w:color w:val="111111"/>
          <w:sz w:val="28"/>
          <w:szCs w:val="28"/>
          <w:rtl w:val="true"/>
          <w:lang w:bidi="ar-SA"/>
        </w:rPr>
        <w:t xml:space="preserve">» </w:t>
      </w:r>
      <w:r>
        <w:rPr>
          <w:rStyle w:val="FootnoteAnchor"/>
          <w:rtl w:val="true"/>
        </w:rPr>
        <w:footnoteReference w:id="2875"/>
      </w:r>
      <w:r>
        <w:rPr>
          <w:rFonts w:ascii="Amiri" w:hAnsi="Amiri" w:eastAsia="Amiri" w:cs="Amiri"/>
          <w:color w:val="111111"/>
          <w:sz w:val="28"/>
          <w:sz w:val="28"/>
          <w:szCs w:val="28"/>
          <w:rtl w:val="true"/>
          <w:lang w:bidi="ar-SA"/>
        </w:rPr>
        <w:t>و أشار به إلى خبر ابن وهب الذي قدمنا ذكره المشتمل على الفرق بين مسألة من استمر بتصرفه و من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شهادة الأول دون الثاني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يمكن حمل جواز هذه الشهادة المبنية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ثمرته سوى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مثل هذه لا تعد شهادة 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الترافع بها إنما وقع إلى قضاة الجور، فتكون الرخصة </w:t>
      </w:r>
      <w:r>
        <w:rPr>
          <w:rStyle w:val="FootnoteAnchor"/>
          <w:rtl w:val="true"/>
        </w:rPr>
        <w:footnoteReference w:id="2876"/>
      </w:r>
      <w:r>
        <w:rPr>
          <w:rFonts w:ascii="Amiri" w:hAnsi="Amiri" w:eastAsia="Amiri" w:cs="Amiri"/>
          <w:color w:val="111111"/>
          <w:sz w:val="28"/>
          <w:sz w:val="28"/>
          <w:szCs w:val="28"/>
          <w:rtl w:val="true"/>
          <w:lang w:bidi="ar-SA"/>
        </w:rPr>
        <w:t>إنما نشأت من ذلك؛ لعدم ترتب القضاء الشرعي و الحكم عنه عليها، فكأنها لا وجود لها، سيّما إذا حملناها على أن ذا اليد فيهما كان إماميًا، فيؤدي ترك الشهادة له في داره و غلامه أو جاريته إلى ذهاب حقه بحكم الطاغوت و قضاة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الشريعة المحمدية التي بني أمرها على السهولة في مثل هذه المقامات بما هو أعظم من ذلك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كتاب بصائر الدرجات لسعيد </w:t>
      </w:r>
      <w:r>
        <w:rPr>
          <w:rStyle w:val="FootnoteAnchor"/>
          <w:rtl w:val="true"/>
        </w:rPr>
        <w:footnoteReference w:id="2877"/>
      </w:r>
      <w:r>
        <w:rPr>
          <w:rFonts w:ascii="Amiri" w:hAnsi="Amiri" w:eastAsia="Amiri" w:cs="Amiri"/>
          <w:color w:val="111111"/>
          <w:sz w:val="28"/>
          <w:sz w:val="28"/>
          <w:szCs w:val="28"/>
          <w:rtl w:val="true"/>
          <w:lang w:bidi="ar-SA"/>
        </w:rPr>
        <w:t>بن عبد الله وزفي بصائر الدرجات الكبرى للصفار أيضًا بإسنادهما إلى المفضل بن عمر عن أبي عبدالله علیه السلام في كتابه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ذَكَرْتَ أَنَّهُمْ يَسْتَحِلُّوْنَ الشَّهَادَةَ بَعْضُهُمْ لِبَعْضٍ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w:t>
      </w:r>
      <w:r>
        <w:rPr>
          <w:rStyle w:val="FootnoteAnchor"/>
          <w:rtl w:val="true"/>
        </w:rPr>
        <w:footnoteReference w:id="2878"/>
      </w:r>
      <w:r>
        <w:rPr>
          <w:rFonts w:ascii="Amiri" w:hAnsi="Amiri" w:eastAsia="Amiri" w:cs="Amiri"/>
          <w:color w:val="111111"/>
          <w:sz w:val="28"/>
          <w:sz w:val="28"/>
          <w:szCs w:val="28"/>
          <w:rtl w:val="true"/>
          <w:lang w:bidi="ar-SA"/>
        </w:rPr>
        <w:t xml:space="preserve">لَا يَجُوزُ وَ لَا يَحِلُّ، وَ لَيْسَ هَؤُلَاءِ تَأَوَلُوْا إِلَّا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حكم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آله و سلم يَقْضِي بِشَهَادَةِ رَجُلٍ وَاحِدٍ مَعَ يَمِيْنِ المُدَّعِي، وَلَا يُبْطِل حَقَّ مُسْلِمٍ، وَلَا يَرِدُّ شَهَادَةَ مُؤْمِنٍ، فَإِذَا أَخَذَ يَمِيْنَ </w:t>
      </w:r>
      <w:r>
        <w:rPr>
          <w:rStyle w:val="FootnoteAnchor"/>
          <w:rtl w:val="true"/>
        </w:rPr>
        <w:footnoteReference w:id="2879"/>
      </w:r>
      <w:r>
        <w:rPr>
          <w:rFonts w:ascii="Amiri" w:hAnsi="Amiri" w:eastAsia="Amiri" w:cs="Amiri"/>
          <w:color w:val="111111"/>
          <w:sz w:val="28"/>
          <w:sz w:val="28"/>
          <w:szCs w:val="28"/>
          <w:rtl w:val="true"/>
          <w:lang w:bidi="ar-SA"/>
        </w:rPr>
        <w:t xml:space="preserve">المُدَّعِي وَ شَهَادَةَ الرَّجُلِ الْوَاحِدِ </w:t>
      </w:r>
      <w:r>
        <w:rPr>
          <w:rStyle w:val="FootnoteAnchor"/>
          <w:rtl w:val="true"/>
        </w:rPr>
        <w:footnoteReference w:id="2880"/>
      </w:r>
      <w:r>
        <w:rPr>
          <w:rFonts w:ascii="Amiri" w:hAnsi="Amiri" w:eastAsia="Amiri" w:cs="Amiri"/>
          <w:color w:val="111111"/>
          <w:sz w:val="28"/>
          <w:sz w:val="28"/>
          <w:szCs w:val="28"/>
          <w:rtl w:val="true"/>
          <w:lang w:bidi="ar-SA"/>
        </w:rPr>
        <w:t>قَضَى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بِحَقِّهِ وَ لَيْسَ يَعْمَلُ بِهَذَا، فَإِذَا كَانَ لِرَجُلٍ </w:t>
      </w:r>
      <w:r>
        <w:rPr>
          <w:rStyle w:val="FootnoteAnchor"/>
          <w:rtl w:val="true"/>
        </w:rPr>
        <w:footnoteReference w:id="2881"/>
      </w:r>
      <w:r>
        <w:rPr>
          <w:rFonts w:ascii="Amiri" w:hAnsi="Amiri" w:eastAsia="Amiri" w:cs="Amiri"/>
          <w:color w:val="111111"/>
          <w:sz w:val="28"/>
          <w:sz w:val="28"/>
          <w:szCs w:val="28"/>
          <w:rtl w:val="true"/>
          <w:lang w:bidi="ar-SA"/>
        </w:rPr>
        <w:t xml:space="preserve">مُسْلِمٍ قِبَلَ آخَرٍ حَقٌّ فَجَحَدَهُ </w:t>
      </w:r>
      <w:r>
        <w:rPr>
          <w:rStyle w:val="FootnoteAnchor"/>
          <w:rtl w:val="true"/>
        </w:rPr>
        <w:footnoteReference w:id="2882"/>
      </w:r>
      <w:r>
        <w:rPr>
          <w:rFonts w:ascii="Amiri" w:hAnsi="Amiri" w:eastAsia="Amiri" w:cs="Amiri"/>
          <w:color w:val="111111"/>
          <w:sz w:val="28"/>
          <w:sz w:val="28"/>
          <w:szCs w:val="28"/>
          <w:rtl w:val="true"/>
          <w:lang w:bidi="ar-SA"/>
        </w:rPr>
        <w:t xml:space="preserve">وَ لَمْ يَكُنْ لَهُ شَاهِدٌ غَيْرُ </w:t>
      </w:r>
      <w:r>
        <w:rPr>
          <w:rStyle w:val="FootnoteAnchor"/>
          <w:rtl w:val="true"/>
        </w:rPr>
        <w:footnoteReference w:id="2883"/>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2884"/>
      </w:r>
      <w:r>
        <w:rPr>
          <w:rFonts w:ascii="Amiri" w:hAnsi="Amiri" w:eastAsia="Amiri" w:cs="Amiri"/>
          <w:color w:val="111111"/>
          <w:sz w:val="28"/>
          <w:sz w:val="28"/>
          <w:szCs w:val="28"/>
          <w:rtl w:val="true"/>
          <w:lang w:bidi="ar-SA"/>
        </w:rPr>
        <w:t xml:space="preserve">كَانَ فِي </w:t>
      </w:r>
      <w:r>
        <w:rPr>
          <w:rStyle w:val="FootnoteAnchor"/>
          <w:rtl w:val="true"/>
        </w:rPr>
        <w:footnoteReference w:id="2885"/>
      </w:r>
      <w:r>
        <w:rPr>
          <w:rFonts w:ascii="Amiri" w:hAnsi="Amiri" w:eastAsia="Amiri" w:cs="Amiri"/>
          <w:color w:val="111111"/>
          <w:sz w:val="28"/>
          <w:sz w:val="28"/>
          <w:szCs w:val="28"/>
          <w:rtl w:val="true"/>
          <w:lang w:bidi="ar-SA"/>
        </w:rPr>
        <w:t>الحَقِّ أَنْ لَا يُبْطِلَ حَقَّ رَجُلٍ مُسْلِمٍ، وَ يَأْجُرُهُ اللهُ وَ يَجيءُ عَدْلًا كَانَ رَسُولُ اللهِ صلى الله عليه و آله و سلم يَعْمَلُ بِهِ</w:t>
      </w:r>
      <w:r>
        <w:rPr>
          <w:rFonts w:eastAsia="Amiri" w:cs="Amiri" w:ascii="Amiri" w:hAnsi="Amiri"/>
          <w:color w:val="111111"/>
          <w:sz w:val="28"/>
          <w:szCs w:val="28"/>
          <w:rtl w:val="true"/>
          <w:lang w:bidi="ar-SA"/>
        </w:rPr>
        <w:t xml:space="preserve">»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ترى إلى ترغيبه عليه السلام إلى تحمل الشهادة لمن لم يعلم </w:t>
      </w:r>
      <w:r>
        <w:rPr>
          <w:rStyle w:val="FootnoteAnchor"/>
          <w:rtl w:val="true"/>
        </w:rPr>
        <w:footnoteReference w:id="2887"/>
      </w:r>
      <w:r>
        <w:rPr>
          <w:rFonts w:ascii="Amiri" w:hAnsi="Amiri" w:eastAsia="Amiri" w:cs="Amiri"/>
          <w:color w:val="111111"/>
          <w:sz w:val="28"/>
          <w:sz w:val="28"/>
          <w:szCs w:val="28"/>
          <w:rtl w:val="true"/>
          <w:lang w:bidi="ar-SA"/>
        </w:rPr>
        <w:t xml:space="preserve">بها إذا كان المدعي من الإمامية و لم يكن له شاهد سوى </w:t>
      </w:r>
      <w:r>
        <w:rPr>
          <w:rStyle w:val="FootnoteAnchor"/>
          <w:rtl w:val="true"/>
        </w:rPr>
        <w:footnoteReference w:id="2888"/>
      </w:r>
      <w:r>
        <w:rPr>
          <w:rFonts w:ascii="IRNazanin" w:hAnsi="IRNazanin" w:eastAsia="IRNazanin"/>
          <w:color w:val="111111"/>
          <w:sz w:val="28"/>
          <w:sz w:val="28"/>
          <w:szCs w:val="28"/>
          <w:rtl w:val="true"/>
          <w:lang w:bidi="fa-IR"/>
        </w:rPr>
        <w:t xml:space="preserve">واحد و كان الترافع إلى ولاة الجور و هم لا يقضون بهذا ؟ فجوز علیه السلام الشهادة لغير العالم عند أولئك القضاة ليحيى حق هذا المسلم و يقيم العدل الذي </w:t>
      </w:r>
      <w:r>
        <w:rPr>
          <w:rStyle w:val="FootnoteAnchor"/>
          <w:rtl w:val="true"/>
        </w:rPr>
        <w:footnoteReference w:id="2889"/>
      </w:r>
      <w:r>
        <w:rPr>
          <w:rFonts w:ascii="Amiri" w:hAnsi="Amiri" w:eastAsia="Amiri" w:cs="Amiri"/>
          <w:color w:val="111111"/>
          <w:sz w:val="28"/>
          <w:sz w:val="28"/>
          <w:szCs w:val="28"/>
          <w:rtl w:val="true"/>
          <w:lang w:bidi="ar-SA"/>
        </w:rPr>
        <w:t>أمر به رسول الله صلى الله عليه و آله وسلم في القضاء من قبول شهادة الواحد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تلك الأخبار التي ذكرناها في مقام الاحتجاج لنا </w:t>
      </w:r>
      <w:r>
        <w:rPr>
          <w:rStyle w:val="FootnoteAnchor"/>
          <w:rtl w:val="true"/>
        </w:rPr>
        <w:footnoteReference w:id="2890"/>
      </w:r>
      <w:r>
        <w:rPr>
          <w:rFonts w:ascii="Amiri" w:hAnsi="Amiri" w:eastAsia="Amiri" w:cs="Amiri"/>
          <w:color w:val="111111"/>
          <w:sz w:val="28"/>
          <w:sz w:val="28"/>
          <w:szCs w:val="28"/>
          <w:rtl w:val="true"/>
          <w:lang w:bidi="ar-SA"/>
        </w:rPr>
        <w:t>على ما ادعينا</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2891"/>
      </w:r>
      <w:r>
        <w:rPr>
          <w:rFonts w:ascii="Amiri" w:hAnsi="Amiri" w:eastAsia="Amiri" w:cs="Amiri"/>
          <w:color w:val="111111"/>
          <w:sz w:val="28"/>
          <w:sz w:val="28"/>
          <w:szCs w:val="28"/>
          <w:rtl w:val="true"/>
          <w:lang w:bidi="ar-SA"/>
        </w:rPr>
        <w:t xml:space="preserve">و لا ينافي هذا ما يأتي في الشهادات باستصحاب بقاء الملك؛ لأن المفروض هناك عدم دعوى المتصرف </w:t>
      </w:r>
      <w:r>
        <w:rPr>
          <w:rStyle w:val="FootnoteAnchor"/>
          <w:rtl w:val="true"/>
        </w:rPr>
        <w:footnoteReference w:id="2892"/>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منافاة بين جواز الشهادة و بين عدم قبولها المعارضة بما </w:t>
      </w:r>
      <w:r>
        <w:rPr>
          <w:rStyle w:val="FootnoteAnchor"/>
          <w:rtl w:val="true"/>
        </w:rPr>
        <w:footnoteReference w:id="2893"/>
      </w:r>
      <w:r>
        <w:rPr>
          <w:rFonts w:ascii="IRNazanin" w:hAnsi="IRNazanin" w:eastAsia="IRNazanin"/>
          <w:color w:val="111111"/>
          <w:sz w:val="28"/>
          <w:sz w:val="28"/>
          <w:szCs w:val="28"/>
          <w:rtl w:val="true"/>
          <w:lang w:bidi="fa-IR"/>
        </w:rPr>
        <w:t xml:space="preserve">هو أقوى منها </w:t>
      </w:r>
      <w:r>
        <w:rPr>
          <w:rStyle w:val="FootnoteAnchor"/>
          <w:rtl w:val="true"/>
        </w:rPr>
        <w:footnoteReference w:id="2894"/>
      </w:r>
      <w:r>
        <w:rPr>
          <w:rFonts w:ascii="Amiri" w:hAnsi="Amiri" w:eastAsia="Amiri" w:cs="Amiri"/>
          <w:color w:val="111111"/>
          <w:sz w:val="28"/>
          <w:sz w:val="28"/>
          <w:szCs w:val="28"/>
          <w:rtl w:val="true"/>
          <w:lang w:bidi="ar-SA"/>
        </w:rPr>
        <w:t xml:space="preserve">، و لا بين </w:t>
      </w:r>
      <w:r>
        <w:rPr>
          <w:rStyle w:val="FootnoteAnchor"/>
          <w:rtl w:val="true"/>
        </w:rPr>
        <w:footnoteReference w:id="2895"/>
      </w:r>
      <w:r>
        <w:rPr>
          <w:rFonts w:ascii="IRNazanin" w:hAnsi="IRNazanin" w:eastAsia="IRNazanin"/>
          <w:color w:val="111111"/>
          <w:sz w:val="28"/>
          <w:sz w:val="28"/>
          <w:szCs w:val="28"/>
          <w:rtl w:val="true"/>
          <w:lang w:bidi="fa-IR"/>
        </w:rPr>
        <w:t xml:space="preserve">جوازها و عدم وجوب القضاء بها </w:t>
      </w:r>
      <w:r>
        <w:rPr>
          <w:rStyle w:val="FootnoteAnchor"/>
          <w:rtl w:val="true"/>
        </w:rPr>
        <w:footnoteReference w:id="2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الوجوه غير متأت بها الجمع في الحقيقة؛ لإعلان خبر </w:t>
      </w:r>
      <w:r>
        <w:rPr>
          <w:rStyle w:val="FootnoteAnchor"/>
          <w:rtl w:val="true"/>
        </w:rPr>
        <w:footnoteReference w:id="2897"/>
      </w:r>
      <w:r>
        <w:rPr>
          <w:rFonts w:ascii="IRNazanin" w:hAnsi="IRNazanin" w:eastAsia="IRNazanin"/>
          <w:color w:val="111111"/>
          <w:sz w:val="28"/>
          <w:sz w:val="28"/>
          <w:szCs w:val="28"/>
          <w:rtl w:val="true"/>
          <w:lang w:bidi="fa-IR"/>
        </w:rPr>
        <w:t xml:space="preserve">ابن </w:t>
      </w:r>
      <w:r>
        <w:rPr>
          <w:rStyle w:val="FootnoteAnchor"/>
          <w:rtl w:val="true"/>
        </w:rPr>
        <w:footnoteReference w:id="2898"/>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تلك الشهادة رأسًا، فلا معنى لجواز الشهادة بها مع منع تلك الرواية من جوازها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ادعي من جواز الشهادة مع عدم قبولها لها، فإن هذين كالمتدافعين ظاهرا؛ إذ لا معنى لجواز الشهادة إلا ترتب الأثر الشرعي عليها، الذي هو عبارة عن قبولها، فجواز الشهادة و عدم القبول لها في نفسها مما لا يجتمعان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ظاهرًا، سيّما إذا كانت الشهادة </w:t>
      </w:r>
      <w:r>
        <w:rPr>
          <w:rStyle w:val="FootnoteAnchor"/>
          <w:rtl w:val="true"/>
        </w:rPr>
        <w:footnoteReference w:id="2899"/>
      </w:r>
      <w:r>
        <w:rPr>
          <w:rFonts w:ascii="Amiri" w:hAnsi="Amiri" w:eastAsia="Amiri" w:cs="Amiri"/>
          <w:color w:val="111111"/>
          <w:sz w:val="28"/>
          <w:sz w:val="28"/>
          <w:szCs w:val="28"/>
          <w:rtl w:val="true"/>
          <w:lang w:bidi="ar-SA"/>
        </w:rPr>
        <w:t>مبنية على غير العلم، فالمعارضة بحالها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بين جوازها و عدم وجوب القضاء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تدافع؛ لأن الشهادة متى جازت و كان المؤدي لها عدلًا مقبولا قبلت، و إذا قبلت وجب القضاء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أولا </w:t>
      </w:r>
      <w:r>
        <w:rPr>
          <w:rStyle w:val="FootnoteAnchor"/>
          <w:rtl w:val="true"/>
        </w:rPr>
        <w:footnoteReference w:id="2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Style w:val="FootnoteAnchor"/>
          <w:rtl w:val="true"/>
        </w:rPr>
        <w:footnoteReference w:id="2901"/>
      </w:r>
      <w:r>
        <w:rPr>
          <w:rFonts w:ascii="Amiri" w:hAnsi="Amiri" w:eastAsia="Amiri" w:cs="Amiri"/>
          <w:color w:val="111111"/>
          <w:sz w:val="28"/>
          <w:sz w:val="28"/>
          <w:szCs w:val="28"/>
          <w:rtl w:val="true"/>
          <w:lang w:bidi="ar-SA"/>
        </w:rPr>
        <w:t xml:space="preserve">المفروض هناك عدم دعوى المتصرف </w:t>
      </w:r>
      <w:r>
        <w:rPr>
          <w:rStyle w:val="FootnoteAnchor"/>
          <w:rtl w:val="true"/>
        </w:rPr>
        <w:footnoteReference w:id="2902"/>
      </w:r>
      <w:r>
        <w:rPr>
          <w:rFonts w:ascii="Amiri" w:hAnsi="Amiri" w:eastAsia="Amiri" w:cs="Amiri"/>
          <w:color w:val="111111"/>
          <w:sz w:val="28"/>
          <w:sz w:val="28"/>
          <w:szCs w:val="28"/>
          <w:rtl w:val="true"/>
          <w:lang w:bidi="ar-SA"/>
        </w:rPr>
        <w:t>الملكية، فلا وجه له؛ لأنك قد عرفت أن الروايات التي ذكرناها في مقام الاستدلال لا حجة لمن يراعي الاستصحاب صريحة في دعوى المتصرف الملكية، فلا معنى لحملها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w:t>
      </w:r>
      <w:r>
        <w:rPr>
          <w:rStyle w:val="FootnoteAnchor"/>
          <w:rtl w:val="true"/>
        </w:rPr>
        <w:footnoteReference w:id="2903"/>
      </w:r>
      <w:r>
        <w:rPr>
          <w:rFonts w:ascii="IRNazanin" w:hAnsi="IRNazanin" w:eastAsia="IRNazanin"/>
          <w:color w:val="111111"/>
          <w:sz w:val="28"/>
          <w:sz w:val="28"/>
          <w:szCs w:val="28"/>
          <w:rtl w:val="true"/>
          <w:lang w:bidi="fa-IR"/>
        </w:rPr>
        <w:t xml:space="preserve">بالمتصرف منه </w:t>
      </w:r>
      <w:r>
        <w:rPr>
          <w:rStyle w:val="FootnoteAnchor"/>
          <w:rtl w:val="true"/>
        </w:rPr>
        <w:footnoteReference w:id="2904"/>
      </w:r>
      <w:r>
        <w:rPr>
          <w:rFonts w:ascii="Amiri" w:hAnsi="Amiri" w:eastAsia="Amiri" w:cs="Amiri"/>
          <w:color w:val="111111"/>
          <w:sz w:val="28"/>
          <w:sz w:val="28"/>
          <w:szCs w:val="28"/>
          <w:rtl w:val="true"/>
          <w:lang w:bidi="ar-SA"/>
        </w:rPr>
        <w:t xml:space="preserve">رؤية الأمة و العبد </w:t>
      </w:r>
      <w:r>
        <w:rPr>
          <w:rStyle w:val="FootnoteAnchor"/>
          <w:rtl w:val="true"/>
        </w:rPr>
        <w:footnoteReference w:id="2905"/>
      </w:r>
      <w:r>
        <w:rPr>
          <w:rFonts w:ascii="Amiri" w:hAnsi="Amiri" w:eastAsia="Amiri" w:cs="Amiri"/>
          <w:color w:val="111111"/>
          <w:sz w:val="28"/>
          <w:sz w:val="28"/>
          <w:szCs w:val="28"/>
          <w:rtl w:val="true"/>
          <w:lang w:bidi="ar-SA"/>
        </w:rPr>
        <w:t>في يده بعد إباقهما من المولى، و أن ذا اليد معترف باللقطة، فلا تكون اليد منه منافية لليد السابقة، فيكون هذا تفصيلا منه قدس سره في حجية ذلك الاستصحاب،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يكون حجة إذا خلا عن معارضة دليل شرعي هو أقوى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كاليد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Style w:val="FootnoteAnchor"/>
          <w:rtl w:val="true"/>
        </w:rPr>
        <w:footnoteReference w:id="2906"/>
      </w:r>
      <w:r>
        <w:rPr>
          <w:rFonts w:ascii="Amiri" w:hAnsi="Amiri" w:eastAsia="Amiri" w:cs="Amiri"/>
          <w:color w:val="111111"/>
          <w:sz w:val="28"/>
          <w:sz w:val="28"/>
          <w:szCs w:val="28"/>
          <w:rtl w:val="true"/>
          <w:lang w:bidi="ar-SA"/>
        </w:rPr>
        <w:t xml:space="preserve">هذا التوجيه </w:t>
      </w:r>
      <w:r>
        <w:rPr>
          <w:rStyle w:val="FootnoteAnchor"/>
          <w:rtl w:val="true"/>
        </w:rPr>
        <w:footnoteReference w:id="2907"/>
      </w:r>
      <w:r>
        <w:rPr>
          <w:rFonts w:ascii="Amiri" w:hAnsi="Amiri" w:eastAsia="Amiri" w:cs="Amiri"/>
          <w:color w:val="111111"/>
          <w:sz w:val="28"/>
          <w:sz w:val="28"/>
          <w:szCs w:val="28"/>
          <w:rtl w:val="true"/>
          <w:lang w:bidi="ar-SA"/>
        </w:rPr>
        <w:t>لا يجدي نفعا في مقام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الإيراد على جمعه لشهادة خبر ابن وهب الذي قدمناه على التفصيل،و أنه متى انقطع التصرف من ذي اليد لا يجوز الشهادة له بالملك، سواء </w:t>
      </w:r>
      <w:r>
        <w:rPr>
          <w:rStyle w:val="FootnoteAnchor"/>
          <w:rtl w:val="true"/>
        </w:rPr>
        <w:footnoteReference w:id="2908"/>
      </w:r>
      <w:r>
        <w:rPr>
          <w:rFonts w:ascii="Amiri" w:hAnsi="Amiri" w:eastAsia="Amiri" w:cs="Amiri"/>
          <w:color w:val="111111"/>
          <w:sz w:val="28"/>
          <w:sz w:val="28"/>
          <w:szCs w:val="28"/>
          <w:rtl w:val="true"/>
          <w:lang w:bidi="ar-SA"/>
        </w:rPr>
        <w:t xml:space="preserve">كان هناك يد أخرى حالية معارضة أولاً ، فيبطل </w:t>
      </w:r>
      <w:r>
        <w:rPr>
          <w:rStyle w:val="FootnoteAnchor"/>
          <w:rtl w:val="true"/>
        </w:rPr>
        <w:footnoteReference w:id="2909"/>
      </w:r>
      <w:r>
        <w:rPr>
          <w:rFonts w:ascii="Amiri" w:hAnsi="Amiri" w:eastAsia="Amiri" w:cs="Amiri"/>
          <w:color w:val="111111"/>
          <w:sz w:val="28"/>
          <w:sz w:val="28"/>
          <w:szCs w:val="28"/>
          <w:rtl w:val="true"/>
          <w:lang w:bidi="ar-SA"/>
        </w:rPr>
        <w:t>ذلك التوجيه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لنا طريق في الجمع سوى ما ذكره محدث الوافي أو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صحيحة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دلالة فيها بوجه على ما ادعوه؛ لظهورها في أن الأم كانت قابضة و ذات يد على تلك الدار إلى أن ماتت، وأن تصرف البنت و بيع أشقاص منها </w:t>
      </w:r>
      <w:r>
        <w:rPr>
          <w:rStyle w:val="FootnoteAnchor"/>
          <w:rtl w:val="true"/>
        </w:rPr>
        <w:footnoteReference w:id="2910"/>
      </w:r>
      <w:r>
        <w:rPr>
          <w:rFonts w:ascii="Amiri" w:hAnsi="Amiri" w:eastAsia="Amiri" w:cs="Amiri"/>
          <w:color w:val="111111"/>
          <w:sz w:val="28"/>
          <w:sz w:val="28"/>
          <w:szCs w:val="28"/>
          <w:rtl w:val="true"/>
          <w:lang w:bidi="ar-SA"/>
        </w:rPr>
        <w:t>غير معتد بهما؛ لأن الشريك لها في الميراث كان غائبا، فبظاهر الشريعة أن يدها يد غصب و استيلاء على سهم أخيها؛ لتحقق سبب الانتقال له من أمه بالإرث الشرعي على وجه لا ينافيه تصرف الأخت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إذنه علیه السلام في المبيع بعد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لما ذكرتم من أن </w:t>
      </w:r>
      <w:r>
        <w:rPr>
          <w:rStyle w:val="FootnoteAnchor"/>
          <w:rtl w:val="true"/>
        </w:rPr>
        <w:footnoteReference w:id="2911"/>
      </w:r>
      <w:r>
        <w:rPr>
          <w:rFonts w:ascii="Amiri" w:hAnsi="Amiri" w:eastAsia="Amiri" w:cs="Amiri"/>
          <w:color w:val="111111"/>
          <w:sz w:val="28"/>
          <w:sz w:val="28"/>
          <w:szCs w:val="28"/>
          <w:rtl w:val="true"/>
          <w:lang w:bidi="ar-SA"/>
        </w:rPr>
        <w:t xml:space="preserve">المال لأخيها </w:t>
      </w:r>
      <w:r>
        <w:rPr>
          <w:rStyle w:val="FootnoteAnchor"/>
          <w:rtl w:val="true"/>
        </w:rPr>
        <w:footnoteReference w:id="2912"/>
      </w:r>
      <w:r>
        <w:rPr>
          <w:rFonts w:ascii="Amiri" w:hAnsi="Amiri" w:eastAsia="Amiri" w:cs="Amiri"/>
          <w:color w:val="111111"/>
          <w:sz w:val="28"/>
          <w:sz w:val="28"/>
          <w:szCs w:val="28"/>
          <w:rtl w:val="true"/>
          <w:lang w:bidi="ar-SA"/>
        </w:rPr>
        <w:t>المفقود، و مال مثله مما أُذِنَ في قسمته بعد مضي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bookmarkStart w:id="251" w:name="pg2523_40039"/>
    </w:p>
    <w:p>
      <w:pPr>
        <w:pStyle w:val="BookText"/>
        <w:rPr/>
      </w:pPr>
      <w:bookmarkEnd w:id="251"/>
      <w:r>
        <w:rPr>
          <w:rFonts w:ascii="Amiri" w:hAnsi="Amiri" w:eastAsia="Amiri" w:cs="Amiri"/>
          <w:color w:val="111111"/>
          <w:sz w:val="28"/>
          <w:sz w:val="28"/>
          <w:szCs w:val="28"/>
          <w:rtl w:val="true"/>
          <w:lang w:bidi="ar-SA"/>
        </w:rPr>
        <w:t xml:space="preserve">أن يكون تصرفها كان شرعيا، و إنما حجر عليه قبل مضي العشر تقية </w:t>
      </w:r>
      <w:r>
        <w:rPr>
          <w:rStyle w:val="FootnoteAnchor"/>
          <w:rtl w:val="true"/>
        </w:rPr>
        <w:footnoteReference w:id="2913"/>
      </w:r>
      <w:r>
        <w:rPr>
          <w:rFonts w:ascii="Amiri" w:hAnsi="Amiri" w:eastAsia="Amiri" w:cs="Amiri"/>
          <w:color w:val="111111"/>
          <w:sz w:val="28"/>
          <w:sz w:val="28"/>
          <w:szCs w:val="28"/>
          <w:rtl w:val="true"/>
          <w:lang w:bidi="ar-SA"/>
        </w:rPr>
        <w:t xml:space="preserve">من العامة؛ لأن عندهم أن مثل هذا التصرف غير هادم للاستصحاب المتعلق بملكية الأم المثمر </w:t>
      </w:r>
      <w:r>
        <w:rPr>
          <w:rStyle w:val="FootnoteAnchor"/>
          <w:rtl w:val="true"/>
        </w:rPr>
        <w:footnoteReference w:id="2914"/>
      </w:r>
      <w:r>
        <w:rPr>
          <w:rFonts w:ascii="IRNazanin" w:hAnsi="IRNazanin" w:eastAsia="IRNazanin"/>
          <w:color w:val="111111"/>
          <w:sz w:val="28"/>
          <w:sz w:val="28"/>
          <w:szCs w:val="28"/>
          <w:rtl w:val="true"/>
          <w:lang w:bidi="fa-IR"/>
        </w:rPr>
        <w:t xml:space="preserve">للانتقال للأخ الغائب، فيكون الإذن لها بعد العشر لكونها عقارًا، و هم يجوزون في مثل العقارات و الأرضين ارتفاع الملک عمن كانت ملكا له عند مضي تلك المدة عليه </w:t>
      </w:r>
      <w:r>
        <w:rPr>
          <w:rStyle w:val="FootnoteAnchor"/>
          <w:rtl w:val="true"/>
        </w:rPr>
        <w:footnoteReference w:id="2915"/>
      </w:r>
      <w:r>
        <w:rPr>
          <w:rFonts w:ascii="Amiri" w:hAnsi="Amiri" w:eastAsia="Amiri" w:cs="Amiri"/>
          <w:color w:val="111111"/>
          <w:sz w:val="28"/>
          <w:sz w:val="28"/>
          <w:szCs w:val="28"/>
          <w:rtl w:val="true"/>
          <w:lang w:bidi="ar-SA"/>
        </w:rPr>
        <w:t xml:space="preserve">، فيكون ضربها </w:t>
      </w:r>
      <w:r>
        <w:rPr>
          <w:rStyle w:val="FootnoteAnchor"/>
          <w:rtl w:val="true"/>
        </w:rPr>
        <w:footnoteReference w:id="2916"/>
      </w:r>
      <w:r>
        <w:rPr>
          <w:rFonts w:ascii="Amiri" w:hAnsi="Amiri" w:eastAsia="Amiri" w:cs="Amiri"/>
          <w:color w:val="111111"/>
          <w:sz w:val="28"/>
          <w:sz w:val="28"/>
          <w:szCs w:val="28"/>
          <w:rtl w:val="true"/>
          <w:lang w:bidi="ar-SA"/>
        </w:rPr>
        <w:t xml:space="preserve">منه عليه السلام </w:t>
      </w:r>
      <w:r>
        <w:rPr>
          <w:rStyle w:val="FootnoteAnchor"/>
          <w:rtl w:val="true"/>
        </w:rPr>
        <w:footnoteReference w:id="2917"/>
      </w:r>
      <w:r>
        <w:rPr>
          <w:rFonts w:ascii="Amiri" w:hAnsi="Amiri" w:eastAsia="Amiri" w:cs="Amiri"/>
          <w:color w:val="111111"/>
          <w:sz w:val="28"/>
          <w:sz w:val="28"/>
          <w:szCs w:val="28"/>
          <w:rtl w:val="true"/>
          <w:lang w:bidi="ar-SA"/>
        </w:rPr>
        <w:t>وسيلة و إلزامًا لهم، حتى لا تقع تلك المتصرفة في ضرر العامة و منعهم لها من البيع و نحوه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الثلاثة غير ناهضة بقوة المعارضة؛ لما قدمناه من الأخبار التي ربما قام الإجماع الضروري على مضمونها</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264974_3804643083"/>
      <w:bookmarkStart w:id="253" w:name="_Toc85"/>
      <w:bookmarkEnd w:id="252"/>
      <w:r>
        <w:rPr>
          <w:rtl w:val="true"/>
        </w:rPr>
        <w:t>[</w:t>
      </w:r>
      <w:r>
        <w:rPr>
          <w:rtl w:val="true"/>
        </w:rPr>
        <w:t>عود على جواب السؤال</w:t>
      </w:r>
      <w:r>
        <w:rPr>
          <w:rtl w:val="true"/>
        </w:rPr>
        <w:t>]</w:t>
      </w:r>
      <w:bookmarkEnd w:id="25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فانكشف لك بما حققناه أن تلك الثياب و الحلي التي بيد المرأة إلى أن مات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كانا 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ملكها لها؛ ليدها الثابتة عليها المقرونة بالتصرف</w:t>
      </w:r>
      <w:r>
        <w:rPr>
          <w:rFonts w:eastAsia="Amiri" w:cs="Amiri" w:ascii="Amiri" w:hAnsi="Amiri"/>
          <w:color w:val="111111"/>
          <w:sz w:val="28"/>
          <w:szCs w:val="28"/>
          <w:rtl w:val="true"/>
          <w:lang w:bidi="ar-SA"/>
        </w:rPr>
        <w:t xml:space="preserve">. </w:t>
      </w:r>
      <w:bookmarkStart w:id="254" w:name="pg2523_40040"/>
    </w:p>
    <w:p>
      <w:pPr>
        <w:pStyle w:val="BookText"/>
        <w:rPr/>
      </w:pPr>
      <w:bookmarkEnd w:id="254"/>
      <w:r>
        <w:rPr>
          <w:rFonts w:ascii="IRNazanin" w:hAnsi="IRNazanin" w:eastAsia="IRNazanin"/>
          <w:color w:val="111111"/>
          <w:sz w:val="28"/>
          <w:sz w:val="28"/>
          <w:szCs w:val="28"/>
          <w:rtl w:val="true"/>
          <w:lang w:bidi="fa-IR"/>
        </w:rPr>
        <w:t xml:space="preserve">و قد عرفت أن ما اقترن بالتصرف منها مثمر </w:t>
      </w:r>
      <w:r>
        <w:rPr>
          <w:rStyle w:val="FootnoteAnchor"/>
          <w:rtl w:val="true"/>
        </w:rPr>
        <w:footnoteReference w:id="2918"/>
      </w:r>
      <w:r>
        <w:rPr>
          <w:rFonts w:ascii="Amiri" w:hAnsi="Amiri" w:eastAsia="Amiri" w:cs="Amiri"/>
          <w:color w:val="111111"/>
          <w:sz w:val="28"/>
          <w:sz w:val="28"/>
          <w:szCs w:val="28"/>
          <w:rtl w:val="true"/>
          <w:lang w:bidi="ar-SA"/>
        </w:rPr>
        <w:t xml:space="preserve">للتمليك من غير وارث، و إنما الخلاف فيها إذا كانت مجردة عنه، فلا سبيل للزوج على تقدير حياته و لا لوارثه بعده عليها و لا على وارثها بعدها، إلا أن يقيموا </w:t>
      </w:r>
      <w:r>
        <w:rPr>
          <w:rStyle w:val="FootnoteAnchor"/>
          <w:rtl w:val="true"/>
        </w:rPr>
        <w:footnoteReference w:id="2919"/>
      </w:r>
      <w:r>
        <w:rPr>
          <w:rFonts w:ascii="Amiri" w:hAnsi="Amiri" w:eastAsia="Amiri" w:cs="Amiri"/>
          <w:color w:val="111111"/>
          <w:sz w:val="28"/>
          <w:sz w:val="28"/>
          <w:szCs w:val="28"/>
          <w:rtl w:val="true"/>
          <w:lang w:bidi="ar-SA"/>
        </w:rPr>
        <w:t>البينة على أن المال لهم، و أن يدهم عليه يد استيلاء أو ظلم ، أو يقع منها إقرار بذلك،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لهم عليها اليمين؛ حيث إنها منكرة، وإن شاءت ردّت اليمين عليهم كما هو شأن كل منكر لما ثبت وظيفته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264976_3804643083"/>
      <w:bookmarkStart w:id="256" w:name="_Toc86"/>
      <w:bookmarkEnd w:id="255"/>
      <w:r>
        <w:rPr>
          <w:rtl w:val="true"/>
        </w:rPr>
        <w:t>[</w:t>
      </w:r>
      <w:r>
        <w:rPr>
          <w:rtl w:val="true"/>
        </w:rPr>
        <w:t>الأخبار المؤيدة لما ذكرناه</w:t>
      </w:r>
      <w:r>
        <w:rPr>
          <w:rtl w:val="true"/>
        </w:rPr>
        <w:t>]</w:t>
      </w:r>
      <w:bookmarkEnd w:id="25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جاءت في حكم ما لو تنازع الزوج و الزوجة في أثاث </w:t>
      </w:r>
      <w:r>
        <w:rPr>
          <w:rStyle w:val="FootnoteAnchor"/>
          <w:rtl w:val="true"/>
        </w:rPr>
        <w:footnoteReference w:id="2920"/>
      </w:r>
      <w:r>
        <w:rPr>
          <w:rFonts w:ascii="Amiri" w:hAnsi="Amiri" w:eastAsia="Amiri" w:cs="Amiri"/>
          <w:color w:val="111111"/>
          <w:sz w:val="28"/>
          <w:sz w:val="28"/>
          <w:szCs w:val="28"/>
          <w:rtl w:val="true"/>
          <w:lang w:bidi="ar-SA"/>
        </w:rPr>
        <w:t xml:space="preserve">البيت، فإنها تنادي بترجيح تصرفها على تصرفه مع شهادة باشتراكهما في التصرف ظاهرًا؛ لأن الأخبار المذكورة و إن اختلفت، إلا أن الظاهر منها المتطابق </w:t>
      </w:r>
      <w:r>
        <w:rPr>
          <w:rStyle w:val="FootnoteAnchor"/>
          <w:rtl w:val="true"/>
        </w:rPr>
        <w:footnoteReference w:id="2921"/>
      </w:r>
      <w:r>
        <w:rPr>
          <w:rFonts w:ascii="Amiri" w:hAnsi="Amiri" w:eastAsia="Amiri" w:cs="Amiri"/>
          <w:color w:val="111111"/>
          <w:sz w:val="28"/>
          <w:sz w:val="28"/>
          <w:szCs w:val="28"/>
          <w:rtl w:val="true"/>
          <w:lang w:bidi="ar-SA"/>
        </w:rPr>
        <w:t xml:space="preserve">في الدلالة هو أن يحكم للمرأة بما يصلح لها </w:t>
      </w:r>
      <w:r>
        <w:rPr>
          <w:rStyle w:val="FootnoteAnchor"/>
          <w:rtl w:val="true"/>
        </w:rPr>
        <w:footnoteReference w:id="2922"/>
      </w:r>
      <w:r>
        <w:rPr>
          <w:rFonts w:ascii="Amiri" w:hAnsi="Amiri" w:eastAsia="Amiri" w:cs="Amiri"/>
          <w:color w:val="111111"/>
          <w:sz w:val="28"/>
          <w:sz w:val="28"/>
          <w:szCs w:val="28"/>
          <w:rtl w:val="true"/>
          <w:lang w:bidi="ar-SA"/>
        </w:rPr>
        <w:t>من الأثاث كما أنه يحكم للرجل بما يصلح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هناك شاهد عادي بأن المرأة تحمل تلك الأثاث إلى الزوج </w:t>
      </w:r>
      <w:r>
        <w:rPr>
          <w:rStyle w:val="FootnoteAnchor"/>
          <w:rtl w:val="true"/>
        </w:rPr>
        <w:footnoteReference w:id="2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العصر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قولها، و إلا فيتحالفان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بما ذكرنا تجتمع أخبار تلك المسألة، و إن كان لأصحابنا فيها تفاصيل و أقوال لا تخلو عن المناقشة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بأس بما لو أشرنا إلى </w:t>
      </w:r>
      <w:r>
        <w:rPr>
          <w:rStyle w:val="FootnoteAnchor"/>
          <w:rtl w:val="true"/>
        </w:rPr>
        <w:footnoteReference w:id="2924"/>
      </w:r>
      <w:r>
        <w:rPr>
          <w:rFonts w:ascii="Amiri" w:hAnsi="Amiri" w:eastAsia="Amiri" w:cs="Amiri"/>
          <w:color w:val="111111"/>
          <w:sz w:val="28"/>
          <w:sz w:val="28"/>
          <w:szCs w:val="28"/>
          <w:rtl w:val="true"/>
          <w:lang w:bidi="ar-SA"/>
        </w:rPr>
        <w:t>تلك الأحاديث؛ لينجلي ما ادعيناه من التأييد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الكليني </w:t>
      </w:r>
      <w:r>
        <w:rPr>
          <w:rStyle w:val="FootnoteAnchor"/>
          <w:rtl w:val="true"/>
        </w:rPr>
        <w:footnoteReference w:id="2925"/>
      </w:r>
      <w:r>
        <w:rPr>
          <w:rFonts w:ascii="Amiri" w:hAnsi="Amiri" w:eastAsia="Amiri" w:cs="Amiri"/>
          <w:color w:val="111111"/>
          <w:sz w:val="28"/>
          <w:sz w:val="28"/>
          <w:szCs w:val="28"/>
          <w:rtl w:val="true"/>
          <w:lang w:bidi="ar-SA"/>
        </w:rPr>
        <w:t xml:space="preserve">و الشيخ </w:t>
      </w:r>
      <w:r>
        <w:rPr>
          <w:rStyle w:val="FootnoteAnchor"/>
          <w:rtl w:val="true"/>
        </w:rPr>
        <w:footnoteReference w:id="2926"/>
      </w:r>
      <w:r>
        <w:rPr>
          <w:rFonts w:ascii="Amiri" w:hAnsi="Amiri" w:eastAsia="Amiri" w:cs="Amiri"/>
          <w:color w:val="111111"/>
          <w:sz w:val="28"/>
          <w:sz w:val="28"/>
          <w:szCs w:val="28"/>
          <w:rtl w:val="true"/>
          <w:lang w:bidi="ar-SA"/>
        </w:rPr>
        <w:t>في الصحيح عن عبد الرحمن بن الحجاج 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يَقْضِي </w:t>
      </w:r>
      <w:r>
        <w:rPr>
          <w:rStyle w:val="FootnoteAnchor"/>
          <w:rtl w:val="true"/>
        </w:rPr>
        <w:footnoteReference w:id="2927"/>
      </w:r>
      <w:r>
        <w:rPr>
          <w:rFonts w:ascii="Amiri" w:hAnsi="Amiri" w:eastAsia="Amiri" w:cs="Amiri"/>
          <w:color w:val="111111"/>
          <w:sz w:val="28"/>
          <w:sz w:val="28"/>
          <w:szCs w:val="28"/>
          <w:rtl w:val="true"/>
          <w:lang w:bidi="ar-SA"/>
        </w:rPr>
        <w:t>ابْنُ أَبِيْ لَيْلَى بِالْقَضَاءِ يَرْجِعُ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قَضَى فِي مَتَاعِ الرَّجُلِ وَ المَرْأَةِ إِذَا مَاتَ </w:t>
      </w:r>
      <w:r>
        <w:rPr>
          <w:rStyle w:val="FootnoteAnchor"/>
          <w:rtl w:val="true"/>
        </w:rPr>
        <w:footnoteReference w:id="2928"/>
      </w:r>
      <w:r>
        <w:rPr>
          <w:rFonts w:ascii="Amiri" w:hAnsi="Amiri" w:eastAsia="Amiri" w:cs="Amiri"/>
          <w:color w:val="111111"/>
          <w:sz w:val="28"/>
          <w:sz w:val="28"/>
          <w:szCs w:val="28"/>
          <w:rtl w:val="true"/>
          <w:lang w:bidi="ar-SA"/>
        </w:rPr>
        <w:t xml:space="preserve">أَحَدُهُمَا فَادَّعَاهُ وَرَثَةُ الْحَيِّ وَ وَرَثَةُ المَيِّتِ أَوْ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Style w:val="FootnoteAnchor"/>
          <w:rtl w:val="true"/>
        </w:rPr>
        <w:footnoteReference w:id="2929"/>
      </w:r>
      <w:r>
        <w:rPr>
          <w:rFonts w:ascii="Amiri" w:hAnsi="Amiri" w:eastAsia="Amiri" w:cs="Amiri"/>
          <w:color w:val="111111"/>
          <w:sz w:val="28"/>
          <w:sz w:val="28"/>
          <w:szCs w:val="28"/>
          <w:rtl w:val="true"/>
          <w:lang w:bidi="ar-SA"/>
        </w:rPr>
        <w:t xml:space="preserve">فَادَّعَاهُ الرَّجُلُ وَ ادَّعَتْهُ المَرْأَةُ بِأَرْبَعِ قَضَايا </w:t>
      </w:r>
      <w:r>
        <w:rPr>
          <w:rStyle w:val="FootnoteAnchor"/>
          <w:rtl w:val="true"/>
        </w:rPr>
        <w:footnoteReference w:id="2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w:t>
      </w:r>
      <w:r>
        <w:rPr>
          <w:rStyle w:val="FootnoteAnchor"/>
          <w:rtl w:val="true"/>
        </w:rPr>
        <w:footnoteReference w:id="2931"/>
      </w:r>
      <w:r>
        <w:rPr>
          <w:rFonts w:ascii="IRNazanin" w:hAnsi="IRNazanin" w:eastAsia="IRNazanin"/>
          <w:color w:val="111111"/>
          <w:sz w:val="28"/>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Style w:val="FootnoteAnchor"/>
          <w:rtl w:val="true"/>
        </w:rPr>
        <w:footnoteReference w:id="2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Style w:val="FootnoteAnchor"/>
          <w:rtl w:val="true"/>
        </w:rPr>
        <w:footnoteReference w:id="2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فِيْهِ بِقَوْلِ إِبْرَاهِيْمَ النُّخَعِيِّ، كَانَ يَجْعَلُ مَتَاعَ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المرأَةِ الَّذِي لَا يَصْلُحُ </w:t>
      </w:r>
      <w:r>
        <w:rPr>
          <w:rStyle w:val="FootnoteAnchor"/>
          <w:rtl w:val="true"/>
        </w:rPr>
        <w:footnoteReference w:id="2934"/>
      </w:r>
      <w:r>
        <w:rPr>
          <w:rFonts w:ascii="Amiri" w:hAnsi="Amiri" w:eastAsia="Amiri" w:cs="Amiri"/>
          <w:color w:val="111111"/>
          <w:sz w:val="28"/>
          <w:sz w:val="28"/>
          <w:szCs w:val="28"/>
          <w:rtl w:val="true"/>
          <w:lang w:bidi="ar-SA"/>
        </w:rPr>
        <w:t xml:space="preserve">لِلرَّجُلِ </w:t>
      </w:r>
      <w:r>
        <w:rPr>
          <w:rStyle w:val="FootnoteAnchor"/>
          <w:rtl w:val="true"/>
        </w:rPr>
        <w:footnoteReference w:id="2935"/>
      </w:r>
      <w:r>
        <w:rPr>
          <w:rFonts w:ascii="Amiri" w:hAnsi="Amiri" w:eastAsia="Amiri" w:cs="Amiri"/>
          <w:color w:val="111111"/>
          <w:sz w:val="28"/>
          <w:sz w:val="28"/>
          <w:szCs w:val="28"/>
          <w:rtl w:val="true"/>
          <w:lang w:bidi="ar-SA"/>
        </w:rPr>
        <w:t xml:space="preserve">لِلْمَرْأَةِ، وَ مَتَاعَ الرَّجُلِ الَّذِي لَا يَصْلُحُ </w:t>
      </w:r>
      <w:r>
        <w:rPr>
          <w:rStyle w:val="FootnoteAnchor"/>
          <w:rtl w:val="true"/>
        </w:rPr>
        <w:footnoteReference w:id="2936"/>
      </w:r>
      <w:r>
        <w:rPr>
          <w:rFonts w:ascii="Amiri" w:hAnsi="Amiri" w:eastAsia="Amiri" w:cs="Amiri"/>
          <w:color w:val="111111"/>
          <w:sz w:val="28"/>
          <w:sz w:val="28"/>
          <w:szCs w:val="28"/>
          <w:rtl w:val="true"/>
          <w:lang w:bidi="ar-SA"/>
        </w:rPr>
        <w:t xml:space="preserve">لِلْمَرْأَةِ </w:t>
      </w:r>
      <w:r>
        <w:rPr>
          <w:rStyle w:val="FootnoteAnchor"/>
          <w:rtl w:val="true"/>
        </w:rPr>
        <w:footnoteReference w:id="2937"/>
      </w:r>
      <w:r>
        <w:rPr>
          <w:rFonts w:ascii="Amiri" w:hAnsi="Amiri" w:eastAsia="Amiri" w:cs="Amiri"/>
          <w:color w:val="111111"/>
          <w:sz w:val="28"/>
          <w:sz w:val="28"/>
          <w:szCs w:val="28"/>
          <w:rtl w:val="true"/>
          <w:lang w:bidi="ar-SA"/>
        </w:rPr>
        <w:t xml:space="preserve">للرَّجُلِ، وَ مَا كَانَ </w:t>
      </w:r>
      <w:r>
        <w:rPr>
          <w:rStyle w:val="FootnoteAnchor"/>
          <w:rtl w:val="true"/>
        </w:rPr>
        <w:footnoteReference w:id="2938"/>
      </w:r>
      <w:r>
        <w:rPr>
          <w:rFonts w:ascii="Amiri" w:hAnsi="Amiri" w:eastAsia="Amiri" w:cs="Amiri"/>
          <w:color w:val="111111"/>
          <w:sz w:val="28"/>
          <w:sz w:val="28"/>
          <w:szCs w:val="28"/>
          <w:rtl w:val="true"/>
          <w:lang w:bidi="ar-SA"/>
        </w:rPr>
        <w:t xml:space="preserve">لِلرِّجَالِ وَ النِّسَاءِ بَيْنَهُما نِصْفَيْنِ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Style w:val="FootnoteAnchor"/>
          <w:rtl w:val="true"/>
        </w:rPr>
        <w:footnoteReference w:id="2940"/>
      </w:r>
      <w:r>
        <w:rPr>
          <w:rFonts w:ascii="Amiri" w:hAnsi="Amiri" w:eastAsia="Amiri" w:cs="Amiri"/>
          <w:color w:val="111111"/>
          <w:sz w:val="28"/>
          <w:sz w:val="28"/>
          <w:szCs w:val="28"/>
          <w:rtl w:val="true"/>
          <w:lang w:bidi="ar-SA"/>
        </w:rPr>
        <w:t xml:space="preserve">مُدَّعِيَانِ جَمِيْعًا، فَالَّذِي </w:t>
      </w:r>
      <w:r>
        <w:rPr>
          <w:rStyle w:val="FootnoteAnchor"/>
          <w:rtl w:val="true"/>
        </w:rPr>
        <w:footnoteReference w:id="2941"/>
      </w:r>
      <w:r>
        <w:rPr>
          <w:rFonts w:ascii="Amiri" w:hAnsi="Amiri" w:eastAsia="Amiri" w:cs="Amiri"/>
          <w:color w:val="111111"/>
          <w:sz w:val="28"/>
          <w:sz w:val="28"/>
          <w:szCs w:val="28"/>
          <w:rtl w:val="true"/>
          <w:lang w:bidi="ar-SA"/>
        </w:rPr>
        <w:t xml:space="preserve">بَيْنَ أَيْدِيهِمَا </w:t>
      </w:r>
      <w:r>
        <w:rPr>
          <w:rStyle w:val="FootnoteAnchor"/>
          <w:rtl w:val="true"/>
        </w:rPr>
        <w:footnoteReference w:id="2942"/>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Style w:val="FootnoteAnchor"/>
          <w:rtl w:val="true"/>
        </w:rPr>
        <w:footnoteReference w:id="2943"/>
      </w:r>
      <w:r>
        <w:rPr>
          <w:rFonts w:ascii="Amiri" w:hAnsi="Amiri" w:eastAsia="Amiri" w:cs="Amiri"/>
          <w:color w:val="111111"/>
          <w:sz w:val="28"/>
          <w:sz w:val="28"/>
          <w:szCs w:val="28"/>
          <w:rtl w:val="true"/>
          <w:lang w:bidi="ar-SA"/>
        </w:rPr>
        <w:t xml:space="preserve">يَدَّعِيَانِ </w:t>
      </w:r>
      <w:r>
        <w:rPr>
          <w:rStyle w:val="FootnoteAnchor"/>
          <w:rtl w:val="true"/>
        </w:rPr>
        <w:footnoteReference w:id="2944"/>
      </w:r>
      <w:r>
        <w:rPr>
          <w:rFonts w:ascii="Amiri" w:hAnsi="Amiri" w:eastAsia="Amiri" w:cs="Amiri"/>
          <w:color w:val="111111"/>
          <w:sz w:val="28"/>
          <w:sz w:val="28"/>
          <w:szCs w:val="28"/>
          <w:rtl w:val="true"/>
          <w:lang w:bidi="ar-SA"/>
        </w:rPr>
        <w:t xml:space="preserve">جَمِيعًا </w:t>
      </w:r>
      <w:r>
        <w:rPr>
          <w:rStyle w:val="FootnoteAnchor"/>
          <w:rtl w:val="true"/>
        </w:rPr>
        <w:footnoteReference w:id="2945"/>
      </w:r>
      <w:r>
        <w:rPr>
          <w:rFonts w:ascii="Amiri" w:hAnsi="Amiri" w:eastAsia="Amiri" w:cs="Amiri"/>
          <w:color w:val="111111"/>
          <w:sz w:val="28"/>
          <w:sz w:val="28"/>
          <w:szCs w:val="28"/>
          <w:rtl w:val="true"/>
          <w:lang w:bidi="ar-SA"/>
        </w:rPr>
        <w:t xml:space="preserve">بَيْنَهُما نِصْفَيْنِ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Style w:val="FootnoteAnchor"/>
          <w:rtl w:val="true"/>
        </w:rPr>
        <w:footnoteReference w:id="2947"/>
      </w:r>
      <w:r>
        <w:rPr>
          <w:rFonts w:ascii="Amiri" w:hAnsi="Amiri" w:eastAsia="Amiri" w:cs="Amiri"/>
          <w:color w:val="111111"/>
          <w:sz w:val="28"/>
          <w:sz w:val="28"/>
          <w:szCs w:val="28"/>
          <w:rtl w:val="true"/>
          <w:lang w:bidi="ar-SA"/>
        </w:rPr>
        <w:t xml:space="preserve">صَاحِبُ الْبَيْتِ، وَالمَرْأَةُ دَاخِلَةٌ </w:t>
      </w:r>
      <w:r>
        <w:rPr>
          <w:rStyle w:val="FootnoteAnchor"/>
          <w:rtl w:val="true"/>
        </w:rPr>
        <w:footnoteReference w:id="2948"/>
      </w:r>
      <w:r>
        <w:rPr>
          <w:rFonts w:ascii="Amiri" w:hAnsi="Amiri" w:eastAsia="Amiri" w:cs="Amiri"/>
          <w:color w:val="111111"/>
          <w:sz w:val="28"/>
          <w:sz w:val="28"/>
          <w:szCs w:val="28"/>
          <w:rtl w:val="true"/>
          <w:lang w:bidi="ar-SA"/>
        </w:rPr>
        <w:t xml:space="preserve">عَلَيْهِ، وَهِيَ المُدَّعِيَةُ، فَالمتَاعُ </w:t>
      </w:r>
      <w:r>
        <w:rPr>
          <w:rStyle w:val="FootnoteAnchor"/>
          <w:rtl w:val="true"/>
        </w:rPr>
        <w:footnoteReference w:id="2949"/>
      </w:r>
      <w:r>
        <w:rPr>
          <w:rFonts w:ascii="Amiri" w:hAnsi="Amiri" w:eastAsia="Amiri" w:cs="Amiri"/>
          <w:color w:val="111111"/>
          <w:sz w:val="28"/>
          <w:sz w:val="28"/>
          <w:szCs w:val="28"/>
          <w:rtl w:val="true"/>
          <w:lang w:bidi="ar-SA"/>
        </w:rPr>
        <w:t xml:space="preserve">كُلُّهُ لِلرَّجُلِ إِلَّا </w:t>
      </w:r>
      <w:r>
        <w:rPr>
          <w:rStyle w:val="FootnoteAnchor"/>
          <w:rtl w:val="true"/>
        </w:rPr>
        <w:footnoteReference w:id="2950"/>
      </w:r>
      <w:r>
        <w:rPr>
          <w:rFonts w:ascii="Amiri" w:hAnsi="Amiri" w:eastAsia="Amiri" w:cs="Amiri"/>
          <w:color w:val="111111"/>
          <w:sz w:val="28"/>
          <w:sz w:val="28"/>
          <w:szCs w:val="28"/>
          <w:rtl w:val="true"/>
          <w:lang w:bidi="ar-SA"/>
        </w:rPr>
        <w:t xml:space="preserve">مَتَاعَ النِّسَاءِ الَّذِي لَا يَكُوْنُ للرِّجَالِ،وَ هُوَ </w:t>
      </w:r>
      <w:r>
        <w:rPr>
          <w:rStyle w:val="FootnoteAnchor"/>
          <w:rtl w:val="true"/>
        </w:rPr>
        <w:footnoteReference w:id="2951"/>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قَضَى بِقَضَاءِ بَعْدَ ذَلِكَ </w:t>
      </w:r>
      <w:r>
        <w:rPr>
          <w:rStyle w:val="FootnoteAnchor"/>
          <w:rtl w:val="true"/>
        </w:rPr>
        <w:footnoteReference w:id="2952"/>
      </w:r>
      <w:r>
        <w:rPr>
          <w:rFonts w:ascii="Amiri" w:hAnsi="Amiri" w:eastAsia="Amiri" w:cs="Amiri"/>
          <w:color w:val="111111"/>
          <w:sz w:val="28"/>
          <w:sz w:val="28"/>
          <w:szCs w:val="28"/>
          <w:rtl w:val="true"/>
          <w:lang w:bidi="ar-SA"/>
        </w:rPr>
        <w:t xml:space="preserve">لَوْلَا أَيِّ شَهِدْتُهُ لم أَرْوِهِ عَنْهُ </w:t>
      </w:r>
      <w:r>
        <w:rPr>
          <w:rStyle w:val="FootnoteAnchor"/>
          <w:rtl w:val="true"/>
        </w:rPr>
        <w:footnoteReference w:id="2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امْرَأَةٌ مِنَّا وَ لَهَا زَوْجٌ </w:t>
      </w:r>
      <w:r>
        <w:rPr>
          <w:rStyle w:val="FootnoteAnchor"/>
          <w:rtl w:val="true"/>
        </w:rPr>
        <w:footnoteReference w:id="2954"/>
      </w:r>
      <w:r>
        <w:rPr>
          <w:rFonts w:ascii="Amiri" w:hAnsi="Amiri" w:eastAsia="Amiri" w:cs="Amiri"/>
          <w:color w:val="111111"/>
          <w:sz w:val="28"/>
          <w:sz w:val="28"/>
          <w:szCs w:val="28"/>
          <w:rtl w:val="true"/>
          <w:lang w:bidi="ar-SA"/>
        </w:rPr>
        <w:t xml:space="preserve">، وَ تَرَكَتْ مَتَاعًا ، فَرَفَعَتْهُ </w:t>
      </w:r>
      <w:r>
        <w:rPr>
          <w:rStyle w:val="FootnoteAnchor"/>
          <w:rtl w:val="true"/>
        </w:rPr>
        <w:footnoteReference w:id="2955"/>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لِي </w:t>
      </w:r>
      <w:r>
        <w:rPr>
          <w:rStyle w:val="FootnoteAnchor"/>
          <w:rtl w:val="true"/>
        </w:rPr>
        <w:footnoteReference w:id="2956"/>
      </w:r>
      <w:r>
        <w:rPr>
          <w:rFonts w:ascii="Amiri" w:hAnsi="Amiri" w:eastAsia="Amiri" w:cs="Amiri"/>
          <w:color w:val="111111"/>
          <w:sz w:val="28"/>
          <w:sz w:val="28"/>
          <w:szCs w:val="28"/>
          <w:rtl w:val="true"/>
          <w:lang w:bidi="ar-SA"/>
        </w:rPr>
        <w:t xml:space="preserve">المتَاعَ </w:t>
      </w:r>
      <w:r>
        <w:rPr>
          <w:rStyle w:val="FootnoteAnchor"/>
          <w:rtl w:val="true"/>
        </w:rPr>
        <w:footnoteReference w:id="2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رَأَهُ </w:t>
      </w:r>
      <w:r>
        <w:rPr>
          <w:rStyle w:val="FootnoteAnchor"/>
          <w:rtl w:val="true"/>
        </w:rPr>
        <w:footnoteReference w:id="2958"/>
      </w:r>
      <w:r>
        <w:rPr>
          <w:rFonts w:ascii="Amiri" w:hAnsi="Amiri" w:eastAsia="Amiri" w:cs="Amiri"/>
          <w:color w:val="111111"/>
          <w:sz w:val="28"/>
          <w:sz w:val="28"/>
          <w:szCs w:val="28"/>
          <w:rtl w:val="true"/>
          <w:lang w:bidi="ar-SA"/>
        </w:rPr>
        <w:t xml:space="preserve">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لِلرَّجُلِ وَالمَرْأَةِ </w:t>
      </w:r>
      <w:r>
        <w:rPr>
          <w:rStyle w:val="FootnoteAnchor"/>
          <w:rtl w:val="true"/>
        </w:rPr>
        <w:footnoteReference w:id="2959"/>
      </w:r>
      <w:r>
        <w:rPr>
          <w:rFonts w:ascii="Amiri" w:hAnsi="Amiri" w:eastAsia="Amiri" w:cs="Amiri"/>
          <w:color w:val="111111"/>
          <w:sz w:val="28"/>
          <w:sz w:val="28"/>
          <w:szCs w:val="28"/>
          <w:rtl w:val="true"/>
          <w:lang w:bidi="ar-SA"/>
        </w:rPr>
        <w:t xml:space="preserve">، فَقَدْ جَعَلْنَاهُ </w:t>
      </w:r>
      <w:r>
        <w:rPr>
          <w:rStyle w:val="FootnoteAnchor"/>
          <w:rtl w:val="true"/>
        </w:rPr>
        <w:footnoteReference w:id="2960"/>
      </w:r>
      <w:r>
        <w:rPr>
          <w:rFonts w:ascii="Amiri" w:hAnsi="Amiri" w:eastAsia="Amiri" w:cs="Amiri"/>
          <w:color w:val="111111"/>
          <w:sz w:val="28"/>
          <w:sz w:val="28"/>
          <w:szCs w:val="28"/>
          <w:rtl w:val="true"/>
          <w:lang w:bidi="ar-SA"/>
        </w:rPr>
        <w:t xml:space="preserve">لِلْمَرْأَةِ إِلَّا الميزانُ؛ فَإِنَّهُ مِنْ مَتَاعَ الرَّجُلِ </w:t>
      </w:r>
      <w:r>
        <w:rPr>
          <w:rStyle w:val="FootnoteAnchor"/>
          <w:rtl w:val="true"/>
        </w:rPr>
        <w:footnoteReference w:id="2961"/>
      </w:r>
      <w:r>
        <w:rPr>
          <w:rFonts w:ascii="Amiri" w:hAnsi="Amiri" w:eastAsia="Amiri" w:cs="Amiri"/>
          <w:color w:val="111111"/>
          <w:sz w:val="28"/>
          <w:sz w:val="28"/>
          <w:szCs w:val="28"/>
          <w:rtl w:val="true"/>
          <w:lang w:bidi="ar-SA"/>
        </w:rPr>
        <w:t xml:space="preserve">، فَهُوَ لَكَ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في الكافي بعد هذا الكلام خاصة </w:t>
      </w:r>
      <w:r>
        <w:rPr>
          <w:rStyle w:val="FootnoteAnchor"/>
          <w:rtl w:val="true"/>
        </w:rPr>
        <w:footnoteReference w:id="29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هُوَ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أَنْ قَالَ بِقَوْلِ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الْبَيْتَ لِلرَّجُلِ، ثُمَّ سَأَلْتُهُ عَنْ ذَلِكَ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الكتابين المذكورين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w:t>
      </w:r>
      <w:r>
        <w:rPr>
          <w:rStyle w:val="FootnoteAnchor"/>
          <w:rtl w:val="true"/>
        </w:rPr>
        <w:footnoteReference w:id="2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فِيهِ؟ فَقَالَ </w:t>
      </w:r>
      <w:r>
        <w:rPr>
          <w:rStyle w:val="FootnoteAnchor"/>
          <w:rtl w:val="true"/>
        </w:rPr>
        <w:footnoteReference w:id="2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أَخْبَرْتَنِي أَنَّكَ شَهِدْتَهُ </w:t>
      </w:r>
      <w:r>
        <w:rPr>
          <w:rStyle w:val="FootnoteAnchor"/>
          <w:rtl w:val="true"/>
        </w:rPr>
        <w:footnoteReference w:id="2966"/>
      </w:r>
      <w:r>
        <w:rPr>
          <w:rFonts w:ascii="Amiri" w:hAnsi="Amiri" w:eastAsia="Amiri" w:cs="Amiri"/>
          <w:color w:val="111111"/>
          <w:sz w:val="28"/>
          <w:sz w:val="28"/>
          <w:szCs w:val="28"/>
          <w:rtl w:val="true"/>
          <w:lang w:bidi="ar-SA"/>
        </w:rPr>
        <w:t>وَ إِنْ كَانَ قَدْ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r>
        <w:rPr>
          <w:rStyle w:val="FootnoteAnchor"/>
          <w:rtl w:val="true"/>
        </w:rPr>
        <w:footnoteReference w:id="296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الكافي خاصة </w:t>
      </w:r>
      <w:r>
        <w:rPr>
          <w:rStyle w:val="FootnoteAnchor"/>
          <w:rtl w:val="true"/>
        </w:rPr>
        <w:footnoteReference w:id="296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أَرَأَيْتَ إِنْ أَقَامَتْ بَيِّنَةٌ إلَى كَمْ كَانَتْ تَحْتَاجُ ؟ فَقُلْتُ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الكتابين المذكورين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سَأَلْتَ مَنْ </w:t>
      </w:r>
      <w:r>
        <w:rPr>
          <w:rStyle w:val="FootnoteAnchor"/>
          <w:rtl w:val="true"/>
        </w:rPr>
        <w:footnoteReference w:id="2969"/>
      </w:r>
      <w:r>
        <w:rPr>
          <w:rFonts w:ascii="Amiri" w:hAnsi="Amiri" w:eastAsia="Amiri" w:cs="Amiri"/>
          <w:color w:val="111111"/>
          <w:sz w:val="28"/>
          <w:sz w:val="28"/>
          <w:szCs w:val="28"/>
          <w:rtl w:val="true"/>
          <w:lang w:bidi="ar-SA"/>
        </w:rPr>
        <w:t xml:space="preserve">بَيْنَهُما </w:t>
      </w:r>
      <w:r>
        <w:rPr>
          <w:rStyle w:val="FootnoteAnchor"/>
          <w:rtl w:val="true"/>
        </w:rPr>
        <w:footnoteReference w:id="2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الْجُبَلَيْن ، وَ نَحْنُ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لأَخْبَرُوكَ أَنَّ الْجِهَازَ وَ المَتَاعَ يُهْدَى عَلَانِيَةٌ </w:t>
      </w:r>
      <w:r>
        <w:rPr>
          <w:rStyle w:val="FootnoteAnchor"/>
          <w:rtl w:val="true"/>
        </w:rPr>
        <w:footnoteReference w:id="2971"/>
      </w:r>
      <w:r>
        <w:rPr>
          <w:rFonts w:ascii="Amiri" w:hAnsi="Amiri" w:eastAsia="Amiri" w:cs="Amiri"/>
          <w:color w:val="111111"/>
          <w:sz w:val="28"/>
          <w:sz w:val="28"/>
          <w:szCs w:val="28"/>
          <w:rtl w:val="true"/>
          <w:lang w:bidi="ar-SA"/>
        </w:rPr>
        <w:t xml:space="preserve">مِنْ بَيْتِ المرأَةِ إِلَى بَيْتِ زَوْجِهَا، فَهِيَ الَّتِي جَاءَتْ بِهِ، و َهَذَا </w:t>
      </w:r>
      <w:r>
        <w:rPr>
          <w:rStyle w:val="FootnoteAnchor"/>
          <w:rtl w:val="true"/>
        </w:rPr>
        <w:footnoteReference w:id="2972"/>
      </w:r>
      <w:r>
        <w:rPr>
          <w:rFonts w:ascii="Amiri" w:hAnsi="Amiri" w:eastAsia="Amiri" w:cs="Amiri"/>
          <w:color w:val="111111"/>
          <w:sz w:val="28"/>
          <w:sz w:val="28"/>
          <w:szCs w:val="28"/>
          <w:rtl w:val="true"/>
          <w:lang w:bidi="ar-SA"/>
        </w:rPr>
        <w:t xml:space="preserve">المُدَّعِي، فَإِنْ زَعَمَ أَنَّهُ أَحْدَثَ </w:t>
      </w:r>
      <w:r>
        <w:rPr>
          <w:rStyle w:val="FootnoteAnchor"/>
          <w:rtl w:val="true"/>
        </w:rPr>
        <w:footnoteReference w:id="2973"/>
      </w:r>
      <w:r>
        <w:rPr>
          <w:rFonts w:ascii="Amiri" w:hAnsi="Amiri" w:eastAsia="Amiri" w:cs="Amiri"/>
          <w:color w:val="111111"/>
          <w:sz w:val="28"/>
          <w:sz w:val="28"/>
          <w:szCs w:val="28"/>
          <w:rtl w:val="true"/>
          <w:lang w:bidi="ar-SA"/>
        </w:rPr>
        <w:t>فِيهِ شَيْئًا فَلْيَأْتِ عَلَيْهِ الْبَيِّنَةَ</w:t>
      </w:r>
      <w:r>
        <w:rPr>
          <w:rFonts w:eastAsia="Amiri" w:cs="Amiri" w:ascii="Amiri" w:hAnsi="Amiri"/>
          <w:color w:val="111111"/>
          <w:sz w:val="28"/>
          <w:szCs w:val="28"/>
          <w:rtl w:val="true"/>
          <w:lang w:bidi="ar-SA"/>
        </w:rPr>
        <w:t xml:space="preserve">»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موثقة سماعة </w:t>
      </w:r>
      <w:r>
        <w:rPr>
          <w:rStyle w:val="FootnoteAnchor"/>
          <w:rtl w:val="true"/>
        </w:rPr>
        <w:footnoteReference w:id="29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يَمُوْتُ، مَا لَهُ مِنْ مَتَاعِ الْبَيْتِ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السَّلَاحُ وَ الرَّحْلُ وَ ثِيَابُ جلْدِهِ</w:t>
      </w:r>
      <w:r>
        <w:rPr>
          <w:rFonts w:eastAsia="Amiri" w:cs="Amiri" w:ascii="Amiri" w:hAnsi="Amiri"/>
          <w:color w:val="111111"/>
          <w:sz w:val="28"/>
          <w:szCs w:val="28"/>
          <w:rtl w:val="true"/>
          <w:lang w:bidi="ar-SA"/>
        </w:rPr>
        <w:t xml:space="preserve">»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موثقة يونس بن يعقوب </w:t>
      </w:r>
      <w:r>
        <w:rPr>
          <w:rStyle w:val="FootnoteAnchor"/>
          <w:rtl w:val="true"/>
        </w:rPr>
        <w:footnoteReference w:id="2977"/>
      </w:r>
      <w:r>
        <w:rPr>
          <w:rFonts w:ascii="Amiri" w:hAnsi="Amiri" w:eastAsia="Amiri" w:cs="Amiri"/>
          <w:color w:val="111111"/>
          <w:sz w:val="28"/>
          <w:sz w:val="28"/>
          <w:szCs w:val="28"/>
          <w:rtl w:val="true"/>
          <w:lang w:bidi="ar-SA"/>
        </w:rPr>
        <w:t>عن أبي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تَمُوتُ قَبْلَ الرَّجُلِ أَوْ رَجُلٌ قَبْلَ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مَتَاعِ النِّسَاءِ فَهُوَ لِلْمَرْأَةِ، وَ مَا كَانَ مِنْ مَتَاعِ الرِّجَالِ</w:t>
      </w:r>
      <w:r>
        <w:rPr>
          <w:rStyle w:val="FootnoteAnchor"/>
          <w:rtl w:val="true"/>
        </w:rPr>
        <w:footnoteReference w:id="2978"/>
      </w:r>
      <w:r>
        <w:rPr>
          <w:rFonts w:ascii="Amiri" w:hAnsi="Amiri" w:eastAsia="Amiri" w:cs="Amiri"/>
          <w:color w:val="111111"/>
          <w:sz w:val="28"/>
          <w:sz w:val="28"/>
          <w:szCs w:val="28"/>
          <w:rtl w:val="true"/>
          <w:lang w:bidi="ar-SA"/>
        </w:rPr>
        <w:t xml:space="preserve">وَ النِّسَاءِ فَهُوَ بَيْنَهُاَ، وَ مَنْ اسْتَوْلَى على شيءٍ مِنْهُ </w:t>
      </w:r>
      <w:r>
        <w:rPr>
          <w:rStyle w:val="FootnoteAnchor"/>
          <w:rtl w:val="true"/>
        </w:rPr>
        <w:footnoteReference w:id="2979"/>
      </w:r>
      <w:r>
        <w:rPr>
          <w:rFonts w:ascii="Amiri" w:hAnsi="Amiri" w:eastAsia="Amiri" w:cs="Amiri"/>
          <w:color w:val="111111"/>
          <w:sz w:val="28"/>
          <w:sz w:val="28"/>
          <w:szCs w:val="28"/>
          <w:rtl w:val="true"/>
          <w:lang w:bidi="ar-SA"/>
        </w:rPr>
        <w:t xml:space="preserve">فَهُوَ لَهُ </w:t>
      </w:r>
      <w:r>
        <w:rPr>
          <w:rFonts w:eastAsia="Amiri" w:cs="Amiri" w:ascii="Amiri" w:hAnsi="Amiri"/>
          <w:color w:val="111111"/>
          <w:sz w:val="28"/>
          <w:szCs w:val="28"/>
          <w:rtl w:val="true"/>
          <w:lang w:bidi="ar-SA"/>
        </w:rPr>
        <w:t xml:space="preserve">»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رفاعة على ما فيه الفقيه </w:t>
      </w:r>
      <w:r>
        <w:rPr>
          <w:rStyle w:val="FootnoteAnchor"/>
          <w:rtl w:val="true"/>
        </w:rPr>
        <w:footnoteReference w:id="2981"/>
      </w:r>
      <w:r>
        <w:rPr>
          <w:rFonts w:ascii="Amiri" w:hAnsi="Amiri" w:eastAsia="Amiri" w:cs="Amiri"/>
          <w:color w:val="111111"/>
          <w:sz w:val="28"/>
          <w:sz w:val="28"/>
          <w:szCs w:val="28"/>
          <w:rtl w:val="true"/>
          <w:lang w:bidi="ar-SA"/>
        </w:rPr>
        <w:t xml:space="preserve">، و ضعيفته على ما في التهذيب </w:t>
      </w:r>
      <w:r>
        <w:rPr>
          <w:rStyle w:val="FootnoteAnchor"/>
          <w:rtl w:val="true"/>
        </w:rPr>
        <w:footnoteReference w:id="2982"/>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امْرَأَتَهُ وَ فِي بَيْتِهَا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مَا يَكُونُ لِلنِّسَاءِ، وَ مَا يَكُونُ لِلرِّجَالِ وَ النِّسَاءِ 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 الرَّجُلُ المرأَةَ فَادَّعَتْ أَنَّ المَتَاعَ لَهَا، وَ ادَّعَى الرَّجُلُ أَنَّ المَتَاعَ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مَا لِلرِّجَالِ وَ لَهَا مَا يَكُونُ لِلنِّسَاءِ</w:t>
      </w:r>
      <w:r>
        <w:rPr>
          <w:rFonts w:eastAsia="Amiri" w:cs="Amiri" w:ascii="Amiri" w:hAnsi="Amiri"/>
          <w:color w:val="111111"/>
          <w:sz w:val="28"/>
          <w:szCs w:val="28"/>
          <w:rtl w:val="true"/>
          <w:lang w:bidi="ar-SA"/>
        </w:rPr>
        <w:t xml:space="preserve">»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أن ما يكون للنساء </w:t>
      </w:r>
      <w:r>
        <w:rPr>
          <w:rStyle w:val="FootnoteAnchor"/>
          <w:rtl w:val="true"/>
        </w:rPr>
        <w:footnoteReference w:id="2984"/>
      </w:r>
      <w:r>
        <w:rPr>
          <w:rFonts w:ascii="Amiri" w:hAnsi="Amiri" w:eastAsia="Amiri" w:cs="Amiri"/>
          <w:color w:val="111111"/>
          <w:sz w:val="28"/>
          <w:sz w:val="28"/>
          <w:szCs w:val="28"/>
          <w:rtl w:val="true"/>
          <w:lang w:bidi="ar-SA"/>
        </w:rPr>
        <w:t xml:space="preserve">بالنظر العادة يحكم به للمرأة، و أن ما كان صالحًا للرجال خاصة يحكم به للرجال، و ما كان صالحا لهما فالأخبار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نوع معارضة؛ لإعلان صحيحة الحلبي المتعددة الطرق المستفيضة الحكم بأولوية المرأة و يكون الرجل ،مدعيًا، و غيرها من الأخبار دال </w:t>
      </w:r>
      <w:r>
        <w:rPr>
          <w:rStyle w:val="FootnoteAnchor"/>
          <w:rtl w:val="true"/>
        </w:rPr>
        <w:footnoteReference w:id="2985"/>
      </w:r>
      <w:r>
        <w:rPr>
          <w:rFonts w:ascii="Amiri" w:hAnsi="Amiri" w:eastAsia="Amiri" w:cs="Amiri"/>
          <w:color w:val="111111"/>
          <w:sz w:val="28"/>
          <w:sz w:val="28"/>
          <w:szCs w:val="28"/>
          <w:rtl w:val="true"/>
          <w:lang w:bidi="ar-SA"/>
        </w:rPr>
        <w:t xml:space="preserve">على أن القسمة بينهما إنصافا </w:t>
      </w:r>
      <w:r>
        <w:rPr>
          <w:rStyle w:val="FootnoteAnchor"/>
          <w:rtl w:val="true"/>
        </w:rPr>
        <w:footnoteReference w:id="2986"/>
      </w:r>
      <w:r>
        <w:rPr>
          <w:rFonts w:ascii="IRNazanin" w:hAnsi="IRNazanin" w:eastAsia="IRNazanin"/>
          <w:color w:val="111111"/>
          <w:sz w:val="28"/>
          <w:sz w:val="28"/>
          <w:szCs w:val="28"/>
          <w:rtl w:val="true"/>
          <w:lang w:bidi="fa-IR"/>
        </w:rPr>
        <w:t xml:space="preserve">، و الظاهر </w:t>
      </w:r>
      <w:r>
        <w:rPr>
          <w:rStyle w:val="FootnoteAnchor"/>
          <w:rtl w:val="true"/>
        </w:rPr>
        <w:footnoteReference w:id="2987"/>
      </w:r>
      <w:r>
        <w:rPr>
          <w:rFonts w:ascii="Amiri" w:hAnsi="Amiri" w:eastAsia="Amiri" w:cs="Amiri"/>
          <w:color w:val="111111"/>
          <w:sz w:val="28"/>
          <w:sz w:val="28"/>
          <w:szCs w:val="28"/>
          <w:rtl w:val="true"/>
          <w:lang w:bidi="ar-SA"/>
        </w:rPr>
        <w:t>أن ذلك بعد التحالف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وجه ما أشرنا إليه سابقا من أن هناك ما يدل على أولوية المرأة، كذلك العرفِ و قضاء العادة، فحيث كان في ذلك الزمن أن المعلوم من عادتهم أن المرأة بمتاع البيت إلى بيت زوجها كانت هي الأولى بذلك، و من هنا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عَلِمَ مَا بَيْنَ لَابَتَيْهَا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جَبَلَ </w:t>
      </w:r>
      <w:r>
        <w:rPr>
          <w:rStyle w:val="FootnoteAnchor"/>
          <w:rtl w:val="true"/>
        </w:rPr>
        <w:footnoteReference w:id="2988"/>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تُزَف إِلَى بَيْتِ </w:t>
      </w:r>
      <w:r>
        <w:rPr>
          <w:rStyle w:val="FootnoteAnchor"/>
          <w:rtl w:val="true"/>
        </w:rPr>
        <w:footnoteReference w:id="2989"/>
      </w:r>
      <w:r>
        <w:rPr>
          <w:rFonts w:ascii="Amiri" w:hAnsi="Amiri" w:eastAsia="Amiri" w:cs="Amiri"/>
          <w:color w:val="111111"/>
          <w:sz w:val="28"/>
          <w:sz w:val="28"/>
          <w:szCs w:val="28"/>
          <w:rtl w:val="true"/>
          <w:lang w:bidi="ar-SA"/>
        </w:rPr>
        <w:t>زَوْجِهَا بِمَتَاع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غرضه علیه السلام من ذلك هو الاستشهاد </w:t>
      </w:r>
      <w:r>
        <w:rPr>
          <w:rStyle w:val="FootnoteAnchor"/>
          <w:rtl w:val="true"/>
        </w:rPr>
        <w:footnoteReference w:id="2990"/>
      </w:r>
      <w:r>
        <w:rPr>
          <w:rFonts w:ascii="Amiri" w:hAnsi="Amiri" w:eastAsia="Amiri" w:cs="Amiri"/>
          <w:color w:val="111111"/>
          <w:sz w:val="28"/>
          <w:sz w:val="28"/>
          <w:szCs w:val="28"/>
          <w:rtl w:val="true"/>
          <w:lang w:bidi="ar-SA"/>
        </w:rPr>
        <w:t xml:space="preserve">بالعرف على تلك الأولوية، فعند </w:t>
      </w:r>
      <w:r>
        <w:rPr>
          <w:rStyle w:val="FootnoteAnchor"/>
          <w:rtl w:val="true"/>
        </w:rPr>
        <w:footnoteReference w:id="2991"/>
      </w:r>
      <w:r>
        <w:rPr>
          <w:rFonts w:ascii="Amiri" w:hAnsi="Amiri" w:eastAsia="Amiri" w:cs="Amiri"/>
          <w:color w:val="111111"/>
          <w:sz w:val="28"/>
          <w:sz w:val="28"/>
          <w:szCs w:val="28"/>
          <w:rtl w:val="true"/>
          <w:lang w:bidi="ar-SA"/>
        </w:rPr>
        <w:t xml:space="preserve">عدمه و مساواة الرجل و المرأة يكونان </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ذا يد عليه، فيكون حكم هذه حكم سائر الدعاوى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جمعنا بين هذه الأخبار هو مختار العلامة في المختلف </w:t>
      </w:r>
      <w:r>
        <w:rPr>
          <w:rStyle w:val="FootnoteAnchor"/>
          <w:rtl w:val="true"/>
        </w:rPr>
        <w:footnoteReference w:id="2993"/>
      </w:r>
      <w:r>
        <w:rPr>
          <w:rFonts w:ascii="Amiri" w:hAnsi="Amiri" w:eastAsia="Amiri" w:cs="Amiri"/>
          <w:color w:val="111111"/>
          <w:sz w:val="28"/>
          <w:sz w:val="28"/>
          <w:szCs w:val="28"/>
          <w:rtl w:val="true"/>
          <w:lang w:bidi="ar-SA"/>
        </w:rPr>
        <w:t xml:space="preserve">، و الشيخ علي بن عبد العالي </w:t>
      </w:r>
      <w:r>
        <w:rPr>
          <w:rStyle w:val="FootnoteAnchor"/>
          <w:rtl w:val="true"/>
        </w:rPr>
        <w:footnoteReference w:id="2994"/>
      </w:r>
      <w:r>
        <w:rPr>
          <w:rFonts w:ascii="Amiri" w:hAnsi="Amiri" w:eastAsia="Amiri" w:cs="Amiri"/>
          <w:color w:val="111111"/>
          <w:sz w:val="28"/>
          <w:sz w:val="28"/>
          <w:szCs w:val="28"/>
          <w:rtl w:val="true"/>
          <w:lang w:bidi="ar-SA"/>
        </w:rPr>
        <w:t xml:space="preserve">، و الشهيد الثاني </w:t>
      </w:r>
      <w:r>
        <w:rPr>
          <w:rStyle w:val="FootnoteAnchor"/>
          <w:rtl w:val="true"/>
        </w:rPr>
        <w:footnoteReference w:id="2995"/>
      </w:r>
      <w:r>
        <w:rPr>
          <w:rFonts w:ascii="Amiri" w:hAnsi="Amiri" w:eastAsia="Amiri" w:cs="Amiri"/>
          <w:color w:val="111111"/>
          <w:sz w:val="28"/>
          <w:sz w:val="28"/>
          <w:szCs w:val="28"/>
          <w:rtl w:val="true"/>
          <w:lang w:bidi="ar-SA"/>
        </w:rPr>
        <w:t xml:space="preserve">، و الفاضل المولى الأردبيلي </w:t>
      </w:r>
      <w:r>
        <w:rPr>
          <w:rStyle w:val="FootnoteAnchor"/>
          <w:rtl w:val="true"/>
        </w:rPr>
        <w:footnoteReference w:id="2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المذكور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أقوال </w:t>
      </w:r>
      <w:r>
        <w:rPr>
          <w:rStyle w:val="FootnoteAnchor"/>
          <w:rtl w:val="true"/>
        </w:rPr>
        <w:footnoteReference w:id="2997"/>
      </w:r>
      <w:r>
        <w:rPr>
          <w:rFonts w:ascii="Amiri" w:hAnsi="Amiri" w:eastAsia="Amiri" w:cs="Amiri"/>
          <w:color w:val="111111"/>
          <w:sz w:val="28"/>
          <w:sz w:val="28"/>
          <w:szCs w:val="28"/>
          <w:rtl w:val="true"/>
          <w:lang w:bidi="ar-SA"/>
        </w:rPr>
        <w:t xml:space="preserve">أخر، و هو مختار المختلف، و الشيخ علي </w:t>
      </w:r>
      <w:r>
        <w:rPr>
          <w:rStyle w:val="FootnoteAnchor"/>
          <w:rtl w:val="true"/>
        </w:rPr>
        <w:footnoteReference w:id="2998"/>
      </w:r>
      <w:r>
        <w:rPr>
          <w:rFonts w:ascii="Amiri" w:hAnsi="Amiri" w:eastAsia="Amiri" w:cs="Amiri"/>
          <w:color w:val="111111"/>
          <w:sz w:val="28"/>
          <w:sz w:val="28"/>
          <w:szCs w:val="28"/>
          <w:rtl w:val="true"/>
          <w:lang w:bidi="ar-SA"/>
        </w:rPr>
        <w:t>، و الشيخ زين الدين، و هو أنه مع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عرف يدل على تخصيص كل واحد بشيء فهو المعتمد، و إلا فهو بينهما نصفان كسائر 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يرجع إلى المذهب الثاني</w:t>
      </w:r>
      <w:r>
        <w:rPr>
          <w:rFonts w:eastAsia="Amiri" w:cs="Amiri" w:ascii="Amiri" w:hAnsi="Amiri"/>
          <w:color w:val="111111"/>
          <w:sz w:val="28"/>
          <w:szCs w:val="28"/>
          <w:rtl w:val="true"/>
          <w:lang w:bidi="ar-SA"/>
        </w:rPr>
        <w:t xml:space="preserve">» </w:t>
      </w:r>
      <w:r>
        <w:rPr>
          <w:rStyle w:val="FootnoteAnchor"/>
          <w:rtl w:val="true"/>
        </w:rPr>
        <w:footnoteReference w:id="2999"/>
      </w:r>
      <w:r>
        <w:rPr>
          <w:rFonts w:ascii="Amiri" w:hAnsi="Amiri" w:eastAsia="Amiri" w:cs="Amiri"/>
          <w:color w:val="111111"/>
          <w:sz w:val="28"/>
          <w:sz w:val="28"/>
          <w:szCs w:val="28"/>
          <w:rtl w:val="true"/>
          <w:lang w:bidi="ar-SA"/>
        </w:rPr>
        <w:t xml:space="preserve">، و أشار به إلى ما ذهب إليه جمع من أصحابنا من أنه يحكم للرجل بما يصلح له فقط مثل السيف و الدرع </w:t>
      </w:r>
      <w:r>
        <w:rPr>
          <w:rStyle w:val="FootnoteAnchor"/>
          <w:rtl w:val="true"/>
        </w:rPr>
        <w:footnoteReference w:id="3000"/>
      </w:r>
      <w:r>
        <w:rPr>
          <w:rFonts w:ascii="Amiri" w:hAnsi="Amiri" w:eastAsia="Amiri" w:cs="Amiri"/>
          <w:color w:val="111111"/>
          <w:sz w:val="28"/>
          <w:sz w:val="28"/>
          <w:szCs w:val="28"/>
          <w:rtl w:val="true"/>
          <w:lang w:bidi="ar-SA"/>
        </w:rPr>
        <w:t>، و للمرأة بما يصلح لها فقط مثل الحلي و المقنعة، و ما يصلح لهما يقسم كما في سائر الدعاوى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يجمع بين الأخبار، فتحمل صحيحة رفاعة على اقتضاء</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 اختصاص كل بما له ، و صحيحة </w:t>
      </w:r>
      <w:r>
        <w:rPr>
          <w:rStyle w:val="FootnoteAnchor"/>
          <w:rtl w:val="true"/>
        </w:rPr>
        <w:footnoteReference w:id="3001"/>
      </w:r>
      <w:r>
        <w:rPr>
          <w:rFonts w:ascii="IRNazanin" w:hAnsi="IRNazanin" w:eastAsia="IRNazanin"/>
          <w:color w:val="111111"/>
          <w:sz w:val="28"/>
          <w:sz w:val="28"/>
          <w:szCs w:val="28"/>
          <w:rtl w:val="true"/>
          <w:lang w:bidi="fa-IR"/>
        </w:rPr>
        <w:t xml:space="preserve">ابن الحجاج على اقتضاء العرف </w:t>
      </w:r>
      <w:r>
        <w:rPr>
          <w:rStyle w:val="FootnoteAnchor"/>
          <w:rtl w:val="true"/>
        </w:rPr>
        <w:footnoteReference w:id="3002"/>
      </w:r>
      <w:r>
        <w:rPr>
          <w:rFonts w:ascii="Amiri" w:hAnsi="Amiri" w:eastAsia="Amiri" w:cs="Amiri"/>
          <w:color w:val="111111"/>
          <w:sz w:val="28"/>
          <w:sz w:val="28"/>
          <w:szCs w:val="28"/>
          <w:rtl w:val="true"/>
          <w:lang w:bidi="ar-SA"/>
        </w:rPr>
        <w:t xml:space="preserve">بأن المتاع هو متاع المرأة جاءت به من بيتها </w:t>
      </w:r>
      <w:r>
        <w:rPr>
          <w:rStyle w:val="FootnoteAnchor"/>
          <w:rtl w:val="true"/>
        </w:rPr>
        <w:footnoteReference w:id="3003"/>
      </w:r>
      <w:r>
        <w:rPr>
          <w:rFonts w:ascii="Amiri" w:hAnsi="Amiri" w:eastAsia="Amiri" w:cs="Amiri"/>
          <w:color w:val="111111"/>
          <w:sz w:val="28"/>
          <w:sz w:val="28"/>
          <w:szCs w:val="28"/>
          <w:rtl w:val="true"/>
          <w:lang w:bidi="ar-SA"/>
        </w:rPr>
        <w:t>جهازًا إلى بيت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ما </w:t>
      </w:r>
      <w:r>
        <w:rPr>
          <w:rStyle w:val="FootnoteAnchor"/>
          <w:rtl w:val="true"/>
        </w:rPr>
        <w:footnoteReference w:id="3004"/>
      </w:r>
      <w:r>
        <w:rPr>
          <w:rFonts w:ascii="Amiri" w:hAnsi="Amiri" w:eastAsia="Amiri" w:cs="Amiri"/>
          <w:color w:val="111111"/>
          <w:sz w:val="28"/>
          <w:sz w:val="28"/>
          <w:szCs w:val="28"/>
          <w:rtl w:val="true"/>
          <w:lang w:bidi="ar-SA"/>
        </w:rPr>
        <w:t>بين لا 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الحجاج </w:t>
      </w:r>
      <w:r>
        <w:rPr>
          <w:rStyle w:val="FootnoteAnchor"/>
          <w:rtl w:val="true"/>
        </w:rPr>
        <w:footnoteReference w:id="3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ليس هناك عرف و </w:t>
      </w:r>
      <w:r>
        <w:rPr>
          <w:rStyle w:val="FootnoteAnchor"/>
          <w:rtl w:val="true"/>
        </w:rPr>
        <w:footnoteReference w:id="3006"/>
      </w:r>
      <w:r>
        <w:rPr>
          <w:rFonts w:ascii="Amiri" w:hAnsi="Amiri" w:eastAsia="Amiri" w:cs="Amiri"/>
          <w:color w:val="111111"/>
          <w:sz w:val="28"/>
          <w:sz w:val="28"/>
          <w:szCs w:val="28"/>
          <w:rtl w:val="true"/>
          <w:lang w:bidi="ar-SA"/>
        </w:rPr>
        <w:t xml:space="preserve">قرينة أصلا تدل على الاختصاص </w:t>
      </w:r>
      <w:r>
        <w:rPr>
          <w:rStyle w:val="FootnoteAnchor"/>
          <w:rtl w:val="true"/>
        </w:rPr>
        <w:footnoteReference w:id="3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البواري و الصحون و ظروف الماء من الحبوب و الشربات و الجراب في مثل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العرف قاض بأنه من مال الرجل، بل نفس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 xml:space="preserve">] </w:t>
      </w:r>
      <w:r>
        <w:rPr>
          <w:rStyle w:val="FootnoteAnchor"/>
          <w:rtl w:val="true"/>
        </w:rPr>
        <w:footnoteReference w:id="3008"/>
      </w:r>
      <w:r>
        <w:rPr>
          <w:rFonts w:ascii="Amiri" w:hAnsi="Amiri" w:eastAsia="Amiri" w:cs="Amiri"/>
          <w:color w:val="111111"/>
          <w:sz w:val="28"/>
          <w:sz w:val="28"/>
          <w:szCs w:val="28"/>
          <w:rtl w:val="true"/>
          <w:lang w:bidi="ar-SA"/>
        </w:rPr>
        <w:t>حكم سائر 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وجوده يحكم لصاحب الاختصاص به؛ للعلم الحاصل به من العرف العام و الخاص </w:t>
      </w:r>
      <w:r>
        <w:rPr>
          <w:rStyle w:val="FootnoteAnchor"/>
          <w:rtl w:val="true"/>
        </w:rPr>
        <w:footnoteReference w:id="3009"/>
      </w:r>
      <w:r>
        <w:rPr>
          <w:rFonts w:ascii="Amiri" w:hAnsi="Amiri" w:eastAsia="Amiri" w:cs="Amiri"/>
          <w:color w:val="111111"/>
          <w:sz w:val="28"/>
          <w:sz w:val="28"/>
          <w:szCs w:val="28"/>
          <w:rtl w:val="true"/>
          <w:lang w:bidi="ar-SA"/>
        </w:rPr>
        <w:t>أو غيره، فتأمل</w:t>
      </w:r>
      <w:r>
        <w:rPr>
          <w:rFonts w:eastAsia="Amiri" w:cs="Amiri" w:ascii="Amiri" w:hAnsi="Amiri"/>
          <w:color w:val="111111"/>
          <w:sz w:val="28"/>
          <w:szCs w:val="28"/>
          <w:rtl w:val="true"/>
          <w:lang w:bidi="ar-SA"/>
        </w:rPr>
        <w:t xml:space="preserve">» </w:t>
      </w:r>
      <w:r>
        <w:rPr>
          <w:rStyle w:val="FootnoteAnchor"/>
          <w:rtl w:val="true"/>
        </w:rPr>
        <w:footnoteReference w:id="3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كلام وجيه، و به سقط ما ذهب إليه الشيخ في التهذيبين من ترجيح العمل بصحيحة البجلي </w:t>
      </w:r>
      <w:r>
        <w:rPr>
          <w:rStyle w:val="FootnoteAnchor"/>
          <w:rtl w:val="true"/>
        </w:rPr>
        <w:footnoteReference w:id="3011"/>
      </w:r>
      <w:r>
        <w:rPr>
          <w:rFonts w:ascii="Amiri" w:hAnsi="Amiri" w:eastAsia="Amiri" w:cs="Amiri"/>
          <w:color w:val="111111"/>
          <w:sz w:val="28"/>
          <w:sz w:val="28"/>
          <w:szCs w:val="28"/>
          <w:rtl w:val="true"/>
          <w:lang w:bidi="ar-SA"/>
        </w:rPr>
        <w:t xml:space="preserve">، و عمل ما دل على التقسيم أو ترجيح المرأة على التقية، أو يكون ذلك على </w:t>
      </w:r>
      <w:r>
        <w:rPr>
          <w:rStyle w:val="FootnoteAnchor"/>
          <w:rtl w:val="true"/>
        </w:rPr>
        <w:footnoteReference w:id="3012"/>
      </w:r>
      <w:r>
        <w:rPr>
          <w:rFonts w:ascii="Amiri" w:hAnsi="Amiri" w:eastAsia="Amiri" w:cs="Amiri"/>
          <w:color w:val="111111"/>
          <w:sz w:val="28"/>
          <w:sz w:val="28"/>
          <w:szCs w:val="28"/>
          <w:rtl w:val="true"/>
          <w:lang w:bidi="ar-SA"/>
        </w:rPr>
        <w:t xml:space="preserve">وجه الوساطة و الصلح دون </w:t>
      </w:r>
      <w:r>
        <w:rPr>
          <w:rStyle w:val="FootnoteAnchor"/>
          <w:rtl w:val="true"/>
        </w:rPr>
        <w:footnoteReference w:id="3013"/>
      </w:r>
      <w:r>
        <w:rPr>
          <w:rFonts w:ascii="Amiri" w:hAnsi="Amiri" w:eastAsia="Amiri" w:cs="Amiri"/>
          <w:color w:val="111111"/>
          <w:sz w:val="28"/>
          <w:sz w:val="28"/>
          <w:szCs w:val="28"/>
          <w:rtl w:val="true"/>
          <w:lang w:bidi="ar-SA"/>
        </w:rPr>
        <w:t xml:space="preserve">الحكم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جمع به فقيه الفقيه، فإنه بعد نقل خبر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أن المرأة أحق بالمتاع؛ لأن ما بين لابتيها </w:t>
      </w:r>
      <w:r>
        <w:rPr>
          <w:rStyle w:val="FootnoteAnchor"/>
          <w:rtl w:val="true"/>
        </w:rPr>
        <w:footnoteReference w:id="3015"/>
      </w:r>
      <w:r>
        <w:rPr>
          <w:rFonts w:ascii="Amiri" w:hAnsi="Amiri" w:eastAsia="Amiri" w:cs="Amiri"/>
          <w:color w:val="111111"/>
          <w:sz w:val="28"/>
          <w:sz w:val="28"/>
          <w:szCs w:val="28"/>
          <w:rtl w:val="true"/>
          <w:lang w:bidi="ar-SA"/>
        </w:rPr>
        <w:t>قد يعلم أن المرأة تنقل إلى بيت زوجها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3016"/>
      </w:r>
      <w:r>
        <w:rPr>
          <w:rFonts w:ascii="IRNazanin" w:hAnsi="IRNazanin" w:eastAsia="IRNazanin"/>
          <w:color w:val="111111"/>
          <w:sz w:val="28"/>
          <w:sz w:val="28"/>
          <w:szCs w:val="28"/>
          <w:rtl w:val="true"/>
          <w:lang w:bidi="fa-IR"/>
        </w:rPr>
        <w:t xml:space="preserve">المتاع </w:t>
      </w:r>
      <w:r>
        <w:rPr>
          <w:rStyle w:val="FootnoteAnchor"/>
          <w:rtl w:val="true"/>
        </w:rPr>
        <w:footnoteReference w:id="3017"/>
      </w:r>
      <w:r>
        <w:rPr>
          <w:rFonts w:ascii="Amiri" w:hAnsi="Amiri" w:eastAsia="Amiri" w:cs="Amiri"/>
          <w:color w:val="111111"/>
          <w:sz w:val="28"/>
          <w:sz w:val="28"/>
          <w:szCs w:val="28"/>
          <w:rtl w:val="true"/>
          <w:lang w:bidi="ar-SA"/>
        </w:rPr>
        <w:t xml:space="preserve">الذي يحتاج إليه الرجال كما تحتاج إليه النساء، فأما ما يصلح إلا للرجال فهو </w:t>
      </w:r>
      <w:r>
        <w:rPr>
          <w:rStyle w:val="FootnoteAnchor"/>
          <w:rtl w:val="true"/>
        </w:rPr>
        <w:footnoteReference w:id="3018"/>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الحديث بمخالف </w:t>
      </w:r>
      <w:r>
        <w:rPr>
          <w:rStyle w:val="FootnoteAnchor"/>
          <w:rtl w:val="true"/>
        </w:rPr>
        <w:footnoteReference w:id="3019"/>
      </w:r>
      <w:r>
        <w:rPr>
          <w:rFonts w:ascii="Amiri" w:hAnsi="Amiri" w:eastAsia="Amiri" w:cs="Amiri"/>
          <w:color w:val="111111"/>
          <w:sz w:val="28"/>
          <w:sz w:val="28"/>
          <w:szCs w:val="28"/>
          <w:rtl w:val="true"/>
          <w:lang w:bidi="ar-SA"/>
        </w:rPr>
        <w:t>للذي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للرجال و لها ما للنساء</w:t>
      </w:r>
      <w:r>
        <w:rPr>
          <w:rFonts w:eastAsia="Amiri" w:cs="Amiri" w:ascii="Amiri" w:hAnsi="Amiri"/>
          <w:color w:val="111111"/>
          <w:sz w:val="28"/>
          <w:szCs w:val="28"/>
          <w:rtl w:val="true"/>
          <w:lang w:bidi="ar-SA"/>
        </w:rPr>
        <w:t xml:space="preserve">)» </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3021"/>
      </w:r>
      <w:r>
        <w:rPr>
          <w:rFonts w:ascii="Amiri" w:hAnsi="Amiri" w:eastAsia="Amiri" w:cs="Amiri"/>
          <w:color w:val="111111"/>
          <w:sz w:val="28"/>
          <w:sz w:val="28"/>
          <w:szCs w:val="28"/>
          <w:rtl w:val="true"/>
          <w:lang w:bidi="ar-SA"/>
        </w:rPr>
        <w:t xml:space="preserve">ما ذكره ليس بجامع بين الأخبار كلها؛ لأن مقتضى كلامه </w:t>
      </w:r>
      <w:r>
        <w:rPr>
          <w:rStyle w:val="FootnoteAnchor"/>
          <w:rtl w:val="true"/>
        </w:rPr>
        <w:footnoteReference w:id="3022"/>
      </w:r>
      <w:r>
        <w:rPr>
          <w:rFonts w:ascii="Amiri" w:hAnsi="Amiri" w:eastAsia="Amiri" w:cs="Amiri"/>
          <w:color w:val="111111"/>
          <w:sz w:val="28"/>
          <w:sz w:val="28"/>
          <w:szCs w:val="28"/>
          <w:rtl w:val="true"/>
          <w:lang w:bidi="ar-SA"/>
        </w:rPr>
        <w:t>هذا أن ما دل عليه صحيح البجلي ثابت مطلقًا إلا فيما كان مختصا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قد عرفت من الأخبار الأخيرة أن ما كان صالحًا لها إذا لم يكن ثمة عرف أو عادة دالان </w:t>
      </w:r>
      <w:r>
        <w:rPr>
          <w:rStyle w:val="FootnoteAnchor"/>
          <w:rtl w:val="true"/>
        </w:rPr>
        <w:footnoteReference w:id="3023"/>
      </w:r>
      <w:r>
        <w:rPr>
          <w:rFonts w:ascii="Amiri" w:hAnsi="Amiri" w:eastAsia="Amiri" w:cs="Amiri"/>
          <w:color w:val="111111"/>
          <w:sz w:val="28"/>
          <w:sz w:val="28"/>
          <w:szCs w:val="28"/>
          <w:rtl w:val="true"/>
          <w:lang w:bidi="ar-SA"/>
        </w:rPr>
        <w:t>على الاختصاص يُقسَمُ إنصافا، فلا سبيل له فيها سوى الطرح، و ما ذكرناه سالم من ذلك جامع بينها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هذه الأحاديث وجه التأييد على تقديم قول المرأة في اللباس و الحلي المختص بها، حيث قد حكم في هذه الأحاديث بأنها ذات يد على ما كان صالحا لها و للرجال، و إن كانت اليد مشتركة فكيف في الأشياء التي لا تصلح إلا لها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 موثقة يونس بن يعقوب دلالة على أن هذه الأحكام و التفاصيل إنما هي بالنظر إلى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Style w:val="FootnoteAnchor"/>
          <w:rtl w:val="true"/>
        </w:rPr>
        <w:footnoteReference w:id="3024"/>
      </w:r>
      <w:r>
        <w:rPr>
          <w:rFonts w:ascii="Amiri" w:hAnsi="Amiri" w:eastAsia="Amiri" w:cs="Amiri"/>
          <w:color w:val="111111"/>
          <w:sz w:val="28"/>
          <w:sz w:val="28"/>
          <w:szCs w:val="28"/>
          <w:rtl w:val="true"/>
          <w:lang w:bidi="ar-SA"/>
        </w:rPr>
        <w:t xml:space="preserve">كل منهما ذا يد </w:t>
      </w:r>
      <w:r>
        <w:rPr>
          <w:rStyle w:val="FootnoteAnchor"/>
          <w:rtl w:val="true"/>
        </w:rPr>
        <w:footnoteReference w:id="3025"/>
      </w:r>
      <w:r>
        <w:rPr>
          <w:rFonts w:ascii="Amiri" w:hAnsi="Amiri" w:eastAsia="Amiri" w:cs="Amiri"/>
          <w:color w:val="111111"/>
          <w:sz w:val="28"/>
          <w:sz w:val="28"/>
          <w:szCs w:val="28"/>
          <w:rtl w:val="true"/>
          <w:lang w:bidi="ar-SA"/>
        </w:rPr>
        <w:t xml:space="preserve">عليه، أما من </w:t>
      </w:r>
      <w:r>
        <w:rPr>
          <w:rStyle w:val="FootnoteAnchor"/>
          <w:rtl w:val="true"/>
        </w:rPr>
        <w:footnoteReference w:id="3026"/>
      </w:r>
      <w:r>
        <w:rPr>
          <w:rFonts w:ascii="Amiri" w:hAnsi="Amiri" w:eastAsia="Amiri" w:cs="Amiri"/>
          <w:color w:val="111111"/>
          <w:sz w:val="28"/>
          <w:sz w:val="28"/>
          <w:szCs w:val="28"/>
          <w:rtl w:val="true"/>
          <w:lang w:bidi="ar-SA"/>
        </w:rPr>
        <w:t xml:space="preserve">علم اختصاص يده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مما يختص بالرجل أو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 اليد، و لا التفات إلى العرف و الاختصاص العادي؛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لقوله علیه السلام بعد الحكم بأن ما كان من </w:t>
      </w:r>
      <w:r>
        <w:rPr>
          <w:rStyle w:val="FootnoteAnchor"/>
          <w:rtl w:val="true"/>
        </w:rPr>
        <w:footnoteReference w:id="3027"/>
      </w:r>
      <w:r>
        <w:rPr>
          <w:rFonts w:ascii="Amiri" w:hAnsi="Amiri" w:eastAsia="Amiri" w:cs="Amiri"/>
          <w:color w:val="111111"/>
          <w:sz w:val="28"/>
          <w:sz w:val="28"/>
          <w:szCs w:val="28"/>
          <w:rtl w:val="true"/>
          <w:lang w:bidi="ar-SA"/>
        </w:rPr>
        <w:t xml:space="preserve">متاع النساء فهو للمرأة، و ما كان من متاع الرجل فهو للرجل، و ما كان مشتركا فهو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اسْتَوْلَى عَلَى شَيْءٍ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مشيرًا بذلك إلى أن التصرف و الاستيلاء قاطع لتلك الأحكام و التفاصيل التي في المتاع ؛ وما ذاك إلا </w:t>
      </w:r>
      <w:r>
        <w:rPr>
          <w:rStyle w:val="FootnoteAnchor"/>
          <w:rtl w:val="true"/>
        </w:rPr>
        <w:footnoteReference w:id="3028"/>
      </w:r>
      <w:r>
        <w:rPr>
          <w:rFonts w:ascii="Amiri" w:hAnsi="Amiri" w:eastAsia="Amiri" w:cs="Amiri"/>
          <w:color w:val="111111"/>
          <w:sz w:val="28"/>
          <w:sz w:val="28"/>
          <w:szCs w:val="28"/>
          <w:rtl w:val="true"/>
          <w:lang w:bidi="ar-SA"/>
        </w:rPr>
        <w:t>لقوّة اليد و ترجيحها على كل دلالة و شاهد من عرف و غيره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المقام؛ فإنه حريّ بالتأمل التام</w:t>
      </w:r>
      <w:r>
        <w:rPr>
          <w:rFonts w:eastAsia="Amiri" w:cs="Amiri" w:ascii="Amiri" w:hAnsi="Amiri"/>
          <w:color w:val="111111"/>
          <w:sz w:val="28"/>
          <w:szCs w:val="28"/>
          <w:rtl w:val="true"/>
          <w:lang w:bidi="ar-SA"/>
        </w:rPr>
        <w:t xml:space="preserve">.. </w:t>
      </w:r>
      <w:bookmarkStart w:id="257" w:name="pg2523_40052"/>
    </w:p>
    <w:p>
      <w:pPr>
        <w:pStyle w:val="Heading2"/>
        <w:numPr>
          <w:ilvl w:val="1"/>
          <w:numId w:val="1"/>
        </w:numPr>
        <w:rPr/>
      </w:pPr>
      <w:bookmarkStart w:id="258" w:name="__RefHeading___Toc4264978_3804643083"/>
      <w:bookmarkStart w:id="259" w:name="_Toc87"/>
      <w:bookmarkEnd w:id="257"/>
      <w:bookmarkEnd w:id="258"/>
      <w:r>
        <w:rPr>
          <w:rtl w:val="true"/>
        </w:rPr>
        <w:t xml:space="preserve">المسألة الحادية عشرة </w:t>
      </w:r>
      <w:r>
        <w:rPr>
          <w:rtl w:val="true"/>
        </w:rPr>
        <w:t>: [</w:t>
      </w:r>
      <w:r>
        <w:rPr>
          <w:rtl w:val="true"/>
        </w:rPr>
        <w:t>في حرمة المزني بها في العدة، واعتدادها من الزاني، و نوع عدتها</w:t>
      </w:r>
      <w:r>
        <w:rPr>
          <w:rtl w:val="true"/>
        </w:rPr>
        <w:t>]</w:t>
      </w:r>
      <w:bookmarkEnd w:id="259"/>
    </w:p>
    <w:p>
      <w:pPr>
        <w:pStyle w:val="Heading3"/>
        <w:numPr>
          <w:ilvl w:val="2"/>
          <w:numId w:val="1"/>
        </w:numPr>
        <w:rPr/>
      </w:pPr>
      <w:bookmarkStart w:id="260" w:name="__RefHeading___Toc4264980_3804643083"/>
      <w:bookmarkStart w:id="261" w:name="_Toc88"/>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ذكر المحدث الحر العاملي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زنا بذات بعل أو ذات عدة حرمت عليه مؤيدا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30"/>
      </w:r>
      <w:r>
        <w:rPr>
          <w:rFonts w:ascii="Amiri" w:hAnsi="Amiri" w:eastAsia="Amiri" w:cs="Amiri"/>
          <w:color w:val="111111"/>
          <w:sz w:val="28"/>
          <w:sz w:val="28"/>
          <w:szCs w:val="28"/>
          <w:rtl w:val="true"/>
          <w:lang w:bidi="ar-SA"/>
        </w:rPr>
        <w:t>بعض تلامذته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زنا بامرأة غير ذات بعل مرارًا يحرم عليه تزويجها؛ لأنه حيث زنا بها وجبت عليها العدة، و لو زنا بها بعد ذلك قبل خروجها من العدة ثبت زناها بها في العدة و حرمت عليه المرأة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ومنه سبحانه الإرشاد إلى الصواب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تحقيق هذه المسألة و الجواب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تتراءى أنها معضلة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يتوقف على بسط الكلام و إرسال أعنة الأقلام في ثلاث مسائل</w:t>
      </w:r>
      <w:r>
        <w:rPr>
          <w:rFonts w:eastAsia="Amiri" w:cs="Amiri" w:ascii="Amiri" w:hAnsi="Amiri"/>
          <w:color w:val="111111"/>
          <w:sz w:val="28"/>
          <w:szCs w:val="28"/>
          <w:rtl w:val="true"/>
          <w:lang w:bidi="ar-SA"/>
        </w:rPr>
        <w:t xml:space="preserve">: </w:t>
      </w:r>
      <w:bookmarkStart w:id="262" w:name="pg2523_40053"/>
    </w:p>
    <w:p>
      <w:pPr>
        <w:pStyle w:val="BookText"/>
        <w:rPr/>
      </w:pPr>
      <w:bookmarkEnd w:id="262"/>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زنا بامرأة </w:t>
      </w:r>
      <w:r>
        <w:rPr>
          <w:rStyle w:val="FootnoteAnchor"/>
          <w:rtl w:val="true"/>
        </w:rPr>
        <w:footnoteReference w:id="3033"/>
      </w:r>
      <w:r>
        <w:rPr>
          <w:rFonts w:ascii="Amiri" w:hAnsi="Amiri" w:eastAsia="Amiri" w:cs="Amiri"/>
          <w:color w:val="111111"/>
          <w:sz w:val="28"/>
          <w:sz w:val="28"/>
          <w:szCs w:val="28"/>
          <w:rtl w:val="true"/>
          <w:lang w:bidi="ar-SA"/>
        </w:rPr>
        <w:t>في العدة، هل تحرم على الزاني مؤبدا أم لا؟</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أن وجوب العدة على الزانية من الزنا ثابت على الزاني و غيره أم لا؟</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العدة التي توجب الزنا فيها التحريم المؤبد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مطلق العدة أو عدة مخصوصة من العِدَد؟</w:t>
      </w:r>
    </w:p>
    <w:p>
      <w:pPr>
        <w:pStyle w:val="BookText"/>
        <w:rPr/>
      </w:pPr>
      <w:r>
        <w:rPr>
          <w:rFonts w:ascii="Amiri" w:hAnsi="Amiri" w:eastAsia="Amiri" w:cs="Amiri"/>
          <w:color w:val="111111"/>
          <w:sz w:val="28"/>
          <w:sz w:val="28"/>
          <w:szCs w:val="28"/>
          <w:rtl w:val="true"/>
          <w:lang w:bidi="ar-SA"/>
        </w:rPr>
        <w:t xml:space="preserve">و المناقشة في الكل موجود كما هو غير خفي على من راجع مؤلفاتهم </w:t>
      </w:r>
      <w:r>
        <w:rPr>
          <w:rStyle w:val="FootnoteAnchor"/>
          <w:rtl w:val="true"/>
        </w:rPr>
        <w:footnoteReference w:id="3034"/>
      </w:r>
      <w:r>
        <w:rPr>
          <w:rFonts w:ascii="Amiri" w:hAnsi="Amiri" w:eastAsia="Amiri" w:cs="Amiri"/>
          <w:color w:val="111111"/>
          <w:sz w:val="28"/>
          <w:sz w:val="28"/>
          <w:szCs w:val="28"/>
          <w:rtl w:val="true"/>
          <w:lang w:bidi="ar-SA"/>
        </w:rPr>
        <w:t>و تتبع مصنفاتهم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الفتوى غير منطبق على ذلك، و ليس لهم إجماع و لا اتفاق </w:t>
      </w:r>
      <w:r>
        <w:rPr>
          <w:rStyle w:val="FootnoteAnchor"/>
          <w:rtl w:val="true"/>
        </w:rPr>
        <w:footnoteReference w:id="3035"/>
      </w:r>
      <w:r>
        <w:rPr>
          <w:rFonts w:ascii="Amiri" w:hAnsi="Amiri" w:eastAsia="Amiri" w:cs="Amiri"/>
          <w:color w:val="111111"/>
          <w:sz w:val="28"/>
          <w:sz w:val="28"/>
          <w:szCs w:val="28"/>
          <w:rtl w:val="true"/>
          <w:lang w:bidi="ar-SA"/>
        </w:rPr>
        <w:t>على ما هنالك</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4264982_3804643083"/>
      <w:bookmarkStart w:id="264" w:name="_Toc89"/>
      <w:bookmarkEnd w:id="263"/>
      <w:r>
        <w:rPr>
          <w:rtl w:val="true"/>
        </w:rPr>
        <w:t>أما المسألة الأولى</w:t>
      </w:r>
      <w:r>
        <w:rPr>
          <w:rtl w:val="true"/>
        </w:rPr>
        <w:t>:</w:t>
      </w:r>
      <w:bookmarkEnd w:id="264"/>
    </w:p>
    <w:p>
      <w:pPr>
        <w:pStyle w:val="BookText"/>
        <w:rPr/>
      </w:pPr>
      <w:r>
        <w:rPr>
          <w:rFonts w:ascii="Amiri" w:hAnsi="Amiri" w:eastAsia="Amiri" w:cs="Amiri"/>
          <w:color w:val="111111"/>
          <w:sz w:val="28"/>
          <w:sz w:val="28"/>
          <w:szCs w:val="28"/>
          <w:rtl w:val="true"/>
          <w:lang w:bidi="ar-SA"/>
        </w:rPr>
        <w:t xml:space="preserve">فالذي ذكره </w:t>
      </w:r>
      <w:r>
        <w:rPr>
          <w:rStyle w:val="FootnoteAnchor"/>
          <w:rtl w:val="true"/>
        </w:rPr>
        <w:footnoteReference w:id="3036"/>
      </w:r>
      <w:r>
        <w:rPr>
          <w:rFonts w:ascii="Amiri" w:hAnsi="Amiri" w:eastAsia="Amiri" w:cs="Amiri"/>
          <w:color w:val="111111"/>
          <w:sz w:val="28"/>
          <w:sz w:val="28"/>
          <w:szCs w:val="28"/>
          <w:rtl w:val="true"/>
          <w:lang w:bidi="ar-SA"/>
        </w:rPr>
        <w:t>الأصحاب ممن وقفنا على كلامه فيها أنها من المسائل الغير المنصوصة كما صرح به غير واحد منهم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ثاني الشهيدين في المسالك عند قول المحقق في شرائعه و لو زنا بذات بعل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رجعية حرمت عليه أبدًا </w:t>
      </w:r>
      <w:r>
        <w:rPr>
          <w:rStyle w:val="FootnoteAnchor"/>
          <w:rtl w:val="true"/>
        </w:rPr>
        <w:footnoteReference w:id="3037"/>
      </w:r>
      <w:r>
        <w:rPr>
          <w:rFonts w:ascii="Amiri" w:hAnsi="Amiri" w:eastAsia="Amiri" w:cs="Amiri"/>
          <w:color w:val="111111"/>
          <w:sz w:val="28"/>
          <w:sz w:val="28"/>
          <w:szCs w:val="28"/>
          <w:rtl w:val="true"/>
          <w:lang w:bidi="ar-SA"/>
        </w:rPr>
        <w:t>في قول مشهور</w:t>
      </w:r>
      <w:r>
        <w:rPr>
          <w:rFonts w:eastAsia="Amiri" w:cs="Amiri" w:ascii="Amiri" w:hAnsi="Amiri"/>
          <w:color w:val="111111"/>
          <w:sz w:val="28"/>
          <w:szCs w:val="28"/>
          <w:rtl w:val="true"/>
          <w:lang w:bidi="ar-SA"/>
        </w:rPr>
        <w:t xml:space="preserve">» </w:t>
      </w:r>
      <w:r>
        <w:rPr>
          <w:rStyle w:val="FootnoteAnchor"/>
          <w:rtl w:val="true"/>
        </w:rPr>
        <w:footnoteReference w:id="30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 xml:space="preserve">نسبه إلى الشهرة مع عدم ظهور المخالف لعدم وقوفه على مستند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039"/>
      </w:r>
      <w:r>
        <w:rPr>
          <w:rFonts w:ascii="Amiri" w:hAnsi="Amiri" w:eastAsia="Amiri" w:cs="Amiri"/>
          <w:color w:val="111111"/>
          <w:sz w:val="28"/>
          <w:sz w:val="28"/>
          <w:szCs w:val="28"/>
          <w:rtl w:val="true"/>
          <w:lang w:bidi="ar-SA"/>
        </w:rPr>
        <w:t>من النص، و عدم تحقق الإجماع على وجه يكون حجة</w:t>
      </w:r>
      <w:r>
        <w:rPr>
          <w:rFonts w:eastAsia="Amiri" w:cs="Amiri" w:ascii="Amiri" w:hAnsi="Amiri"/>
          <w:color w:val="111111"/>
          <w:sz w:val="28"/>
          <w:szCs w:val="28"/>
          <w:rtl w:val="true"/>
          <w:lang w:bidi="ar-SA"/>
        </w:rPr>
        <w:t xml:space="preserve">» </w:t>
      </w:r>
      <w:r>
        <w:rPr>
          <w:rStyle w:val="FootnoteAnchor"/>
          <w:rtl w:val="true"/>
        </w:rPr>
        <w:footnoteReference w:id="30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السند السيد محمد في شرح النافع بعد أن طعن في استدلال الشيخ في التهذيب على حكم الزنا بذات البعل بضعف الطريق و الدلالة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ثم نسب المصنف في الشرائع الحكم </w:t>
      </w:r>
      <w:r>
        <w:rPr>
          <w:rStyle w:val="FootnoteAnchor"/>
          <w:rtl w:val="true"/>
        </w:rPr>
        <w:footnoteReference w:id="3041"/>
      </w:r>
      <w:r>
        <w:rPr>
          <w:rFonts w:ascii="Amiri" w:hAnsi="Amiri" w:eastAsia="Amiri" w:cs="Amiri"/>
          <w:color w:val="111111"/>
          <w:sz w:val="28"/>
          <w:sz w:val="28"/>
          <w:szCs w:val="28"/>
          <w:rtl w:val="true"/>
          <w:lang w:bidi="ar-SA"/>
        </w:rPr>
        <w:t>إلى قول مشهور مؤذنا بتوقفه فيه، و هو في محله</w:t>
      </w:r>
      <w:r>
        <w:rPr>
          <w:rFonts w:eastAsia="Amiri" w:cs="Amiri" w:ascii="Amiri" w:hAnsi="Amiri"/>
          <w:color w:val="111111"/>
          <w:sz w:val="28"/>
          <w:szCs w:val="28"/>
          <w:rtl w:val="true"/>
          <w:lang w:bidi="ar-SA"/>
        </w:rPr>
        <w:t xml:space="preserve">» </w:t>
      </w:r>
      <w:r>
        <w:rPr>
          <w:rStyle w:val="FootnoteAnchor"/>
          <w:rtl w:val="true"/>
        </w:rPr>
        <w:footnoteReference w:id="3042"/>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الفاضل بهاء الدين المشتهر بالفاضل الهندي في كتابه الموسوم بكشف اللثام في شرح قواعد الأحكام للعلامة الحلي بعد أن ذكر عبارة القواعد التي هي </w:t>
      </w:r>
      <w:r>
        <w:rPr>
          <w:rStyle w:val="FootnoteAnchor"/>
          <w:rtl w:val="true"/>
        </w:rPr>
        <w:footnoteReference w:id="3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r>
        <w:rPr>
          <w:rStyle w:val="FootnoteAnchor"/>
          <w:rtl w:val="true"/>
        </w:rPr>
        <w:footnoteReference w:id="3044"/>
      </w:r>
      <w:r>
        <w:rPr>
          <w:rFonts w:ascii="Amiri" w:hAnsi="Amiri" w:eastAsia="Amiri" w:cs="Amiri"/>
          <w:color w:val="111111"/>
          <w:sz w:val="28"/>
          <w:sz w:val="28"/>
          <w:szCs w:val="28"/>
          <w:rtl w:val="true"/>
          <w:lang w:bidi="ar-SA"/>
        </w:rPr>
        <w:t xml:space="preserve">زنا بذات بعل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045"/>
      </w:r>
      <w:r>
        <w:rPr>
          <w:rFonts w:ascii="Amiri" w:hAnsi="Amiri" w:eastAsia="Amiri" w:cs="Amiri"/>
          <w:color w:val="111111"/>
          <w:sz w:val="28"/>
          <w:sz w:val="28"/>
          <w:szCs w:val="28"/>
          <w:rtl w:val="true"/>
          <w:lang w:bidi="ar-SA"/>
        </w:rPr>
        <w:t>عدة رجعية حرمت عليه أبدا</w:t>
      </w:r>
      <w:r>
        <w:rPr>
          <w:rFonts w:eastAsia="Amiri" w:cs="Amiri" w:ascii="Amiri" w:hAnsi="Amiri"/>
          <w:color w:val="111111"/>
          <w:sz w:val="28"/>
          <w:szCs w:val="28"/>
          <w:rtl w:val="true"/>
          <w:lang w:bidi="ar-SA"/>
        </w:rPr>
        <w:t xml:space="preserve">» </w:t>
      </w:r>
      <w:r>
        <w:rPr>
          <w:rStyle w:val="FootnoteAnchor"/>
          <w:rtl w:val="true"/>
        </w:rPr>
        <w:footnoteReference w:id="30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به الأصحاب إلا المحقق في الشرائع، و حكى عليه الإجماع في ذات العدة في الانتصار، و ليس عليه نص بخصوصه</w:t>
      </w:r>
      <w:r>
        <w:rPr>
          <w:rFonts w:eastAsia="Amiri" w:cs="Amiri" w:ascii="Amiri" w:hAnsi="Amiri"/>
          <w:color w:val="111111"/>
          <w:sz w:val="28"/>
          <w:szCs w:val="28"/>
          <w:rtl w:val="true"/>
          <w:lang w:bidi="ar-SA"/>
        </w:rPr>
        <w:t xml:space="preserve">» </w:t>
      </w:r>
      <w:r>
        <w:rPr>
          <w:rStyle w:val="FootnoteAnchor"/>
          <w:rtl w:val="true"/>
        </w:rPr>
        <w:footnoteReference w:id="3047"/>
      </w:r>
      <w:r>
        <w:rPr>
          <w:rFonts w:ascii="Amiri" w:hAnsi="Amiri" w:eastAsia="Amiri" w:cs="Amiri"/>
          <w:color w:val="111111"/>
          <w:sz w:val="28"/>
          <w:sz w:val="28"/>
          <w:szCs w:val="28"/>
          <w:rtl w:val="true"/>
          <w:lang w:bidi="ar-SA"/>
        </w:rPr>
        <w:t>إلى هنا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المفاتيح للكاشي نسبه إلى قول </w:t>
      </w:r>
      <w:r>
        <w:rPr>
          <w:rStyle w:val="FootnoteAnchor"/>
          <w:rtl w:val="true"/>
        </w:rPr>
        <w:footnoteReference w:id="3048"/>
      </w:r>
      <w:r>
        <w:rPr>
          <w:rFonts w:ascii="Amiri" w:hAnsi="Amiri" w:eastAsia="Amiri" w:cs="Amiri"/>
          <w:color w:val="111111"/>
          <w:sz w:val="28"/>
          <w:sz w:val="28"/>
          <w:szCs w:val="28"/>
          <w:rtl w:val="true"/>
          <w:lang w:bidi="ar-SA"/>
        </w:rPr>
        <w:t>الأصحاب مجردًا، ففيه إيماء إلى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زنا بذات بعل،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049"/>
      </w:r>
      <w:r>
        <w:rPr>
          <w:rFonts w:ascii="Amiri" w:hAnsi="Amiri" w:eastAsia="Amiri" w:cs="Amiri"/>
          <w:color w:val="111111"/>
          <w:sz w:val="28"/>
          <w:sz w:val="28"/>
          <w:szCs w:val="28"/>
          <w:rtl w:val="true"/>
          <w:lang w:bidi="ar-SA"/>
        </w:rPr>
        <w:t>عدة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أبدًا و إن جهل بلا خلاف</w:t>
      </w:r>
      <w:r>
        <w:rPr>
          <w:rFonts w:eastAsia="Amiri" w:cs="Amiri" w:ascii="Amiri" w:hAnsi="Amiri"/>
          <w:color w:val="111111"/>
          <w:sz w:val="28"/>
          <w:szCs w:val="28"/>
          <w:rtl w:val="true"/>
          <w:lang w:bidi="ar-SA"/>
        </w:rPr>
        <w:t xml:space="preserve">» </w:t>
      </w:r>
      <w:r>
        <w:rPr>
          <w:rStyle w:val="FootnoteAnchor"/>
          <w:rtl w:val="true"/>
        </w:rPr>
        <w:footnoteReference w:id="3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r>
        <w:rPr>
          <w:rStyle w:val="FootnoteAnchor"/>
          <w:rtl w:val="true"/>
        </w:rPr>
        <w:footnoteReference w:id="3051"/>
      </w:r>
      <w:r>
        <w:rPr>
          <w:rFonts w:ascii="Amiri" w:hAnsi="Amiri" w:eastAsia="Amiri" w:cs="Amiri"/>
          <w:color w:val="111111"/>
          <w:sz w:val="28"/>
          <w:sz w:val="28"/>
          <w:szCs w:val="28"/>
          <w:rtl w:val="true"/>
          <w:lang w:bidi="ar-SA"/>
        </w:rPr>
        <w:t>إيذان بنوع توقف فيه و إن لم يكن ذلك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المحقق السيد الأوّاه السيد عبد الله في شرحه على النخبة الكاشانية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يحرمان عليه </w:t>
      </w:r>
      <w:r>
        <w:rPr>
          <w:rStyle w:val="FootnoteAnchor"/>
          <w:rtl w:val="true"/>
        </w:rPr>
        <w:footnoteReference w:id="3052"/>
      </w:r>
      <w:r>
        <w:rPr>
          <w:rFonts w:ascii="Amiri" w:hAnsi="Amiri" w:eastAsia="Amiri" w:cs="Amiri"/>
          <w:color w:val="111111"/>
          <w:sz w:val="28"/>
          <w:sz w:val="28"/>
          <w:szCs w:val="28"/>
          <w:rtl w:val="true"/>
          <w:lang w:bidi="ar-SA"/>
        </w:rPr>
        <w:t xml:space="preserve">أبدًا لو زنا بهما – يعني ذات البعل و العدة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جهل ؛ أخذا </w:t>
      </w:r>
      <w:r>
        <w:rPr>
          <w:rStyle w:val="FootnoteAnchor"/>
          <w:rtl w:val="true"/>
        </w:rPr>
        <w:footnoteReference w:id="3053"/>
      </w:r>
      <w:r>
        <w:rPr>
          <w:rFonts w:ascii="Amiri" w:hAnsi="Amiri" w:eastAsia="Amiri" w:cs="Amiri"/>
          <w:color w:val="111111"/>
          <w:sz w:val="28"/>
          <w:sz w:val="28"/>
          <w:szCs w:val="28"/>
          <w:rtl w:val="true"/>
          <w:lang w:bidi="ar-SA"/>
        </w:rPr>
        <w:t xml:space="preserve">باليقين، و عملا بالإجماع الذي نقله </w:t>
      </w:r>
      <w:r>
        <w:rPr>
          <w:rStyle w:val="FootnoteAnchor"/>
          <w:rtl w:val="true"/>
        </w:rPr>
        <w:footnoteReference w:id="3054"/>
      </w:r>
      <w:r>
        <w:rPr>
          <w:rFonts w:ascii="Amiri" w:hAnsi="Amiri" w:eastAsia="Amiri" w:cs="Amiri"/>
          <w:color w:val="111111"/>
          <w:sz w:val="28"/>
          <w:sz w:val="28"/>
          <w:szCs w:val="28"/>
          <w:rtl w:val="true"/>
          <w:lang w:bidi="ar-SA"/>
        </w:rPr>
        <w:t xml:space="preserve">السيد في الانتصار، و الشهيد الثاني في شرح اللمعة، و غيرهما </w:t>
      </w:r>
      <w:r>
        <w:rPr>
          <w:rStyle w:val="FootnoteAnchor"/>
          <w:rtl w:val="true"/>
        </w:rPr>
        <w:footnoteReference w:id="3055"/>
      </w:r>
      <w:r>
        <w:rPr>
          <w:rFonts w:ascii="Amiri" w:hAnsi="Amiri" w:eastAsia="Amiri" w:cs="Amiri"/>
          <w:color w:val="111111"/>
          <w:sz w:val="28"/>
          <w:sz w:val="28"/>
          <w:szCs w:val="28"/>
          <w:rtl w:val="true"/>
          <w:lang w:bidi="ar-SA"/>
        </w:rPr>
        <w:t xml:space="preserve">، وإن كان في كلام المحقق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المصنف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يؤذن بالتوقف</w:t>
      </w:r>
      <w:r>
        <w:rPr>
          <w:rFonts w:eastAsia="Amiri" w:cs="Amiri" w:ascii="Amiri" w:hAnsi="Amiri"/>
          <w:color w:val="111111"/>
          <w:sz w:val="28"/>
          <w:szCs w:val="28"/>
          <w:rtl w:val="true"/>
          <w:lang w:bidi="ar-SA"/>
        </w:rPr>
        <w:t xml:space="preserve">» </w:t>
      </w:r>
      <w:r>
        <w:rPr>
          <w:rStyle w:val="FootnoteAnchor"/>
          <w:rtl w:val="true"/>
        </w:rPr>
        <w:footnoteReference w:id="3056"/>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إذا تأملت جملة هذه العبارات رأيتها تنادي باعترافهم بعدم النص بالخصوص على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ما لو زنا بذات بعل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لكني وقفت على رواية منقولة عن الفقه الرضوي على المنسوب إليه علیه السلام دالة على التحريم المؤبد للزنا بذات البعل، وقد استدل به </w:t>
      </w:r>
      <w:r>
        <w:rPr>
          <w:rStyle w:val="FootnoteAnchor"/>
          <w:rtl w:val="true"/>
        </w:rPr>
        <w:footnoteReference w:id="3057"/>
      </w:r>
      <w:r>
        <w:rPr>
          <w:rFonts w:ascii="Amiri" w:hAnsi="Amiri" w:eastAsia="Amiri" w:cs="Amiri"/>
          <w:color w:val="111111"/>
          <w:sz w:val="28"/>
          <w:sz w:val="28"/>
          <w:szCs w:val="28"/>
          <w:rtl w:val="true"/>
          <w:lang w:bidi="ar-SA"/>
        </w:rPr>
        <w:t xml:space="preserve">المجلسي رحمه الله في حواشيه على التهذيب </w:t>
      </w:r>
      <w:r>
        <w:rPr>
          <w:rStyle w:val="FootnoteAnchor"/>
          <w:rtl w:val="true"/>
        </w:rPr>
        <w:footnoteReference w:id="3058"/>
      </w:r>
      <w:r>
        <w:rPr>
          <w:rFonts w:ascii="IRNazanin" w:hAnsi="IRNazanin" w:eastAsia="IRNazanin"/>
          <w:color w:val="111111"/>
          <w:sz w:val="28"/>
          <w:sz w:val="28"/>
          <w:szCs w:val="28"/>
          <w:rtl w:val="true"/>
          <w:lang w:bidi="fa-IR"/>
        </w:rPr>
        <w:t>، لكن في نسبة ذلك له علیه السلام 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نقر </w:t>
      </w:r>
      <w:r>
        <w:rPr>
          <w:rStyle w:val="FootnoteAnchor"/>
          <w:rtl w:val="true"/>
        </w:rPr>
        <w:footnoteReference w:id="3059"/>
      </w:r>
      <w:r>
        <w:rPr>
          <w:rFonts w:ascii="Amiri" w:hAnsi="Amiri" w:eastAsia="Amiri" w:cs="Amiri"/>
          <w:color w:val="111111"/>
          <w:sz w:val="28"/>
          <w:sz w:val="28"/>
          <w:szCs w:val="28"/>
          <w:rtl w:val="true"/>
          <w:lang w:bidi="ar-SA"/>
        </w:rPr>
        <w:t xml:space="preserve">لهم بدليل سوى الإجماع الذي ادعاه السيد المرتضى في انتصاره </w:t>
      </w:r>
      <w:r>
        <w:rPr>
          <w:rStyle w:val="FootnoteAnchor"/>
          <w:rtl w:val="true"/>
        </w:rPr>
        <w:footnoteReference w:id="3060"/>
      </w:r>
      <w:r>
        <w:rPr>
          <w:rFonts w:ascii="Amiri" w:hAnsi="Amiri" w:eastAsia="Amiri" w:cs="Amiri"/>
          <w:color w:val="111111"/>
          <w:sz w:val="28"/>
          <w:sz w:val="28"/>
          <w:szCs w:val="28"/>
          <w:rtl w:val="true"/>
          <w:lang w:bidi="ar-SA"/>
        </w:rPr>
        <w:t xml:space="preserve">، و ثاني الشهيدين في روضته </w:t>
      </w:r>
      <w:r>
        <w:rPr>
          <w:rStyle w:val="FootnoteAnchor"/>
          <w:rtl w:val="true"/>
        </w:rPr>
        <w:footnoteReference w:id="3061"/>
      </w:r>
      <w:r>
        <w:rPr>
          <w:rFonts w:ascii="IRNazanin" w:hAnsi="IRNazanin" w:eastAsia="IRNazanin"/>
          <w:color w:val="111111"/>
          <w:sz w:val="28"/>
          <w:sz w:val="28"/>
          <w:szCs w:val="28"/>
          <w:rtl w:val="true"/>
          <w:lang w:bidi="fa-IR"/>
        </w:rPr>
        <w:t>، مع أنه في مسالكه منع من ثبوته كما هو صريح عبارته المتقدمة، و جعله من الإجماعات التي هي الشهرة المحضة كما اعترف به غیر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سمعت كلام المحقق في الشرائع و صراحة عبارته و إيذانها بأن ليس ثمة إجماع، بل شهرة محضة، فأنى لها الحجية، فإن حجية الإجماع في نفسه غير ثابتة، فكيف ما ألحق به من الشهرة و نحوها؟ و من هنا سمعت كلام السيد في شرح النافع نقله عن المحقق التوقف في أصل الحكم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للشك في تحقق هذا الإجماع، قال 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عليه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النكاح محرم </w:t>
      </w:r>
      <w:r>
        <w:rPr>
          <w:rStyle w:val="FootnoteAnchor"/>
          <w:rtl w:val="true"/>
        </w:rPr>
        <w:footnoteReference w:id="3062"/>
      </w:r>
      <w:r>
        <w:rPr>
          <w:rFonts w:ascii="IRNazanin" w:hAnsi="IRNazanin" w:eastAsia="IRNazanin"/>
          <w:color w:val="111111"/>
          <w:sz w:val="28"/>
          <w:sz w:val="28"/>
          <w:szCs w:val="28"/>
          <w:rtl w:val="true"/>
          <w:lang w:bidi="fa-IR"/>
        </w:rPr>
        <w:t xml:space="preserve">إلى </w:t>
      </w:r>
      <w:r>
        <w:rPr>
          <w:rStyle w:val="FootnoteAnchor"/>
          <w:rtl w:val="true"/>
        </w:rPr>
        <w:footnoteReference w:id="3063"/>
      </w:r>
      <w:r>
        <w:rPr>
          <w:rFonts w:ascii="Amiri" w:hAnsi="Amiri" w:eastAsia="Amiri" w:cs="Amiri"/>
          <w:color w:val="111111"/>
          <w:sz w:val="28"/>
          <w:sz w:val="28"/>
          <w:szCs w:val="28"/>
          <w:rtl w:val="true"/>
          <w:lang w:bidi="ar-SA"/>
        </w:rPr>
        <w:t>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هذا الإجماع في هذا المقام </w:t>
      </w:r>
      <w:r>
        <w:rPr>
          <w:rStyle w:val="FootnoteAnchor"/>
          <w:rtl w:val="true"/>
        </w:rPr>
        <w:footnoteReference w:id="3064"/>
      </w:r>
      <w:r>
        <w:rPr>
          <w:rFonts w:ascii="Amiri" w:hAnsi="Amiri" w:eastAsia="Amiri" w:cs="Amiri"/>
          <w:color w:val="111111"/>
          <w:sz w:val="28"/>
          <w:sz w:val="28"/>
          <w:szCs w:val="28"/>
          <w:rtl w:val="true"/>
          <w:lang w:bidi="ar-SA"/>
        </w:rPr>
        <w:t xml:space="preserve">و أكثر </w:t>
      </w:r>
      <w:r>
        <w:rPr>
          <w:rStyle w:val="FootnoteAnchor"/>
          <w:rtl w:val="true"/>
        </w:rPr>
        <w:footnoteReference w:id="3065"/>
      </w:r>
      <w:r>
        <w:rPr>
          <w:rFonts w:ascii="Amiri" w:hAnsi="Amiri" w:eastAsia="Amiri" w:cs="Amiri"/>
          <w:color w:val="111111"/>
          <w:sz w:val="28"/>
          <w:sz w:val="28"/>
          <w:szCs w:val="28"/>
          <w:rtl w:val="true"/>
          <w:lang w:bidi="ar-SA"/>
        </w:rPr>
        <w:t xml:space="preserve">المسائل الفقهية المدعى فيها </w:t>
      </w:r>
      <w:r>
        <w:rPr>
          <w:rStyle w:val="FootnoteAnchor"/>
          <w:rtl w:val="true"/>
        </w:rPr>
        <w:footnoteReference w:id="3066"/>
      </w:r>
      <w:r>
        <w:rPr>
          <w:rFonts w:ascii="Amiri" w:hAnsi="Amiri" w:eastAsia="Amiri" w:cs="Amiri"/>
          <w:color w:val="111111"/>
          <w:sz w:val="28"/>
          <w:sz w:val="28"/>
          <w:szCs w:val="28"/>
          <w:rtl w:val="true"/>
          <w:lang w:bidi="ar-SA"/>
        </w:rPr>
        <w:t>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أفصح عن ذلك غير واحد من فضلائنا المتأخرين، كالفاضل الخراساني في الذخيرة </w:t>
      </w:r>
      <w:r>
        <w:rPr>
          <w:rStyle w:val="FootnoteAnchor"/>
          <w:rtl w:val="true"/>
        </w:rPr>
        <w:footnoteReference w:id="3067"/>
      </w:r>
      <w:r>
        <w:rPr>
          <w:rFonts w:ascii="Amiri" w:hAnsi="Amiri" w:eastAsia="Amiri" w:cs="Amiri"/>
          <w:color w:val="111111"/>
          <w:sz w:val="28"/>
          <w:sz w:val="28"/>
          <w:szCs w:val="28"/>
          <w:rtl w:val="true"/>
          <w:lang w:bidi="ar-SA"/>
        </w:rPr>
        <w:t xml:space="preserve">، و الشهيد الثاني في غير موضع من المسالك </w:t>
      </w:r>
      <w:r>
        <w:rPr>
          <w:rStyle w:val="FootnoteAnchor"/>
          <w:rtl w:val="true"/>
        </w:rPr>
        <w:footnoteReference w:id="3068"/>
      </w:r>
      <w:r>
        <w:rPr>
          <w:rFonts w:ascii="Amiri" w:hAnsi="Amiri" w:eastAsia="Amiri" w:cs="Amiri"/>
          <w:color w:val="111111"/>
          <w:sz w:val="28"/>
          <w:sz w:val="28"/>
          <w:szCs w:val="28"/>
          <w:rtl w:val="true"/>
          <w:lang w:bidi="ar-SA"/>
        </w:rPr>
        <w:t xml:space="preserve">، و السيد السند في المدارك </w:t>
      </w:r>
      <w:r>
        <w:rPr>
          <w:rStyle w:val="FootnoteAnchor"/>
          <w:rtl w:val="true"/>
        </w:rPr>
        <w:footnoteReference w:id="3069"/>
      </w:r>
      <w:r>
        <w:rPr>
          <w:rFonts w:ascii="Amiri" w:hAnsi="Amiri" w:eastAsia="Amiri" w:cs="Amiri"/>
          <w:color w:val="111111"/>
          <w:sz w:val="28"/>
          <w:sz w:val="28"/>
          <w:szCs w:val="28"/>
          <w:rtl w:val="true"/>
          <w:lang w:bidi="ar-SA"/>
        </w:rPr>
        <w:t xml:space="preserve">، و جدي الشيخ سليمان في كثير من رسائله الموجودة </w:t>
      </w:r>
      <w:r>
        <w:rPr>
          <w:rStyle w:val="FootnoteAnchor"/>
          <w:rtl w:val="true"/>
        </w:rPr>
        <w:footnoteReference w:id="3070"/>
      </w:r>
      <w:r>
        <w:rPr>
          <w:rFonts w:ascii="Amiri" w:hAnsi="Amiri" w:eastAsia="Amiri" w:cs="Amiri"/>
          <w:color w:val="111111"/>
          <w:sz w:val="28"/>
          <w:sz w:val="28"/>
          <w:szCs w:val="28"/>
          <w:rtl w:val="true"/>
          <w:lang w:bidi="ar-SA"/>
        </w:rPr>
        <w:t xml:space="preserve">و المبسوطة، حتى أنه أفرد رسالة في إبطال ذلك الإجماع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قفنا على شطر منها، و هي رسالة وافية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عرفت ما في هذه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أكثر المتأخرين عن الاستدلال به على المدعى في هذه المسألة إلى الاستدلال بطريق الأولوية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الكاشي في المفاتيح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ثبت تحريمها بالعقد المجرد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العلم، فمع الدخول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تحريمها بالدخول مع العقد، فمع التجرد عنه أولى</w:t>
      </w:r>
      <w:r>
        <w:rPr>
          <w:rFonts w:eastAsia="Amiri" w:cs="Amiri" w:ascii="Amiri" w:hAnsi="Amiri"/>
          <w:color w:val="111111"/>
          <w:sz w:val="28"/>
          <w:szCs w:val="28"/>
          <w:rtl w:val="true"/>
          <w:lang w:bidi="ar-SA"/>
        </w:rPr>
        <w:t xml:space="preserve">»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الفاضل الهندي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أن يكون 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عليه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النكاح محرم ، فالزنا أولى، و الدخول مع النكاح المحرم ، فلا معه </w:t>
      </w:r>
      <w:r>
        <w:rPr>
          <w:rStyle w:val="FootnoteAnchor"/>
          <w:rtl w:val="true"/>
        </w:rPr>
        <w:footnoteReference w:id="3072"/>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سبقهما إلى ذلك ثاني الشهيدين في مسالكه بعدما طعن في الإجماع المدعى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يتوجه على ما تقدم من إلحاق العقد على ذات البعل بالمعتدة </w:t>
      </w:r>
      <w:r>
        <w:rPr>
          <w:rStyle w:val="FootnoteAnchor"/>
          <w:rtl w:val="true"/>
        </w:rPr>
        <w:footnoteReference w:id="3074"/>
      </w:r>
      <w:r>
        <w:rPr>
          <w:rFonts w:ascii="Amiri" w:hAnsi="Amiri" w:eastAsia="Amiri" w:cs="Amiri"/>
          <w:color w:val="111111"/>
          <w:sz w:val="28"/>
          <w:sz w:val="28"/>
          <w:szCs w:val="28"/>
          <w:rtl w:val="true"/>
          <w:lang w:bidi="ar-SA"/>
        </w:rPr>
        <w:t xml:space="preserve">تحريمها هنا مع الدخول؛ لأنه إذا ثبت تحريمها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المجرد مع العلم، فمع الدخول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تحريمها</w:t>
      </w:r>
      <w:r>
        <w:rPr>
          <w:rFonts w:eastAsia="Amiri" w:cs="Amiri" w:ascii="Amiri" w:hAnsi="Amiri"/>
          <w:color w:val="111111"/>
          <w:sz w:val="28"/>
          <w:szCs w:val="28"/>
          <w:rtl w:val="true"/>
          <w:lang w:bidi="ar-SA"/>
        </w:rPr>
        <w:t xml:space="preserve">] </w:t>
      </w:r>
      <w:r>
        <w:rPr>
          <w:rStyle w:val="FootnoteAnchor"/>
          <w:rtl w:val="true"/>
        </w:rPr>
        <w:footnoteReference w:id="3075"/>
      </w:r>
      <w:r>
        <w:rPr>
          <w:rFonts w:ascii="IRNazanin" w:hAnsi="IRNazanin" w:eastAsia="IRNazanin"/>
          <w:color w:val="111111"/>
          <w:sz w:val="28"/>
          <w:sz w:val="28"/>
          <w:szCs w:val="28"/>
          <w:rtl w:val="true"/>
          <w:lang w:bidi="fa-IR"/>
        </w:rPr>
        <w:t xml:space="preserve">بالدخول مع العقد، فمع </w:t>
      </w:r>
      <w:r>
        <w:rPr>
          <w:rStyle w:val="FootnoteAnchor"/>
          <w:rtl w:val="true"/>
        </w:rPr>
        <w:footnoteReference w:id="3076"/>
      </w:r>
      <w:r>
        <w:rPr>
          <w:rFonts w:ascii="IRNazanin" w:hAnsi="IRNazanin" w:eastAsia="IRNazanin"/>
          <w:color w:val="111111"/>
          <w:sz w:val="28"/>
          <w:sz w:val="28"/>
          <w:szCs w:val="28"/>
          <w:rtl w:val="true"/>
          <w:lang w:bidi="fa-IR"/>
        </w:rPr>
        <w:t xml:space="preserve">التجرد عنه أولى </w:t>
      </w:r>
      <w:r>
        <w:rPr>
          <w:rFonts w:eastAsia="IRNazanin" w:cs="IRNazanin"/>
          <w:color w:val="111111"/>
          <w:sz w:val="28"/>
          <w:szCs w:val="28"/>
          <w:rtl w:val="true"/>
          <w:lang w:bidi="fa-IR"/>
        </w:rPr>
        <w:t xml:space="preserve">»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الاستدلال من باب الاستدلال بالقياس، التي جاءت الأخبار المستفيضة بل المتواترة و عُلِمَ </w:t>
      </w:r>
      <w:r>
        <w:rPr>
          <w:rStyle w:val="FootnoteAnchor"/>
          <w:rtl w:val="true"/>
        </w:rPr>
        <w:footnoteReference w:id="3078"/>
      </w:r>
      <w:r>
        <w:rPr>
          <w:rFonts w:ascii="Amiri" w:hAnsi="Amiri" w:eastAsia="Amiri" w:cs="Amiri"/>
          <w:color w:val="111111"/>
          <w:sz w:val="28"/>
          <w:sz w:val="28"/>
          <w:szCs w:val="28"/>
          <w:rtl w:val="true"/>
          <w:lang w:bidi="ar-SA"/>
        </w:rPr>
        <w:t>من ديننا ضرورة بطلانه، فلا 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الاجتراء على أحكام الله به </w:t>
      </w:r>
      <w:r>
        <w:rPr>
          <w:rStyle w:val="FootnoteAnchor"/>
          <w:rtl w:val="true"/>
        </w:rPr>
        <w:footnoteReference w:id="3079"/>
      </w:r>
      <w:r>
        <w:rPr>
          <w:rFonts w:ascii="Amiri" w:hAnsi="Amiri" w:eastAsia="Amiri" w:cs="Amiri"/>
          <w:color w:val="111111"/>
          <w:sz w:val="28"/>
          <w:sz w:val="28"/>
          <w:szCs w:val="28"/>
          <w:rtl w:val="true"/>
          <w:lang w:bidi="ar-SA"/>
        </w:rPr>
        <w:t xml:space="preserve">، سيما قياس الأولوية و منصوص العلة الذين أثبتهما أصحابنا المجتهدون و جعلوهما خارجين عن ساحة القياس؛ فإنهما </w:t>
      </w:r>
      <w:r>
        <w:rPr>
          <w:rStyle w:val="FootnoteAnchor"/>
          <w:rtl w:val="true"/>
        </w:rPr>
        <w:footnoteReference w:id="3080"/>
      </w:r>
      <w:r>
        <w:rPr>
          <w:rFonts w:ascii="Amiri" w:hAnsi="Amiri" w:eastAsia="Amiri" w:cs="Amiri"/>
          <w:color w:val="111111"/>
          <w:sz w:val="28"/>
          <w:sz w:val="28"/>
          <w:szCs w:val="28"/>
          <w:rtl w:val="true"/>
          <w:lang w:bidi="ar-SA"/>
        </w:rPr>
        <w:t>لم يقم دليل و لا برهان على أنهما حجتان عند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 منصوص العلة إذا ساعده البرهان على أن تلك العلة هی مناط الحكم وجودًا و 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كتحريم الخمر للإسكار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ملحق بالمنصوص، و أما ما </w:t>
      </w:r>
      <w:r>
        <w:rPr>
          <w:rStyle w:val="FootnoteAnchor"/>
          <w:rtl w:val="true"/>
        </w:rPr>
        <w:footnoteReference w:id="3081"/>
      </w:r>
      <w:r>
        <w:rPr>
          <w:rFonts w:ascii="Amiri" w:hAnsi="Amiri" w:eastAsia="Amiri" w:cs="Amiri"/>
          <w:color w:val="111111"/>
          <w:sz w:val="28"/>
          <w:sz w:val="28"/>
          <w:szCs w:val="28"/>
          <w:rtl w:val="true"/>
          <w:lang w:bidi="ar-SA"/>
        </w:rPr>
        <w:t>سواه فلا سبيل له سوى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 منهما أول قياس استعمله إبليس </w:t>
      </w:r>
      <w:r>
        <w:rPr>
          <w:rStyle w:val="FootnoteAnchor"/>
          <w:rtl w:val="true"/>
        </w:rPr>
        <w:footnoteReference w:id="3082"/>
      </w:r>
      <w:r>
        <w:rPr>
          <w:rFonts w:ascii="Amiri" w:hAnsi="Amiri" w:eastAsia="Amiri" w:cs="Amiri"/>
          <w:color w:val="111111"/>
          <w:sz w:val="28"/>
          <w:sz w:val="28"/>
          <w:szCs w:val="28"/>
          <w:rtl w:val="true"/>
          <w:lang w:bidi="ar-SA"/>
        </w:rPr>
        <w:t xml:space="preserve">المشار إليه في الأحاديث المستفيضة بأول من قاس إبليس </w:t>
      </w:r>
      <w:r>
        <w:rPr>
          <w:rStyle w:val="FootnoteAnchor"/>
          <w:rtl w:val="true"/>
        </w:rPr>
        <w:footnoteReference w:id="3083"/>
      </w:r>
      <w:r>
        <w:rPr>
          <w:rFonts w:ascii="Amiri" w:hAnsi="Amiri" w:eastAsia="Amiri" w:cs="Amiri"/>
          <w:color w:val="111111"/>
          <w:sz w:val="28"/>
          <w:sz w:val="28"/>
          <w:szCs w:val="28"/>
          <w:rtl w:val="true"/>
          <w:lang w:bidi="ar-SA"/>
        </w:rPr>
        <w:t>، معنيا به ما في قوله تعالى حكاية عنه خَلَقْتَنِي مِنْ نَارٍ وَ خَلَقْتَهُ مِنْ طِينِ</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الآيات و الروايات التي بلغتنا في هذه المسألة مما يقتضي الحل </w:t>
      </w:r>
      <w:r>
        <w:rPr>
          <w:rStyle w:val="FootnoteAnchor"/>
          <w:rtl w:val="true"/>
        </w:rPr>
        <w:footnoteReference w:id="3085"/>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أُحِلَّ لَكُمْ مَا وَرَاءَ ذَلِكُمْ</w:t>
      </w:r>
      <w:r>
        <w:rPr>
          <w:rStyle w:val="FootnoteAnchor"/>
          <w:rtl w:val="true"/>
        </w:rPr>
        <w:footnoteReference w:id="3086"/>
      </w:r>
      <w:r>
        <w:rPr>
          <w:rFonts w:ascii="IRNazanin" w:hAnsi="IRNazanin" w:eastAsia="IRNazanin"/>
          <w:color w:val="111111"/>
          <w:sz w:val="28"/>
          <w:sz w:val="28"/>
          <w:szCs w:val="28"/>
          <w:rtl w:val="true"/>
          <w:lang w:bidi="fa-IR"/>
        </w:rPr>
        <w:t>، و العام المخصوص 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حجة في الباقي كما تقرر في محله، حتى استفاض في كلامهم </w:t>
      </w:r>
      <w:r>
        <w:rPr>
          <w:rStyle w:val="FootnoteAnchor"/>
          <w:rtl w:val="true"/>
        </w:rPr>
        <w:footnoteReference w:id="30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خبر علي بن جعفر الذي أورده العلامة في المختلف نقلا من كلام ابن أبي عقيل مما يدل على أن هذه الآية نص في عمومها و إن وقع فيها التخصيص،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w:t>
      </w:r>
      <w:r>
        <w:rPr>
          <w:rStyle w:val="FootnoteAnchor"/>
          <w:rtl w:val="true"/>
        </w:rPr>
        <w:footnoteReference w:id="3088"/>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مُوسَى علیه السلام عَنْ رَجُلٍ تَزَوَّجَ </w:t>
      </w:r>
      <w:r>
        <w:rPr>
          <w:rStyle w:val="FootnoteAnchor"/>
          <w:rtl w:val="true"/>
        </w:rPr>
        <w:footnoteReference w:id="3089"/>
      </w:r>
      <w:r>
        <w:rPr>
          <w:rFonts w:ascii="Amiri" w:hAnsi="Amiri" w:eastAsia="Amiri" w:cs="Amiri"/>
          <w:color w:val="111111"/>
          <w:sz w:val="28"/>
          <w:sz w:val="28"/>
          <w:szCs w:val="28"/>
          <w:rtl w:val="true"/>
          <w:lang w:bidi="ar-SA"/>
        </w:rPr>
        <w:t>المرأَةَ عَلَى عَمَّتِهَا أَوْ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w:t>
      </w:r>
      <w:r>
        <w:rPr>
          <w:rStyle w:val="FootnoteAnchor"/>
          <w:rtl w:val="true"/>
        </w:rPr>
        <w:footnoteReference w:id="3090"/>
      </w:r>
      <w:r>
        <w:rPr>
          <w:rFonts w:ascii="Amiri" w:hAnsi="Amiri" w:eastAsia="Amiri" w:cs="Amiri"/>
          <w:color w:val="111111"/>
          <w:sz w:val="28"/>
          <w:sz w:val="28"/>
          <w:szCs w:val="28"/>
          <w:rtl w:val="true"/>
          <w:lang w:bidi="ar-SA"/>
        </w:rPr>
        <w:t>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3091"/>
      </w:r>
      <w:r>
        <w:rPr>
          <w:rFonts w:ascii="IRNazanin" w:hAnsi="IRNazanin" w:eastAsia="IRNazanin"/>
          <w:color w:val="111111"/>
          <w:sz w:val="28"/>
          <w:sz w:val="28"/>
          <w:szCs w:val="28"/>
          <w:rtl w:val="true"/>
          <w:lang w:bidi="fa-IR"/>
        </w:rPr>
        <w:t xml:space="preserve">، فاحتجاجه علیه السلام على هذا الحكم بهذه الآية ليس إلا لملاحظة عمومها و إن كان قد خصصت </w:t>
      </w:r>
      <w:r>
        <w:rPr>
          <w:rStyle w:val="FootnoteAnchor"/>
          <w:rtl w:val="true"/>
        </w:rPr>
        <w:footnoteReference w:id="3092"/>
      </w:r>
      <w:r>
        <w:rPr>
          <w:rFonts w:ascii="Amiri" w:hAnsi="Amiri" w:eastAsia="Amiri" w:cs="Amiri"/>
          <w:color w:val="111111"/>
          <w:sz w:val="28"/>
          <w:sz w:val="28"/>
          <w:szCs w:val="28"/>
          <w:rtl w:val="true"/>
          <w:lang w:bidi="ar-SA"/>
        </w:rPr>
        <w:t>بمواضع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مستفيضة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علیهم السلام في المستفيض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حَرَّمَ حَرَامٌ حَلَالًا قَطُّ </w:t>
      </w:r>
      <w:r>
        <w:rPr>
          <w:rFonts w:eastAsia="Amiri" w:cs="Amiri" w:ascii="Amiri" w:hAnsi="Amiri"/>
          <w:color w:val="111111"/>
          <w:sz w:val="28"/>
          <w:szCs w:val="28"/>
          <w:rtl w:val="true"/>
          <w:lang w:bidi="ar-SA"/>
        </w:rPr>
        <w:t xml:space="preserve">»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صحيحة أبي بصير </w:t>
      </w:r>
      <w:r>
        <w:rPr>
          <w:rStyle w:val="FootnoteAnchor"/>
          <w:rtl w:val="true"/>
        </w:rPr>
        <w:footnoteReference w:id="3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على ما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فَجَرَ بِامْرَأَةٍ ثُمَّ أَرَادَ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أَوَّلُهُ سِفَاحٌ وَ أَخِرُهُ نِكَاحُ ، أَوَّلُهُ حَرَامٌ </w:t>
      </w:r>
      <w:r>
        <w:rPr>
          <w:rStyle w:val="FootnoteAnchor"/>
          <w:rtl w:val="true"/>
        </w:rPr>
        <w:footnoteReference w:id="3095"/>
      </w:r>
      <w:r>
        <w:rPr>
          <w:rFonts w:ascii="Amiri" w:hAnsi="Amiri" w:eastAsia="Amiri" w:cs="Amiri"/>
          <w:color w:val="111111"/>
          <w:sz w:val="28"/>
          <w:sz w:val="28"/>
          <w:szCs w:val="28"/>
          <w:rtl w:val="true"/>
          <w:lang w:bidi="ar-SA"/>
        </w:rPr>
        <w:t xml:space="preserve">وَ آخِرُهُ حَلَالٌ </w:t>
      </w:r>
      <w:r>
        <w:rPr>
          <w:rFonts w:eastAsia="Amiri" w:cs="Amiri" w:ascii="Amiri" w:hAnsi="Amiri"/>
          <w:color w:val="111111"/>
          <w:sz w:val="28"/>
          <w:szCs w:val="28"/>
          <w:rtl w:val="true"/>
          <w:lang w:bidi="ar-SA"/>
        </w:rPr>
        <w:t xml:space="preserve">» </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الحلبي على ما في التهذيب </w:t>
      </w:r>
      <w:r>
        <w:rPr>
          <w:rStyle w:val="FootnoteAnchor"/>
          <w:rtl w:val="true"/>
        </w:rPr>
        <w:footnoteReference w:id="3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حسنة كما في الكافي </w:t>
      </w:r>
      <w:r>
        <w:rPr>
          <w:rStyle w:val="FootnoteAnchor"/>
          <w:rtl w:val="true"/>
        </w:rPr>
        <w:footnoteReference w:id="3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فَجَرَ </w:t>
      </w:r>
      <w:r>
        <w:rPr>
          <w:rStyle w:val="FootnoteAnchor"/>
          <w:rtl w:val="true"/>
        </w:rPr>
        <w:footnoteReference w:id="3099"/>
      </w:r>
      <w:r>
        <w:rPr>
          <w:rFonts w:ascii="Amiri" w:hAnsi="Amiri" w:eastAsia="Amiri" w:cs="Amiri"/>
          <w:color w:val="111111"/>
          <w:sz w:val="28"/>
          <w:sz w:val="28"/>
          <w:szCs w:val="28"/>
          <w:rtl w:val="true"/>
          <w:lang w:bidi="ar-SA"/>
        </w:rPr>
        <w:t xml:space="preserve">رَجُلٌ بِامْرَأَةِ </w:t>
      </w:r>
      <w:r>
        <w:rPr>
          <w:rStyle w:val="FootnoteAnchor"/>
          <w:rtl w:val="true"/>
        </w:rPr>
        <w:footnoteReference w:id="3100"/>
      </w:r>
      <w:r>
        <w:rPr>
          <w:rFonts w:ascii="Amiri" w:hAnsi="Amiri" w:eastAsia="Amiri" w:cs="Amiri"/>
          <w:color w:val="111111"/>
          <w:sz w:val="28"/>
          <w:sz w:val="28"/>
          <w:szCs w:val="28"/>
          <w:rtl w:val="true"/>
          <w:lang w:bidi="ar-SA"/>
        </w:rPr>
        <w:t>ثُمَّ بَدَا لَهُ أَنْ يَتَزَوَّجَهَا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سِفَاحٌ وَ آخِرُهُ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مَثَلُ </w:t>
      </w:r>
      <w:r>
        <w:rPr>
          <w:rStyle w:val="FootnoteAnchor"/>
          <w:rtl w:val="true"/>
        </w:rPr>
        <w:footnoteReference w:id="3101"/>
      </w:r>
      <w:r>
        <w:rPr>
          <w:rFonts w:ascii="Amiri" w:hAnsi="Amiri" w:eastAsia="Amiri" w:cs="Amiri"/>
          <w:color w:val="111111"/>
          <w:sz w:val="28"/>
          <w:sz w:val="28"/>
          <w:szCs w:val="28"/>
          <w:rtl w:val="true"/>
          <w:lang w:bidi="ar-SA"/>
        </w:rPr>
        <w:t xml:space="preserve">النَّخْلَةِ أَصَابَ الرَّجُلُ مِنْ ثَمَرِهَا حَرَامًا ثُمَّ اشْتَرَاهَا بَعْدُ فَكَانَتْ </w:t>
      </w:r>
      <w:r>
        <w:rPr>
          <w:rStyle w:val="FootnoteAnchor"/>
          <w:rtl w:val="true"/>
        </w:rPr>
        <w:footnoteReference w:id="3102"/>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ابن مسلم </w:t>
      </w:r>
      <w:r>
        <w:rPr>
          <w:rStyle w:val="FootnoteAnchor"/>
          <w:rtl w:val="true"/>
        </w:rPr>
        <w:footnoteReference w:id="3104"/>
      </w:r>
      <w:r>
        <w:rPr>
          <w:rFonts w:ascii="Amiri" w:hAnsi="Amiri" w:eastAsia="Amiri" w:cs="Amiri"/>
          <w:color w:val="111111"/>
          <w:sz w:val="28"/>
          <w:sz w:val="28"/>
          <w:szCs w:val="28"/>
          <w:rtl w:val="true"/>
          <w:lang w:bidi="ar-SA"/>
        </w:rPr>
        <w:t xml:space="preserve">المروية في التهذيب عن أبي جعفر </w:t>
      </w:r>
      <w:r>
        <w:rPr>
          <w:rStyle w:val="FootnoteAnchor"/>
          <w:rtl w:val="true"/>
        </w:rPr>
        <w:footnoteReference w:id="3105"/>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فَجَرَ بِامْرَأَةٍ ثُمَّ تَابًا فَتَزَوَّجَهَا لَمْ يَكُنْ عَلَيْهِ شَيْءٌ مِنْ ذَلِكَ</w:t>
      </w:r>
      <w:r>
        <w:rPr>
          <w:rFonts w:eastAsia="Amiri" w:cs="Amiri" w:ascii="Amiri" w:hAnsi="Amiri"/>
          <w:color w:val="111111"/>
          <w:sz w:val="28"/>
          <w:szCs w:val="28"/>
          <w:rtl w:val="true"/>
          <w:lang w:bidi="ar-SA"/>
        </w:rPr>
        <w:t xml:space="preserve">» </w:t>
      </w:r>
      <w:r>
        <w:rPr>
          <w:rStyle w:val="FootnoteAnchor"/>
          <w:rtl w:val="true"/>
        </w:rPr>
        <w:footnoteReference w:id="3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أبي بصير كما في التهذيب </w:t>
      </w:r>
      <w:r>
        <w:rPr>
          <w:rStyle w:val="FootnoteAnchor"/>
          <w:rtl w:val="true"/>
        </w:rPr>
        <w:footnoteReference w:id="3107"/>
      </w:r>
      <w:r>
        <w:rPr>
          <w:rFonts w:ascii="Amiri" w:hAnsi="Amiri" w:eastAsia="Amiri" w:cs="Amiri"/>
          <w:color w:val="111111"/>
          <w:sz w:val="28"/>
          <w:sz w:val="28"/>
          <w:szCs w:val="28"/>
          <w:rtl w:val="true"/>
          <w:lang w:bidi="ar-SA"/>
        </w:rPr>
        <w:t xml:space="preserve">و الفقيه </w:t>
      </w:r>
      <w:r>
        <w:rPr>
          <w:rStyle w:val="FootnoteAnchor"/>
          <w:rtl w:val="true"/>
        </w:rPr>
        <w:footnoteReference w:id="3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فَجَرَ بِامْرَأَةٍ ثُمَّ أَرَادَ </w:t>
      </w:r>
      <w:r>
        <w:rPr>
          <w:rStyle w:val="FootnoteAnchor"/>
          <w:rtl w:val="true"/>
        </w:rPr>
        <w:footnoteReference w:id="3109"/>
      </w:r>
      <w:r>
        <w:rPr>
          <w:rFonts w:ascii="Amiri" w:hAnsi="Amiri" w:eastAsia="Amiri" w:cs="Amiri"/>
          <w:color w:val="111111"/>
          <w:sz w:val="28"/>
          <w:sz w:val="28"/>
          <w:szCs w:val="28"/>
          <w:rtl w:val="true"/>
          <w:lang w:bidi="ar-SA"/>
        </w:rPr>
        <w:t xml:space="preserve">أَنْ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w:t>
      </w:r>
      <w:r>
        <w:rPr>
          <w:rStyle w:val="FootnoteAnchor"/>
          <w:rtl w:val="true"/>
        </w:rPr>
        <w:footnoteReference w:id="3111"/>
      </w:r>
      <w:r>
        <w:rPr>
          <w:rFonts w:ascii="Amiri" w:hAnsi="Amiri" w:eastAsia="Amiri" w:cs="Amiri"/>
          <w:color w:val="111111"/>
          <w:sz w:val="28"/>
          <w:sz w:val="28"/>
          <w:szCs w:val="28"/>
          <w:rtl w:val="true"/>
          <w:lang w:bidi="ar-SA"/>
        </w:rPr>
        <w:t>حَلَّ لَهُ نِكَاحُهَا</w:t>
      </w:r>
      <w:r>
        <w:rPr>
          <w:rFonts w:eastAsia="Amiri" w:cs="Amiri" w:ascii="Amiri" w:hAnsi="Amiri"/>
          <w:color w:val="111111"/>
          <w:sz w:val="28"/>
          <w:szCs w:val="28"/>
          <w:rtl w:val="true"/>
          <w:lang w:bidi="ar-SA"/>
        </w:rPr>
        <w:t xml:space="preserve">» </w:t>
      </w:r>
      <w:r>
        <w:rPr>
          <w:rStyle w:val="FootnoteAnchor"/>
          <w:rtl w:val="true"/>
        </w:rPr>
        <w:footnoteReference w:id="3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موثقة عمار الساباطي </w:t>
      </w:r>
      <w:r>
        <w:rPr>
          <w:rStyle w:val="FootnoteAnchor"/>
          <w:rtl w:val="true"/>
        </w:rPr>
        <w:footnoteReference w:id="3113"/>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يَحِلُّ لَهُ أَنْ يَتَزَوَّجَ امْرَأَةَ كَانَ يَفْجِرُ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 مِنْهَا رُشْدًا فَنَعَم</w:t>
      </w:r>
      <w:r>
        <w:rPr>
          <w:rFonts w:eastAsia="Amiri" w:cs="Amiri" w:ascii="Amiri" w:hAnsi="Amiri"/>
          <w:color w:val="111111"/>
          <w:sz w:val="28"/>
          <w:szCs w:val="28"/>
          <w:rtl w:val="true"/>
          <w:lang w:bidi="ar-SA"/>
        </w:rPr>
        <w:t xml:space="preserve">» </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رواية زرارة عن أبي جعفر علیه السلام في حديث قال فيه </w:t>
      </w:r>
      <w:r>
        <w:rPr>
          <w:rStyle w:val="FootnoteAnchor"/>
          <w:rtl w:val="true"/>
        </w:rPr>
        <w:footnoteReference w:id="3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إِذَا زَنَا رَجُلٌ بِامْرَأَةٍ أَنْ يَتَزَوَّجَهَا </w:t>
      </w:r>
      <w:r>
        <w:rPr>
          <w:rStyle w:val="FootnoteAnchor"/>
          <w:rtl w:val="true"/>
        </w:rPr>
        <w:footnoteReference w:id="3116"/>
      </w:r>
      <w:r>
        <w:rPr>
          <w:rFonts w:ascii="Amiri" w:hAnsi="Amiri" w:eastAsia="Amiri" w:cs="Amiri"/>
          <w:color w:val="111111"/>
          <w:sz w:val="28"/>
          <w:sz w:val="28"/>
          <w:szCs w:val="28"/>
          <w:rtl w:val="true"/>
          <w:lang w:bidi="ar-SA"/>
        </w:rPr>
        <w:t xml:space="preserve">بَعْدُ، وَ ضَربَ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سَرقَ ثَمَرَةَ </w:t>
      </w:r>
      <w:r>
        <w:rPr>
          <w:rStyle w:val="FootnoteAnchor"/>
          <w:rtl w:val="true"/>
        </w:rPr>
        <w:footnoteReference w:id="3117"/>
      </w:r>
      <w:r>
        <w:rPr>
          <w:rFonts w:ascii="Amiri" w:hAnsi="Amiri" w:eastAsia="Amiri" w:cs="Amiri"/>
          <w:color w:val="111111"/>
          <w:sz w:val="28"/>
          <w:sz w:val="28"/>
          <w:szCs w:val="28"/>
          <w:rtl w:val="true"/>
          <w:lang w:bidi="ar-SA"/>
        </w:rPr>
        <w:t>نَخْلَةٍ ثُمَّ اشْتَراهَا بَعْدُه</w:t>
      </w:r>
      <w:r>
        <w:rPr>
          <w:rFonts w:eastAsia="Amiri" w:cs="Amiri" w:ascii="Amiri" w:hAnsi="Amiri"/>
          <w:color w:val="111111"/>
          <w:sz w:val="28"/>
          <w:szCs w:val="28"/>
          <w:rtl w:val="true"/>
          <w:lang w:bidi="ar-SA"/>
        </w:rPr>
        <w:t xml:space="preserve">»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علي بن جعفر المروي في كتاب قرب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زَنَا بِامْرَأَتَيْنِ، أَلَهُ أَنْ يَتَزَوَّجَ بِوَاحِدَةٍ مِنْهُما </w:t>
      </w:r>
      <w:r>
        <w:rPr>
          <w:rStyle w:val="FootnoteAnchor"/>
          <w:rtl w:val="true"/>
        </w:rPr>
        <w:footnoteReference w:id="31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w:t>
      </w:r>
      <w:r>
        <w:rPr>
          <w:rStyle w:val="FootnoteAnchor"/>
          <w:rtl w:val="true"/>
        </w:rPr>
        <w:footnoteReference w:id="3120"/>
      </w:r>
      <w:r>
        <w:rPr>
          <w:rFonts w:ascii="Amiri" w:hAnsi="Amiri" w:eastAsia="Amiri" w:cs="Amiri"/>
          <w:color w:val="111111"/>
          <w:sz w:val="28"/>
          <w:sz w:val="28"/>
          <w:szCs w:val="28"/>
          <w:rtl w:val="true"/>
          <w:lang w:bidi="ar-SA"/>
        </w:rPr>
        <w:t xml:space="preserve">يُحَرِّمُ حرام حلالا </w:t>
      </w:r>
      <w:r>
        <w:rPr>
          <w:rStyle w:val="FootnoteAnchor"/>
          <w:rtl w:val="true"/>
        </w:rPr>
        <w:footnoteReference w:id="31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2"/>
      </w:r>
      <w:r>
        <w:rPr>
          <w:rFonts w:ascii="Amiri" w:hAnsi="Amiri" w:eastAsia="Amiri" w:cs="Amiri"/>
          <w:color w:val="111111"/>
          <w:sz w:val="28"/>
          <w:sz w:val="28"/>
          <w:szCs w:val="28"/>
          <w:rtl w:val="true"/>
          <w:lang w:bidi="ar-SA"/>
        </w:rPr>
        <w:t>و خبر إسحاق بن جرير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يَفْجِرُ بِالمَرْأَةِ ثُمَّ يَبْدُو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123"/>
      </w:r>
      <w:r>
        <w:rPr>
          <w:rFonts w:ascii="Amiri" w:hAnsi="Amiri" w:eastAsia="Amiri" w:cs="Amiri"/>
          <w:color w:val="111111"/>
          <w:sz w:val="28"/>
          <w:sz w:val="28"/>
          <w:szCs w:val="28"/>
          <w:rtl w:val="true"/>
          <w:lang w:bidi="ar-SA"/>
        </w:rPr>
        <w:t xml:space="preserve">تَزْوِيْجَهَا، هَلْ يَحِلُّ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هشام بن المثنى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عَبْدِ اللهِ عَلیه السلام جَالِسًا، فَدَخَلَ عَلَيْهِ رَجُلٌ فَسَأَلَهُ عَنِ الرَّجُلِ يَأْتِي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Style w:val="FootnoteAnchor"/>
          <w:rtl w:val="true"/>
        </w:rPr>
        <w:footnoteReference w:id="3125"/>
      </w:r>
      <w:r>
        <w:rPr>
          <w:rFonts w:ascii="Amiri" w:hAnsi="Amiri" w:eastAsia="Amiri" w:cs="Amiri"/>
          <w:color w:val="111111"/>
          <w:sz w:val="28"/>
          <w:sz w:val="28"/>
          <w:szCs w:val="28"/>
          <w:rtl w:val="true"/>
          <w:lang w:bidi="ar-SA"/>
        </w:rPr>
        <w:t xml:space="preserve">أَيَتَزَوَّجُهَا؟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أيضًا </w:t>
      </w:r>
      <w:r>
        <w:rPr>
          <w:rStyle w:val="FootnoteAnchor"/>
          <w:rtl w:val="true"/>
        </w:rPr>
        <w:footnoteReference w:id="3127"/>
      </w:r>
      <w:r>
        <w:rPr>
          <w:rFonts w:ascii="Amiri" w:hAnsi="Amiri" w:eastAsia="Amiri" w:cs="Amiri"/>
          <w:color w:val="111111"/>
          <w:sz w:val="28"/>
          <w:sz w:val="28"/>
          <w:szCs w:val="28"/>
          <w:rtl w:val="true"/>
          <w:lang w:bidi="ar-SA"/>
        </w:rPr>
        <w:t xml:space="preserve">حديث منقول من كتاب تحف العقول في تحقيق مسألة ثبوت العدة على الزانية مؤيّد لهذه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في </w:t>
      </w:r>
      <w:r>
        <w:rPr>
          <w:rStyle w:val="FootnoteAnchor"/>
          <w:rtl w:val="true"/>
        </w:rPr>
        <w:footnoteReference w:id="3128"/>
      </w:r>
      <w:r>
        <w:rPr>
          <w:rFonts w:ascii="Amiri" w:hAnsi="Amiri" w:eastAsia="Amiri" w:cs="Amiri"/>
          <w:color w:val="111111"/>
          <w:sz w:val="28"/>
          <w:sz w:val="28"/>
          <w:szCs w:val="28"/>
          <w:rtl w:val="true"/>
          <w:lang w:bidi="ar-SA"/>
        </w:rPr>
        <w:t xml:space="preserve">استفاضتها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جواز نكاح المرأة المزني بها للزاني، سواء كان ذلك الزنا عند كونها ذات بعل أو ذات عدة رجعية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التخصيص يحتاج إلى دليل، و قد عرف أن لا دليل </w:t>
      </w:r>
      <w:r>
        <w:rPr>
          <w:rStyle w:val="FootnoteAnchor"/>
          <w:rtl w:val="true"/>
        </w:rPr>
        <w:footnoteReference w:id="3129"/>
      </w:r>
      <w:r>
        <w:rPr>
          <w:rFonts w:ascii="Amiri" w:hAnsi="Amiri" w:eastAsia="Amiri" w:cs="Amiri"/>
          <w:color w:val="111111"/>
          <w:sz w:val="28"/>
          <w:sz w:val="28"/>
          <w:szCs w:val="28"/>
          <w:rtl w:val="true"/>
          <w:lang w:bidi="ar-SA"/>
        </w:rPr>
        <w:t xml:space="preserve">لاعتراف غير واحد منهم بعدم النص، بل و لا بالإجماع </w:t>
      </w:r>
      <w:r>
        <w:rPr>
          <w:rStyle w:val="FootnoteAnchor"/>
          <w:rtl w:val="true"/>
        </w:rPr>
        <w:footnoteReference w:id="3130"/>
      </w:r>
      <w:r>
        <w:rPr>
          <w:rFonts w:ascii="Amiri" w:hAnsi="Amiri" w:eastAsia="Amiri" w:cs="Amiri"/>
          <w:color w:val="111111"/>
          <w:sz w:val="28"/>
          <w:sz w:val="28"/>
          <w:szCs w:val="28"/>
          <w:rtl w:val="true"/>
          <w:lang w:bidi="ar-SA"/>
        </w:rPr>
        <w:t>المدعى؛ لما سمعت من الطعن فيه و عدم كونه إجماعا في الحقيقة بل هو شهرة محضة، فتبقى هذه الروايات سالمة من المعارض</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المحقق السيد الأوّاه السيد عبد الله في شرح نخبة الكاشي بعد إيراد جملة من هذه الروايات التي أوردناها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وكلها مطلقة لا تفصيل فيها ولا استفصال، مع أن ذات البعل و ذات العدة ليست من الفروض النادرة التي لا يُلتفت إليها حتى يتعلل بأن الروايات محمولة على الفرد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التشبيه بالخلية </w:t>
      </w:r>
      <w:r>
        <w:rPr>
          <w:rStyle w:val="FootnoteAnchor"/>
          <w:rtl w:val="true"/>
        </w:rPr>
        <w:footnoteReference w:id="3131"/>
      </w:r>
      <w:r>
        <w:rPr>
          <w:rFonts w:ascii="Amiri" w:hAnsi="Amiri" w:eastAsia="Amiri" w:cs="Amiri"/>
          <w:color w:val="111111"/>
          <w:sz w:val="28"/>
          <w:sz w:val="28"/>
          <w:szCs w:val="28"/>
          <w:rtl w:val="true"/>
          <w:lang w:bidi="ar-SA"/>
        </w:rPr>
        <w:t>مما يؤذن إيذانًا يعرفه الذكي بكونها غير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يكون هذا مذهبًا للشيخين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بهما الكليني 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أوردا الأخبار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تعارض</w:t>
      </w:r>
      <w:r>
        <w:rPr>
          <w:rFonts w:eastAsia="Amiri" w:cs="Amiri" w:ascii="Amiri" w:hAnsi="Amiri"/>
          <w:color w:val="111111"/>
          <w:sz w:val="28"/>
          <w:szCs w:val="28"/>
          <w:rtl w:val="true"/>
          <w:lang w:bidi="ar-SA"/>
        </w:rPr>
        <w:t xml:space="preserve">] </w:t>
      </w:r>
      <w:r>
        <w:rPr>
          <w:rStyle w:val="FootnoteAnchor"/>
          <w:rtl w:val="true"/>
        </w:rPr>
        <w:footnoteReference w:id="3132"/>
      </w:r>
      <w:r>
        <w:rPr>
          <w:rFonts w:ascii="Amiri" w:hAnsi="Amiri" w:eastAsia="Amiri" w:cs="Amiri"/>
          <w:color w:val="111111"/>
          <w:sz w:val="28"/>
          <w:sz w:val="28"/>
          <w:szCs w:val="28"/>
          <w:rtl w:val="true"/>
          <w:lang w:bidi="ar-SA"/>
        </w:rPr>
        <w:t xml:space="preserve">و لم يتعرّضا لها بتوجيه و لا تقييد كما علم </w:t>
      </w:r>
      <w:r>
        <w:rPr>
          <w:rStyle w:val="FootnoteAnchor"/>
          <w:rtl w:val="true"/>
        </w:rPr>
        <w:footnoteReference w:id="3133"/>
      </w:r>
      <w:r>
        <w:rPr>
          <w:rFonts w:ascii="Amiri" w:hAnsi="Amiri" w:eastAsia="Amiri" w:cs="Amiri"/>
          <w:color w:val="111111"/>
          <w:sz w:val="28"/>
          <w:sz w:val="28"/>
          <w:szCs w:val="28"/>
          <w:rtl w:val="true"/>
          <w:lang w:bidi="ar-SA"/>
        </w:rPr>
        <w:t xml:space="preserve">من عادتهم المصرح بها في أوله </w:t>
      </w:r>
    </w:p>
    <w:p>
      <w:pPr>
        <w:pStyle w:val="BookText"/>
        <w:rPr/>
      </w:pPr>
      <w:r>
        <w:rPr>
          <w:rFonts w:ascii="Amiri" w:hAnsi="Amiri" w:eastAsia="Amiri" w:cs="Amiri"/>
          <w:color w:val="111111"/>
          <w:sz w:val="28"/>
          <w:sz w:val="28"/>
          <w:szCs w:val="28"/>
          <w:rtl w:val="true"/>
          <w:lang w:bidi="ar-SA"/>
        </w:rPr>
        <w:t>الكتابين</w:t>
      </w:r>
      <w:r>
        <w:rPr>
          <w:rFonts w:eastAsia="Amiri" w:cs="Amiri" w:ascii="Amiri" w:hAnsi="Amiri"/>
          <w:color w:val="111111"/>
          <w:sz w:val="28"/>
          <w:szCs w:val="28"/>
          <w:rtl w:val="true"/>
          <w:lang w:bidi="ar-SA"/>
        </w:rPr>
        <w:t xml:space="preserve">» </w:t>
      </w:r>
      <w:r>
        <w:rPr>
          <w:rStyle w:val="FootnoteAnchor"/>
          <w:rtl w:val="true"/>
        </w:rPr>
        <w:footnoteReference w:id="3134"/>
      </w:r>
      <w:r>
        <w:rPr>
          <w:rFonts w:ascii="Amiri" w:hAnsi="Amiri" w:eastAsia="Amiri" w:cs="Amiri"/>
          <w:color w:val="111111"/>
          <w:sz w:val="28"/>
          <w:sz w:val="28"/>
          <w:szCs w:val="28"/>
          <w:rtl w:val="true"/>
          <w:lang w:bidi="ar-SA"/>
        </w:rPr>
        <w:t>، انتهى كلامه، و هو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الاحتجاج لهم على تلك الدعوى بما ذكره السيد الأجل المرتضى في كتاب الانتصار،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من زنى بامرأة و لها بعل حرم عليه نكاحها </w:t>
      </w:r>
      <w:r>
        <w:rPr>
          <w:rStyle w:val="FootnoteAnchor"/>
          <w:rtl w:val="true"/>
        </w:rPr>
        <w:footnoteReference w:id="3135"/>
      </w:r>
      <w:r>
        <w:rPr>
          <w:rFonts w:ascii="IRNazanin" w:hAnsi="IRNazanin" w:eastAsia="IRNazanin"/>
          <w:color w:val="111111"/>
          <w:sz w:val="28"/>
          <w:sz w:val="28"/>
          <w:szCs w:val="28"/>
          <w:rtl w:val="true"/>
          <w:lang w:bidi="fa-IR"/>
        </w:rPr>
        <w:t xml:space="preserve">مؤبدا </w:t>
      </w:r>
      <w:r>
        <w:rPr>
          <w:rStyle w:val="FootnoteAnchor"/>
          <w:rtl w:val="true"/>
        </w:rPr>
        <w:footnoteReference w:id="3136"/>
      </w:r>
      <w:r>
        <w:rPr>
          <w:rFonts w:ascii="Amiri" w:hAnsi="Amiri" w:eastAsia="Amiri" w:cs="Amiri"/>
          <w:color w:val="111111"/>
          <w:sz w:val="28"/>
          <w:sz w:val="28"/>
          <w:szCs w:val="28"/>
          <w:rtl w:val="true"/>
          <w:lang w:bidi="ar-SA"/>
        </w:rPr>
        <w:t xml:space="preserve">و إن فارقها زوجها، و باقي الفقهاء يخالفون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في ذلك </w:t>
      </w:r>
      <w:r>
        <w:rPr>
          <w:rStyle w:val="FootnoteAnchor"/>
          <w:rtl w:val="true"/>
        </w:rPr>
        <w:footnoteReference w:id="3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ورد من طريق الشيعة في حظر </w:t>
      </w:r>
      <w:r>
        <w:rPr>
          <w:rStyle w:val="FootnoteAnchor"/>
          <w:rtl w:val="true"/>
        </w:rPr>
        <w:footnoteReference w:id="3138"/>
      </w:r>
      <w:r>
        <w:rPr>
          <w:rFonts w:ascii="Amiri" w:hAnsi="Amiri" w:eastAsia="Amiri" w:cs="Amiri"/>
          <w:color w:val="111111"/>
          <w:sz w:val="28"/>
          <w:sz w:val="28"/>
          <w:szCs w:val="28"/>
          <w:rtl w:val="true"/>
          <w:lang w:bidi="ar-SA"/>
        </w:rPr>
        <w:t xml:space="preserve">من ذكرناه أخبار معرفة </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3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ظن انفراد الإمامية به </w:t>
      </w:r>
      <w:r>
        <w:rPr>
          <w:rStyle w:val="FootnoteAnchor"/>
          <w:rtl w:val="true"/>
        </w:rPr>
        <w:footnoteReference w:id="3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Style w:val="FootnoteAnchor"/>
          <w:rtl w:val="true"/>
        </w:rPr>
        <w:footnoteReference w:id="3142"/>
      </w:r>
      <w:r>
        <w:rPr>
          <w:rFonts w:ascii="Amiri" w:hAnsi="Amiri" w:eastAsia="Amiri" w:cs="Amiri"/>
          <w:color w:val="111111"/>
          <w:sz w:val="28"/>
          <w:sz w:val="28"/>
          <w:szCs w:val="28"/>
          <w:rtl w:val="true"/>
          <w:lang w:bidi="ar-SA"/>
        </w:rPr>
        <w:t xml:space="preserve">بأن من زنا بامرأة و هي في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143"/>
      </w:r>
      <w:r>
        <w:rPr>
          <w:rFonts w:ascii="Amiri" w:hAnsi="Amiri" w:eastAsia="Amiri" w:cs="Amiri"/>
          <w:color w:val="111111"/>
          <w:sz w:val="28"/>
          <w:sz w:val="28"/>
          <w:szCs w:val="28"/>
          <w:rtl w:val="true"/>
          <w:lang w:bidi="ar-SA"/>
        </w:rPr>
        <w:t>بعل له فيها عليها رجعة حرمت عليه بذلك، والحجة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لأصحابنا في هذه المسألة الحجة التي قبلها </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الكلام في المسألتين واحد؛ حيث قد صرح في المسألة الأولى بأنه قد جاءت أخبار معرفة </w:t>
      </w:r>
      <w:r>
        <w:rPr>
          <w:rStyle w:val="FootnoteAnchor"/>
          <w:rtl w:val="true"/>
        </w:rPr>
        <w:footnoteReference w:id="3145"/>
      </w:r>
      <w:r>
        <w:rPr>
          <w:rFonts w:ascii="Amiri" w:hAnsi="Amiri" w:eastAsia="Amiri" w:cs="Amiri"/>
          <w:color w:val="111111"/>
          <w:sz w:val="28"/>
          <w:sz w:val="28"/>
          <w:szCs w:val="28"/>
          <w:rtl w:val="true"/>
          <w:lang w:bidi="ar-SA"/>
        </w:rPr>
        <w:t xml:space="preserve">من طريق أصحابنا الإمامية دالة على ذلك، وفي </w:t>
      </w:r>
      <w:r>
        <w:rPr>
          <w:rStyle w:val="FootnoteAnchor"/>
          <w:rtl w:val="true"/>
        </w:rPr>
        <w:footnoteReference w:id="3146"/>
      </w:r>
      <w:r>
        <w:rPr>
          <w:rFonts w:ascii="Amiri" w:hAnsi="Amiri" w:eastAsia="Amiri" w:cs="Amiri"/>
          <w:color w:val="111111"/>
          <w:sz w:val="28"/>
          <w:sz w:val="28"/>
          <w:szCs w:val="28"/>
          <w:rtl w:val="true"/>
          <w:lang w:bidi="ar-SA"/>
        </w:rPr>
        <w:t xml:space="preserve">المسألة الثانية يذكر </w:t>
      </w:r>
      <w:r>
        <w:rPr>
          <w:rStyle w:val="FootnoteAnchor"/>
          <w:rtl w:val="true"/>
        </w:rPr>
        <w:footnoteReference w:id="3147"/>
      </w:r>
      <w:r>
        <w:rPr>
          <w:rFonts w:ascii="Amiri" w:hAnsi="Amiri" w:eastAsia="Amiri" w:cs="Amiri"/>
          <w:color w:val="111111"/>
          <w:sz w:val="28"/>
          <w:sz w:val="28"/>
          <w:szCs w:val="28"/>
          <w:rtl w:val="true"/>
          <w:lang w:bidi="ar-SA"/>
        </w:rPr>
        <w:t>أن الحجة فيها و فيما قبلها واحدة، فيكون شهادة منه بمجيء أخبار معرفة من طرقنا في هذه المسألة مثلما جاء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يبلغنا شيء 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كفى بمثل هذا السيد ناقلا؛ لوثاقته و جلالته، فيكون ما ذكره لا تقصر عن المراسيل التي عملنا عليها في كلام الصدوق و الكليني و الشيخ و نحوهم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ربما ظهر أن مثل هذه الأخبار لا تقصر عن الصحاح التي في أصول أصحابنا المعمول عليها؛ لأن الصحيح ليس إلا ما أوجب العمل لاعتضاده بالقرائن، و أي قرينة أقوى من نقل السيد المذكور الذي علم من مذهبه أنه لا يعمل بأخبار الآحاد و أن عمله </w:t>
      </w:r>
      <w:r>
        <w:rPr>
          <w:rStyle w:val="FootnoteAnchor"/>
          <w:rtl w:val="true"/>
        </w:rPr>
        <w:footnoteReference w:id="3149"/>
      </w:r>
      <w:r>
        <w:rPr>
          <w:rFonts w:ascii="Amiri" w:hAnsi="Amiri" w:eastAsia="Amiri" w:cs="Amiri"/>
          <w:color w:val="111111"/>
          <w:sz w:val="28"/>
          <w:sz w:val="28"/>
          <w:szCs w:val="28"/>
          <w:rtl w:val="true"/>
          <w:lang w:bidi="ar-SA"/>
        </w:rPr>
        <w:t>مقصور على المتواتر خاصة، فتكون من المتواتر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عرفت في غير موضع مما تقدم أن السيد المذكور قد ادعى التواتر في أخبار أئمتنا علیه السلام بقول مطلق، فتكون عمومات الأخبار المذكورة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إطلاقها مخصوصين بما ذكره السيد، مع ما يضاف إلى ذلك من الشهرة المعبر عنها بالإجماع في كلام السيد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من محدث الوسائل </w:t>
      </w:r>
      <w:r>
        <w:rPr>
          <w:rStyle w:val="FootnoteAnchor"/>
          <w:rtl w:val="true"/>
        </w:rPr>
        <w:footnoteReference w:id="3150"/>
      </w:r>
      <w:r>
        <w:rPr>
          <w:rFonts w:ascii="Amiri" w:hAnsi="Amiri" w:eastAsia="Amiri" w:cs="Amiri"/>
          <w:color w:val="111111"/>
          <w:sz w:val="28"/>
          <w:sz w:val="28"/>
          <w:szCs w:val="28"/>
          <w:rtl w:val="true"/>
          <w:lang w:bidi="ar-SA"/>
        </w:rPr>
        <w:t xml:space="preserve">اعتماد ما ذكرناه، حيث إنه لم يذكر دليلا على الزنا بذات البعل و العدة الرجعية سوى تلك العبارات المنقولة من الانتصار </w:t>
      </w:r>
      <w:r>
        <w:rPr>
          <w:rStyle w:val="FootnoteAnchor"/>
          <w:rtl w:val="true"/>
        </w:rPr>
        <w:footnoteReference w:id="3151"/>
      </w:r>
      <w:r>
        <w:rPr>
          <w:rFonts w:ascii="Amiri" w:hAnsi="Amiri" w:eastAsia="Amiri" w:cs="Amiri"/>
          <w:color w:val="111111"/>
          <w:sz w:val="28"/>
          <w:sz w:val="28"/>
          <w:szCs w:val="28"/>
          <w:rtl w:val="true"/>
          <w:lang w:bidi="ar-SA"/>
        </w:rPr>
        <w:t>، و كثيرا ما يعتمد على مثل هذه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بذلك العلامة في المختلف في مواضع كثيرة، و أيده شارح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بذلك ليس ببعيد، سيما و قد عرفت من كلام السيد أن القول بالحمل فيها مذهب العامة قاطبة، فيكون تلك الأخبار التي قدمناها </w:t>
      </w:r>
      <w:r>
        <w:rPr>
          <w:rStyle w:val="FootnoteAnchor"/>
          <w:rtl w:val="true"/>
        </w:rPr>
        <w:footnoteReference w:id="3152"/>
      </w:r>
      <w:r>
        <w:rPr>
          <w:rFonts w:ascii="Amiri" w:hAnsi="Amiri" w:eastAsia="Amiri" w:cs="Amiri"/>
          <w:color w:val="111111"/>
          <w:sz w:val="28"/>
          <w:sz w:val="28"/>
          <w:szCs w:val="28"/>
          <w:rtl w:val="true"/>
          <w:lang w:bidi="ar-SA"/>
        </w:rPr>
        <w:t>عند ملاحظة عمومها و إطلاقها موافقةً للعامة، و أن اعتبار التخصيص فيها ببعدها عن تلك الساحة التي توجب طرحها و عدم الاعتداد بها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بالتحريم المؤبد في هاتين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ذات </w:t>
      </w:r>
      <w:r>
        <w:rPr>
          <w:rStyle w:val="FootnoteAnchor"/>
          <w:rtl w:val="true"/>
        </w:rPr>
        <w:footnoteReference w:id="3153"/>
      </w:r>
      <w:r>
        <w:rPr>
          <w:rFonts w:ascii="Amiri" w:hAnsi="Amiri" w:eastAsia="Amiri" w:cs="Amiri"/>
          <w:color w:val="111111"/>
          <w:sz w:val="28"/>
          <w:sz w:val="28"/>
          <w:szCs w:val="28"/>
          <w:rtl w:val="true"/>
          <w:lang w:bidi="ar-SA"/>
        </w:rPr>
        <w:t>العدة البعل و ذات العدة الرجعية – هو المعتمد في الفتوى، وفي الأخذ به التمسك بالتقوى، و الله العالم</w:t>
      </w:r>
      <w:r>
        <w:rPr>
          <w:rFonts w:eastAsia="Amiri" w:cs="Amiri" w:ascii="Amiri" w:hAnsi="Amiri"/>
          <w:color w:val="111111"/>
          <w:sz w:val="28"/>
          <w:szCs w:val="28"/>
          <w:rtl w:val="true"/>
          <w:lang w:bidi="ar-SA"/>
        </w:rPr>
        <w:t xml:space="preserve">.. </w:t>
      </w:r>
      <w:bookmarkStart w:id="265" w:name="pg2523_40068"/>
    </w:p>
    <w:p>
      <w:pPr>
        <w:pStyle w:val="Heading3"/>
        <w:numPr>
          <w:ilvl w:val="2"/>
          <w:numId w:val="1"/>
        </w:numPr>
        <w:rPr/>
      </w:pPr>
      <w:bookmarkStart w:id="266" w:name="__RefHeading___Toc4264984_3804643083"/>
      <w:bookmarkStart w:id="267" w:name="_Toc90"/>
      <w:bookmarkEnd w:id="265"/>
      <w:bookmarkEnd w:id="266"/>
      <w:r>
        <w:rPr>
          <w:rtl w:val="true"/>
        </w:rPr>
        <w:t>و أما المسألة الثانية</w:t>
      </w:r>
      <w:r>
        <w:rPr>
          <w:rtl w:val="true"/>
        </w:rPr>
        <w:t>:</w:t>
      </w:r>
      <w:bookmarkEnd w:id="267"/>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3154"/>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وجوب العدة على الزانية من الزاني، عليه و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علمائنا على سقوطها عن </w:t>
      </w:r>
      <w:r>
        <w:rPr>
          <w:rStyle w:val="FootnoteAnchor"/>
          <w:rtl w:val="true"/>
        </w:rPr>
        <w:footnoteReference w:id="3155"/>
      </w:r>
      <w:r>
        <w:rPr>
          <w:rFonts w:ascii="Amiri" w:hAnsi="Amiri" w:eastAsia="Amiri" w:cs="Amiri"/>
          <w:color w:val="111111"/>
          <w:sz w:val="28"/>
          <w:sz w:val="28"/>
          <w:szCs w:val="28"/>
          <w:rtl w:val="true"/>
          <w:lang w:bidi="ar-SA"/>
        </w:rPr>
        <w:t xml:space="preserve">الزاني و غيره، سواء كانت حاملاً أو حائلا </w:t>
      </w:r>
      <w:r>
        <w:rPr>
          <w:rStyle w:val="FootnoteAnchor"/>
          <w:rtl w:val="true"/>
        </w:rPr>
        <w:footnoteReference w:id="3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بذلك جماعةٌ منهم الشيخ في الخلاف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الكاشي في المفاتيح </w:t>
      </w:r>
      <w:r>
        <w:rPr>
          <w:rFonts w:eastAsia="Amiri" w:cs="Amiri" w:ascii="Amiri" w:hAnsi="Amiri"/>
          <w:color w:val="111111"/>
          <w:sz w:val="28"/>
          <w:szCs w:val="28"/>
          <w:rtl w:val="true"/>
          <w:lang w:bidi="ar-SA"/>
        </w:rPr>
        <w:t xml:space="preserve">:« </w:t>
      </w:r>
      <w:r>
        <w:rPr>
          <w:rStyle w:val="FootnoteAnchor"/>
          <w:rtl w:val="true"/>
        </w:rPr>
        <w:footnoteReference w:id="3158"/>
      </w:r>
      <w:r>
        <w:rPr>
          <w:rFonts w:ascii="Amiri" w:hAnsi="Amiri" w:eastAsia="Amiri" w:cs="Amiri"/>
          <w:color w:val="111111"/>
          <w:sz w:val="28"/>
          <w:sz w:val="28"/>
          <w:szCs w:val="28"/>
          <w:rtl w:val="true"/>
          <w:lang w:bidi="ar-SA"/>
        </w:rPr>
        <w:t>ولا عدة للزاني مع الحمل بلا خلاف؛ إذ لا حرمة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،العدم، و أثبتها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المثبت لها هو العلامة في التحرير وحده، لكني وقفت على حاشية للحر العاملي في تعليقاته على كتابه الوسائل، و فيها </w:t>
      </w:r>
      <w:r>
        <w:rPr>
          <w:rStyle w:val="FootnoteAnchor"/>
          <w:rtl w:val="true"/>
        </w:rPr>
        <w:footnoteReference w:id="3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إثبات </w:t>
      </w:r>
      <w:r>
        <w:rPr>
          <w:rStyle w:val="FootnoteAnchor"/>
          <w:rtl w:val="true"/>
        </w:rPr>
        <w:footnoteReference w:id="3160"/>
      </w:r>
      <w:r>
        <w:rPr>
          <w:rFonts w:ascii="Amiri" w:hAnsi="Amiri" w:eastAsia="Amiri" w:cs="Amiri"/>
          <w:color w:val="111111"/>
          <w:sz w:val="28"/>
          <w:sz w:val="28"/>
          <w:szCs w:val="28"/>
          <w:rtl w:val="true"/>
          <w:lang w:bidi="ar-SA"/>
        </w:rPr>
        <w:t>العدة على الزانية مذهب للمفيد من قدماء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أفتى بذلك في الوسائل </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على نفيها بلا كلام، بل عبارة الكاشي في المفاتيح تعطي دعوى الإجماع على نفي العدة في الحامل بلا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الأخبار ففى أكثرها إعراض عن ذكر العدة نفيا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جاء في بعضها تصريح بلزوم العدة لها، ففي خبر إسحاق بن جرير </w:t>
      </w:r>
      <w:r>
        <w:rPr>
          <w:rStyle w:val="FootnoteAnchor"/>
          <w:rtl w:val="true"/>
        </w:rPr>
        <w:footnoteReference w:id="3162"/>
      </w:r>
      <w:r>
        <w:rPr>
          <w:rFonts w:ascii="Amiri" w:hAnsi="Amiri" w:eastAsia="Amiri" w:cs="Amiri"/>
          <w:color w:val="111111"/>
          <w:sz w:val="28"/>
          <w:sz w:val="28"/>
          <w:szCs w:val="28"/>
          <w:rtl w:val="true"/>
          <w:lang w:bidi="ar-SA"/>
        </w:rPr>
        <w:t xml:space="preserve">المروي في التهذيب مسندا و في الكافي مرسلا </w:t>
      </w:r>
      <w:r>
        <w:rPr>
          <w:rStyle w:val="FootnoteAnchor"/>
          <w:rtl w:val="true"/>
        </w:rPr>
        <w:footnoteReference w:id="3163"/>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164"/>
      </w:r>
      <w:r>
        <w:rPr>
          <w:rFonts w:ascii="Amiri" w:hAnsi="Amiri" w:eastAsia="Amiri" w:cs="Amiri"/>
          <w:color w:val="111111"/>
          <w:sz w:val="28"/>
          <w:sz w:val="28"/>
          <w:szCs w:val="28"/>
          <w:rtl w:val="true"/>
          <w:lang w:bidi="ar-SA"/>
        </w:rPr>
        <w:t xml:space="preserve">إِذَا هُوَ اجْتَنَبَهَا حَتَّى تَنْقَضِيَ عِدَّتُهُ بِاسْتِبْرَاءِ رَحِمِهَا مِنْ مَاءِ الفُجُوْرِ فَلَهُ أَنْ يَتَزَوَّجَهَا </w:t>
      </w:r>
      <w:r>
        <w:rPr>
          <w:rFonts w:eastAsia="Amiri" w:cs="Amiri" w:ascii="Amiri" w:hAnsi="Amiri"/>
          <w:color w:val="111111"/>
          <w:sz w:val="28"/>
          <w:szCs w:val="28"/>
          <w:rtl w:val="true"/>
          <w:lang w:bidi="ar-SA"/>
        </w:rPr>
        <w:t xml:space="preserve">» </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تحف العقول للحسن بن علي بن شعبة عن أبي جعفر محمد بن على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نكح امرأة على زنا، أيحل له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يَدَعُهَا حَتَّى يَسْتَبْرِئَهَا مِنْ </w:t>
      </w:r>
      <w:r>
        <w:rPr>
          <w:rStyle w:val="FootnoteAnchor"/>
          <w:rtl w:val="true"/>
        </w:rPr>
        <w:footnoteReference w:id="3166"/>
      </w:r>
      <w:r>
        <w:rPr>
          <w:rFonts w:ascii="Amiri" w:hAnsi="Amiri" w:eastAsia="Amiri" w:cs="Amiri"/>
          <w:color w:val="111111"/>
          <w:sz w:val="28"/>
          <w:sz w:val="28"/>
          <w:szCs w:val="28"/>
          <w:rtl w:val="true"/>
          <w:lang w:bidi="ar-SA"/>
        </w:rPr>
        <w:t xml:space="preserve">نُطْفَتِهِ وَ نُطْفَةٍ غَيْرِهِ، إِذْ لَا بُدَّ أَنْ </w:t>
      </w:r>
      <w:r>
        <w:rPr>
          <w:rStyle w:val="FootnoteAnchor"/>
          <w:rtl w:val="true"/>
        </w:rPr>
        <w:footnoteReference w:id="3167"/>
      </w:r>
      <w:r>
        <w:rPr>
          <w:rFonts w:ascii="Amiri" w:hAnsi="Amiri" w:eastAsia="Amiri" w:cs="Amiri"/>
          <w:color w:val="111111"/>
          <w:sz w:val="28"/>
          <w:sz w:val="28"/>
          <w:szCs w:val="28"/>
          <w:rtl w:val="true"/>
          <w:lang w:bidi="ar-SA"/>
        </w:rPr>
        <w:t xml:space="preserve">يَكُونَ </w:t>
      </w:r>
      <w:r>
        <w:rPr>
          <w:rStyle w:val="FootnoteAnchor"/>
          <w:rtl w:val="true"/>
        </w:rPr>
        <w:footnoteReference w:id="3168"/>
      </w:r>
      <w:r>
        <w:rPr>
          <w:rFonts w:ascii="Amiri" w:hAnsi="Amiri" w:eastAsia="Amiri" w:cs="Amiri"/>
          <w:color w:val="111111"/>
          <w:sz w:val="28"/>
          <w:sz w:val="28"/>
          <w:szCs w:val="28"/>
          <w:rtl w:val="true"/>
          <w:lang w:bidi="ar-SA"/>
        </w:rPr>
        <w:t xml:space="preserve">قَدْ أَحْدَثَتْ مَعَ غَيْرِهِ كَمَا أَحْدَثَتْ مَعَهُ، ثُمَّ يَتَزَوَّجُ بِهَا إِنْ أَرَادَ، إِنَّمَا </w:t>
      </w:r>
      <w:r>
        <w:rPr>
          <w:rStyle w:val="FootnoteAnchor"/>
          <w:rtl w:val="true"/>
        </w:rPr>
        <w:footnoteReference w:id="3169"/>
      </w:r>
      <w:r>
        <w:rPr>
          <w:rFonts w:ascii="Amiri" w:hAnsi="Amiri" w:eastAsia="Amiri" w:cs="Amiri"/>
          <w:color w:val="111111"/>
          <w:sz w:val="28"/>
          <w:sz w:val="28"/>
          <w:szCs w:val="28"/>
          <w:rtl w:val="true"/>
          <w:lang w:bidi="ar-SA"/>
        </w:rPr>
        <w:t xml:space="preserve">مَثَلُهَا مَثَلُ النَّخْلَةِ </w:t>
      </w:r>
      <w:r>
        <w:rPr>
          <w:rStyle w:val="FootnoteAnchor"/>
          <w:rtl w:val="true"/>
        </w:rPr>
        <w:footnoteReference w:id="3170"/>
      </w:r>
      <w:r>
        <w:rPr>
          <w:rFonts w:ascii="Amiri" w:hAnsi="Amiri" w:eastAsia="Amiri" w:cs="Amiri"/>
          <w:color w:val="111111"/>
          <w:sz w:val="28"/>
          <w:sz w:val="28"/>
          <w:szCs w:val="28"/>
          <w:rtl w:val="true"/>
          <w:lang w:bidi="ar-SA"/>
        </w:rPr>
        <w:t xml:space="preserve">أَكَلَ رَجُلٌ مِنْهَا </w:t>
      </w:r>
      <w:r>
        <w:rPr>
          <w:rStyle w:val="FootnoteAnchor"/>
          <w:rtl w:val="true"/>
        </w:rPr>
        <w:footnoteReference w:id="3171"/>
      </w:r>
      <w:r>
        <w:rPr>
          <w:rFonts w:ascii="Amiri" w:hAnsi="Amiri" w:eastAsia="Amiri" w:cs="Amiri"/>
          <w:color w:val="111111"/>
          <w:sz w:val="28"/>
          <w:sz w:val="28"/>
          <w:szCs w:val="28"/>
          <w:rtl w:val="true"/>
          <w:lang w:bidi="ar-SA"/>
        </w:rPr>
        <w:t>حَرَامًا ثُمَّ اشْتَراهَا فَأَكَلَ مِنْهَا حَلَالًا</w:t>
      </w:r>
      <w:r>
        <w:rPr>
          <w:rFonts w:eastAsia="Amiri" w:cs="Amiri" w:ascii="Amiri" w:hAnsi="Amiri"/>
          <w:color w:val="111111"/>
          <w:sz w:val="28"/>
          <w:szCs w:val="28"/>
          <w:rtl w:val="true"/>
          <w:lang w:bidi="ar-SA"/>
        </w:rPr>
        <w:t xml:space="preserve">»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صحيحة الحلبي </w:t>
      </w:r>
      <w:r>
        <w:rPr>
          <w:rStyle w:val="FootnoteAnchor"/>
          <w:rtl w:val="true"/>
        </w:rPr>
        <w:footnoteReference w:id="3173"/>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دخل بامرأة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التقى الختانان </w:t>
      </w:r>
      <w:r>
        <w:rPr>
          <w:rStyle w:val="FootnoteAnchor"/>
          <w:rtl w:val="true"/>
        </w:rPr>
        <w:footnoteReference w:id="3174"/>
      </w:r>
      <w:r>
        <w:rPr>
          <w:rFonts w:ascii="Amiri" w:hAnsi="Amiri" w:eastAsia="Amiri" w:cs="Amiri"/>
          <w:color w:val="111111"/>
          <w:sz w:val="28"/>
          <w:sz w:val="28"/>
          <w:szCs w:val="28"/>
          <w:rtl w:val="true"/>
          <w:lang w:bidi="ar-SA"/>
        </w:rPr>
        <w:t>وجب المهر و العدة و الغسل</w:t>
      </w:r>
      <w:r>
        <w:rPr>
          <w:rFonts w:eastAsia="Amiri" w:cs="Amiri" w:ascii="Amiri" w:hAnsi="Amiri"/>
          <w:color w:val="111111"/>
          <w:sz w:val="28"/>
          <w:szCs w:val="28"/>
          <w:rtl w:val="true"/>
          <w:lang w:bidi="ar-SA"/>
        </w:rPr>
        <w:t>»</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حفص </w:t>
      </w:r>
      <w:r>
        <w:rPr>
          <w:rStyle w:val="FootnoteAnchor"/>
          <w:rtl w:val="true"/>
        </w:rPr>
        <w:footnoteReference w:id="3176"/>
      </w:r>
      <w:r>
        <w:rPr>
          <w:rFonts w:ascii="Amiri" w:hAnsi="Amiri" w:eastAsia="Amiri" w:cs="Amiri"/>
          <w:color w:val="111111"/>
          <w:sz w:val="28"/>
          <w:sz w:val="28"/>
          <w:szCs w:val="28"/>
          <w:rtl w:val="true"/>
          <w:lang w:bidi="ar-SA"/>
        </w:rPr>
        <w:t xml:space="preserve">بن البختري </w:t>
      </w:r>
      <w:r>
        <w:rPr>
          <w:rStyle w:val="FootnoteAnchor"/>
          <w:rtl w:val="true"/>
        </w:rPr>
        <w:footnoteReference w:id="3177"/>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Style w:val="FootnoteAnchor"/>
          <w:rtl w:val="true"/>
        </w:rPr>
        <w:footnoteReference w:id="3178"/>
      </w:r>
      <w:r>
        <w:rPr>
          <w:rFonts w:ascii="Amiri" w:hAnsi="Amiri" w:eastAsia="Amiri" w:cs="Amiri"/>
          <w:color w:val="111111"/>
          <w:sz w:val="28"/>
          <w:sz w:val="28"/>
          <w:szCs w:val="28"/>
          <w:rtl w:val="true"/>
          <w:lang w:bidi="ar-SA"/>
        </w:rPr>
        <w:t xml:space="preserve">إذا التقى الختانان وجب المهر و العدة و الغسل </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عبد الله بن سنان </w:t>
      </w:r>
      <w:r>
        <w:rPr>
          <w:rStyle w:val="FootnoteAnchor"/>
          <w:rtl w:val="true"/>
        </w:rPr>
        <w:footnoteReference w:id="3181"/>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أَبِي وَ أَنَا حَاضِرٌ عَنْ رَجُلٍ تَزَوَّجَ امْرَأَةَ فَأُدْخِلَتْ عَلَيْهِ فَلَمْ يَمُسَّهَا وَ لَمْ يَصِلْ إِلَيْهَا حَتَّى طَلَّقَهَا، هَلْ عَلَيْهَا عِدَّةٌ مِنْهُ </w:t>
      </w:r>
      <w:r>
        <w:rPr>
          <w:rStyle w:val="FootnoteAnchor"/>
          <w:rtl w:val="true"/>
        </w:rPr>
        <w:footnoteReference w:id="318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Style w:val="FootnoteAnchor"/>
          <w:rtl w:val="true"/>
        </w:rPr>
        <w:footnoteReference w:id="3183"/>
      </w:r>
      <w:r>
        <w:rPr>
          <w:rFonts w:ascii="Amiri" w:hAnsi="Amiri" w:eastAsia="Amiri" w:cs="Amiri"/>
          <w:color w:val="111111"/>
          <w:sz w:val="28"/>
          <w:sz w:val="28"/>
          <w:szCs w:val="28"/>
          <w:rtl w:val="true"/>
          <w:lang w:bidi="ar-SA"/>
        </w:rPr>
        <w:t xml:space="preserve">الْعِدَّةُ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وَاقَعَهَا فِي الْفَرْجِ وَ لَمْ يُنْزِلُ؟ قَالَ </w:t>
      </w:r>
      <w:r>
        <w:rPr>
          <w:rStyle w:val="FootnoteAnchor"/>
          <w:rtl w:val="true"/>
        </w:rPr>
        <w:footnoteReference w:id="3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أَدْخَلَهُ </w:t>
      </w:r>
      <w:r>
        <w:rPr>
          <w:rStyle w:val="FootnoteAnchor"/>
          <w:rtl w:val="true"/>
        </w:rPr>
        <w:footnoteReference w:id="3185"/>
      </w:r>
      <w:r>
        <w:rPr>
          <w:rFonts w:ascii="Amiri" w:hAnsi="Amiri" w:eastAsia="Amiri" w:cs="Amiri"/>
          <w:color w:val="111111"/>
          <w:sz w:val="28"/>
          <w:sz w:val="28"/>
          <w:szCs w:val="28"/>
          <w:rtl w:val="true"/>
          <w:lang w:bidi="ar-SA"/>
        </w:rPr>
        <w:t xml:space="preserve">وَجَبَ الْغُسْلُ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الَمَهْرُ وَ الْعِدَّةُ </w:t>
      </w:r>
      <w:r>
        <w:rPr>
          <w:rFonts w:eastAsia="Amiri" w:cs="Amiri" w:ascii="Amiri" w:hAnsi="Amiri"/>
          <w:color w:val="111111"/>
          <w:sz w:val="28"/>
          <w:szCs w:val="28"/>
          <w:rtl w:val="true"/>
          <w:lang w:bidi="ar-SA"/>
        </w:rPr>
        <w:t xml:space="preserve">» </w:t>
      </w:r>
      <w:r>
        <w:rPr>
          <w:rStyle w:val="FootnoteAnchor"/>
          <w:rtl w:val="true"/>
        </w:rPr>
        <w:footnoteReference w:id="3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معتبرة حفص بن البختري </w:t>
      </w:r>
      <w:r>
        <w:rPr>
          <w:rStyle w:val="FootnoteAnchor"/>
          <w:rtl w:val="true"/>
        </w:rPr>
        <w:footnoteReference w:id="3187"/>
      </w:r>
      <w:r>
        <w:rPr>
          <w:rFonts w:ascii="Amiri" w:hAnsi="Amiri" w:eastAsia="Amiri" w:cs="Amiri"/>
          <w:color w:val="111111"/>
          <w:sz w:val="28"/>
          <w:sz w:val="28"/>
          <w:szCs w:val="28"/>
          <w:rtl w:val="true"/>
          <w:lang w:bidi="ar-SA"/>
        </w:rPr>
        <w:t>عن أبي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دَخَلَ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الْخِتَانَانِ وَجَبَ المهرُ وَ الْعِدَّةُ </w:t>
      </w:r>
      <w:r>
        <w:rPr>
          <w:rFonts w:eastAsia="Amiri" w:cs="Amiri" w:ascii="Amiri" w:hAnsi="Amiri"/>
          <w:color w:val="111111"/>
          <w:sz w:val="28"/>
          <w:szCs w:val="28"/>
          <w:rtl w:val="true"/>
          <w:lang w:bidi="ar-SA"/>
        </w:rPr>
        <w:t xml:space="preserve">) </w:t>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مع تكثرها و تكررها في الأصول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وجوب العدة بالإدخال و التقاء الختانين، و ذلك عام في كل نكاح و سفاح، و إن وقع السؤال في أكثرها عن النكاح الشرعي إلا أن الجواب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عموم فيها بالنظر إلى الوضع </w:t>
      </w:r>
      <w:r>
        <w:rPr>
          <w:rStyle w:val="FootnoteAnchor"/>
          <w:rtl w:val="true"/>
        </w:rPr>
        <w:footnoteReference w:id="3189"/>
      </w:r>
      <w:r>
        <w:rPr>
          <w:rFonts w:ascii="Amiri" w:hAnsi="Amiri" w:eastAsia="Amiri" w:cs="Amiri"/>
          <w:color w:val="111111"/>
          <w:sz w:val="28"/>
          <w:sz w:val="28"/>
          <w:szCs w:val="28"/>
          <w:rtl w:val="true"/>
          <w:lang w:bidi="ar-SA"/>
        </w:rPr>
        <w:t xml:space="preserve">اللغوي،لكنها </w:t>
      </w:r>
      <w:r>
        <w:rPr>
          <w:rStyle w:val="FootnoteAnchor"/>
          <w:rtl w:val="true"/>
        </w:rPr>
        <w:footnoteReference w:id="3190"/>
      </w:r>
      <w:r>
        <w:rPr>
          <w:rFonts w:ascii="Amiri" w:hAnsi="Amiri" w:eastAsia="Amiri" w:cs="Amiri"/>
          <w:color w:val="111111"/>
          <w:sz w:val="28"/>
          <w:sz w:val="28"/>
          <w:szCs w:val="28"/>
          <w:rtl w:val="true"/>
          <w:lang w:bidi="ar-SA"/>
        </w:rPr>
        <w:t xml:space="preserve">مما تدل على العموم عرفا بل شرعًا كما حققه جماعة منهم الشيخ محمد بن الشيخ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Style w:val="FootnoteAnchor"/>
          <w:rtl w:val="true"/>
        </w:rPr>
        <w:footnoteReference w:id="3191"/>
      </w:r>
      <w:r>
        <w:rPr>
          <w:rFonts w:ascii="Amiri" w:hAnsi="Amiri" w:eastAsia="Amiri" w:cs="Amiri"/>
          <w:color w:val="111111"/>
          <w:sz w:val="28"/>
          <w:sz w:val="28"/>
          <w:szCs w:val="28"/>
          <w:rtl w:val="true"/>
          <w:lang w:bidi="ar-SA"/>
        </w:rPr>
        <w:t xml:space="preserve">وجدي الشيخ سليمان في رسالة الجمعة والشهيد الثاني </w:t>
      </w:r>
      <w:r>
        <w:rPr>
          <w:rStyle w:val="FootnoteAnchor"/>
          <w:rtl w:val="true"/>
        </w:rPr>
        <w:footnoteReference w:id="319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تأمل الشرطيات المسوّرة بها في كلام الشارع و العرف العام عرف منها ذلك، فتكون عامة في الحائل و الحامل و من هنا استوجهه الكاشي في</w:t>
      </w:r>
      <w:r>
        <w:rPr>
          <w:rFonts w:eastAsia="Amiri" w:cs="Amiri" w:ascii="Amiri" w:hAnsi="Amiri"/>
          <w:color w:val="111111"/>
          <w:sz w:val="28"/>
          <w:szCs w:val="28"/>
          <w:rtl w:val="true"/>
          <w:lang w:bidi="ar-SA"/>
        </w:rPr>
        <w:t xml:space="preserve">. </w:t>
      </w:r>
      <w:bookmarkStart w:id="268" w:name="pg2523_40072"/>
    </w:p>
    <w:p>
      <w:pPr>
        <w:pStyle w:val="BookText"/>
        <w:rPr/>
      </w:pPr>
      <w:bookmarkEnd w:id="268"/>
      <w:r>
        <w:rPr>
          <w:rFonts w:ascii="Amiri" w:hAnsi="Amiri" w:eastAsia="Amiri" w:cs="Amiri"/>
          <w:color w:val="111111"/>
          <w:sz w:val="28"/>
          <w:sz w:val="28"/>
          <w:szCs w:val="28"/>
          <w:rtl w:val="true"/>
          <w:lang w:bidi="ar-SA"/>
        </w:rPr>
        <w:t xml:space="preserve">المفاتيح </w:t>
      </w:r>
      <w:r>
        <w:rPr>
          <w:rStyle w:val="FootnoteAnchor"/>
          <w:rtl w:val="true"/>
        </w:rPr>
        <w:footnoteReference w:id="3193"/>
      </w:r>
      <w:r>
        <w:rPr>
          <w:rFonts w:ascii="Amiri" w:hAnsi="Amiri" w:eastAsia="Amiri" w:cs="Amiri"/>
          <w:color w:val="111111"/>
          <w:sz w:val="28"/>
          <w:sz w:val="28"/>
          <w:szCs w:val="28"/>
          <w:rtl w:val="true"/>
          <w:lang w:bidi="ar-SA"/>
        </w:rPr>
        <w:t xml:space="preserve">و إن كان خصه بالحائل في النخبة </w:t>
      </w:r>
      <w:r>
        <w:rPr>
          <w:rStyle w:val="FootnoteAnchor"/>
          <w:rtl w:val="true"/>
        </w:rPr>
        <w:footnoteReference w:id="3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التعليل في حديث تحف العقول، و إن كان انطباقه على الحائل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العدة من الزنا هو الظاهر من النصوص، فالعمل عليه متجه، و الاعتداد بما اشتهر في مقابلتها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264986_3804643083"/>
      <w:bookmarkStart w:id="270" w:name="_Toc91"/>
      <w:bookmarkEnd w:id="269"/>
      <w:r>
        <w:rPr>
          <w:rtl w:val="true"/>
        </w:rPr>
        <w:t>و أما المسألة الثالثة</w:t>
      </w:r>
      <w:bookmarkEnd w:id="270"/>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3195"/>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أعني ترتب </w:t>
      </w:r>
      <w:r>
        <w:rPr>
          <w:rStyle w:val="FootnoteAnchor"/>
          <w:rtl w:val="true"/>
        </w:rPr>
        <w:footnoteReference w:id="3196"/>
      </w:r>
      <w:r>
        <w:rPr>
          <w:rFonts w:ascii="Amiri" w:hAnsi="Amiri" w:eastAsia="Amiri" w:cs="Amiri"/>
          <w:color w:val="111111"/>
          <w:sz w:val="28"/>
          <w:sz w:val="28"/>
          <w:szCs w:val="28"/>
          <w:rtl w:val="true"/>
          <w:lang w:bidi="ar-SA"/>
        </w:rPr>
        <w:t>ذلك التحريم المؤبد على الزنا بكل 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نقف على من ذهب إلى ذلك، بل قد عرفت أن موضع الوفاق </w:t>
      </w:r>
      <w:r>
        <w:rPr>
          <w:rStyle w:val="FootnoteAnchor"/>
          <w:rtl w:val="true"/>
        </w:rPr>
        <w:footnoteReference w:id="3197"/>
      </w:r>
      <w:r>
        <w:rPr>
          <w:rFonts w:ascii="Amiri" w:hAnsi="Amiri" w:eastAsia="Amiri" w:cs="Amiri"/>
          <w:color w:val="111111"/>
          <w:sz w:val="28"/>
          <w:sz w:val="28"/>
          <w:szCs w:val="28"/>
          <w:rtl w:val="true"/>
          <w:lang w:bidi="ar-SA"/>
        </w:rPr>
        <w:t xml:space="preserve">هي العدة الرجعية إذا كان الناكح لها غير زوجها، بل صرح جماعة من علمائنا أن المشهور بين الأصحاب الزنا بذات العدة غير الرجعية هو عدم التحريم المؤبد </w:t>
      </w:r>
      <w:r>
        <w:rPr>
          <w:rStyle w:val="FootnoteAnchor"/>
          <w:rtl w:val="true"/>
        </w:rPr>
        <w:footnoteReference w:id="319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الكاشي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به الزاني </w:t>
      </w:r>
      <w:r>
        <w:rPr>
          <w:rStyle w:val="FootnoteAnchor"/>
          <w:rtl w:val="true"/>
        </w:rPr>
        <w:footnoteReference w:id="3199"/>
      </w:r>
      <w:r>
        <w:rPr>
          <w:rFonts w:ascii="Amiri" w:hAnsi="Amiri" w:eastAsia="Amiri" w:cs="Amiri"/>
          <w:color w:val="111111"/>
          <w:sz w:val="28"/>
          <w:sz w:val="28"/>
          <w:szCs w:val="28"/>
          <w:rtl w:val="true"/>
          <w:lang w:bidi="ar-SA"/>
        </w:rPr>
        <w:t xml:space="preserve">بذات العدة البائنة و عدة الوفاة؛ للأصل </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السيد المحقق الأوّاه في شرح النخبة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ومحل الإجماع المنقول في </w:t>
      </w:r>
      <w:r>
        <w:rPr>
          <w:rStyle w:val="FootnoteAnchor"/>
          <w:rtl w:val="true"/>
        </w:rPr>
        <w:footnoteReference w:id="3201"/>
      </w:r>
      <w:r>
        <w:rPr>
          <w:rFonts w:ascii="Amiri" w:hAnsi="Amiri" w:eastAsia="Amiri" w:cs="Amiri"/>
          <w:color w:val="111111"/>
          <w:sz w:val="28"/>
          <w:sz w:val="28"/>
          <w:szCs w:val="28"/>
          <w:rtl w:val="true"/>
          <w:lang w:bidi="ar-SA"/>
        </w:rPr>
        <w:t xml:space="preserve">المعتدة ما لو كانت العدة رجعية، أما البائنة و عدة الوفاة فالمشهور العمل فيها </w:t>
      </w:r>
      <w:r>
        <w:rPr>
          <w:rStyle w:val="FootnoteAnchor"/>
          <w:rtl w:val="true"/>
        </w:rPr>
        <w:footnoteReference w:id="3202"/>
      </w:r>
      <w:r>
        <w:rPr>
          <w:rFonts w:ascii="Amiri" w:hAnsi="Amiri" w:eastAsia="Amiri" w:cs="Amiri"/>
          <w:color w:val="111111"/>
          <w:sz w:val="28"/>
          <w:sz w:val="28"/>
          <w:szCs w:val="28"/>
          <w:rtl w:val="true"/>
          <w:lang w:bidi="ar-SA"/>
        </w:rPr>
        <w:t xml:space="preserve">بالأصل، و استقرب في التحرير </w:t>
      </w:r>
      <w:r>
        <w:rPr>
          <w:rStyle w:val="FootnoteAnchor"/>
          <w:rtl w:val="true"/>
        </w:rPr>
        <w:footnoteReference w:id="3203"/>
      </w:r>
      <w:r>
        <w:rPr>
          <w:rFonts w:ascii="IRNazanin" w:hAnsi="IRNazanin" w:eastAsia="IRNazanin"/>
          <w:color w:val="111111"/>
          <w:sz w:val="28"/>
          <w:sz w:val="28"/>
          <w:szCs w:val="28"/>
          <w:rtl w:val="true"/>
          <w:lang w:bidi="fa-IR"/>
        </w:rPr>
        <w:t xml:space="preserve">إلحاقها </w:t>
      </w:r>
      <w:r>
        <w:rPr>
          <w:rStyle w:val="FootnoteAnchor"/>
          <w:rtl w:val="true"/>
        </w:rPr>
        <w:footnoteReference w:id="3204"/>
      </w:r>
      <w:r>
        <w:rPr>
          <w:rFonts w:ascii="Amiri" w:hAnsi="Amiri" w:eastAsia="Amiri" w:cs="Amiri"/>
          <w:color w:val="111111"/>
          <w:sz w:val="28"/>
          <w:sz w:val="28"/>
          <w:szCs w:val="28"/>
          <w:rtl w:val="true"/>
          <w:lang w:bidi="ar-SA"/>
        </w:rPr>
        <w:t>بالرجعية</w:t>
      </w:r>
      <w:r>
        <w:rPr>
          <w:rFonts w:eastAsia="Amiri" w:cs="Amiri" w:ascii="Amiri" w:hAnsi="Amiri"/>
          <w:color w:val="111111"/>
          <w:sz w:val="28"/>
          <w:szCs w:val="28"/>
          <w:rtl w:val="true"/>
          <w:lang w:bidi="ar-SA"/>
        </w:rPr>
        <w:t xml:space="preserve">» </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السند السيد محمد في شرح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ذات العدة الرجعية زوجة بخلاف البائن،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زنا بذات العدة البائن</w:t>
      </w:r>
      <w:r>
        <w:rPr>
          <w:rFonts w:eastAsia="Amiri" w:cs="Amiri" w:ascii="Amiri" w:hAnsi="Amiri"/>
          <w:color w:val="111111"/>
          <w:sz w:val="28"/>
          <w:szCs w:val="28"/>
          <w:rtl w:val="true"/>
          <w:lang w:bidi="ar-SA"/>
        </w:rPr>
        <w:t xml:space="preserve">] </w:t>
      </w:r>
      <w:r>
        <w:rPr>
          <w:rStyle w:val="FootnoteAnchor"/>
          <w:rtl w:val="true"/>
        </w:rPr>
        <w:footnoteReference w:id="3206"/>
      </w:r>
      <w:r>
        <w:rPr>
          <w:rFonts w:ascii="Amiri" w:hAnsi="Amiri" w:eastAsia="Amiri" w:cs="Amiri"/>
          <w:color w:val="111111"/>
          <w:sz w:val="28"/>
          <w:sz w:val="28"/>
          <w:szCs w:val="28"/>
          <w:rtl w:val="true"/>
          <w:lang w:bidi="ar-SA"/>
        </w:rPr>
        <w:t>لم تحرم عليه؛ للأصل،و اختصاص النص بمن تزوج بالمرأة في العدة</w:t>
      </w:r>
      <w:r>
        <w:rPr>
          <w:rFonts w:eastAsia="Amiri" w:cs="Amiri" w:ascii="Amiri" w:hAnsi="Amiri"/>
          <w:color w:val="111111"/>
          <w:sz w:val="28"/>
          <w:szCs w:val="28"/>
          <w:rtl w:val="true"/>
          <w:lang w:bidi="ar-SA"/>
        </w:rPr>
        <w:t xml:space="preserve">» </w:t>
      </w:r>
      <w:r>
        <w:rPr>
          <w:rStyle w:val="FootnoteAnchor"/>
          <w:rtl w:val="true"/>
        </w:rPr>
        <w:footnoteReference w:id="3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نَقَلَ عن العلامة في التحرير من إلحاق البائن بالرجعية </w:t>
      </w:r>
      <w:r>
        <w:rPr>
          <w:rStyle w:val="FootnoteAnchor"/>
          <w:rtl w:val="true"/>
        </w:rPr>
        <w:footnoteReference w:id="3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سبيل القطع بل على سبيل التقريب؛ لأنه قال في كتابه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زنا بذات عدة بائن أو عدة 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أنها </w:t>
      </w:r>
      <w:r>
        <w:rPr>
          <w:rStyle w:val="FootnoteAnchor"/>
          <w:rtl w:val="true"/>
        </w:rPr>
        <w:footnoteReference w:id="3209"/>
      </w:r>
      <w:r>
        <w:rPr>
          <w:rFonts w:ascii="Amiri" w:hAnsi="Amiri" w:eastAsia="Amiri" w:cs="Amiri"/>
          <w:color w:val="111111"/>
          <w:sz w:val="28"/>
          <w:sz w:val="28"/>
          <w:szCs w:val="28"/>
          <w:rtl w:val="true"/>
          <w:lang w:bidi="ar-SA"/>
        </w:rPr>
        <w:t>لا تحرم عليه ؛ عملا بالأصل، و ليس لأصحابنا في ذلك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قلناه من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التحريم مع العلم؛ لأنا </w:t>
      </w:r>
      <w:r>
        <w:rPr>
          <w:rStyle w:val="FootnoteAnchor"/>
          <w:rtl w:val="true"/>
        </w:rPr>
        <w:footnoteReference w:id="3210"/>
      </w:r>
      <w:r>
        <w:rPr>
          <w:rFonts w:ascii="Amiri" w:hAnsi="Amiri" w:eastAsia="Amiri" w:cs="Amiri"/>
          <w:color w:val="111111"/>
          <w:sz w:val="28"/>
          <w:sz w:val="28"/>
          <w:szCs w:val="28"/>
          <w:rtl w:val="true"/>
          <w:lang w:bidi="ar-SA"/>
        </w:rPr>
        <w:t>قد بينا ثبوته مع العقد، فمع التجرد عنه 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أقرب</w:t>
      </w:r>
      <w:r>
        <w:rPr>
          <w:rFonts w:eastAsia="IRNazanin" w:cs="IRNazanin"/>
          <w:color w:val="111111"/>
          <w:sz w:val="28"/>
          <w:szCs w:val="28"/>
          <w:rtl w:val="true"/>
          <w:lang w:bidi="fa-IR"/>
        </w:rPr>
        <w:t xml:space="preserve">» </w:t>
      </w:r>
      <w:r>
        <w:rPr>
          <w:rStyle w:val="FootnoteAnchor"/>
          <w:rtl w:val="true"/>
        </w:rPr>
        <w:footnoteReference w:id="3211"/>
      </w:r>
      <w:r>
        <w:rPr>
          <w:rFonts w:ascii="Amiri" w:hAnsi="Amiri" w:eastAsia="Amiri" w:cs="Amiri"/>
          <w:color w:val="111111"/>
          <w:sz w:val="28"/>
          <w:sz w:val="28"/>
          <w:szCs w:val="28"/>
          <w:rtl w:val="true"/>
          <w:lang w:bidi="ar-SA"/>
        </w:rPr>
        <w:t>،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فيما قلناه لا غبار عليه، و الاستدلال بطريق الأولوية قد عرفت ما فيه، سيما في مقامات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السيد السند السيد محمد في الشرح </w:t>
      </w:r>
      <w:r>
        <w:rPr>
          <w:rStyle w:val="FootnoteAnchor"/>
          <w:rtl w:val="true"/>
        </w:rPr>
        <w:footnoteReference w:id="3212"/>
      </w:r>
      <w:r>
        <w:rPr>
          <w:rFonts w:ascii="Amiri" w:hAnsi="Amiri" w:eastAsia="Amiri" w:cs="Amiri"/>
          <w:color w:val="111111"/>
          <w:sz w:val="28"/>
          <w:sz w:val="28"/>
          <w:szCs w:val="28"/>
          <w:rtl w:val="true"/>
          <w:lang w:bidi="ar-SA"/>
        </w:rPr>
        <w:t xml:space="preserve">المزبور بعد نقله ذلك عنه </w:t>
      </w:r>
      <w:r>
        <w:rPr>
          <w:rStyle w:val="FootnoteAnchor"/>
          <w:rtl w:val="true"/>
        </w:rPr>
        <w:footnoteReference w:id="3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الأولوية نظر تقدم تقريره غير مرة</w:t>
      </w:r>
      <w:r>
        <w:rPr>
          <w:rFonts w:eastAsia="Amiri" w:cs="Amiri" w:ascii="Amiri" w:hAnsi="Amiri"/>
          <w:color w:val="111111"/>
          <w:sz w:val="28"/>
          <w:szCs w:val="28"/>
          <w:rtl w:val="true"/>
          <w:lang w:bidi="ar-SA"/>
        </w:rPr>
        <w:t xml:space="preserve">» </w:t>
      </w:r>
      <w:r>
        <w:rPr>
          <w:rStyle w:val="FootnoteAnchor"/>
          <w:rtl w:val="true"/>
        </w:rPr>
        <w:footnoteReference w:id="3214"/>
      </w:r>
      <w:r>
        <w:rPr>
          <w:rFonts w:ascii="Amiri" w:hAnsi="Amiri" w:eastAsia="Amiri" w:cs="Amiri"/>
          <w:color w:val="111111"/>
          <w:sz w:val="28"/>
          <w:sz w:val="28"/>
          <w:szCs w:val="28"/>
          <w:rtl w:val="true"/>
          <w:lang w:bidi="ar-SA"/>
        </w:rPr>
        <w:t xml:space="preserve">، و الذي تقدم منه في إلحاق ذات البعل المعتدة في التحريم بالتزويج بناء على أن الدليل هو الإلحاق منع الأولوية بأنها إنما تثبت إذا ثبت التعليل، و هو غير ثابت هنا، و من الجائز اختصاص المعتدة لمزية </w:t>
      </w:r>
      <w:r>
        <w:rPr>
          <w:rStyle w:val="FootnoteAnchor"/>
          <w:rtl w:val="true"/>
        </w:rPr>
        <w:footnoteReference w:id="3215"/>
      </w:r>
      <w:r>
        <w:rPr>
          <w:rFonts w:ascii="Amiri" w:hAnsi="Amiri" w:eastAsia="Amiri" w:cs="Amiri"/>
          <w:color w:val="111111"/>
          <w:sz w:val="28"/>
          <w:sz w:val="28"/>
          <w:szCs w:val="28"/>
          <w:rtl w:val="true"/>
          <w:lang w:bidi="ar-SA"/>
        </w:rPr>
        <w:t>اقتضت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الإلحاق لا يخرج عن القياس، فكيف يجوز أن يكون لهذه الأحكام كالأساس؟</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حيث إن الدليل الذي أخذنا به في الزنا بذات البعل و العدة الرجعية هی الأخبار التي ذكرها السيد المرتضى في الانتصار في المسألتين المذكورتين كما هو معتمد الحر العاملي في الوسائل، و قد عرفت صراحتها في العدة الرجعية التي هي محل الإجماع المدعى </w:t>
      </w:r>
      <w:r>
        <w:rPr>
          <w:rStyle w:val="FootnoteAnchor"/>
          <w:rtl w:val="true"/>
        </w:rPr>
        <w:footnoteReference w:id="3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لتعدية الحكم إلى </w:t>
      </w:r>
      <w:r>
        <w:rPr>
          <w:rStyle w:val="FootnoteAnchor"/>
          <w:rtl w:val="true"/>
        </w:rPr>
        <w:footnoteReference w:id="3217"/>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العِدَد حتى يتجشم هذا التلميذ الحكم في العدة من الزنا، مع أنك قد عرفت الكلام في أصل ثبوتها، و على تقدير ثبوتها فهي عدة بائنة، و قد ظهر مما تقدم أن محل النص هي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فانكشف لك أن المزني بها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غير ذات بعل و لا عدة 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يتطرق لها التحريم المؤبد، و أن هذا الحكم ممن قد نقلت عنه </w:t>
      </w:r>
      <w:r>
        <w:rPr>
          <w:rStyle w:val="FootnoteAnchor"/>
          <w:rtl w:val="true"/>
        </w:rPr>
        <w:footnoteReference w:id="3218"/>
      </w:r>
      <w:r>
        <w:rPr>
          <w:rFonts w:ascii="Amiri" w:hAnsi="Amiri" w:eastAsia="Amiri" w:cs="Amiri"/>
          <w:color w:val="111111"/>
          <w:sz w:val="28"/>
          <w:sz w:val="28"/>
          <w:szCs w:val="28"/>
          <w:rtl w:val="true"/>
          <w:lang w:bidi="ar-SA"/>
        </w:rPr>
        <w:t xml:space="preserve">شبهة عرضت له؛ ظنا منه أن النص و الفتوى علة في كل عدة، و ليس فليس، بل هذا الفرد داخل في حكم الأخبار التي قدمنا </w:t>
      </w:r>
      <w:r>
        <w:rPr>
          <w:rStyle w:val="FootnoteAnchor"/>
          <w:rtl w:val="true"/>
        </w:rPr>
        <w:footnoteReference w:id="3219"/>
      </w:r>
      <w:r>
        <w:rPr>
          <w:rFonts w:ascii="Amiri" w:hAnsi="Amiri" w:eastAsia="Amiri" w:cs="Amiri"/>
          <w:color w:val="111111"/>
          <w:sz w:val="28"/>
          <w:sz w:val="28"/>
          <w:szCs w:val="28"/>
          <w:rtl w:val="true"/>
          <w:lang w:bidi="ar-SA"/>
        </w:rPr>
        <w:t>، الحاكمة بالحل في كل امرأة مزني بها إلا ما أخرجه الدليل، و ليس هنا منه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يتجه ذلك على مذهب العلامة في التحرير من اعتبار الإلحاق بطريق الأولوية، و لكن قد عرفت أن البرهان قائم على أن الاعتداد بهذا الإلحاق في أحكام الله تعالى سيّما في التحريم الذي يحتاج إلى نص ناص عليه، فالاعتماد هو التحليل، و الله الهادي إلى سواء السبيل</w:t>
      </w:r>
      <w:r>
        <w:rPr>
          <w:rFonts w:eastAsia="Amiri" w:cs="Amiri" w:ascii="Amiri" w:hAnsi="Amiri"/>
          <w:color w:val="111111"/>
          <w:sz w:val="28"/>
          <w:szCs w:val="28"/>
          <w:rtl w:val="true"/>
          <w:lang w:bidi="ar-SA"/>
        </w:rPr>
        <w:t xml:space="preserve">. . </w:t>
      </w:r>
      <w:bookmarkStart w:id="271" w:name="pg2523_40076"/>
    </w:p>
    <w:p>
      <w:pPr>
        <w:pStyle w:val="Heading2"/>
        <w:numPr>
          <w:ilvl w:val="1"/>
          <w:numId w:val="1"/>
        </w:numPr>
        <w:rPr/>
      </w:pPr>
      <w:bookmarkStart w:id="272" w:name="__RefHeading___Toc4264988_3804643083"/>
      <w:bookmarkStart w:id="273" w:name="_Toc92"/>
      <w:bookmarkEnd w:id="271"/>
      <w:bookmarkEnd w:id="272"/>
      <w:r>
        <w:rPr>
          <w:rtl w:val="true"/>
        </w:rPr>
        <w:t xml:space="preserve">المسألة الثانية عشرة </w:t>
      </w:r>
      <w:r>
        <w:rPr>
          <w:rtl w:val="true"/>
        </w:rPr>
        <w:t>: [</w:t>
      </w:r>
      <w:r>
        <w:rPr>
          <w:rtl w:val="true"/>
        </w:rPr>
        <w:t>الاختلاف في الدين المرخص فيه و المحظور</w:t>
      </w:r>
      <w:r>
        <w:rPr>
          <w:rtl w:val="true"/>
        </w:rPr>
        <w:t>]</w:t>
      </w:r>
      <w:bookmarkEnd w:id="273"/>
    </w:p>
    <w:p>
      <w:pPr>
        <w:pStyle w:val="Heading3"/>
        <w:numPr>
          <w:ilvl w:val="2"/>
          <w:numId w:val="1"/>
        </w:numPr>
        <w:rPr/>
      </w:pPr>
      <w:bookmarkStart w:id="274" w:name="__RefHeading___Toc4264990_3804643083"/>
      <w:bookmarkStart w:id="275" w:name="_Toc93"/>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المسألة الثانية عشرة </w:t>
      </w:r>
      <w:r>
        <w:rPr>
          <w:rStyle w:val="FootnoteAnchor"/>
          <w:rtl w:val="true"/>
        </w:rPr>
        <w:footnoteReference w:id="3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الدين المرخص فيه و المحظور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ذكر المحدث المزبور في بعض كتابه المسطور بابًا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عدم جواز الاختلاف في الدين، و أن الحق لا يكون من الأقوال المختلفة إلا واحدًا في نفس الأمر</w:t>
      </w:r>
      <w:r>
        <w:rPr>
          <w:rFonts w:eastAsia="Amiri" w:cs="Amiri" w:ascii="Amiri" w:hAnsi="Amiri"/>
          <w:color w:val="111111"/>
          <w:sz w:val="28"/>
          <w:szCs w:val="28"/>
          <w:rtl w:val="true"/>
          <w:lang w:bidi="ar-SA"/>
        </w:rPr>
        <w:t xml:space="preserve">» </w:t>
      </w:r>
      <w:r>
        <w:rPr>
          <w:rStyle w:val="FootnoteAnchor"/>
          <w:rtl w:val="true"/>
        </w:rPr>
        <w:footnoteReference w:id="3221"/>
      </w:r>
      <w:r>
        <w:rPr>
          <w:rFonts w:ascii="Amiri" w:hAnsi="Amiri" w:eastAsia="Amiri" w:cs="Amiri"/>
          <w:color w:val="111111"/>
          <w:sz w:val="28"/>
          <w:sz w:val="28"/>
          <w:szCs w:val="28"/>
          <w:rtl w:val="true"/>
          <w:lang w:bidi="ar-SA"/>
        </w:rPr>
        <w:t>، و بهذا الباب استدل تلاميذه على أنه لا يجوز الاختلاف في 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w:t>
      </w:r>
      <w:r>
        <w:rPr>
          <w:rStyle w:val="FootnoteAnchor"/>
          <w:rtl w:val="true"/>
        </w:rPr>
        <w:footnoteReference w:id="3222"/>
      </w:r>
      <w:r>
        <w:rPr>
          <w:rFonts w:ascii="Amiri" w:hAnsi="Amiri" w:eastAsia="Amiri" w:cs="Amiri"/>
          <w:color w:val="111111"/>
          <w:sz w:val="28"/>
          <w:sz w:val="28"/>
          <w:szCs w:val="28"/>
          <w:rtl w:val="true"/>
          <w:lang w:bidi="ar-SA"/>
        </w:rPr>
        <w:t xml:space="preserve">بعد التتبع التام لكتاب الوسائل لم نقف على باب بهذا </w:t>
      </w:r>
      <w:r>
        <w:rPr>
          <w:rStyle w:val="FootnoteAnchor"/>
          <w:rtl w:val="true"/>
        </w:rPr>
        <w:footnoteReference w:id="3223"/>
      </w:r>
      <w:r>
        <w:rPr>
          <w:rFonts w:ascii="Amiri" w:hAnsi="Amiri" w:eastAsia="Amiri" w:cs="Amiri"/>
          <w:color w:val="111111"/>
          <w:sz w:val="28"/>
          <w:sz w:val="28"/>
          <w:szCs w:val="28"/>
          <w:rtl w:val="true"/>
          <w:lang w:bidi="ar-SA"/>
        </w:rPr>
        <w:t xml:space="preserve">العنوان، فلعله موجود في بعض نسخها القديمة أو الحادثة؛ لتعدد نسخها على اختلاف </w:t>
      </w:r>
      <w:bookmarkStart w:id="276" w:name="pg2523_40077"/>
    </w:p>
    <w:p>
      <w:pPr>
        <w:pStyle w:val="BookText"/>
        <w:rPr/>
      </w:pPr>
      <w:bookmarkEnd w:id="276"/>
      <w:r>
        <w:rPr>
          <w:rFonts w:ascii="Amiri" w:hAnsi="Amiri" w:eastAsia="Amiri" w:cs="Amiri"/>
          <w:color w:val="111111"/>
          <w:sz w:val="28"/>
          <w:sz w:val="28"/>
          <w:szCs w:val="28"/>
          <w:rtl w:val="true"/>
          <w:lang w:bidi="ar-SA"/>
        </w:rPr>
        <w:t xml:space="preserve">بينها في التأليف </w:t>
      </w:r>
      <w:r>
        <w:rPr>
          <w:rStyle w:val="FootnoteAnchor"/>
          <w:rtl w:val="true"/>
        </w:rPr>
        <w:footnoteReference w:id="3224"/>
      </w:r>
      <w:r>
        <w:rPr>
          <w:rFonts w:ascii="Amiri" w:hAnsi="Amiri" w:eastAsia="Amiri" w:cs="Amiri"/>
          <w:color w:val="111111"/>
          <w:sz w:val="28"/>
          <w:sz w:val="28"/>
          <w:szCs w:val="28"/>
          <w:rtl w:val="true"/>
          <w:lang w:bidi="ar-SA"/>
        </w:rPr>
        <w:t>، أو أنه مما زاغ عنه بصري وقت المطالعة و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الإغماض عن هذا كله و تحقق وجوده 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حجة على ما ادعاه هذا القائل من تلامذة الحر؛ إذ الاختلاف في الأحكام مما </w:t>
      </w:r>
      <w:r>
        <w:rPr>
          <w:rStyle w:val="FootnoteAnchor"/>
          <w:rtl w:val="true"/>
        </w:rPr>
        <w:footnoteReference w:id="3225"/>
      </w:r>
      <w:r>
        <w:rPr>
          <w:rFonts w:ascii="Amiri" w:hAnsi="Amiri" w:eastAsia="Amiri" w:cs="Amiri"/>
          <w:color w:val="111111"/>
          <w:sz w:val="28"/>
          <w:sz w:val="28"/>
          <w:szCs w:val="28"/>
          <w:rtl w:val="true"/>
          <w:lang w:bidi="ar-SA"/>
        </w:rPr>
        <w:t xml:space="preserve">قد جاء الإذن فيه في كثير من أحاديثنا، و قد حققنا محله في المسألة الثانية على وجه لا يدخله الشك و الارتياب و </w:t>
      </w:r>
      <w:r>
        <w:rPr>
          <w:rStyle w:val="FootnoteAnchor"/>
          <w:rtl w:val="true"/>
        </w:rPr>
        <w:footnoteReference w:id="3226"/>
      </w:r>
      <w:r>
        <w:rPr>
          <w:rFonts w:ascii="Amiri" w:hAnsi="Amiri" w:eastAsia="Amiri" w:cs="Amiri"/>
          <w:color w:val="111111"/>
          <w:sz w:val="28"/>
          <w:sz w:val="28"/>
          <w:szCs w:val="28"/>
          <w:rtl w:val="true"/>
          <w:lang w:bidi="ar-SA"/>
        </w:rPr>
        <w:t>لا تنافيه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دين الله تعالى و مسائله الفروعية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هو مرخص فيه، و منه ما هو ممنوع منه ، مذموم من سلكه، ملعون من اتبعه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264992_3804643083"/>
      <w:bookmarkStart w:id="278" w:name="_Toc94"/>
      <w:bookmarkEnd w:id="277"/>
      <w:r>
        <w:rPr>
          <w:rtl w:val="true"/>
        </w:rPr>
        <w:t>[</w:t>
      </w:r>
      <w:r>
        <w:rPr>
          <w:rtl w:val="true"/>
        </w:rPr>
        <w:t>الاختلاف المرخص فيه</w:t>
      </w:r>
      <w:r>
        <w:rPr>
          <w:rtl w:val="true"/>
        </w:rPr>
        <w:t>]</w:t>
      </w:r>
      <w:bookmarkEnd w:id="27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ناشئًا عن اختلاف الأخبار التي جاءت عنهم في المسألة و من فهم المراد منها، فقد أعطي كلّ </w:t>
      </w:r>
      <w:r>
        <w:rPr>
          <w:rStyle w:val="FootnoteAnchor"/>
          <w:rtl w:val="true"/>
        </w:rPr>
        <w:footnoteReference w:id="3227"/>
      </w:r>
      <w:r>
        <w:rPr>
          <w:rFonts w:ascii="IRNazanin" w:hAnsi="IRNazanin" w:eastAsia="IRNazanin"/>
          <w:color w:val="111111"/>
          <w:sz w:val="28"/>
          <w:sz w:val="28"/>
          <w:szCs w:val="28"/>
          <w:rtl w:val="true"/>
          <w:lang w:bidi="fa-IR"/>
        </w:rPr>
        <w:t xml:space="preserve">عقلا و إدراكا، و إن مراتب الناس و المكلّفين متفاوتة في هذه المقامات، حتى جاء في المستفيض عنهم علیهم السلام أنهم </w:t>
      </w:r>
      <w:r>
        <w:rPr>
          <w:rStyle w:val="FootnoteAnchor"/>
          <w:rtl w:val="true"/>
        </w:rPr>
        <w:footnoteReference w:id="3228"/>
      </w:r>
      <w:r>
        <w:rPr>
          <w:rFonts w:ascii="Amiri" w:hAnsi="Amiri" w:eastAsia="Amiri" w:cs="Amiri"/>
          <w:color w:val="111111"/>
          <w:sz w:val="28"/>
          <w:sz w:val="28"/>
          <w:szCs w:val="28"/>
          <w:rtl w:val="true"/>
          <w:lang w:bidi="ar-SA"/>
        </w:rPr>
        <w:t xml:space="preserve">مكلفون على قدر العقول في الفروع و الأصول </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هذا </w:t>
      </w:r>
      <w:r>
        <w:rPr>
          <w:rStyle w:val="FootnoteAnchor"/>
          <w:rtl w:val="true"/>
        </w:rPr>
        <w:footnoteReference w:id="3230"/>
      </w:r>
      <w:r>
        <w:rPr>
          <w:rFonts w:ascii="Amiri" w:hAnsi="Amiri" w:eastAsia="Amiri" w:cs="Amiri"/>
          <w:color w:val="111111"/>
          <w:sz w:val="28"/>
          <w:sz w:val="28"/>
          <w:szCs w:val="28"/>
          <w:rtl w:val="true"/>
          <w:lang w:bidi="ar-SA"/>
        </w:rPr>
        <w:t xml:space="preserve">الاختلاف منحصرا سببه في التقية كما ذهب إليه الفاضل الأسترآبادي في الفوائد المدنية </w:t>
      </w:r>
      <w:r>
        <w:rPr>
          <w:rStyle w:val="FootnoteAnchor"/>
          <w:rtl w:val="true"/>
        </w:rPr>
        <w:footnoteReference w:id="3231"/>
      </w:r>
      <w:r>
        <w:rPr>
          <w:rFonts w:ascii="Amiri" w:hAnsi="Amiri" w:eastAsia="Amiri" w:cs="Amiri"/>
          <w:color w:val="111111"/>
          <w:sz w:val="28"/>
          <w:sz w:val="28"/>
          <w:szCs w:val="28"/>
          <w:rtl w:val="true"/>
          <w:lang w:bidi="ar-SA"/>
        </w:rPr>
        <w:t xml:space="preserve">و تبعه من تبعه، و قد قدمنا برهان ذلك منه </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ينافي هذا ما جاء مستفيضًا عنهم علیهم السلام من أن حكم الله تعالى أمر واحد لا خلاف فيه؛ لأنه و إن كان الأمر كذلك، إلا أنه محجوب عنا في كثير من المسائل مخزون عند أهله و حملته لحكم و مصالح، فهم علیهم السلام تختلف أحكامهم في نفس الأمر لولا التقية و المصالح التي تتعلق بشيعتهم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التهذيب بسند معتبر </w:t>
      </w:r>
      <w:r>
        <w:rPr>
          <w:rStyle w:val="FootnoteAnchor"/>
          <w:rtl w:val="true"/>
        </w:rPr>
        <w:footnoteReference w:id="3233"/>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قَضَيْتُ بَيْنَ رَجُلَيْنِ بِقَضِيَّةٍ ثُمَّ عَادَا لِي مِنْ قَابِلِ لَمْ أَزِدْهَا عَلَى الْقَوْلِ الْأَوَّلِ؛ لأَنَّ الْحَقِّ لَم </w:t>
      </w:r>
      <w:r>
        <w:rPr>
          <w:rStyle w:val="FootnoteAnchor"/>
          <w:rtl w:val="true"/>
        </w:rPr>
        <w:footnoteReference w:id="3234"/>
      </w:r>
      <w:r>
        <w:rPr>
          <w:rFonts w:ascii="Amiri" w:hAnsi="Amiri" w:eastAsia="Amiri" w:cs="Amiri"/>
          <w:color w:val="111111"/>
          <w:sz w:val="28"/>
          <w:sz w:val="28"/>
          <w:szCs w:val="28"/>
          <w:rtl w:val="true"/>
          <w:lang w:bidi="ar-SA"/>
        </w:rPr>
        <w:t xml:space="preserve">يَتَغَيَّر </w:t>
      </w:r>
      <w:r>
        <w:rPr>
          <w:rStyle w:val="FootnoteAnchor"/>
          <w:rtl w:val="true"/>
        </w:rPr>
        <w:footnoteReference w:id="323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مجالس المفيد بإسناده عن الحسن بن ظريف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عَلِيًّا عَلیه السلام قَضَى بِقَضَاء </w:t>
      </w:r>
      <w:r>
        <w:rPr>
          <w:rStyle w:val="FootnoteAnchor"/>
          <w:rtl w:val="true"/>
        </w:rPr>
        <w:footnoteReference w:id="3236"/>
      </w:r>
      <w:r>
        <w:rPr>
          <w:rFonts w:ascii="Amiri" w:hAnsi="Amiri" w:eastAsia="Amiri" w:cs="Amiri"/>
          <w:color w:val="111111"/>
          <w:sz w:val="28"/>
          <w:sz w:val="28"/>
          <w:szCs w:val="28"/>
          <w:rtl w:val="true"/>
          <w:lang w:bidi="ar-SA"/>
        </w:rPr>
        <w:t>إِلا وَجَدْتُ لَهُ أَصْلًا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اخْتَصَمَ إِلَيَّ رَجُلَانِ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قَضَيْتُ </w:t>
      </w:r>
      <w:r>
        <w:rPr>
          <w:rStyle w:val="FootnoteAnchor"/>
          <w:rtl w:val="true"/>
        </w:rPr>
        <w:footnoteReference w:id="3237"/>
      </w:r>
      <w:r>
        <w:rPr>
          <w:rFonts w:ascii="Amiri" w:hAnsi="Amiri" w:eastAsia="Amiri" w:cs="Amiri"/>
          <w:color w:val="111111"/>
          <w:sz w:val="28"/>
          <w:sz w:val="28"/>
          <w:szCs w:val="28"/>
          <w:rtl w:val="true"/>
          <w:lang w:bidi="ar-SA"/>
        </w:rPr>
        <w:t xml:space="preserve">بَيْنَهُماَ ثُمَّ مَكَثا </w:t>
      </w:r>
      <w:r>
        <w:rPr>
          <w:rStyle w:val="FootnoteAnchor"/>
          <w:rtl w:val="true"/>
        </w:rPr>
        <w:footnoteReference w:id="3238"/>
      </w:r>
      <w:r>
        <w:rPr>
          <w:rFonts w:ascii="Amiri" w:hAnsi="Amiri" w:eastAsia="Amiri" w:cs="Amiri"/>
          <w:color w:val="111111"/>
          <w:sz w:val="28"/>
          <w:sz w:val="28"/>
          <w:szCs w:val="28"/>
          <w:rtl w:val="true"/>
          <w:lang w:bidi="ar-SA"/>
        </w:rPr>
        <w:t xml:space="preserve">أَحْوَالًا كَثِيرَةً، ثُمَّ أَتَيَانِي فِي ذَلِكَ الْأَمْرِلَقَضَيْتُ بَيْنَهُمَا قَضَاء وَاحدًا؛ لِأَنَّ </w:t>
      </w:r>
      <w:r>
        <w:rPr>
          <w:rStyle w:val="FootnoteAnchor"/>
          <w:rtl w:val="true"/>
        </w:rPr>
        <w:footnoteReference w:id="3239"/>
      </w:r>
      <w:r>
        <w:rPr>
          <w:rFonts w:ascii="Amiri" w:hAnsi="Amiri" w:eastAsia="Amiri" w:cs="Amiri"/>
          <w:color w:val="111111"/>
          <w:sz w:val="28"/>
          <w:sz w:val="28"/>
          <w:szCs w:val="28"/>
          <w:rtl w:val="true"/>
          <w:lang w:bidi="ar-SA"/>
        </w:rPr>
        <w:t>الْقَضَاءَ لَا يُحوّلُ وَ لَا يَزُولُ أَبَدا</w:t>
      </w:r>
      <w:r>
        <w:rPr>
          <w:rFonts w:eastAsia="Amiri" w:cs="Amiri" w:ascii="Amiri" w:hAnsi="Amiri"/>
          <w:color w:val="111111"/>
          <w:sz w:val="28"/>
          <w:szCs w:val="28"/>
          <w:rtl w:val="true"/>
          <w:lang w:bidi="ar-SA"/>
        </w:rPr>
        <w:t xml:space="preserve">» </w:t>
      </w:r>
      <w:r>
        <w:rPr>
          <w:rStyle w:val="FootnoteAnchor"/>
          <w:rtl w:val="true"/>
        </w:rPr>
        <w:footnoteReference w:id="3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على علیه السلام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عِبَادَ اللهِ أَنَّ الْمُؤْمِنَ يَسْتَحِلُّ الْعَامَ مَا اسْتُحِلَّ عَامَ </w:t>
      </w:r>
      <w:r>
        <w:rPr>
          <w:rStyle w:val="FootnoteAnchor"/>
          <w:rtl w:val="true"/>
        </w:rPr>
        <w:footnoteReference w:id="3241"/>
      </w:r>
      <w:r>
        <w:rPr>
          <w:rFonts w:ascii="Amiri" w:hAnsi="Amiri" w:eastAsia="Amiri" w:cs="Amiri"/>
          <w:color w:val="111111"/>
          <w:sz w:val="28"/>
          <w:sz w:val="28"/>
          <w:szCs w:val="28"/>
          <w:rtl w:val="true"/>
          <w:lang w:bidi="ar-SA"/>
        </w:rPr>
        <w:t xml:space="preserve">أَوَّلِ، وَ يُحَرِّمُ الْعَامَ مَا حَرُمَ عَامَ </w:t>
      </w:r>
      <w:r>
        <w:rPr>
          <w:rStyle w:val="FootnoteAnchor"/>
          <w:rtl w:val="true"/>
        </w:rPr>
        <w:footnoteReference w:id="3242"/>
      </w:r>
      <w:r>
        <w:rPr>
          <w:rFonts w:ascii="Amiri" w:hAnsi="Amiri" w:eastAsia="Amiri" w:cs="Amiri"/>
          <w:color w:val="111111"/>
          <w:sz w:val="28"/>
          <w:sz w:val="28"/>
          <w:szCs w:val="28"/>
          <w:rtl w:val="true"/>
          <w:lang w:bidi="ar-SA"/>
        </w:rPr>
        <w:t xml:space="preserve">أَوَّلٍ، وَ إِنَّ مَا أَحْدَثَ النَّاسُ لَا يَحِلَّ لَكُمْ شَيْئًا مِمَّا حَرُمَ عَلَيْكُمْ، وَ لَكِنَّ الحَلَالَ مَا أَحَلَّ اللهُ وَ الحَرَامُ مَا حَرَّم الله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الْحَرَامِ وَ الْحَلَالِ </w:t>
      </w:r>
      <w:r>
        <w:rPr>
          <w:rStyle w:val="FootnoteAnchor"/>
          <w:rtl w:val="true"/>
        </w:rPr>
        <w:footnoteReference w:id="324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Style w:val="FootnoteAnchor"/>
          <w:rtl w:val="true"/>
        </w:rPr>
        <w:footnoteReference w:id="3246"/>
      </w:r>
      <w:r>
        <w:rPr>
          <w:rFonts w:ascii="Amiri" w:hAnsi="Amiri" w:eastAsia="Amiri" w:cs="Amiri"/>
          <w:color w:val="111111"/>
          <w:sz w:val="28"/>
          <w:sz w:val="28"/>
          <w:szCs w:val="28"/>
          <w:rtl w:val="true"/>
          <w:lang w:bidi="ar-SA"/>
        </w:rPr>
        <w:t xml:space="preserve">إِلَى يَوْمِ الْقِيَامَةِ، وَ حَرَامُهُ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Style w:val="FootnoteAnchor"/>
          <w:rtl w:val="true"/>
        </w:rPr>
        <w:footnoteReference w:id="3247"/>
      </w:r>
      <w:r>
        <w:rPr>
          <w:rFonts w:ascii="Amiri" w:hAnsi="Amiri" w:eastAsia="Amiri" w:cs="Amiri"/>
          <w:color w:val="111111"/>
          <w:sz w:val="28"/>
          <w:sz w:val="28"/>
          <w:szCs w:val="28"/>
          <w:rtl w:val="true"/>
          <w:lang w:bidi="ar-SA"/>
        </w:rPr>
        <w:t xml:space="preserve">إِلَى يَوْمِ الْقِيَامَةِ </w:t>
      </w:r>
      <w:r>
        <w:rPr>
          <w:rStyle w:val="FootnoteAnchor"/>
          <w:rtl w:val="true"/>
        </w:rPr>
        <w:footnoteReference w:id="3248"/>
      </w:r>
      <w:r>
        <w:rPr>
          <w:rFonts w:ascii="Amiri" w:hAnsi="Amiri" w:eastAsia="Amiri" w:cs="Amiri"/>
          <w:color w:val="111111"/>
          <w:sz w:val="28"/>
          <w:sz w:val="28"/>
          <w:szCs w:val="28"/>
          <w:rtl w:val="true"/>
          <w:lang w:bidi="ar-SA"/>
        </w:rPr>
        <w:t>، لَا يَكُونُ غَيْرُهُ وَ لَا يَجيءُ غَيْرُهُ</w:t>
      </w:r>
      <w:r>
        <w:rPr>
          <w:rFonts w:eastAsia="Amiri" w:cs="Amiri" w:ascii="Amiri" w:hAnsi="Amiri"/>
          <w:color w:val="111111"/>
          <w:sz w:val="28"/>
          <w:szCs w:val="28"/>
          <w:rtl w:val="true"/>
          <w:lang w:bidi="ar-SA"/>
        </w:rPr>
        <w:t xml:space="preserve">» </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نهج البلاغة من كلام له علیه السلام في ذكر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 بِهِ </w:t>
      </w:r>
      <w:r>
        <w:rPr>
          <w:rStyle w:val="FootnoteAnchor"/>
          <w:rtl w:val="true"/>
        </w:rPr>
        <w:footnoteReference w:id="3250"/>
      </w:r>
      <w:r>
        <w:rPr>
          <w:rFonts w:ascii="Amiri" w:hAnsi="Amiri" w:eastAsia="Amiri" w:cs="Amiri"/>
          <w:color w:val="111111"/>
          <w:sz w:val="28"/>
          <w:sz w:val="28"/>
          <w:szCs w:val="28"/>
          <w:rtl w:val="true"/>
          <w:lang w:bidi="ar-SA"/>
        </w:rPr>
        <w:t xml:space="preserve">نُوْرَهُ، وَ أَكْمَلَ بِهِ دِيْنَهُ، وَقَبَضَ نَبِيَّهُ صلى الله عليه و آله و سلم وَ قَدْ فَرَغَ إِلَى الْخَلْقِ مِنْ أَحْكَامِ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فَعَظَمُوْا مِنْهُ سُبْحَانَهُ مَا عَظَمَ </w:t>
      </w:r>
      <w:r>
        <w:rPr>
          <w:rStyle w:val="FootnoteAnchor"/>
          <w:rtl w:val="true"/>
        </w:rPr>
        <w:footnoteReference w:id="3252"/>
      </w:r>
      <w:r>
        <w:rPr>
          <w:rFonts w:ascii="Amiri" w:hAnsi="Amiri" w:eastAsia="Amiri" w:cs="Amiri"/>
          <w:color w:val="111111"/>
          <w:sz w:val="28"/>
          <w:sz w:val="28"/>
          <w:szCs w:val="28"/>
          <w:rtl w:val="true"/>
          <w:lang w:bidi="ar-SA"/>
        </w:rPr>
        <w:t xml:space="preserve">مِنْ نَفْسِهِ؛ فَإِنَّهُ </w:t>
      </w:r>
      <w:r>
        <w:rPr>
          <w:rStyle w:val="FootnoteAnchor"/>
          <w:rtl w:val="true"/>
        </w:rPr>
        <w:footnoteReference w:id="3253"/>
      </w:r>
      <w:r>
        <w:rPr>
          <w:rFonts w:ascii="Amiri" w:hAnsi="Amiri" w:eastAsia="Amiri" w:cs="Amiri"/>
          <w:color w:val="111111"/>
          <w:sz w:val="28"/>
          <w:sz w:val="28"/>
          <w:szCs w:val="28"/>
          <w:rtl w:val="true"/>
          <w:lang w:bidi="ar-SA"/>
        </w:rPr>
        <w:t xml:space="preserve">لم يُخْفِ عَلَيْكُمْ شَيْئًا مِنْ دِينِهِ، وَ لَمْ يَتْرُكْ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أَوْ 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جَعَلَ لَهُ عَالمِا يَأْمُرُ بِهِ وَ يَنْهَى عَنْهُ </w:t>
      </w:r>
      <w:r>
        <w:rPr>
          <w:rStyle w:val="FootnoteAnchor"/>
          <w:rtl w:val="true"/>
        </w:rPr>
        <w:footnoteReference w:id="3254"/>
      </w:r>
      <w:r>
        <w:rPr>
          <w:rFonts w:ascii="Amiri" w:hAnsi="Amiri" w:eastAsia="Amiri" w:cs="Amiri"/>
          <w:color w:val="111111"/>
          <w:sz w:val="28"/>
          <w:sz w:val="28"/>
          <w:szCs w:val="28"/>
          <w:rtl w:val="true"/>
          <w:lang w:bidi="ar-SA"/>
        </w:rPr>
        <w:t xml:space="preserve">، أَوْ </w:t>
      </w:r>
      <w:r>
        <w:rPr>
          <w:rStyle w:val="FootnoteAnchor"/>
          <w:rtl w:val="true"/>
        </w:rPr>
        <w:footnoteReference w:id="3255"/>
      </w:r>
      <w:r>
        <w:rPr>
          <w:rFonts w:ascii="Amiri" w:hAnsi="Amiri" w:eastAsia="Amiri" w:cs="Amiri"/>
          <w:color w:val="111111"/>
          <w:sz w:val="28"/>
          <w:sz w:val="28"/>
          <w:szCs w:val="28"/>
          <w:rtl w:val="true"/>
          <w:lang w:bidi="ar-SA"/>
        </w:rPr>
        <w:t xml:space="preserve">أَيَةٌ مُحْكَمَةً تَزْجِرُ عَنْهُ أَوْ تَدْعُو إِلَيْهِ </w:t>
      </w:r>
      <w:r>
        <w:rPr>
          <w:rStyle w:val="FootnoteAnchor"/>
          <w:rtl w:val="true"/>
        </w:rPr>
        <w:footnoteReference w:id="3256"/>
      </w:r>
      <w:r>
        <w:rPr>
          <w:rFonts w:ascii="Amiri" w:hAnsi="Amiri" w:eastAsia="Amiri" w:cs="Amiri"/>
          <w:color w:val="111111"/>
          <w:sz w:val="28"/>
          <w:sz w:val="28"/>
          <w:szCs w:val="28"/>
          <w:rtl w:val="true"/>
          <w:lang w:bidi="ar-SA"/>
        </w:rPr>
        <w:t xml:space="preserve">، فَرِضَاهُ </w:t>
      </w:r>
      <w:r>
        <w:rPr>
          <w:rStyle w:val="FootnoteAnchor"/>
          <w:rtl w:val="true"/>
        </w:rPr>
        <w:footnoteReference w:id="3257"/>
      </w:r>
      <w:r>
        <w:rPr>
          <w:rFonts w:ascii="Amiri" w:hAnsi="Amiri" w:eastAsia="Amiri" w:cs="Amiri"/>
          <w:color w:val="111111"/>
          <w:sz w:val="28"/>
          <w:sz w:val="28"/>
          <w:szCs w:val="28"/>
          <w:rtl w:val="true"/>
          <w:lang w:bidi="ar-SA"/>
        </w:rPr>
        <w:t>فِيما بَقِيَ وَاحِدٌ، وَ سَخَطُهُ 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يَرْضَى عَنْكُمْ بِشَيْءٍ سَخِطَهُ مَنْ كَانَ قَبْلَكُمْ، وَ لَنْ يَسْخَطَ عَنْكُمْ </w:t>
      </w:r>
      <w:r>
        <w:rPr>
          <w:rStyle w:val="FootnoteAnchor"/>
          <w:rtl w:val="true"/>
        </w:rPr>
        <w:footnoteReference w:id="3258"/>
      </w:r>
      <w:r>
        <w:rPr>
          <w:rFonts w:ascii="Amiri" w:hAnsi="Amiri" w:eastAsia="Amiri" w:cs="Amiri"/>
          <w:color w:val="111111"/>
          <w:sz w:val="28"/>
          <w:sz w:val="28"/>
          <w:szCs w:val="28"/>
          <w:rtl w:val="true"/>
          <w:lang w:bidi="ar-SA"/>
        </w:rPr>
        <w:t xml:space="preserve">بِشَيْءٍ رَضِيَهُ مَنْ كَانَ قَبْلَكُمْ، وَ إِنَّمَا تَسِيرُوْنَ في أَثَرِ بَيْنِ، وَ تَتَكَلَّمُونَ بِرَجْعِ قَوْلِ </w:t>
      </w:r>
      <w:r>
        <w:rPr>
          <w:rStyle w:val="FootnoteAnchor"/>
          <w:rtl w:val="true"/>
        </w:rPr>
        <w:footnoteReference w:id="3259"/>
      </w:r>
      <w:r>
        <w:rPr>
          <w:rFonts w:ascii="Amiri" w:hAnsi="Amiri" w:eastAsia="Amiri" w:cs="Amiri"/>
          <w:color w:val="111111"/>
          <w:sz w:val="28"/>
          <w:sz w:val="28"/>
          <w:szCs w:val="28"/>
          <w:rtl w:val="true"/>
          <w:lang w:bidi="ar-SA"/>
        </w:rPr>
        <w:t xml:space="preserve">قَدْ </w:t>
      </w:r>
      <w:r>
        <w:rPr>
          <w:rStyle w:val="FootnoteAnchor"/>
          <w:rtl w:val="true"/>
        </w:rPr>
        <w:footnoteReference w:id="3260"/>
      </w:r>
      <w:r>
        <w:rPr>
          <w:rFonts w:ascii="Amiri" w:hAnsi="Amiri" w:eastAsia="Amiri" w:cs="Amiri"/>
          <w:color w:val="111111"/>
          <w:sz w:val="28"/>
          <w:sz w:val="28"/>
          <w:szCs w:val="28"/>
          <w:rtl w:val="true"/>
          <w:lang w:bidi="ar-SA"/>
        </w:rPr>
        <w:t xml:space="preserve">قَالَهُ الرَّجُلُ </w:t>
      </w:r>
      <w:r>
        <w:rPr>
          <w:rStyle w:val="FootnoteAnchor"/>
          <w:rtl w:val="true"/>
        </w:rPr>
        <w:footnoteReference w:id="3261"/>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أبي الحديد في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Style w:val="FootnoteAnchor"/>
          <w:rtl w:val="true"/>
        </w:rPr>
        <w:footnoteReference w:id="3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فرضاه </w:t>
      </w:r>
      <w:r>
        <w:rPr>
          <w:rStyle w:val="FootnoteAnchor"/>
          <w:rtl w:val="true"/>
        </w:rPr>
        <w:footnoteReference w:id="3264"/>
      </w:r>
      <w:r>
        <w:rPr>
          <w:rFonts w:ascii="Amiri" w:hAnsi="Amiri" w:eastAsia="Amiri" w:cs="Amiri"/>
          <w:color w:val="111111"/>
          <w:sz w:val="28"/>
          <w:sz w:val="28"/>
          <w:szCs w:val="28"/>
          <w:rtl w:val="true"/>
          <w:lang w:bidi="ar-SA"/>
        </w:rPr>
        <w:t>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لم ينص عليه صريحا بل هو في محل النظر، ليس يجوز للعلماء أن يجتهدوا </w:t>
      </w:r>
      <w:r>
        <w:rPr>
          <w:rStyle w:val="FootnoteAnchor"/>
          <w:rtl w:val="true"/>
        </w:rPr>
        <w:footnoteReference w:id="3265"/>
      </w:r>
      <w:r>
        <w:rPr>
          <w:rFonts w:ascii="Amiri" w:hAnsi="Amiri" w:eastAsia="Amiri" w:cs="Amiri"/>
          <w:color w:val="111111"/>
          <w:sz w:val="28"/>
          <w:sz w:val="28"/>
          <w:szCs w:val="28"/>
          <w:rtl w:val="true"/>
          <w:lang w:bidi="ar-SA"/>
        </w:rPr>
        <w:t xml:space="preserve">فيه فيُحِلّه بعضهم و يحرمه عليهم، بل رضا الله سبحانه واحد، و كذلك سخطه، فليس يجوز أن يكون شيء من الأشياء يفتي فيه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 و قوم</w:t>
      </w:r>
      <w:r>
        <w:rPr>
          <w:rFonts w:eastAsia="Amiri" w:cs="Amiri" w:ascii="Amiri" w:hAnsi="Amiri"/>
          <w:color w:val="111111"/>
          <w:sz w:val="28"/>
          <w:szCs w:val="28"/>
          <w:rtl w:val="true"/>
          <w:lang w:bidi="ar-SA"/>
        </w:rPr>
        <w:t xml:space="preserve">] </w:t>
      </w:r>
      <w:r>
        <w:rPr>
          <w:rStyle w:val="FootnoteAnchor"/>
          <w:rtl w:val="true"/>
        </w:rPr>
        <w:footnoteReference w:id="3266"/>
      </w:r>
      <w:r>
        <w:rPr>
          <w:rFonts w:ascii="IRNazanin" w:hAnsi="IRNazanin" w:eastAsia="IRNazanin"/>
          <w:color w:val="111111"/>
          <w:sz w:val="28"/>
          <w:sz w:val="28"/>
          <w:szCs w:val="28"/>
          <w:rtl w:val="true"/>
          <w:lang w:bidi="fa-IR"/>
        </w:rPr>
        <w:t>بالحرمة، و هذا قول منه علیه السلام بتحريم الاجتهاد، و قد سبق منه لمثل هذا الكلام مرارا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ليس يرضى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إلى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ليس يرضى عنكم بالاختلاف في الفتاوى و الأحكام كما اختلف الأمم من قبلكم،فسخط اختلافهم،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فَرَّقُواْ دِينَهُمْ وَكَانُوا شِيَعاً لَّسْتَ مِنْهُمْ فِي شَيْءٍ</w:t>
      </w:r>
      <w:r>
        <w:rPr>
          <w:rStyle w:val="FootnoteAnchor"/>
          <w:rtl w:val="true"/>
        </w:rPr>
        <w:footnoteReference w:id="3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ليس يسخط عليكم بالاتفاق </w:t>
      </w:r>
      <w:r>
        <w:rPr>
          <w:rStyle w:val="FootnoteAnchor"/>
          <w:rtl w:val="true"/>
        </w:rPr>
        <w:footnoteReference w:id="3268"/>
      </w:r>
      <w:r>
        <w:rPr>
          <w:rFonts w:ascii="Amiri" w:hAnsi="Amiri" w:eastAsia="Amiri" w:cs="Amiri"/>
          <w:color w:val="111111"/>
          <w:sz w:val="28"/>
          <w:sz w:val="28"/>
          <w:szCs w:val="28"/>
          <w:rtl w:val="true"/>
          <w:lang w:bidi="ar-SA"/>
        </w:rPr>
        <w:t>الذي رضيه من كان قبلكم من القرون</w:t>
      </w:r>
      <w:r>
        <w:rPr>
          <w:rFonts w:eastAsia="Amiri" w:cs="Amiri" w:ascii="Amiri" w:hAnsi="Amiri"/>
          <w:color w:val="111111"/>
          <w:sz w:val="28"/>
          <w:szCs w:val="28"/>
          <w:rtl w:val="true"/>
          <w:lang w:bidi="ar-SA"/>
        </w:rPr>
        <w:t xml:space="preserve">» </w:t>
      </w:r>
      <w:r>
        <w:rPr>
          <w:rStyle w:val="FootnoteAnchor"/>
          <w:rtl w:val="true"/>
        </w:rPr>
        <w:footnoteReference w:id="3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3270"/>
      </w:r>
      <w:r>
        <w:rPr>
          <w:rFonts w:ascii="Amiri" w:hAnsi="Amiri" w:eastAsia="Amiri" w:cs="Amiri"/>
          <w:color w:val="111111"/>
          <w:sz w:val="28"/>
          <w:sz w:val="28"/>
          <w:szCs w:val="28"/>
          <w:rtl w:val="true"/>
          <w:lang w:bidi="ar-SA"/>
        </w:rPr>
        <w:t xml:space="preserve">، وهو كلام متين عجيب الصدور من مثله؛ لأن أصحابه لا يرضون بذلك </w:t>
      </w:r>
      <w:r>
        <w:rPr>
          <w:rStyle w:val="FootnoteAnchor"/>
          <w:rtl w:val="true"/>
        </w:rPr>
        <w:footnoteReference w:id="3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لما قررناه </w:t>
      </w:r>
      <w:r>
        <w:rPr>
          <w:rStyle w:val="FootnoteAnchor"/>
          <w:rtl w:val="true"/>
        </w:rPr>
        <w:footnoteReference w:id="3272"/>
      </w:r>
      <w:r>
        <w:rPr>
          <w:rFonts w:ascii="IRNazanin" w:hAnsi="IRNazanin" w:eastAsia="IRNazanin"/>
          <w:color w:val="111111"/>
          <w:sz w:val="28"/>
          <w:sz w:val="28"/>
          <w:szCs w:val="28"/>
          <w:rtl w:val="true"/>
          <w:lang w:bidi="fa-IR"/>
        </w:rPr>
        <w:t xml:space="preserve">من أنهم علیهم السلام حكمهم واحد في كل مسألة، جاء مستفيضا عنهم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كونهم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يعتمدون </w:t>
      </w:r>
      <w:r>
        <w:rPr>
          <w:rStyle w:val="FootnoteAnchor"/>
          <w:rtl w:val="true"/>
        </w:rPr>
        <w:footnoteReference w:id="3273"/>
      </w:r>
      <w:r>
        <w:rPr>
          <w:rFonts w:ascii="Amiri" w:hAnsi="Amiri" w:eastAsia="Amiri" w:cs="Amiri"/>
          <w:color w:val="111111"/>
          <w:sz w:val="28"/>
          <w:sz w:val="28"/>
          <w:szCs w:val="28"/>
          <w:rtl w:val="true"/>
          <w:lang w:bidi="ar-SA"/>
        </w:rPr>
        <w:t>الآراء والاستحسان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الاختصاص و البصائر بإسنادهما إلى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إِنَّا لَوْ كُنَّا نُحَدِّثکُمْ بِرَأْيِنَا وَ هَوَ انَا لَكُنَّا مِنَ الْهَالِكيْنَ، وَلَكِنْ </w:t>
      </w:r>
      <w:r>
        <w:rPr>
          <w:rStyle w:val="FootnoteAnchor"/>
          <w:rtl w:val="true"/>
        </w:rPr>
        <w:footnoteReference w:id="3275"/>
      </w:r>
      <w:r>
        <w:rPr>
          <w:rFonts w:ascii="Amiri" w:hAnsi="Amiri" w:eastAsia="Amiri" w:cs="Amiri"/>
          <w:color w:val="111111"/>
          <w:sz w:val="28"/>
          <w:sz w:val="28"/>
          <w:szCs w:val="28"/>
          <w:rtl w:val="true"/>
          <w:lang w:bidi="ar-SA"/>
        </w:rPr>
        <w:t xml:space="preserve">نُحَدِّثُكُمْ بِأَحَادِيْثَ نَكْنزُهَا عَنْ رَسُوْلِ اللهِ صلى الله عليه و آله و سلم كَمَا يَكْنز هَؤُلَاءِ فِضَّتَهُمْ وَ ذَهَبَهم </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البصائر في الصحيح </w:t>
      </w:r>
      <w:r>
        <w:rPr>
          <w:rStyle w:val="FootnoteAnchor"/>
          <w:rtl w:val="true"/>
        </w:rPr>
        <w:footnoteReference w:id="3278"/>
      </w:r>
      <w:r>
        <w:rPr>
          <w:rFonts w:ascii="Amiri" w:hAnsi="Amiri" w:eastAsia="Amiri" w:cs="Amiri"/>
          <w:color w:val="111111"/>
          <w:sz w:val="28"/>
          <w:sz w:val="28"/>
          <w:szCs w:val="28"/>
          <w:rtl w:val="true"/>
          <w:lang w:bidi="ar-SA"/>
        </w:rPr>
        <w:t>عن الفضل بن يسار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أَنَّا حَدَّثنا بِرَأْيِنَا ضَلَلْنَا كَمَا ضَلَّ مَنْ كَانَ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حَدَّثْنَا بِبَيِّنَةٍ مِنْ رَبَّنَا بَيْنَهَا لِنَبِيِّهِ وَ حَبِيبِهِ </w:t>
      </w:r>
      <w:r>
        <w:rPr>
          <w:rStyle w:val="FootnoteAnchor"/>
          <w:rtl w:val="true"/>
        </w:rPr>
        <w:footnoteReference w:id="3279"/>
      </w:r>
      <w:r>
        <w:rPr>
          <w:rFonts w:ascii="Amiri" w:hAnsi="Amiri" w:eastAsia="Amiri" w:cs="Amiri"/>
          <w:color w:val="111111"/>
          <w:sz w:val="28"/>
          <w:sz w:val="28"/>
          <w:szCs w:val="28"/>
          <w:rtl w:val="true"/>
          <w:lang w:bidi="ar-SA"/>
        </w:rPr>
        <w:t>فَبَيَّنَهُ لَنَا</w:t>
      </w:r>
      <w:r>
        <w:rPr>
          <w:rFonts w:eastAsia="Amiri" w:cs="Amiri" w:ascii="Amiri" w:hAnsi="Amiri"/>
          <w:color w:val="111111"/>
          <w:sz w:val="28"/>
          <w:szCs w:val="28"/>
          <w:rtl w:val="true"/>
          <w:lang w:bidi="ar-SA"/>
        </w:rPr>
        <w:t xml:space="preserve">» </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لَوْ كُنَّا نُفْتِي النَّاسَ بِرَأْيِنَا وَ هَوَ انَا لَكُنَّا مِنَ الْهَالِكِينَ، وَ لَكِنْ نُفْتِيهِمْ بِأَثَارٍ عَنْ رَسُولِ اللهِ صلی الله علیه و آله و سلم وَأَصُوْلٍ، عِلْمُهُ عِنْدَنَا نَتَوَارَثُهَا كَابِرًا عَنْ كَابِرٍ، نَكْتَنِزُهَا كَمَا يَكْثِرُ هَؤُلَاءِ ذهبهم و فضتهم</w:t>
      </w:r>
      <w:r>
        <w:rPr>
          <w:rFonts w:eastAsia="Amiri" w:cs="Amiri" w:ascii="Amiri" w:hAnsi="Amiri"/>
          <w:color w:val="111111"/>
          <w:sz w:val="28"/>
          <w:szCs w:val="28"/>
          <w:rtl w:val="true"/>
          <w:lang w:bidi="ar-SA"/>
        </w:rPr>
        <w:t xml:space="preserve">» </w:t>
      </w:r>
      <w:r>
        <w:rPr>
          <w:rStyle w:val="FootnoteAnchor"/>
          <w:rtl w:val="true"/>
        </w:rPr>
        <w:footnoteReference w:id="3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الحسن </w:t>
      </w:r>
      <w:r>
        <w:rPr>
          <w:rStyle w:val="FootnoteAnchor"/>
          <w:rtl w:val="true"/>
        </w:rPr>
        <w:footnoteReference w:id="3282"/>
      </w:r>
      <w:r>
        <w:rPr>
          <w:rFonts w:ascii="Amiri" w:hAnsi="Amiri" w:eastAsia="Amiri" w:cs="Amiri"/>
          <w:color w:val="111111"/>
          <w:sz w:val="28"/>
          <w:sz w:val="28"/>
          <w:szCs w:val="28"/>
          <w:rtl w:val="true"/>
          <w:lang w:bidi="ar-SA"/>
        </w:rPr>
        <w:t>عن سورة بن كليب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يُفْتِي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 لَمْ يَكُنْ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وَالسُّنَّةِ؟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Style w:val="FootnoteAnchor"/>
          <w:rtl w:val="true"/>
        </w:rPr>
        <w:footnoteReference w:id="3283"/>
      </w: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فَكَرَّرْتُ مَرَّةً أَوِ اثْنَتَيْنِ، قَالَ </w:t>
      </w:r>
      <w:r>
        <w:rPr>
          <w:rStyle w:val="FootnoteAnchor"/>
          <w:rtl w:val="true"/>
        </w:rPr>
        <w:footnoteReference w:id="3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يُسَدَّدُ وَ يُوَفَّقُ، فَأَمَّا مَا تَظُنُّ </w:t>
      </w:r>
      <w:r>
        <w:rPr>
          <w:rStyle w:val="FootnoteAnchor"/>
          <w:rtl w:val="true"/>
        </w:rPr>
        <w:footnoteReference w:id="3285"/>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Style w:val="FootnoteAnchor"/>
          <w:rtl w:val="true"/>
        </w:rPr>
        <w:footnoteReference w:id="328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جاء في بعض الأحاديث، مثل خبر عبد الرحيم القصير المروي في البصائر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علیه السلام إِذَا وَرَدَ عَلَيْهِ أَمْرٌ لَم يَنزِلُ بِهِ كِتَابٌ وَ لَا سُنَةٌ قَالَ </w:t>
      </w:r>
      <w:r>
        <w:rPr>
          <w:rStyle w:val="FootnoteAnchor"/>
          <w:rtl w:val="true"/>
        </w:rPr>
        <w:footnoteReference w:id="3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w:t>
      </w:r>
      <w:r>
        <w:rPr>
          <w:rStyle w:val="FootnoteAnchor"/>
          <w:rtl w:val="true"/>
        </w:rPr>
        <w:footnoteReference w:id="3288"/>
      </w:r>
      <w:r>
        <w:rPr>
          <w:rFonts w:ascii="Amiri" w:hAnsi="Amiri" w:eastAsia="Amiri" w:cs="Amiri"/>
          <w:color w:val="111111"/>
          <w:sz w:val="28"/>
          <w:sz w:val="28"/>
          <w:szCs w:val="28"/>
          <w:rtl w:val="true"/>
          <w:lang w:bidi="ar-SA"/>
        </w:rPr>
        <w:t>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مرويّ بعدة طرق في كتاب البصائر على اختلاف ما في متنه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إِذَا وَرَدَ عَلَيْهِ أَمْرٌ لَمْ يَجِيْ بِهِ كِتَابٌ وَ لَا سُنَّةٌ رَجَمَ بِهِ، يَعْنِي سَاهَمَ، 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الرَّحِيمِ، وَ تِلْكَ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علیه السلام إِذَا سُئِلَ فِيمَا لَيْسَ فِي كِتَابٍ وَ لَا سُنَّةٍ رَجمَ فَأَصَابَ، وَ هِيَ الْمُعْضِلَاتُ</w:t>
      </w:r>
      <w:r>
        <w:rPr>
          <w:rFonts w:eastAsia="Amiri" w:cs="Amiri" w:ascii="Amiri" w:hAnsi="Amiri"/>
          <w:color w:val="111111"/>
          <w:sz w:val="28"/>
          <w:szCs w:val="28"/>
          <w:rtl w:val="true"/>
          <w:lang w:bidi="ar-SA"/>
        </w:rPr>
        <w:t xml:space="preserve">» </w:t>
      </w:r>
      <w:r>
        <w:rPr>
          <w:rStyle w:val="FootnoteAnchor"/>
          <w:rtl w:val="true"/>
        </w:rPr>
        <w:footnoteReference w:id="3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المراد فيها القول بالظن و الرأي، بل القول بإلهامه </w:t>
      </w:r>
      <w:r>
        <w:rPr>
          <w:rStyle w:val="FootnoteAnchor"/>
          <w:rtl w:val="true"/>
        </w:rPr>
        <w:footnoteReference w:id="3290"/>
      </w:r>
      <w:r>
        <w:rPr>
          <w:rFonts w:ascii="IRNazanin" w:hAnsi="IRNazanin" w:eastAsia="IRNazanin"/>
          <w:color w:val="111111"/>
          <w:sz w:val="28"/>
          <w:sz w:val="28"/>
          <w:szCs w:val="28"/>
          <w:rtl w:val="true"/>
          <w:lang w:bidi="fa-IR"/>
        </w:rPr>
        <w:t>علیه السلام ، وأما قوله علیه السلام 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Style w:val="FootnoteAnchor"/>
          <w:rtl w:val="true"/>
        </w:rPr>
        <w:footnoteReference w:id="3291"/>
      </w:r>
      <w:r>
        <w:rPr>
          <w:rFonts w:ascii="Amiri" w:hAnsi="Amiri" w:eastAsia="Amiri" w:cs="Amiri"/>
          <w:color w:val="111111"/>
          <w:sz w:val="28"/>
          <w:sz w:val="28"/>
          <w:szCs w:val="28"/>
          <w:rtl w:val="true"/>
          <w:lang w:bidi="ar-SA"/>
        </w:rPr>
        <w:t>أي استعلم ذلك القرعة، و هذا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الأحكام الجزئية التي قرر الشارع استعلامها بالقرعة، فلا يكون هذا من الاشتباه في أصل الحكم بل في مورده، و لا ينافي الأخبار السابقة؛ لأن القرعة أيضًا من أحكام القرآن والسنة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الأحكام الكلية التي يشكل عليهم استنباطها من الكتاب و السنة فيستنبطون منهما بالقرعة، و يكون هذا من خصائصهم لأن قرعة الإمام لا تخطئ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أوفق بالأصول و سائر الأخبار، و إن كان الأخير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w:t>
      </w:r>
      <w:r>
        <w:rPr>
          <w:rStyle w:val="FootnoteAnchor"/>
          <w:rtl w:val="true"/>
        </w:rPr>
        <w:footnoteReference w:id="3292"/>
      </w:r>
      <w:r>
        <w:rPr>
          <w:rFonts w:ascii="Amiri" w:hAnsi="Amiri" w:eastAsia="Amiri" w:cs="Amiri"/>
          <w:color w:val="111111"/>
          <w:sz w:val="28"/>
          <w:sz w:val="28"/>
          <w:szCs w:val="28"/>
          <w:rtl w:val="true"/>
          <w:lang w:bidi="ar-SA"/>
        </w:rPr>
        <w:t xml:space="preserve">هذه الأخبار الأخيرة جاءت على وفق مذهب العامة من جواز الاجتهاد و الاستنباط في كل الأحكام، حتى 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جوّزه للنبي </w:t>
      </w:r>
      <w:r>
        <w:rPr>
          <w:rStyle w:val="FootnoteAnchor"/>
          <w:rtl w:val="true"/>
        </w:rPr>
        <w:footnoteReference w:id="3293"/>
      </w:r>
      <w:r>
        <w:rPr>
          <w:rFonts w:ascii="IRNazanin" w:hAnsi="IRNazanin" w:eastAsia="IRNazanin"/>
          <w:color w:val="111111"/>
          <w:sz w:val="28"/>
          <w:sz w:val="28"/>
          <w:szCs w:val="28"/>
          <w:rtl w:val="true"/>
          <w:lang w:bidi="fa-IR"/>
        </w:rPr>
        <w:t xml:space="preserve">صلی الله علیه و آله و سلم ، و إن كان في التحقيق أن ذلك كفر وزندقة وردّ للكتاب </w:t>
      </w:r>
      <w:r>
        <w:rPr>
          <w:rStyle w:val="FootnoteAnchor"/>
          <w:rtl w:val="true"/>
        </w:rPr>
        <w:footnoteReference w:id="329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خبر إسماعيل الجعفي على ما في المحاسن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بَرَّأَ مُحَمَّدًا صلی الله علیه و آله و سلم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يَتَقَوَّلَ عَلَى اللَّهِ، أَوْ يَنْطِقَ عَنْ هَوَاهُ، أَوْ يَتَكَلَّفَ </w:t>
      </w:r>
      <w:r>
        <w:rPr>
          <w:rFonts w:eastAsia="Amiri" w:cs="Amiri" w:ascii="Amiri" w:hAnsi="Amiri"/>
          <w:color w:val="111111"/>
          <w:sz w:val="28"/>
          <w:szCs w:val="28"/>
          <w:rtl w:val="true"/>
          <w:lang w:bidi="ar-SA"/>
        </w:rPr>
        <w:t xml:space="preserve">» </w:t>
      </w:r>
      <w:r>
        <w:rPr>
          <w:rStyle w:val="FootnoteAnchor"/>
          <w:rtl w:val="true"/>
        </w:rPr>
        <w:footnoteReference w:id="3295"/>
      </w:r>
      <w:r>
        <w:rPr>
          <w:rFonts w:ascii="Amiri" w:hAnsi="Amiri" w:eastAsia="Amiri" w:cs="Amiri"/>
          <w:color w:val="111111"/>
          <w:sz w:val="28"/>
          <w:sz w:val="28"/>
          <w:szCs w:val="28"/>
          <w:rtl w:val="true"/>
          <w:lang w:bidi="ar-SA"/>
        </w:rPr>
        <w:t>إشارة إلى قوله تعالى وَلَوْ تَقَوَّلَ عَلَيْنَا بَعْضَ الْأَقَاوِيْلِ</w:t>
      </w:r>
      <w:r>
        <w:rPr>
          <w:rStyle w:val="FootnoteAnchor"/>
          <w:rtl w:val="true"/>
        </w:rPr>
        <w:footnoteReference w:id="3296"/>
      </w:r>
      <w:r>
        <w:rPr>
          <w:rFonts w:ascii="Amiri" w:hAnsi="Amiri" w:eastAsia="Amiri" w:cs="Amiri"/>
          <w:color w:val="111111"/>
          <w:sz w:val="28"/>
          <w:sz w:val="28"/>
          <w:szCs w:val="28"/>
          <w:rtl w:val="true"/>
          <w:lang w:bidi="ar-SA"/>
        </w:rPr>
        <w:t xml:space="preserve">، و يسمّى الافتراء تقولا؛ لأنه قول تكلُّف </w:t>
      </w:r>
      <w:r>
        <w:rPr>
          <w:rStyle w:val="FootnoteAnchor"/>
          <w:rtl w:val="true"/>
        </w:rPr>
        <w:footnoteReference w:id="3297"/>
      </w:r>
      <w:r>
        <w:rPr>
          <w:rFonts w:ascii="IRNazanin" w:hAnsi="IRNazanin" w:eastAsia="IRNazanin"/>
          <w:color w:val="111111"/>
          <w:sz w:val="28"/>
          <w:sz w:val="28"/>
          <w:szCs w:val="28"/>
          <w:rtl w:val="true"/>
          <w:lang w:bidi="fa-IR"/>
        </w:rPr>
        <w:t xml:space="preserve">، وإلى قوله تعالى </w:t>
      </w:r>
      <w:r>
        <w:rPr>
          <w:rFonts w:ascii="Amiri" w:hAnsi="Amiri" w:eastAsia="Amiri" w:cs="Amiri"/>
          <w:color w:val="111111"/>
          <w:sz w:val="28"/>
          <w:sz w:val="28"/>
          <w:szCs w:val="28"/>
          <w:rtl w:val="true"/>
          <w:lang w:bidi="ar-SA"/>
        </w:rPr>
        <w:t>وَمَا يَنْطِقُ عَنِ الْهَوَى</w:t>
      </w:r>
      <w:r>
        <w:rPr>
          <w:rStyle w:val="FootnoteAnchor"/>
          <w:rtl w:val="true"/>
        </w:rPr>
        <w:footnoteReference w:id="3298"/>
      </w:r>
      <w:r>
        <w:rPr>
          <w:rFonts w:ascii="IRNazanin" w:hAnsi="IRNazanin" w:eastAsia="IRNazanin"/>
          <w:color w:val="111111"/>
          <w:sz w:val="28"/>
          <w:sz w:val="28"/>
          <w:szCs w:val="28"/>
          <w:rtl w:val="true"/>
          <w:lang w:bidi="fa-IR"/>
        </w:rPr>
        <w:t xml:space="preserve">، و إلى </w:t>
      </w:r>
      <w:r>
        <w:rPr>
          <w:rStyle w:val="FootnoteAnchor"/>
          <w:rtl w:val="true"/>
        </w:rPr>
        <w:footnoteReference w:id="3299"/>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وَمَا أَنَا مِنَ الْمُتَكَلِّفِينَ</w:t>
      </w:r>
      <w:r>
        <w:rPr>
          <w:rStyle w:val="FootnoteAnchor"/>
          <w:rtl w:val="true"/>
        </w:rPr>
        <w:footnoteReference w:id="3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التصنع و الدعاء ما ليس من أهله </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كلها متفقة المضامين على أن حكم الله تعالى في كل مسألة واحد، و إنما الاختلاف فيه من تلك الأسباب التي أشرنا إليه، ومن أعظمها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علیهم السلام قد أذنوا في العمل بهذا الاختلاف بعد الرجوع إلى القواعد المنصوصة و القوانين </w:t>
      </w:r>
      <w:r>
        <w:rPr>
          <w:rStyle w:val="FootnoteAnchor"/>
          <w:rtl w:val="true"/>
        </w:rPr>
        <w:footnoteReference w:id="3302"/>
      </w:r>
      <w:r>
        <w:rPr>
          <w:rFonts w:ascii="IRNazanin" w:hAnsi="IRNazanin" w:eastAsia="IRNazanin"/>
          <w:color w:val="111111"/>
          <w:sz w:val="28"/>
          <w:sz w:val="28"/>
          <w:szCs w:val="28"/>
          <w:rtl w:val="true"/>
          <w:lang w:bidi="fa-IR"/>
        </w:rPr>
        <w:t>المخصوصة، و لهذا جاء في الأخبار عنهم علیهم السلام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Style w:val="FootnoteAnchor"/>
          <w:rtl w:val="true"/>
        </w:rPr>
        <w:footnoteReference w:id="3303"/>
      </w:r>
      <w:r>
        <w:rPr>
          <w:rFonts w:ascii="Amiri" w:hAnsi="Amiri" w:eastAsia="Amiri" w:cs="Amiri"/>
          <w:color w:val="111111"/>
          <w:sz w:val="28"/>
          <w:sz w:val="28"/>
          <w:szCs w:val="28"/>
          <w:rtl w:val="true"/>
          <w:lang w:bidi="ar-SA"/>
        </w:rPr>
        <w:t>عن أبي جعفر علیه السلام و أبي عبد الله علیه السلام على ما في كتاب عوالي اللآلي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أَنْ نُلْقِيَ إِلَيْكُمُ الْأُصُولَ وَ عَلَيْكُمْ أَنْ تُفَرِّعُوا</w:t>
      </w:r>
      <w:r>
        <w:rPr>
          <w:rFonts w:eastAsia="Amiri" w:cs="Amiri" w:ascii="Amiri" w:hAnsi="Amiri"/>
          <w:color w:val="111111"/>
          <w:sz w:val="28"/>
          <w:szCs w:val="28"/>
          <w:rtl w:val="true"/>
          <w:lang w:bidi="ar-SA"/>
        </w:rPr>
        <w:t xml:space="preserve">» </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الثانية عن أبي الحسن الرضا علیه السلام كما في مستطرفات السرائر نقلًا من كتاب جامع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عَلَيْنَا إِلْقَاءُ الْأُصُولِ إِلَيْكُم، وَ عَلَيْكُمْ التفريع</w:t>
      </w:r>
      <w:r>
        <w:rPr>
          <w:rFonts w:eastAsia="Amiri" w:cs="Amiri" w:ascii="Amiri" w:hAnsi="Amiri"/>
          <w:color w:val="111111"/>
          <w:sz w:val="28"/>
          <w:szCs w:val="28"/>
          <w:rtl w:val="true"/>
          <w:lang w:bidi="ar-SA"/>
        </w:rPr>
        <w:t xml:space="preserve">» </w:t>
      </w:r>
      <w:r>
        <w:rPr>
          <w:rStyle w:val="FootnoteAnchor"/>
          <w:rtl w:val="true"/>
        </w:rPr>
        <w:footnoteReference w:id="3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هذا هو الإذن في الاجتهاد المستحدث كما ذهب إليه من لا بصيرة له بأخبارهم علیهم السلام ، بل الحق أن معناهما أن </w:t>
      </w:r>
      <w:r>
        <w:rPr>
          <w:rStyle w:val="FootnoteAnchor"/>
          <w:rtl w:val="true"/>
        </w:rPr>
        <w:footnoteReference w:id="3307"/>
      </w:r>
      <w:r>
        <w:rPr>
          <w:rFonts w:ascii="Amiri" w:hAnsi="Amiri" w:eastAsia="Amiri" w:cs="Amiri"/>
          <w:color w:val="111111"/>
          <w:sz w:val="28"/>
          <w:sz w:val="28"/>
          <w:szCs w:val="28"/>
          <w:rtl w:val="true"/>
          <w:lang w:bidi="ar-SA"/>
        </w:rPr>
        <w:t>تعمد إلى ما ألقوا إلينا من الأحكام الكلية فنستخرج منها أحكامًا جزئيةً لا بأحد الأشكال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ليس من اجتهاد الرأي، ولا من استنباط الحكم بالظن المذموم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مثل قولهم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أَبَدًا </w:t>
      </w:r>
      <w:r>
        <w:rPr>
          <w:rStyle w:val="FootnoteAnchor"/>
          <w:rtl w:val="true"/>
        </w:rPr>
        <w:footnoteReference w:id="3308"/>
      </w:r>
      <w:r>
        <w:rPr>
          <w:rFonts w:ascii="Amiri" w:hAnsi="Amiri" w:eastAsia="Amiri" w:cs="Amiri"/>
          <w:color w:val="111111"/>
          <w:sz w:val="28"/>
          <w:sz w:val="28"/>
          <w:szCs w:val="28"/>
          <w:rtl w:val="true"/>
          <w:lang w:bidi="ar-SA"/>
        </w:rPr>
        <w:t xml:space="preserve">، لَكِنْ </w:t>
      </w:r>
      <w:r>
        <w:rPr>
          <w:rStyle w:val="FootnoteAnchor"/>
          <w:rtl w:val="true"/>
        </w:rPr>
        <w:footnoteReference w:id="3309"/>
      </w:r>
      <w:r>
        <w:rPr>
          <w:rFonts w:ascii="Amiri" w:hAnsi="Amiri" w:eastAsia="Amiri" w:cs="Amiri"/>
          <w:color w:val="111111"/>
          <w:sz w:val="28"/>
          <w:sz w:val="28"/>
          <w:szCs w:val="28"/>
          <w:rtl w:val="true"/>
          <w:lang w:bidi="ar-SA"/>
        </w:rPr>
        <w:t>تَنْقُضُهُ بِيَقِيْنِ أَخَرٍ</w:t>
      </w:r>
      <w:r>
        <w:rPr>
          <w:rFonts w:eastAsia="Amiri" w:cs="Amiri" w:ascii="Amiri" w:hAnsi="Amiri"/>
          <w:color w:val="111111"/>
          <w:sz w:val="28"/>
          <w:szCs w:val="28"/>
          <w:rtl w:val="true"/>
          <w:lang w:bidi="ar-SA"/>
        </w:rPr>
        <w:t xml:space="preserve">» </w:t>
      </w:r>
      <w:r>
        <w:rPr>
          <w:rStyle w:val="FootnoteAnchor"/>
          <w:rtl w:val="true"/>
        </w:rPr>
        <w:footnoteReference w:id="3310"/>
      </w:r>
      <w:r>
        <w:rPr>
          <w:rFonts w:ascii="IRNazanin" w:hAnsi="IRNazanin" w:eastAsia="IRNazanin"/>
          <w:color w:val="111111"/>
          <w:sz w:val="28"/>
          <w:sz w:val="28"/>
          <w:szCs w:val="28"/>
          <w:rtl w:val="true"/>
          <w:lang w:bidi="fa-IR"/>
        </w:rPr>
        <w:t xml:space="preserve">، فإننا </w:t>
      </w:r>
      <w:r>
        <w:rPr>
          <w:rStyle w:val="FootnoteAnchor"/>
          <w:rtl w:val="true"/>
        </w:rPr>
        <w:footnoteReference w:id="3311"/>
      </w:r>
      <w:r>
        <w:rPr>
          <w:rFonts w:ascii="Amiri" w:hAnsi="Amiri" w:eastAsia="Amiri" w:cs="Amiri"/>
          <w:color w:val="111111"/>
          <w:sz w:val="28"/>
          <w:sz w:val="28"/>
          <w:szCs w:val="28"/>
          <w:rtl w:val="true"/>
          <w:lang w:bidi="ar-SA"/>
        </w:rPr>
        <w:t xml:space="preserve">نفهم من هذا الحديث يقينًا أن المتيقن للطهارة الشاك في الحدث لا يجب عليه الطهارة، و المتيقن لطهارة </w:t>
      </w:r>
      <w:r>
        <w:rPr>
          <w:rStyle w:val="FootnoteAnchor"/>
          <w:rtl w:val="true"/>
        </w:rPr>
        <w:footnoteReference w:id="3312"/>
      </w:r>
      <w:r>
        <w:rPr>
          <w:rFonts w:ascii="Amiri" w:hAnsi="Amiri" w:eastAsia="Amiri" w:cs="Amiri"/>
          <w:color w:val="111111"/>
          <w:sz w:val="28"/>
          <w:sz w:val="28"/>
          <w:szCs w:val="28"/>
          <w:rtl w:val="true"/>
          <w:lang w:bidi="ar-SA"/>
        </w:rPr>
        <w:t>ثوب الشاك في وصول نجاسة إليه لا يجب عليه غسله، و المتيقن لشعبان الشاك في دخول شهر رمضان إلى غير ذلك من الجزئيات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3313"/>
      </w:r>
      <w:r>
        <w:rPr>
          <w:rFonts w:ascii="Amiri" w:hAnsi="Amiri" w:eastAsia="Amiri" w:cs="Amiri"/>
          <w:color w:val="111111"/>
          <w:sz w:val="28"/>
          <w:sz w:val="28"/>
          <w:szCs w:val="28"/>
          <w:rtl w:val="true"/>
          <w:lang w:bidi="ar-SA"/>
        </w:rPr>
        <w:t xml:space="preserve">، 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مِنْ أَمْرٍ فَاللَّهُ أَعْذَرُ لِعَبْدِهِ</w:t>
      </w:r>
      <w:r>
        <w:rPr>
          <w:rFonts w:eastAsia="Amiri" w:cs="Amiri" w:ascii="Amiri" w:hAnsi="Amiri"/>
          <w:color w:val="111111"/>
          <w:sz w:val="28"/>
          <w:szCs w:val="28"/>
          <w:rtl w:val="true"/>
          <w:lang w:bidi="ar-SA"/>
        </w:rPr>
        <w:t xml:space="preserve">» </w:t>
      </w:r>
      <w:r>
        <w:rPr>
          <w:rStyle w:val="FootnoteAnchor"/>
          <w:rtl w:val="true"/>
        </w:rPr>
        <w:footnoteReference w:id="3314"/>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شَكَكْتَ فِيْهِ فَشَكُكَ لَيْسَ بِشَيْءٍ</w:t>
      </w:r>
      <w:r>
        <w:rPr>
          <w:rFonts w:eastAsia="Amiri" w:cs="Amiri" w:ascii="Amiri" w:hAnsi="Amiri"/>
          <w:color w:val="111111"/>
          <w:sz w:val="28"/>
          <w:szCs w:val="28"/>
          <w:rtl w:val="true"/>
          <w:lang w:bidi="ar-SA"/>
        </w:rPr>
        <w:t xml:space="preserve">» </w:t>
      </w:r>
      <w:r>
        <w:rPr>
          <w:rStyle w:val="FootnoteAnchor"/>
          <w:rtl w:val="true"/>
        </w:rPr>
        <w:footnoteReference w:id="3315"/>
      </w:r>
      <w:r>
        <w:rPr>
          <w:rFonts w:ascii="Amiri" w:hAnsi="Amiri" w:eastAsia="Amiri" w:cs="Amiri"/>
          <w:color w:val="111111"/>
          <w:sz w:val="28"/>
          <w:sz w:val="28"/>
          <w:szCs w:val="28"/>
          <w:rtl w:val="true"/>
          <w:lang w:bidi="ar-SA"/>
        </w:rPr>
        <w:t>، إلى غير ذلك من الأصول الكلية التي تتفرع عليها الجزيئات</w:t>
      </w:r>
      <w:r>
        <w:rPr>
          <w:rFonts w:eastAsia="Amiri" w:cs="Amiri" w:ascii="Amiri" w:hAnsi="Amiri"/>
          <w:color w:val="111111"/>
          <w:sz w:val="28"/>
          <w:szCs w:val="28"/>
          <w:rtl w:val="true"/>
          <w:lang w:bidi="ar-SA"/>
        </w:rPr>
        <w:t xml:space="preserve">.. </w:t>
      </w:r>
      <w:bookmarkStart w:id="279" w:name="pg2523_40088"/>
    </w:p>
    <w:p>
      <w:pPr>
        <w:pStyle w:val="BookText"/>
        <w:rPr/>
      </w:pPr>
      <w:bookmarkEnd w:id="279"/>
      <w:r>
        <w:rPr>
          <w:rFonts w:ascii="Amiri" w:hAnsi="Amiri" w:eastAsia="Amiri" w:cs="Amiri"/>
          <w:color w:val="111111"/>
          <w:sz w:val="28"/>
          <w:sz w:val="28"/>
          <w:szCs w:val="28"/>
          <w:rtl w:val="true"/>
          <w:lang w:bidi="ar-SA"/>
        </w:rPr>
        <w:t xml:space="preserve">و كذا ما جاء من </w:t>
      </w:r>
      <w:r>
        <w:rPr>
          <w:rStyle w:val="FootnoteAnchor"/>
          <w:rtl w:val="true"/>
        </w:rPr>
        <w:footnoteReference w:id="3316"/>
      </w:r>
      <w:r>
        <w:rPr>
          <w:rFonts w:ascii="Amiri" w:hAnsi="Amiri" w:eastAsia="Amiri" w:cs="Amiri"/>
          <w:color w:val="111111"/>
          <w:sz w:val="28"/>
          <w:sz w:val="28"/>
          <w:szCs w:val="28"/>
          <w:rtl w:val="true"/>
          <w:lang w:bidi="ar-SA"/>
        </w:rPr>
        <w:t xml:space="preserve">القوانين و القواعد الكلية عند تعارض الأخبار من الإرجاء تارةً و التخيير في العمل من باب التسليم </w:t>
      </w:r>
      <w:r>
        <w:rPr>
          <w:rStyle w:val="FootnoteAnchor"/>
          <w:rtl w:val="true"/>
        </w:rPr>
        <w:footnoteReference w:id="3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يترتب على هذه القواعد تفاوت و اختلاف في ذلك التخريج، و لا شك أن الإذن في ذلك إذن في اختلاف الناشئ </w:t>
      </w:r>
      <w:r>
        <w:rPr>
          <w:rStyle w:val="FootnoteAnchor"/>
          <w:rtl w:val="true"/>
        </w:rPr>
        <w:footnoteReference w:id="331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Heading3"/>
        <w:numPr>
          <w:ilvl w:val="2"/>
          <w:numId w:val="1"/>
        </w:numPr>
        <w:rPr/>
      </w:pPr>
      <w:bookmarkStart w:id="280" w:name="__RefHeading___Toc4264994_3804643083"/>
      <w:bookmarkStart w:id="281" w:name="_Toc95"/>
      <w:bookmarkEnd w:id="280"/>
      <w:r>
        <w:rPr>
          <w:rtl w:val="true"/>
        </w:rPr>
        <w:t>[</w:t>
      </w:r>
      <w:r>
        <w:rPr>
          <w:rtl w:val="true"/>
        </w:rPr>
        <w:t>الاختلاف الممنوع منه</w:t>
      </w:r>
      <w:r>
        <w:rPr>
          <w:rtl w:val="true"/>
        </w:rPr>
        <w:t>]</w:t>
      </w:r>
      <w:bookmarkEnd w:id="281"/>
    </w:p>
    <w:p>
      <w:pPr>
        <w:pStyle w:val="BookText"/>
        <w:rPr/>
      </w:pPr>
      <w:r>
        <w:rPr>
          <w:rFonts w:ascii="Amiri" w:hAnsi="Amiri" w:eastAsia="Amiri" w:cs="Amiri"/>
          <w:color w:val="111111"/>
          <w:sz w:val="28"/>
          <w:sz w:val="28"/>
          <w:szCs w:val="28"/>
          <w:rtl w:val="true"/>
          <w:lang w:bidi="ar-SA"/>
        </w:rPr>
        <w:t>فأما الاختلاف الممنوع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الناشئ عن التمسك بالقواعد الاجتهادية و المقدمات الجدلية </w:t>
      </w:r>
      <w:r>
        <w:rPr>
          <w:rStyle w:val="FootnoteAnchor"/>
          <w:rtl w:val="true"/>
        </w:rPr>
        <w:footnoteReference w:id="3319"/>
      </w:r>
      <w:r>
        <w:rPr>
          <w:rFonts w:ascii="Amiri" w:hAnsi="Amiri" w:eastAsia="Amiri" w:cs="Amiri"/>
          <w:color w:val="111111"/>
          <w:sz w:val="28"/>
          <w:sz w:val="28"/>
          <w:szCs w:val="28"/>
          <w:rtl w:val="true"/>
          <w:lang w:bidi="ar-SA"/>
        </w:rPr>
        <w:t>و الاستنباطات الظنية، كما وقع للفرقة المخذولة في أكثر أحكامهم و لنزر من مجتهدي أصحابنا؛ غفلة عما يتوجه عليهم من القدح في سلوك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أخبار </w:t>
      </w:r>
      <w:r>
        <w:rPr>
          <w:rStyle w:val="FootnoteAnchor"/>
          <w:rtl w:val="true"/>
        </w:rPr>
        <w:footnoteReference w:id="3320"/>
      </w:r>
      <w:r>
        <w:rPr>
          <w:rFonts w:ascii="Amiri" w:hAnsi="Amiri" w:eastAsia="Amiri" w:cs="Amiri"/>
          <w:color w:val="111111"/>
          <w:sz w:val="28"/>
          <w:sz w:val="28"/>
          <w:szCs w:val="28"/>
          <w:rtl w:val="true"/>
          <w:lang w:bidi="ar-SA"/>
        </w:rPr>
        <w:t>الأئمة المعصومين تصريح بذلك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نهج البلاغة في كلام أمير المؤمنين علیه السلام في ذم اختلاف العلماء في الفتيا </w:t>
      </w:r>
      <w:r>
        <w:rPr>
          <w:rStyle w:val="FootnoteAnchor"/>
          <w:rtl w:val="true"/>
        </w:rPr>
        <w:footnoteReference w:id="3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عَلى أَحَدِهِمُ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مِنَ الْأَحْكَامِ، فَيَحْكُمُ فِيهَا </w:t>
      </w:r>
    </w:p>
    <w:p>
      <w:pPr>
        <w:pStyle w:val="BookText"/>
        <w:rPr/>
      </w:pP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تِلْكَ الْقَضِيَّةُ</w:t>
      </w:r>
      <w:r>
        <w:rPr>
          <w:rFonts w:eastAsia="Amiri" w:cs="Amiri" w:ascii="Amiri" w:hAnsi="Amiri"/>
          <w:color w:val="111111"/>
          <w:sz w:val="28"/>
          <w:szCs w:val="28"/>
          <w:rtl w:val="true"/>
          <w:lang w:bidi="ar-SA"/>
        </w:rPr>
        <w:t xml:space="preserve">] </w:t>
      </w:r>
      <w:r>
        <w:rPr>
          <w:rStyle w:val="FootnoteAnchor"/>
          <w:rtl w:val="true"/>
        </w:rPr>
        <w:footnoteReference w:id="3322"/>
      </w:r>
      <w:r>
        <w:rPr>
          <w:rFonts w:ascii="Amiri" w:hAnsi="Amiri" w:eastAsia="Amiri" w:cs="Amiri"/>
          <w:color w:val="111111"/>
          <w:sz w:val="28"/>
          <w:sz w:val="28"/>
          <w:szCs w:val="28"/>
          <w:rtl w:val="true"/>
          <w:lang w:bidi="ar-SA"/>
        </w:rPr>
        <w:t>بِعَيْنِهَا عَلى غَيْرِهِ، فَيَحْكُمُ فِيْهَا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تَجْتَمِعُ </w:t>
      </w:r>
      <w:r>
        <w:rPr>
          <w:rStyle w:val="FootnoteAnchor"/>
          <w:rtl w:val="true"/>
        </w:rPr>
        <w:footnoteReference w:id="3323"/>
      </w:r>
      <w:r>
        <w:rPr>
          <w:rFonts w:ascii="Amiri" w:hAnsi="Amiri" w:eastAsia="Amiri" w:cs="Amiri"/>
          <w:color w:val="111111"/>
          <w:sz w:val="28"/>
          <w:sz w:val="28"/>
          <w:szCs w:val="28"/>
          <w:rtl w:val="true"/>
          <w:lang w:bidi="ar-SA"/>
        </w:rPr>
        <w:t>الْقُضَاةُ بِذَلِكَ عِنْدَ الْإِمَامِ الَّذِي اسْتَقْضَاهُم، فَيُصَوِّبُ آرَاءَهُمْ جميعًا، وَ إِلهَهُمْ وَاحِدٌ، وَ نَبِيُّهُمْ وَاحِدٌ، وَ 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أَفَأَمَرَهُمُ اللَّهُ بِالاِخْتِلَافِ فَأَطَاعُوْهُ؟ أَمْ نَهَاهُمْ عَنْهُ فَعَصَوْهُ؟ أَمْ أَنْزَلَ اللَّهُ سُبْحَانَهُ دِيْنًا نَاقِصًا فَاسْتَعَانَ بِهِمْ عَلَى إتمامِهِ ؟ أَمْ كَانُوْا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324"/>
      </w:r>
      <w:r>
        <w:rPr>
          <w:rFonts w:ascii="Amiri" w:hAnsi="Amiri" w:eastAsia="Amiri" w:cs="Amiri"/>
          <w:color w:val="111111"/>
          <w:sz w:val="28"/>
          <w:sz w:val="28"/>
          <w:szCs w:val="28"/>
          <w:rtl w:val="true"/>
          <w:lang w:bidi="ar-SA"/>
        </w:rPr>
        <w:t xml:space="preserve">فَعَلَيْهِمْ </w:t>
      </w:r>
      <w:r>
        <w:rPr>
          <w:rStyle w:val="FootnoteAnchor"/>
          <w:rtl w:val="true"/>
        </w:rPr>
        <w:footnoteReference w:id="3325"/>
      </w:r>
      <w:r>
        <w:rPr>
          <w:rFonts w:ascii="Amiri" w:hAnsi="Amiri" w:eastAsia="Amiri" w:cs="Amiri"/>
          <w:color w:val="111111"/>
          <w:sz w:val="28"/>
          <w:sz w:val="28"/>
          <w:szCs w:val="28"/>
          <w:rtl w:val="true"/>
          <w:lang w:bidi="ar-SA"/>
        </w:rPr>
        <w:t xml:space="preserve">أَنْ يَقُوْلُوْا </w:t>
      </w:r>
      <w:r>
        <w:rPr>
          <w:rStyle w:val="FootnoteAnchor"/>
          <w:rtl w:val="true"/>
        </w:rPr>
        <w:footnoteReference w:id="3326"/>
      </w:r>
      <w:r>
        <w:rPr>
          <w:rFonts w:ascii="Amiri" w:hAnsi="Amiri" w:eastAsia="Amiri" w:cs="Amiri"/>
          <w:color w:val="111111"/>
          <w:sz w:val="28"/>
          <w:sz w:val="28"/>
          <w:szCs w:val="28"/>
          <w:rtl w:val="true"/>
          <w:lang w:bidi="ar-SA"/>
        </w:rPr>
        <w:t>وَ عَلَيْهِ أَنْ يَرْضَى ؟</w:t>
      </w:r>
    </w:p>
    <w:p>
      <w:pPr>
        <w:pStyle w:val="BookText"/>
        <w:rPr/>
      </w:pPr>
      <w:r>
        <w:rPr>
          <w:rFonts w:ascii="Amiri" w:hAnsi="Amiri" w:eastAsia="Amiri" w:cs="Amiri"/>
          <w:color w:val="111111"/>
          <w:sz w:val="28"/>
          <w:sz w:val="28"/>
          <w:szCs w:val="28"/>
          <w:rtl w:val="true"/>
          <w:lang w:bidi="ar-SA"/>
        </w:rPr>
        <w:t>أَمْ أَنْزَلَ اللهُ دِيْنًا تَامَّا فَقَصُرَ الرَّسُوْلُ عَنْ تَبْلِيْغِهِ وَ أَدَائِهِ؟</w:t>
      </w:r>
    </w:p>
    <w:p>
      <w:pPr>
        <w:pStyle w:val="BookText"/>
        <w:rPr/>
      </w:pPr>
      <w:r>
        <w:rPr>
          <w:rFonts w:ascii="Amiri" w:hAnsi="Amiri" w:eastAsia="Amiri" w:cs="Amiri"/>
          <w:color w:val="111111"/>
          <w:sz w:val="28"/>
          <w:sz w:val="28"/>
          <w:szCs w:val="28"/>
          <w:rtl w:val="true"/>
          <w:lang w:bidi="ar-SA"/>
        </w:rPr>
        <w:t>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وَ </w:t>
      </w:r>
      <w:r>
        <w:rPr>
          <w:rFonts w:eastAsia="Amiri" w:cs="Amiri" w:ascii="Amiri" w:hAnsi="Amiri"/>
          <w:color w:val="111111"/>
          <w:sz w:val="28"/>
          <w:szCs w:val="28"/>
          <w:rtl w:val="true"/>
          <w:lang w:bidi="ar-SA"/>
        </w:rPr>
        <w:t xml:space="preserve">: </w:t>
      </w:r>
      <w:r>
        <w:rPr>
          <w:rStyle w:val="FootnoteAnchor"/>
          <w:rtl w:val="true"/>
        </w:rPr>
        <w:footnoteReference w:id="3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3328"/>
      </w:r>
      <w:r>
        <w:rPr>
          <w:rFonts w:ascii="Amiri" w:hAnsi="Amiri" w:eastAsia="Amiri" w:cs="Amiri"/>
          <w:color w:val="111111"/>
          <w:sz w:val="28"/>
          <w:sz w:val="28"/>
          <w:szCs w:val="28"/>
          <w:rtl w:val="true"/>
          <w:lang w:bidi="ar-SA"/>
        </w:rPr>
        <w:t>، وَ ذَكَرَ أَنَّ الْكِتَابَ يُصَدِّقُ بَعْضُهُ بَعْضًا وَ أَنَّهُ لا اخْتِلاَفَ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Style w:val="FootnoteAnchor"/>
          <w:rtl w:val="true"/>
        </w:rPr>
        <w:footnoteReference w:id="3329"/>
      </w:r>
      <w:r>
        <w:rPr>
          <w:rFonts w:ascii="Amiri" w:hAnsi="Amiri" w:eastAsia="Amiri" w:cs="Amiri"/>
          <w:color w:val="111111"/>
          <w:sz w:val="28"/>
          <w:sz w:val="28"/>
          <w:szCs w:val="28"/>
          <w:rtl w:val="true"/>
          <w:lang w:bidi="ar-SA"/>
        </w:rPr>
        <w:t>كَانَ مِنْ عِنْدِ غَيْرِ اللهِ لَوَجَدُوْا فِيْهِ اخْتِلَافًا كَثِيرًا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الْقُرْآنَ ظَاهِرُهُ أَنِيْقٌ، وَ بَاطِنُهُ عَمِيْقٌ، لَا تَفْنَى عَجَائِبُهُ، وَلَا تَنْقَضِي غَرَائِبُهُ، وَ لَا تَنْكَشِفُ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3330"/>
      </w:r>
      <w:r>
        <w:rPr>
          <w:rFonts w:eastAsia="Times New Roman" w:cs="Times New Roman" w:ascii="Times New Roman" w:hAnsi="Times New Roman"/>
          <w:color w:val="111111"/>
          <w:sz w:val="28"/>
          <w:szCs w:val="28"/>
          <w:rtl w:val="true"/>
          <w:lang w:val="en-US" w:bidi="en-US"/>
        </w:rPr>
        <w:t xml:space="preserve">.. </w:t>
      </w:r>
      <w:bookmarkStart w:id="282" w:name="pg2523_40090"/>
    </w:p>
    <w:p>
      <w:pPr>
        <w:pStyle w:val="BookText"/>
        <w:rPr/>
      </w:pPr>
      <w:bookmarkEnd w:id="282"/>
      <w:r>
        <w:rPr>
          <w:rFonts w:ascii="Amiri" w:hAnsi="Amiri" w:eastAsia="Amiri" w:cs="Amiri"/>
          <w:color w:val="111111"/>
          <w:sz w:val="28"/>
          <w:sz w:val="28"/>
          <w:szCs w:val="28"/>
          <w:rtl w:val="true"/>
          <w:lang w:bidi="ar-SA"/>
        </w:rPr>
        <w:t>قال عز الدين عبد الحميد ابن أبي الحديد عند شرحه لهذا الكلام مع أنه من فضلاء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يحمل </w:t>
      </w:r>
      <w:r>
        <w:rPr>
          <w:rStyle w:val="FootnoteAnchor"/>
          <w:rtl w:val="true"/>
        </w:rPr>
        <w:footnoteReference w:id="3331"/>
      </w:r>
      <w:r>
        <w:rPr>
          <w:rFonts w:ascii="Amiri" w:hAnsi="Amiri" w:eastAsia="Amiri" w:cs="Amiri"/>
          <w:color w:val="111111"/>
          <w:sz w:val="28"/>
          <w:sz w:val="28"/>
          <w:szCs w:val="28"/>
          <w:rtl w:val="true"/>
          <w:lang w:bidi="ar-SA"/>
        </w:rPr>
        <w:t xml:space="preserve">جميع ما جاء </w:t>
      </w:r>
      <w:r>
        <w:rPr>
          <w:rStyle w:val="FootnoteAnchor"/>
          <w:rtl w:val="true"/>
        </w:rPr>
        <w:footnoteReference w:id="3332"/>
      </w:r>
      <w:r>
        <w:rPr>
          <w:rFonts w:ascii="Amiri" w:hAnsi="Amiri" w:eastAsia="Amiri" w:cs="Amiri"/>
          <w:color w:val="111111"/>
          <w:sz w:val="28"/>
          <w:sz w:val="28"/>
          <w:szCs w:val="28"/>
          <w:rtl w:val="true"/>
          <w:lang w:bidi="ar-SA"/>
        </w:rPr>
        <w:t xml:space="preserve">في الكتاب العزيز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فكم من</w:t>
      </w:r>
      <w:r>
        <w:rPr>
          <w:rFonts w:eastAsia="Amiri" w:cs="Amiri" w:ascii="Amiri" w:hAnsi="Amiri"/>
          <w:color w:val="111111"/>
          <w:sz w:val="28"/>
          <w:szCs w:val="28"/>
          <w:rtl w:val="true"/>
          <w:lang w:bidi="ar-SA"/>
        </w:rPr>
        <w:t xml:space="preserve">] </w:t>
      </w:r>
      <w:r>
        <w:rPr>
          <w:rStyle w:val="FootnoteAnchor"/>
          <w:rtl w:val="true"/>
        </w:rPr>
        <w:footnoteReference w:id="3333"/>
      </w:r>
      <w:r>
        <w:rPr>
          <w:rFonts w:ascii="Amiri" w:hAnsi="Amiri" w:eastAsia="Amiri" w:cs="Amiri"/>
          <w:color w:val="111111"/>
          <w:sz w:val="28"/>
          <w:sz w:val="28"/>
          <w:szCs w:val="28"/>
          <w:rtl w:val="true"/>
          <w:lang w:bidi="ar-SA"/>
        </w:rPr>
        <w:t xml:space="preserve">ظاهر فيه غير مراد، بل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334"/>
      </w:r>
      <w:r>
        <w:rPr>
          <w:rFonts w:ascii="Amiri" w:hAnsi="Amiri" w:eastAsia="Amiri" w:cs="Amiri"/>
          <w:color w:val="111111"/>
          <w:sz w:val="28"/>
          <w:sz w:val="28"/>
          <w:szCs w:val="28"/>
          <w:rtl w:val="true"/>
          <w:lang w:bidi="ar-SA"/>
        </w:rPr>
        <w:t>أمر آخر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أهل الاجتهاد في الأحكام الشرعية، و إفساد قول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مجتهد مصيب</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4264996_3804643083"/>
      <w:bookmarkStart w:id="284" w:name="_Toc96"/>
      <w:bookmarkEnd w:id="283"/>
      <w:r>
        <w:rPr>
          <w:rtl w:val="true"/>
        </w:rPr>
        <w:t>و تلخيص الاحتجاج من خمسة أوجه</w:t>
      </w:r>
      <w:r>
        <w:rPr>
          <w:rtl w:val="true"/>
        </w:rPr>
        <w:t>:</w:t>
      </w:r>
      <w:bookmarkEnd w:id="284"/>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الإله سبحانه </w:t>
      </w:r>
      <w:r>
        <w:rPr>
          <w:rStyle w:val="FootnoteAnchor"/>
          <w:rtl w:val="true"/>
        </w:rPr>
        <w:footnoteReference w:id="3335"/>
      </w:r>
      <w:r>
        <w:rPr>
          <w:rFonts w:ascii="IRNazanin" w:hAnsi="IRNazanin" w:eastAsia="IRNazanin"/>
          <w:color w:val="111111"/>
          <w:sz w:val="28"/>
          <w:sz w:val="28"/>
          <w:szCs w:val="28"/>
          <w:rtl w:val="true"/>
          <w:lang w:bidi="fa-IR"/>
        </w:rPr>
        <w:t>واحدًا و الرسول صلی الله علیه و آله و سلم واحدا و الكتاب واحدا، وجب أن يكون الحكم في الواقعة واحدًا، كالمَلِكِ الذي يرسل إلى رعيته رسولا بكتاب يأمرهم فيه بأوامر يقتضيها ملكه و إمرته، فإنه لا يجوز أن تتناقض أوامره ، و لو تناقضت لنسب إلى السفه و الجهل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ثانيها </w:t>
      </w:r>
      <w:r>
        <w:rPr>
          <w:rStyle w:val="FootnoteAnchor"/>
          <w:rtl w:val="true"/>
        </w:rPr>
        <w:footnoteReference w:id="3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الاختلاف الذي ذهب إليه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مأمورا به </w:t>
      </w:r>
      <w:r>
        <w:rPr>
          <w:rStyle w:val="FootnoteAnchor"/>
          <w:rtl w:val="true"/>
        </w:rPr>
        <w:footnoteReference w:id="3337"/>
      </w:r>
      <w:r>
        <w:rPr>
          <w:rStyle w:val="FootnoteAnchor"/>
          <w:rtl w:val="true"/>
        </w:rPr>
        <w:footnoteReference w:id="3338"/>
      </w:r>
      <w:r>
        <w:rPr>
          <w:rFonts w:ascii="IRNazanin" w:hAnsi="IRNazanin" w:eastAsia="IRNazanin"/>
          <w:color w:val="111111"/>
          <w:sz w:val="28"/>
          <w:sz w:val="28"/>
          <w:szCs w:val="28"/>
          <w:rtl w:val="true"/>
          <w:lang w:bidi="fa-IR"/>
        </w:rPr>
        <w:t xml:space="preserve">أم لا </w:t>
      </w:r>
      <w:r>
        <w:rPr>
          <w:rStyle w:val="FootnoteAnchor"/>
          <w:rtl w:val="true"/>
        </w:rPr>
        <w:footnoteReference w:id="33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باطل؛ لأنه ليس في الكتاب و السنة ما </w:t>
      </w:r>
    </w:p>
    <w:p>
      <w:pPr>
        <w:pStyle w:val="BookText"/>
        <w:rPr/>
      </w:pPr>
      <w:r>
        <w:rPr>
          <w:rFonts w:ascii="Amiri" w:hAnsi="Amiri" w:eastAsia="Amiri" w:cs="Amiri"/>
          <w:color w:val="111111"/>
          <w:sz w:val="28"/>
          <w:sz w:val="28"/>
          <w:szCs w:val="28"/>
          <w:rtl w:val="true"/>
          <w:lang w:bidi="ar-SA"/>
        </w:rPr>
        <w:t>يمكن الخصم أن يتعلق به في كون الاختلاف مأمورا به</w:t>
      </w:r>
      <w:r>
        <w:rPr>
          <w:rFonts w:eastAsia="Amiri" w:cs="Amiri" w:ascii="Amiri" w:hAnsi="Amiri"/>
          <w:color w:val="111111"/>
          <w:sz w:val="28"/>
          <w:szCs w:val="28"/>
          <w:rtl w:val="true"/>
          <w:lang w:bidi="ar-SA"/>
        </w:rPr>
        <w:t xml:space="preserve">] </w:t>
      </w:r>
      <w:r>
        <w:rPr>
          <w:rStyle w:val="FootnoteAnchor"/>
          <w:rtl w:val="true"/>
        </w:rPr>
        <w:footnoteReference w:id="3340"/>
      </w:r>
      <w:r>
        <w:rPr>
          <w:rFonts w:ascii="Amiri" w:hAnsi="Amiri" w:eastAsia="Amiri" w:cs="Amiri"/>
          <w:color w:val="111111"/>
          <w:sz w:val="28"/>
          <w:sz w:val="28"/>
          <w:szCs w:val="28"/>
          <w:rtl w:val="true"/>
          <w:lang w:bidi="ar-SA"/>
        </w:rPr>
        <w:t xml:space="preserve">، و الثاني حق، و يلزم منه تحريم الاختلاف و ثالثها </w:t>
      </w:r>
      <w:r>
        <w:rPr>
          <w:rStyle w:val="FootnoteAnchor"/>
          <w:rtl w:val="true"/>
        </w:rPr>
        <w:footnoteReference w:id="3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دين الإسلام ناقصا أو تاما، 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سبحانه قد استعان بالمكلفين على إتمام شريعة ناقصة أرسل بها رسوله، إما استعانةً على سبيل النيابة عنه أو على سبيل المشاركة، و كلاهما </w:t>
      </w:r>
      <w:r>
        <w:rPr>
          <w:rStyle w:val="FootnoteAnchor"/>
          <w:rtl w:val="true"/>
        </w:rPr>
        <w:footnoteReference w:id="3342"/>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الله سبحانه أنزل الشرع تاما فقصر الرسول عن تبليغه، أو يكون الرسول قد بلغه </w:t>
      </w:r>
      <w:r>
        <w:rPr>
          <w:rStyle w:val="FootnoteAnchor"/>
          <w:rtl w:val="true"/>
        </w:rPr>
        <w:footnoteReference w:id="3343"/>
      </w:r>
      <w:r>
        <w:rPr>
          <w:rFonts w:ascii="Amiri" w:hAnsi="Amiri" w:eastAsia="Amiri" w:cs="Amiri"/>
          <w:color w:val="111111"/>
          <w:sz w:val="28"/>
          <w:sz w:val="28"/>
          <w:szCs w:val="28"/>
          <w:rtl w:val="true"/>
          <w:lang w:bidi="ar-SA"/>
        </w:rPr>
        <w:t xml:space="preserve">على تمامه و كماله </w:t>
      </w:r>
      <w:r>
        <w:rPr>
          <w:rStyle w:val="FootnoteAnchor"/>
          <w:rtl w:val="true"/>
        </w:rPr>
        <w:footnoteReference w:id="3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كفر أيضا، و 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بطل الاجتهاد؛ لأن الاجتهاد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3345"/>
      </w:r>
      <w:r>
        <w:rPr>
          <w:rFonts w:ascii="Amiri" w:hAnsi="Amiri" w:eastAsia="Amiri" w:cs="Amiri"/>
          <w:color w:val="111111"/>
          <w:sz w:val="28"/>
          <w:sz w:val="28"/>
          <w:szCs w:val="28"/>
          <w:rtl w:val="true"/>
          <w:lang w:bidi="ar-SA"/>
        </w:rPr>
        <w:t xml:space="preserve">فيما لم </w:t>
      </w:r>
      <w:r>
        <w:rPr>
          <w:rStyle w:val="FootnoteAnchor"/>
          <w:rtl w:val="true"/>
        </w:rPr>
        <w:footnoteReference w:id="3346"/>
      </w:r>
      <w:r>
        <w:rPr>
          <w:rFonts w:ascii="Amiri" w:hAnsi="Amiri" w:eastAsia="Amiri" w:cs="Amiri"/>
          <w:color w:val="111111"/>
          <w:sz w:val="28"/>
          <w:sz w:val="28"/>
          <w:szCs w:val="28"/>
          <w:rtl w:val="true"/>
          <w:lang w:bidi="ar-SA"/>
        </w:rPr>
        <w:t xml:space="preserve">يبين </w:t>
      </w:r>
      <w:r>
        <w:rPr>
          <w:rStyle w:val="FootnoteAnchor"/>
          <w:rtl w:val="true"/>
        </w:rPr>
        <w:footnoteReference w:id="3347"/>
      </w:r>
      <w:r>
        <w:rPr>
          <w:rFonts w:ascii="Amiri" w:hAnsi="Amiri" w:eastAsia="Amiri" w:cs="Amiri"/>
          <w:color w:val="111111"/>
          <w:sz w:val="28"/>
          <w:sz w:val="28"/>
          <w:szCs w:val="28"/>
          <w:rtl w:val="true"/>
          <w:lang w:bidi="ar-SA"/>
        </w:rPr>
        <w:t>، فأما ما تبيّن فلا مجال للاجتهاد فيه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Style w:val="FootnoteAnchor"/>
          <w:rtl w:val="true"/>
        </w:rPr>
        <w:footnoteReference w:id="3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3349"/>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تِبْيَاناً لِّكُلِّ شَيْءٍ</w:t>
      </w:r>
      <w:r>
        <w:rPr>
          <w:rStyle w:val="FootnoteAnchor"/>
          <w:rtl w:val="true"/>
        </w:rPr>
        <w:footnoteReference w:id="3350"/>
      </w:r>
      <w:r>
        <w:rPr>
          <w:rFonts w:ascii="IRNazanin" w:hAnsi="IRNazanin" w:eastAsia="IRNazanin"/>
          <w:color w:val="111111"/>
          <w:sz w:val="28"/>
          <w:sz w:val="28"/>
          <w:szCs w:val="28"/>
          <w:rtl w:val="true"/>
          <w:lang w:bidi="fa-IR"/>
        </w:rPr>
        <w:t xml:space="preserve">، و قوله سبحانه </w:t>
      </w:r>
      <w:r>
        <w:rPr>
          <w:rStyle w:val="FootnoteAnchor"/>
          <w:rtl w:val="true"/>
        </w:rPr>
        <w:footnoteReference w:id="335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رَطْبٍ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يَابِسٍ إِلَّا فِي كِتَابٍ مُّبِينٍ</w:t>
      </w:r>
      <w:r>
        <w:rPr>
          <w:rStyle w:val="FootnoteAnchor"/>
          <w:rtl w:val="true"/>
        </w:rPr>
        <w:footnoteReference w:id="3352"/>
      </w:r>
      <w:r>
        <w:rPr>
          <w:rFonts w:ascii="Amiri" w:hAnsi="Amiri" w:eastAsia="Amiri" w:cs="Amiri"/>
          <w:color w:val="111111"/>
          <w:sz w:val="28"/>
          <w:sz w:val="28"/>
          <w:szCs w:val="28"/>
          <w:rtl w:val="true"/>
          <w:lang w:bidi="ar-SA"/>
        </w:rPr>
        <w:t xml:space="preserve">فهذه الآيات دالة على اشتمال الكتاب العزيز على جميع الأحكام، فكلما لم يمكن في </w:t>
      </w:r>
      <w:r>
        <w:rPr>
          <w:rStyle w:val="FootnoteAnchor"/>
          <w:rtl w:val="true"/>
        </w:rPr>
        <w:footnoteReference w:id="3353"/>
      </w:r>
      <w:r>
        <w:rPr>
          <w:rFonts w:ascii="Amiri" w:hAnsi="Amiri" w:eastAsia="Amiri" w:cs="Amiri"/>
          <w:color w:val="111111"/>
          <w:sz w:val="28"/>
          <w:sz w:val="28"/>
          <w:szCs w:val="28"/>
          <w:rtl w:val="true"/>
          <w:lang w:bidi="ar-SA"/>
        </w:rPr>
        <w:t xml:space="preserve">الكتاب وجب ألا يكون من </w:t>
      </w:r>
      <w:r>
        <w:rPr>
          <w:rStyle w:val="FootnoteAnchor"/>
          <w:rtl w:val="true"/>
        </w:rPr>
        <w:footnoteReference w:id="3354"/>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خامسها </w:t>
      </w:r>
      <w:r>
        <w:rPr>
          <w:rStyle w:val="FootnoteAnchor"/>
          <w:rtl w:val="true"/>
        </w:rPr>
        <w:footnoteReference w:id="3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Style w:val="FootnoteAnchor"/>
          <w:rtl w:val="true"/>
        </w:rPr>
        <w:footnoteReference w:id="3356"/>
      </w:r>
      <w:r>
        <w:rPr>
          <w:rFonts w:ascii="Amiri" w:hAnsi="Amiri" w:eastAsia="Amiri" w:cs="Amiri"/>
          <w:color w:val="111111"/>
          <w:sz w:val="28"/>
          <w:sz w:val="28"/>
          <w:szCs w:val="28"/>
          <w:rtl w:val="true"/>
          <w:lang w:bidi="ar-SA"/>
        </w:rPr>
        <w:t xml:space="preserve">، فجعل الاختلاف دليلا على أنه ليس من عند الله سبحانه بالأدلة القاطعة الدالة على صحة النبوة، فوجب أن لا يكون فيها </w:t>
      </w:r>
      <w:r>
        <w:rPr>
          <w:rStyle w:val="FootnoteAnchor"/>
          <w:rtl w:val="true"/>
        </w:rPr>
        <w:footnoteReference w:id="3357"/>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هذه الوجوه هي التي تتعلق بها الإمامية و نفاة القياس و الاجتهاد في الشرعيات، و قد تكلم عليه أصحابنا في كتبهم</w:t>
      </w:r>
      <w:r>
        <w:rPr>
          <w:rFonts w:eastAsia="Amiri" w:cs="Amiri" w:ascii="Amiri" w:hAnsi="Amiri"/>
          <w:color w:val="111111"/>
          <w:sz w:val="28"/>
          <w:szCs w:val="28"/>
          <w:rtl w:val="true"/>
          <w:lang w:bidi="ar-SA"/>
        </w:rPr>
        <w:t xml:space="preserve">» </w:t>
      </w:r>
      <w:r>
        <w:rPr>
          <w:rStyle w:val="FootnoteAnchor"/>
          <w:rtl w:val="true"/>
        </w:rPr>
        <w:footnoteReference w:id="3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داس بساط الإنصاف، و تنكب عن جادة الزيغ و أهل الاعتساف</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الكاشاني في رسالته الموسومة بسفينة أهل النجاة بعد نقله هذا الكلام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كلامه هذا دلالة على أن نفي الاجتهاد كان معروفًا من مذهب الإمامية </w:t>
      </w:r>
      <w:r>
        <w:rPr>
          <w:rStyle w:val="FootnoteAnchor"/>
          <w:rtl w:val="true"/>
        </w:rPr>
        <w:footnoteReference w:id="3359"/>
      </w:r>
      <w:r>
        <w:rPr>
          <w:rFonts w:ascii="Amiri" w:hAnsi="Amiri" w:eastAsia="Amiri" w:cs="Amiri"/>
          <w:color w:val="111111"/>
          <w:sz w:val="28"/>
          <w:sz w:val="28"/>
          <w:szCs w:val="28"/>
          <w:rtl w:val="true"/>
          <w:lang w:bidi="ar-SA"/>
        </w:rPr>
        <w:t>حتى عند مخالفيهم ، كما أن نفي القياس كان معروفًا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مذهبه </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1"/>
      </w:r>
      <w:r>
        <w:rPr>
          <w:rFonts w:ascii="IRNazanin" w:hAnsi="IRNazanin" w:eastAsia="IRNazanin"/>
          <w:color w:val="111111"/>
          <w:sz w:val="28"/>
          <w:sz w:val="28"/>
          <w:szCs w:val="28"/>
          <w:rtl w:val="true"/>
          <w:lang w:bidi="fa-IR"/>
        </w:rPr>
        <w:t xml:space="preserve">انتهى </w:t>
      </w:r>
      <w:r>
        <w:rPr>
          <w:rStyle w:val="FootnoteAnchor"/>
          <w:rtl w:val="true"/>
        </w:rPr>
        <w:footnoteReference w:id="3362"/>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نهج البلاغة أيضًا من كلام أمير المؤمنين علیه السلام في صفة من يتصدّى الحكم بين الأمة و ليس لذلك </w:t>
      </w:r>
      <w:r>
        <w:rPr>
          <w:rStyle w:val="FootnoteAnchor"/>
          <w:rtl w:val="true"/>
        </w:rPr>
        <w:footnoteReference w:id="3363"/>
      </w:r>
      <w:r>
        <w:rPr>
          <w:rFonts w:ascii="Amiri" w:hAnsi="Amiri" w:eastAsia="Amiri" w:cs="Amiri"/>
          <w:color w:val="111111"/>
          <w:sz w:val="28"/>
          <w:sz w:val="28"/>
          <w:szCs w:val="28"/>
          <w:rtl w:val="true"/>
          <w:lang w:bidi="ar-SA"/>
        </w:rPr>
        <w:t>بأهل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فَهُوَ جَائِرٌ عَنْ قَصْدِ السَّبِيْلِ، مَشْغُوفٌ بِكَلام بِدْعَةٍ وَ دُعَاءِ ضَلَالَةٍ، فَهُوَ فِتْنَةٌ لمِن اقْتَدَى </w:t>
      </w:r>
      <w:r>
        <w:rPr>
          <w:rStyle w:val="FootnoteAnchor"/>
          <w:rtl w:val="true"/>
        </w:rPr>
        <w:footnoteReference w:id="3364"/>
      </w:r>
      <w:r>
        <w:rPr>
          <w:rFonts w:ascii="Amiri" w:hAnsi="Amiri" w:eastAsia="Amiri" w:cs="Amiri"/>
          <w:color w:val="111111"/>
          <w:sz w:val="28"/>
          <w:sz w:val="28"/>
          <w:szCs w:val="28"/>
          <w:rtl w:val="true"/>
          <w:lang w:bidi="ar-SA"/>
        </w:rPr>
        <w:t xml:space="preserve">بِهِ، ضَالٌ عَنْ هُدَى مَنْ كَانَ قَبْلَهُ، مُضِلَّ لَمَنِ اقْتَدَى بِهِ فِي حَيَاتِهِ وَ بَعْدَ وَفَاتِهِ، حَامِلٌ خَطَايَاهُ </w:t>
      </w:r>
      <w:r>
        <w:rPr>
          <w:rStyle w:val="FootnoteAnchor"/>
          <w:rtl w:val="true"/>
        </w:rPr>
        <w:footnoteReference w:id="3365"/>
      </w:r>
      <w:r>
        <w:rPr>
          <w:rFonts w:ascii="Amiri" w:hAnsi="Amiri" w:eastAsia="Amiri" w:cs="Amiri"/>
          <w:color w:val="111111"/>
          <w:sz w:val="28"/>
          <w:sz w:val="28"/>
          <w:szCs w:val="28"/>
          <w:rtl w:val="true"/>
          <w:lang w:bidi="ar-SA"/>
        </w:rPr>
        <w:t xml:space="preserve">، رَهْنٌ بِخَطِيئَتِهِ </w:t>
      </w:r>
      <w:r>
        <w:rPr>
          <w:rStyle w:val="FootnoteAnchor"/>
          <w:rtl w:val="true"/>
        </w:rPr>
        <w:footnoteReference w:id="336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قمَشَ </w:t>
      </w:r>
      <w:r>
        <w:rPr>
          <w:rStyle w:val="FootnoteAnchor"/>
          <w:rtl w:val="true"/>
        </w:rPr>
        <w:footnoteReference w:id="3367"/>
      </w:r>
      <w:r>
        <w:rPr>
          <w:rFonts w:ascii="Amiri" w:hAnsi="Amiri" w:eastAsia="Amiri" w:cs="Amiri"/>
          <w:color w:val="111111"/>
          <w:sz w:val="28"/>
          <w:sz w:val="28"/>
          <w:szCs w:val="28"/>
          <w:rtl w:val="true"/>
          <w:lang w:bidi="ar-SA"/>
        </w:rPr>
        <w:t xml:space="preserve">جَهْلاً </w:t>
      </w:r>
      <w:r>
        <w:rPr>
          <w:rStyle w:val="FootnoteAnchor"/>
          <w:rtl w:val="true"/>
        </w:rPr>
        <w:footnoteReference w:id="3368"/>
      </w:r>
      <w:r>
        <w:rPr>
          <w:rFonts w:ascii="Amiri" w:hAnsi="Amiri" w:eastAsia="Amiri" w:cs="Amiri"/>
          <w:color w:val="111111"/>
          <w:sz w:val="28"/>
          <w:sz w:val="28"/>
          <w:szCs w:val="28"/>
          <w:rtl w:val="true"/>
          <w:lang w:bidi="ar-SA"/>
        </w:rPr>
        <w:t xml:space="preserve">، مَوْضُوع </w:t>
      </w:r>
      <w:r>
        <w:rPr>
          <w:rStyle w:val="FootnoteAnchor"/>
          <w:rtl w:val="true"/>
        </w:rPr>
        <w:footnoteReference w:id="3369"/>
      </w:r>
      <w:r>
        <w:rPr>
          <w:rFonts w:ascii="Amiri" w:hAnsi="Amiri" w:eastAsia="Amiri" w:cs="Amiri"/>
          <w:color w:val="111111"/>
          <w:sz w:val="28"/>
          <w:sz w:val="28"/>
          <w:szCs w:val="28"/>
          <w:rtl w:val="true"/>
          <w:lang w:bidi="ar-SA"/>
        </w:rPr>
        <w:t xml:space="preserve">فِي جُهَّالِ الْأُمَّةِ، غَارَ </w:t>
      </w:r>
      <w:r>
        <w:rPr>
          <w:rStyle w:val="FootnoteAnchor"/>
          <w:rtl w:val="true"/>
        </w:rPr>
        <w:footnoteReference w:id="3370"/>
      </w:r>
      <w:r>
        <w:rPr>
          <w:rFonts w:ascii="Amiri" w:hAnsi="Amiri" w:eastAsia="Amiri" w:cs="Amiri"/>
          <w:color w:val="111111"/>
          <w:sz w:val="28"/>
          <w:sz w:val="28"/>
          <w:szCs w:val="28"/>
          <w:rtl w:val="true"/>
          <w:lang w:bidi="ar-SA"/>
        </w:rPr>
        <w:t xml:space="preserve">فِي أَغْبَاشِ الْفِتْنَةِ </w:t>
      </w:r>
      <w:r>
        <w:rPr>
          <w:rStyle w:val="FootnoteAnchor"/>
          <w:rtl w:val="true"/>
        </w:rPr>
        <w:footnoteReference w:id="3371"/>
      </w:r>
      <w:r>
        <w:rPr>
          <w:rFonts w:ascii="Amiri" w:hAnsi="Amiri" w:eastAsia="Amiri" w:cs="Amiri"/>
          <w:color w:val="111111"/>
          <w:sz w:val="28"/>
          <w:sz w:val="28"/>
          <w:szCs w:val="28"/>
          <w:rtl w:val="true"/>
          <w:lang w:bidi="ar-SA"/>
        </w:rPr>
        <w:t xml:space="preserve">، عَمَّ عَمَّا عَقَدَ الدَّهْشَةَ </w:t>
      </w:r>
      <w:r>
        <w:rPr>
          <w:rStyle w:val="FootnoteAnchor"/>
          <w:rtl w:val="true"/>
        </w:rPr>
        <w:footnoteReference w:id="3372"/>
      </w:r>
      <w:r>
        <w:rPr>
          <w:rFonts w:ascii="Amiri" w:hAnsi="Amiri" w:eastAsia="Amiri" w:cs="Amiri"/>
          <w:color w:val="111111"/>
          <w:sz w:val="28"/>
          <w:sz w:val="28"/>
          <w:szCs w:val="28"/>
          <w:rtl w:val="true"/>
          <w:lang w:bidi="ar-SA"/>
        </w:rPr>
        <w:t>، قَدْ سَمَّاهُ أَشْبَاهُ النَّاسِ عَالِما وَ 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بَكَرَ </w:t>
      </w:r>
      <w:r>
        <w:rPr>
          <w:rStyle w:val="FootnoteAnchor"/>
          <w:rtl w:val="true"/>
        </w:rPr>
        <w:footnoteReference w:id="3373"/>
      </w:r>
      <w:r>
        <w:rPr>
          <w:rFonts w:ascii="Amiri" w:hAnsi="Amiri" w:eastAsia="Amiri" w:cs="Amiri"/>
          <w:color w:val="111111"/>
          <w:sz w:val="28"/>
          <w:sz w:val="28"/>
          <w:szCs w:val="28"/>
          <w:rtl w:val="true"/>
          <w:lang w:bidi="ar-SA"/>
        </w:rPr>
        <w:t xml:space="preserve">فَأَكْثَرَ </w:t>
      </w:r>
      <w:r>
        <w:rPr>
          <w:rStyle w:val="FootnoteAnchor"/>
          <w:rtl w:val="true"/>
        </w:rPr>
        <w:footnoteReference w:id="3374"/>
      </w:r>
      <w:r>
        <w:rPr>
          <w:rFonts w:ascii="Amiri" w:hAnsi="Amiri" w:eastAsia="Amiri" w:cs="Amiri"/>
          <w:color w:val="111111"/>
          <w:sz w:val="28"/>
          <w:sz w:val="28"/>
          <w:szCs w:val="28"/>
          <w:rtl w:val="true"/>
          <w:lang w:bidi="ar-SA"/>
        </w:rPr>
        <w:t xml:space="preserve">مِنْ جَمْعِ ، </w:t>
      </w:r>
      <w:r>
        <w:rPr>
          <w:rStyle w:val="FootnoteAnchor"/>
          <w:rtl w:val="true"/>
        </w:rPr>
        <w:footnoteReference w:id="3375"/>
      </w:r>
      <w:r>
        <w:rPr>
          <w:rFonts w:ascii="Amiri" w:hAnsi="Amiri" w:eastAsia="Amiri" w:cs="Amiri"/>
          <w:color w:val="111111"/>
          <w:sz w:val="28"/>
          <w:sz w:val="28"/>
          <w:szCs w:val="28"/>
          <w:rtl w:val="true"/>
          <w:lang w:bidi="ar-SA"/>
        </w:rPr>
        <w:t xml:space="preserve">مَا </w:t>
      </w:r>
      <w:r>
        <w:rPr>
          <w:rStyle w:val="FootnoteAnchor"/>
          <w:rtl w:val="true"/>
        </w:rPr>
        <w:footnoteReference w:id="3376"/>
      </w:r>
      <w:r>
        <w:rPr>
          <w:rFonts w:ascii="Amiri" w:hAnsi="Amiri" w:eastAsia="Amiri" w:cs="Amiri"/>
          <w:color w:val="111111"/>
          <w:sz w:val="28"/>
          <w:sz w:val="28"/>
          <w:szCs w:val="28"/>
          <w:rtl w:val="true"/>
          <w:lang w:bidi="ar-SA"/>
        </w:rPr>
        <w:t xml:space="preserve">قَلَّ </w:t>
      </w:r>
      <w:r>
        <w:rPr>
          <w:rStyle w:val="FootnoteAnchor"/>
          <w:rtl w:val="true"/>
        </w:rPr>
        <w:footnoteReference w:id="3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3378"/>
      </w:r>
      <w:r>
        <w:rPr>
          <w:rFonts w:ascii="Amiri" w:hAnsi="Amiri" w:eastAsia="Amiri" w:cs="Amiri"/>
          <w:color w:val="111111"/>
          <w:sz w:val="28"/>
          <w:sz w:val="28"/>
          <w:szCs w:val="28"/>
          <w:rtl w:val="true"/>
          <w:lang w:bidi="ar-SA"/>
        </w:rPr>
        <w:t xml:space="preserve">خَيْرٌ </w:t>
      </w:r>
      <w:r>
        <w:rPr>
          <w:rStyle w:val="FootnoteAnchor"/>
          <w:rtl w:val="true"/>
        </w:rPr>
        <w:footnoteReference w:id="3379"/>
      </w:r>
      <w:r>
        <w:rPr>
          <w:rFonts w:ascii="Amiri" w:hAnsi="Amiri" w:eastAsia="Amiri" w:cs="Amiri"/>
          <w:color w:val="111111"/>
          <w:sz w:val="28"/>
          <w:sz w:val="28"/>
          <w:szCs w:val="28"/>
          <w:rtl w:val="true"/>
          <w:lang w:bidi="ar-SA"/>
        </w:rPr>
        <w:t xml:space="preserve">مِمَّا كَثُرَ مِنْهُ، حَتَّى إِذَا ارْتَوَى مِنْ مَاءٍ أَجنِ </w:t>
      </w:r>
      <w:r>
        <w:rPr>
          <w:rStyle w:val="FootnoteAnchor"/>
          <w:rtl w:val="true"/>
        </w:rPr>
        <w:footnoteReference w:id="3380"/>
      </w:r>
      <w:r>
        <w:rPr>
          <w:rFonts w:ascii="Amiri" w:hAnsi="Amiri" w:eastAsia="Amiri" w:cs="Amiri"/>
          <w:color w:val="111111"/>
          <w:sz w:val="28"/>
          <w:sz w:val="28"/>
          <w:szCs w:val="28"/>
          <w:rtl w:val="true"/>
          <w:lang w:bidi="ar-SA"/>
        </w:rPr>
        <w:t xml:space="preserve">، وَاكْتَنَزَ </w:t>
      </w:r>
      <w:r>
        <w:rPr>
          <w:rStyle w:val="FootnoteAnchor"/>
          <w:rtl w:val="true"/>
        </w:rPr>
        <w:footnoteReference w:id="3381"/>
      </w:r>
      <w:r>
        <w:rPr>
          <w:rFonts w:ascii="Amiri" w:hAnsi="Amiri" w:eastAsia="Amiri" w:cs="Amiri"/>
          <w:color w:val="111111"/>
          <w:sz w:val="28"/>
          <w:sz w:val="28"/>
          <w:szCs w:val="28"/>
          <w:rtl w:val="true"/>
          <w:lang w:bidi="ar-SA"/>
        </w:rPr>
        <w:t xml:space="preserve">مِنْ غَيْرِ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بَيْنَ النَّاسِ قَاضِیا، ضَامِنًا لِتَخْلِيْصِ مَا الْتَبَسَ عَلَى غَيْرِهِ، فَإِنْ نَزَلَتْ بِهِ إِحْدَى الْمُبْهَماتِ </w:t>
      </w:r>
      <w:r>
        <w:rPr>
          <w:rStyle w:val="FootnoteAnchor"/>
          <w:rtl w:val="true"/>
        </w:rPr>
        <w:footnoteReference w:id="3382"/>
      </w:r>
      <w:r>
        <w:rPr>
          <w:rFonts w:ascii="Amiri" w:hAnsi="Amiri" w:eastAsia="Amiri" w:cs="Amiri"/>
          <w:color w:val="111111"/>
          <w:sz w:val="28"/>
          <w:sz w:val="28"/>
          <w:szCs w:val="28"/>
          <w:rtl w:val="true"/>
          <w:lang w:bidi="ar-SA"/>
        </w:rPr>
        <w:t xml:space="preserve">هَيَّاً لَها حَشْوا رَثا </w:t>
      </w:r>
      <w:r>
        <w:rPr>
          <w:rStyle w:val="FootnoteAnchor"/>
          <w:rtl w:val="true"/>
        </w:rPr>
        <w:footnoteReference w:id="3383"/>
      </w:r>
      <w:r>
        <w:rPr>
          <w:rFonts w:ascii="Amiri" w:hAnsi="Amiri" w:eastAsia="Amiri" w:cs="Amiri"/>
          <w:color w:val="111111"/>
          <w:sz w:val="28"/>
          <w:sz w:val="28"/>
          <w:szCs w:val="28"/>
          <w:rtl w:val="true"/>
          <w:lang w:bidi="ar-SA"/>
        </w:rPr>
        <w:t xml:space="preserve">مِنْ رَأْيِهِ ثُمَّ قَطَعَ بِهِ، فَهُوَ مِنْ لَبْسِ الشَّهَوَاتِ </w:t>
      </w:r>
      <w:r>
        <w:rPr>
          <w:rStyle w:val="FootnoteAnchor"/>
          <w:rtl w:val="true"/>
        </w:rPr>
        <w:footnoteReference w:id="3384"/>
      </w:r>
      <w:r>
        <w:rPr>
          <w:rFonts w:ascii="Amiri" w:hAnsi="Amiri" w:eastAsia="Amiri" w:cs="Amiri"/>
          <w:color w:val="111111"/>
          <w:sz w:val="28"/>
          <w:sz w:val="28"/>
          <w:szCs w:val="28"/>
          <w:rtl w:val="true"/>
          <w:lang w:bidi="ar-SA"/>
        </w:rPr>
        <w:t xml:space="preserve">فِي مِثْلِ غَزْلِ </w:t>
      </w:r>
      <w:r>
        <w:rPr>
          <w:rStyle w:val="FootnoteAnchor"/>
          <w:rtl w:val="true"/>
        </w:rPr>
        <w:footnoteReference w:id="3385"/>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أَصَابَ أَمْ أَخْطَأَ ، إِنْ </w:t>
      </w:r>
      <w:r>
        <w:rPr>
          <w:rStyle w:val="FootnoteAnchor"/>
          <w:rtl w:val="true"/>
        </w:rPr>
        <w:footnoteReference w:id="3386"/>
      </w:r>
      <w:r>
        <w:rPr>
          <w:rFonts w:ascii="Amiri" w:hAnsi="Amiri" w:eastAsia="Amiri" w:cs="Amiri"/>
          <w:color w:val="111111"/>
          <w:sz w:val="28"/>
          <w:sz w:val="28"/>
          <w:szCs w:val="28"/>
          <w:rtl w:val="true"/>
          <w:lang w:bidi="ar-SA"/>
        </w:rPr>
        <w:t>أَصَابَ خَافَ أَنْ يَكُوْنَ قَدْ أَخْطَاً ، وَ إِنْ أَخْطَأَ رَجَا أَنْ يَكُونَ قَدْ أَصَابَ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جَاهِلٌ خَبَّاطُ جَهَالَاتٍ، غَاشٍ رَكَّابُ غَشَوَاتٍ </w:t>
      </w:r>
      <w:r>
        <w:rPr>
          <w:rStyle w:val="FootnoteAnchor"/>
          <w:rtl w:val="true"/>
        </w:rPr>
        <w:footnoteReference w:id="3387"/>
      </w:r>
      <w:r>
        <w:rPr>
          <w:rFonts w:ascii="Amiri" w:hAnsi="Amiri" w:eastAsia="Amiri" w:cs="Amiri"/>
          <w:color w:val="111111"/>
          <w:sz w:val="28"/>
          <w:sz w:val="28"/>
          <w:szCs w:val="28"/>
          <w:rtl w:val="true"/>
          <w:lang w:bidi="ar-SA"/>
        </w:rPr>
        <w:t>، لَمْ يَعِضَّ عَلَى الْعِلْمِة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بِضِرْسٍ قَاطِعِ، يَدْرِي الرِّوَايَاتِ إِذْرَاءَ الهُشِيمِ </w:t>
      </w:r>
      <w:r>
        <w:rPr>
          <w:rStyle w:val="FootnoteAnchor"/>
          <w:rtl w:val="true"/>
        </w:rPr>
        <w:footnoteReference w:id="3388"/>
      </w:r>
      <w:r>
        <w:rPr>
          <w:rFonts w:ascii="Amiri" w:hAnsi="Amiri" w:eastAsia="Amiri" w:cs="Amiri"/>
          <w:color w:val="111111"/>
          <w:sz w:val="28"/>
          <w:sz w:val="28"/>
          <w:szCs w:val="28"/>
          <w:rtl w:val="true"/>
          <w:lang w:bidi="ar-SA"/>
        </w:rPr>
        <w:t xml:space="preserve">، لَا مَلِىَ </w:t>
      </w:r>
      <w:r>
        <w:rPr>
          <w:rStyle w:val="FootnoteAnchor"/>
          <w:rtl w:val="true"/>
        </w:rPr>
        <w:footnoteReference w:id="3389"/>
      </w:r>
      <w:r>
        <w:rPr>
          <w:rFonts w:ascii="Amiri" w:hAnsi="Amiri" w:eastAsia="Amiri" w:cs="Amiri"/>
          <w:color w:val="111111"/>
          <w:sz w:val="28"/>
          <w:sz w:val="28"/>
          <w:szCs w:val="28"/>
          <w:rtl w:val="true"/>
          <w:lang w:bidi="ar-SA"/>
        </w:rPr>
        <w:t xml:space="preserve">وَاللهِ بِإِصْدَارِ مَا وَرَدَ </w:t>
      </w:r>
      <w:r>
        <w:rPr>
          <w:rStyle w:val="FootnoteAnchor"/>
          <w:rtl w:val="true"/>
        </w:rPr>
        <w:footnoteReference w:id="3390"/>
      </w:r>
      <w:r>
        <w:rPr>
          <w:rFonts w:ascii="Amiri" w:hAnsi="Amiri" w:eastAsia="Amiri" w:cs="Amiri"/>
          <w:color w:val="111111"/>
          <w:sz w:val="28"/>
          <w:sz w:val="28"/>
          <w:szCs w:val="28"/>
          <w:rtl w:val="true"/>
          <w:lang w:bidi="ar-SA"/>
        </w:rPr>
        <w:t xml:space="preserve">عَلَيْهِ، وَلَا يَحْسَبُ </w:t>
      </w:r>
      <w:r>
        <w:rPr>
          <w:rStyle w:val="FootnoteAnchor"/>
          <w:rtl w:val="true"/>
        </w:rPr>
        <w:footnoteReference w:id="3391"/>
      </w:r>
      <w:r>
        <w:rPr>
          <w:rFonts w:ascii="Amiri" w:hAnsi="Amiri" w:eastAsia="Amiri" w:cs="Amiri"/>
          <w:color w:val="111111"/>
          <w:sz w:val="28"/>
          <w:sz w:val="28"/>
          <w:szCs w:val="28"/>
          <w:rtl w:val="true"/>
          <w:lang w:bidi="ar-SA"/>
        </w:rPr>
        <w:t>الْعِلْمَ فِي شَيءٍ كَما أَنْكَرَهُ، وَلَا يَرَى أَنَّ مَا وَرَاءَ مَا بَلَغَ مِنْهُ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أَظْلَمَ عَلَيْهِ أَمْرُ اكْتَتَمَ بِهِ؛ لَا يَعْلَمُ مِنْ جَهْلِ نَفْسِهِ، تَصْرُخ مِنْ جَوْرِ فَضَائِهِ الدِّمَاءُ، وَتَعِجُ مِنْهُ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مِنْ مَعْشَرٍ يَعِيْشُونَ جُهَالًا، وَ يَمُوْتُوْنَ ضُلالا ، لَيْسَ فِيهِمْ سِلْعَةُ </w:t>
      </w:r>
      <w:r>
        <w:rPr>
          <w:rStyle w:val="FootnoteAnchor"/>
          <w:rtl w:val="true"/>
        </w:rPr>
        <w:footnoteReference w:id="3392"/>
      </w:r>
      <w:r>
        <w:rPr>
          <w:rFonts w:ascii="Amiri" w:hAnsi="Amiri" w:eastAsia="Amiri" w:cs="Amiri"/>
          <w:color w:val="111111"/>
          <w:sz w:val="28"/>
          <w:sz w:val="28"/>
          <w:szCs w:val="28"/>
          <w:rtl w:val="true"/>
          <w:lang w:bidi="ar-SA"/>
        </w:rPr>
        <w:t xml:space="preserve">أَبْوَرُ </w:t>
      </w:r>
      <w:r>
        <w:rPr>
          <w:rStyle w:val="FootnoteAnchor"/>
          <w:rtl w:val="true"/>
        </w:rPr>
        <w:footnoteReference w:id="3393"/>
      </w:r>
      <w:r>
        <w:rPr>
          <w:rFonts w:ascii="Amiri" w:hAnsi="Amiri" w:eastAsia="Amiri" w:cs="Amiri"/>
          <w:color w:val="111111"/>
          <w:sz w:val="28"/>
          <w:sz w:val="28"/>
          <w:szCs w:val="28"/>
          <w:rtl w:val="true"/>
          <w:lang w:bidi="ar-SA"/>
        </w:rPr>
        <w:t xml:space="preserve">مِنَ الْكِتَابِ إِذَا تُلِيَ عَلَيْهِمْ </w:t>
      </w:r>
      <w:r>
        <w:rPr>
          <w:rStyle w:val="FootnoteAnchor"/>
          <w:rtl w:val="true"/>
        </w:rPr>
        <w:footnoteReference w:id="3394"/>
      </w:r>
      <w:r>
        <w:rPr>
          <w:rFonts w:ascii="Amiri" w:hAnsi="Amiri" w:eastAsia="Amiri" w:cs="Amiri"/>
          <w:color w:val="111111"/>
          <w:sz w:val="28"/>
          <w:sz w:val="28"/>
          <w:szCs w:val="28"/>
          <w:rtl w:val="true"/>
          <w:lang w:bidi="ar-SA"/>
        </w:rPr>
        <w:t xml:space="preserve">حَقَّ تِلَاوَتِهِ، وَ لَا سِلْعَةٌ أَنْفَقُ بَيْعًا </w:t>
      </w:r>
      <w:r>
        <w:rPr>
          <w:rStyle w:val="FootnoteAnchor"/>
          <w:rtl w:val="true"/>
        </w:rPr>
        <w:footnoteReference w:id="3395"/>
      </w:r>
      <w:r>
        <w:rPr>
          <w:rFonts w:ascii="Amiri" w:hAnsi="Amiri" w:eastAsia="Amiri" w:cs="Amiri"/>
          <w:color w:val="111111"/>
          <w:sz w:val="28"/>
          <w:sz w:val="28"/>
          <w:szCs w:val="28"/>
          <w:rtl w:val="true"/>
          <w:lang w:bidi="ar-SA"/>
        </w:rPr>
        <w:t xml:space="preserve">وَلَا </w:t>
      </w:r>
      <w:r>
        <w:rPr>
          <w:rStyle w:val="FootnoteAnchor"/>
          <w:rtl w:val="true"/>
        </w:rPr>
        <w:footnoteReference w:id="3396"/>
      </w:r>
      <w:r>
        <w:rPr>
          <w:rFonts w:ascii="Amiri" w:hAnsi="Amiri" w:eastAsia="Amiri" w:cs="Amiri"/>
          <w:color w:val="111111"/>
          <w:sz w:val="28"/>
          <w:sz w:val="28"/>
          <w:szCs w:val="28"/>
          <w:rtl w:val="true"/>
          <w:lang w:bidi="ar-SA"/>
        </w:rPr>
        <w:t xml:space="preserve">أَغْلَى ثَمَنًا مِنَ الْكِتَابِ إِذَا حُرِّفَ عَنْ مَوَاضِعِهِ، وَ لَا عِنْدَهُم أَنْكَرُ مِنَ المَعْرُوْفِ، وَلَا أَعْرَفُ </w:t>
      </w:r>
      <w:r>
        <w:rPr>
          <w:rStyle w:val="FootnoteAnchor"/>
          <w:rtl w:val="true"/>
        </w:rPr>
        <w:footnoteReference w:id="3397"/>
      </w:r>
      <w:r>
        <w:rPr>
          <w:rFonts w:ascii="Amiri" w:hAnsi="Amiri" w:eastAsia="Amiri" w:cs="Amiri"/>
          <w:color w:val="111111"/>
          <w:sz w:val="28"/>
          <w:sz w:val="28"/>
          <w:szCs w:val="28"/>
          <w:rtl w:val="true"/>
          <w:lang w:bidi="ar-SA"/>
        </w:rPr>
        <w:t>مِنَ الْمُنْكَرِ</w:t>
      </w:r>
      <w:r>
        <w:rPr>
          <w:rFonts w:eastAsia="Amiri" w:cs="Amiri" w:ascii="Amiri" w:hAnsi="Amiri"/>
          <w:color w:val="111111"/>
          <w:sz w:val="28"/>
          <w:szCs w:val="28"/>
          <w:rtl w:val="true"/>
          <w:lang w:bidi="ar-SA"/>
        </w:rPr>
        <w:t xml:space="preserve">» </w:t>
      </w:r>
      <w:r>
        <w:rPr>
          <w:rStyle w:val="FootnoteAnchor"/>
          <w:rtl w:val="true"/>
        </w:rPr>
        <w:footnoteReference w:id="339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شرحه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الفرق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الرجلين الذين أحدهم رجل </w:t>
      </w:r>
      <w:r>
        <w:rPr>
          <w:rStyle w:val="FootnoteAnchor"/>
          <w:rtl w:val="true"/>
        </w:rPr>
        <w:footnoteReference w:id="3399"/>
      </w:r>
      <w:r>
        <w:rPr>
          <w:rFonts w:ascii="Amiri" w:hAnsi="Amiri" w:eastAsia="Amiri" w:cs="Amiri"/>
          <w:color w:val="111111"/>
          <w:sz w:val="28"/>
          <w:sz w:val="28"/>
          <w:szCs w:val="28"/>
          <w:rtl w:val="true"/>
          <w:lang w:bidi="ar-SA"/>
        </w:rPr>
        <w:t xml:space="preserve">وكله الله إلى نفسه و الآخر رجل قمش جهلًا؛ فإنهما في الظاهر واحد </w:t>
      </w:r>
      <w:r>
        <w:rPr>
          <w:rStyle w:val="FootnoteAnchor"/>
          <w:rtl w:val="true"/>
        </w:rPr>
        <w:footnoteReference w:id="3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الأول، فهو الضال في أصول العقائد، كالمشبه والمجبّر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 كيف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مشغوف </w:t>
      </w:r>
      <w:r>
        <w:rPr>
          <w:rStyle w:val="FootnoteAnchor"/>
          <w:rtl w:val="true"/>
        </w:rPr>
        <w:footnoteReference w:id="3401"/>
      </w:r>
      <w:r>
        <w:rPr>
          <w:rFonts w:ascii="Amiri" w:hAnsi="Amiri" w:eastAsia="Amiri" w:cs="Amiri"/>
          <w:color w:val="111111"/>
          <w:sz w:val="28"/>
          <w:sz w:val="28"/>
          <w:szCs w:val="28"/>
          <w:rtl w:val="true"/>
          <w:lang w:bidi="ar-SA"/>
        </w:rPr>
        <w:t xml:space="preserve">بكلام بدعة و دعاء </w:t>
      </w:r>
      <w:r>
        <w:rPr>
          <w:rStyle w:val="FootnoteAnchor"/>
          <w:rtl w:val="true"/>
        </w:rPr>
        <w:footnoteReference w:id="3402"/>
      </w:r>
      <w:r>
        <w:rPr>
          <w:rFonts w:ascii="Amiri" w:hAnsi="Amiri" w:eastAsia="Amiri" w:cs="Amiri"/>
          <w:color w:val="111111"/>
          <w:sz w:val="28"/>
          <w:sz w:val="28"/>
          <w:szCs w:val="28"/>
          <w:rtl w:val="true"/>
          <w:lang w:bidi="ar-SA"/>
        </w:rPr>
        <w:t xml:space="preserve">ضلالة </w:t>
      </w:r>
      <w:r>
        <w:rPr>
          <w:rStyle w:val="FootnoteAnchor"/>
          <w:rtl w:val="true"/>
        </w:rPr>
        <w:footnoteReference w:id="3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يشعر بما قلناه، من أن المراد به المتكلم في أصول الدين و هو ضال عن الحق؛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Style w:val="FootnoteAnchor"/>
          <w:rtl w:val="true"/>
        </w:rPr>
        <w:footnoteReference w:id="3404"/>
      </w:r>
      <w:r>
        <w:rPr>
          <w:rFonts w:ascii="Amiri" w:hAnsi="Amiri" w:eastAsia="Amiri" w:cs="Amiri"/>
          <w:color w:val="111111"/>
          <w:sz w:val="28"/>
          <w:sz w:val="28"/>
          <w:szCs w:val="28"/>
          <w:rtl w:val="true"/>
          <w:lang w:bidi="ar-SA"/>
        </w:rPr>
        <w:t>افتتن ،به ضال عن هدى من كان قبله، مضل لمن يجيء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المتفقه في فروع الشرعيات </w:t>
      </w:r>
      <w:r>
        <w:rPr>
          <w:rStyle w:val="FootnoteAnchor"/>
          <w:rtl w:val="true"/>
        </w:rPr>
        <w:footnoteReference w:id="3405"/>
      </w:r>
      <w:r>
        <w:rPr>
          <w:rFonts w:ascii="Amiri" w:hAnsi="Amiri" w:eastAsia="Amiri" w:cs="Amiri"/>
          <w:color w:val="111111"/>
          <w:sz w:val="28"/>
          <w:sz w:val="28"/>
          <w:szCs w:val="28"/>
          <w:rtl w:val="true"/>
          <w:lang w:bidi="ar-SA"/>
        </w:rPr>
        <w:t xml:space="preserve">وليس بأهل ذلك </w:t>
      </w:r>
      <w:r>
        <w:rPr>
          <w:rStyle w:val="FootnoteAnchor"/>
          <w:rtl w:val="true"/>
        </w:rPr>
        <w:footnoteReference w:id="3406"/>
      </w:r>
      <w:r>
        <w:rPr>
          <w:rFonts w:ascii="Amiri" w:hAnsi="Amiri" w:eastAsia="Amiri" w:cs="Amiri"/>
          <w:color w:val="111111"/>
          <w:sz w:val="28"/>
          <w:sz w:val="28"/>
          <w:szCs w:val="28"/>
          <w:rtl w:val="true"/>
          <w:lang w:bidi="ar-SA"/>
        </w:rPr>
        <w:t xml:space="preserve">، كفقهاء السوء؛ ألا تراه 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بين الناس 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تصرخ من جور قضائه الدماء، و تعج منه المواريث</w:t>
      </w:r>
      <w:r>
        <w:rPr>
          <w:rFonts w:eastAsia="Amiri" w:cs="Amiri" w:ascii="Amiri" w:hAnsi="Amiri"/>
          <w:color w:val="111111"/>
          <w:sz w:val="28"/>
          <w:szCs w:val="28"/>
          <w:rtl w:val="true"/>
          <w:lang w:bidi="ar-SA"/>
        </w:rPr>
        <w:t xml:space="preserve">) » </w:t>
      </w:r>
      <w:r>
        <w:rPr>
          <w:rStyle w:val="FootnoteAnchor"/>
          <w:rtl w:val="true"/>
        </w:rPr>
        <w:footnoteReference w:id="340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له علیه السلام في 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 ذِي قَلْبٍ لَبِيْبٌ </w:t>
      </w:r>
      <w:r>
        <w:rPr>
          <w:rStyle w:val="FootnoteAnchor"/>
          <w:rtl w:val="true"/>
        </w:rPr>
        <w:footnoteReference w:id="3408"/>
      </w:r>
      <w:r>
        <w:rPr>
          <w:rFonts w:ascii="Amiri" w:hAnsi="Amiri" w:eastAsia="Amiri" w:cs="Amiri"/>
          <w:color w:val="111111"/>
          <w:sz w:val="28"/>
          <w:sz w:val="28"/>
          <w:szCs w:val="28"/>
          <w:rtl w:val="true"/>
          <w:lang w:bidi="ar-SA"/>
        </w:rPr>
        <w:t>، وَلَا كُلُّ ذِي</w:t>
      </w:r>
      <w:r>
        <w:rPr>
          <w:rFonts w:eastAsia="Amiri" w:cs="Amiri" w:ascii="Amiri" w:hAnsi="Amiri"/>
          <w:color w:val="111111"/>
          <w:sz w:val="28"/>
          <w:szCs w:val="28"/>
          <w:rtl w:val="true"/>
          <w:lang w:bidi="ar-SA"/>
        </w:rPr>
        <w:t xml:space="preserve">. </w:t>
      </w:r>
      <w:bookmarkStart w:id="285" w:name="pg2523_40097"/>
    </w:p>
    <w:p>
      <w:pPr>
        <w:pStyle w:val="BookText"/>
        <w:rPr/>
      </w:pPr>
      <w:bookmarkEnd w:id="285"/>
      <w:r>
        <w:rPr>
          <w:rFonts w:ascii="Amiri" w:hAnsi="Amiri" w:eastAsia="Amiri" w:cs="Amiri"/>
          <w:color w:val="111111"/>
          <w:sz w:val="28"/>
          <w:sz w:val="28"/>
          <w:szCs w:val="28"/>
          <w:rtl w:val="true"/>
          <w:lang w:bidi="ar-SA"/>
        </w:rPr>
        <w:t xml:space="preserve">نَاظِرِ بَصِيرٌ </w:t>
      </w:r>
      <w:r>
        <w:rPr>
          <w:rStyle w:val="FootnoteAnchor"/>
          <w:rtl w:val="true"/>
        </w:rPr>
        <w:footnoteReference w:id="3409"/>
      </w:r>
      <w:r>
        <w:rPr>
          <w:rFonts w:ascii="Amiri" w:hAnsi="Amiri" w:eastAsia="Amiri" w:cs="Amiri"/>
          <w:color w:val="111111"/>
          <w:sz w:val="28"/>
          <w:sz w:val="28"/>
          <w:szCs w:val="28"/>
          <w:rtl w:val="true"/>
          <w:lang w:bidi="ar-SA"/>
        </w:rPr>
        <w:t xml:space="preserve">، فَيَا عَجَبَاهُ </w:t>
      </w:r>
      <w:r>
        <w:rPr>
          <w:rStyle w:val="FootnoteAnchor"/>
          <w:rtl w:val="true"/>
        </w:rPr>
        <w:footnoteReference w:id="3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w:t>
      </w:r>
      <w:r>
        <w:rPr>
          <w:rStyle w:val="FootnoteAnchor"/>
          <w:rtl w:val="true"/>
        </w:rPr>
        <w:footnoteReference w:id="3411"/>
      </w:r>
      <w:r>
        <w:rPr>
          <w:rFonts w:ascii="Amiri" w:hAnsi="Amiri" w:eastAsia="Amiri" w:cs="Amiri"/>
          <w:color w:val="111111"/>
          <w:sz w:val="28"/>
          <w:sz w:val="28"/>
          <w:szCs w:val="28"/>
          <w:rtl w:val="true"/>
          <w:lang w:bidi="ar-SA"/>
        </w:rPr>
        <w:t xml:space="preserve">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خَطَا </w:t>
      </w:r>
      <w:r>
        <w:rPr>
          <w:rStyle w:val="FootnoteAnchor"/>
          <w:rtl w:val="true"/>
        </w:rPr>
        <w:footnoteReference w:id="3412"/>
      </w:r>
      <w:r>
        <w:rPr>
          <w:rFonts w:ascii="Amiri" w:hAnsi="Amiri" w:eastAsia="Amiri" w:cs="Amiri"/>
          <w:color w:val="111111"/>
          <w:sz w:val="28"/>
          <w:sz w:val="28"/>
          <w:szCs w:val="28"/>
          <w:rtl w:val="true"/>
          <w:lang w:bidi="ar-SA"/>
        </w:rPr>
        <w:t xml:space="preserve">هَذِهِ الْفِرَقَ عَلَى اخْتِلَافِ حُجَجهَا فِي دِينِهَا، لَا يَقْتَصُّوْنَ </w:t>
      </w:r>
      <w:r>
        <w:rPr>
          <w:rStyle w:val="FootnoteAnchor"/>
          <w:rtl w:val="true"/>
        </w:rPr>
        <w:footnoteReference w:id="3413"/>
      </w:r>
      <w:r>
        <w:rPr>
          <w:rFonts w:ascii="Amiri" w:hAnsi="Amiri" w:eastAsia="Amiri" w:cs="Amiri"/>
          <w:color w:val="111111"/>
          <w:sz w:val="28"/>
          <w:sz w:val="28"/>
          <w:szCs w:val="28"/>
          <w:rtl w:val="true"/>
          <w:lang w:bidi="ar-SA"/>
        </w:rPr>
        <w:t xml:space="preserve">أَثَرَ نَبِيٍّ، وَلَا يَقْتَدُونَ بِعَمَلِ وَصِيَّ، وَلَا يُؤْمِنُونَ بِغَيْبٍ، وَلَا يَعِفُوْنَ مِنْ عَيْبٍ، يَعْمَلُوْنَ فِي الشُّبُهَاتِ، وَيَسِيرُوْنَ فِي </w:t>
      </w:r>
      <w:r>
        <w:rPr>
          <w:rStyle w:val="FootnoteAnchor"/>
          <w:rtl w:val="true"/>
        </w:rPr>
        <w:footnoteReference w:id="3414"/>
      </w:r>
      <w:r>
        <w:rPr>
          <w:rFonts w:ascii="Amiri" w:hAnsi="Amiri" w:eastAsia="Amiri" w:cs="Amiri"/>
          <w:color w:val="111111"/>
          <w:sz w:val="28"/>
          <w:sz w:val="28"/>
          <w:szCs w:val="28"/>
          <w:rtl w:val="true"/>
          <w:lang w:bidi="ar-SA"/>
        </w:rPr>
        <w:t xml:space="preserve">الشَّهَوَاتِ المَعْرُوفُ فِيهِمْ </w:t>
      </w:r>
      <w:r>
        <w:rPr>
          <w:rStyle w:val="FootnoteAnchor"/>
          <w:rtl w:val="true"/>
        </w:rPr>
        <w:footnoteReference w:id="3415"/>
      </w:r>
      <w:r>
        <w:rPr>
          <w:rFonts w:ascii="Amiri" w:hAnsi="Amiri" w:eastAsia="Amiri" w:cs="Amiri"/>
          <w:color w:val="111111"/>
          <w:sz w:val="28"/>
          <w:sz w:val="28"/>
          <w:szCs w:val="28"/>
          <w:rtl w:val="true"/>
          <w:lang w:bidi="ar-SA"/>
        </w:rPr>
        <w:t xml:space="preserve">مَا عَرَّفُوْا،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Style w:val="FootnoteAnchor"/>
          <w:rtl w:val="true"/>
        </w:rPr>
        <w:footnoteReference w:id="3416"/>
      </w:r>
      <w:r>
        <w:rPr>
          <w:rFonts w:ascii="Amiri" w:hAnsi="Amiri" w:eastAsia="Amiri" w:cs="Amiri"/>
          <w:color w:val="111111"/>
          <w:sz w:val="28"/>
          <w:sz w:val="28"/>
          <w:szCs w:val="28"/>
          <w:rtl w:val="true"/>
          <w:lang w:bidi="ar-SA"/>
        </w:rPr>
        <w:t xml:space="preserve">مَا أَنْكَرُوْا، مَفْزَعُهُمْ فِي الْمُعْضِلَاتِ إِلَى </w:t>
      </w:r>
      <w:r>
        <w:rPr>
          <w:rStyle w:val="FootnoteAnchor"/>
          <w:rtl w:val="true"/>
        </w:rPr>
        <w:footnoteReference w:id="3417"/>
      </w:r>
      <w:r>
        <w:rPr>
          <w:rFonts w:ascii="Amiri" w:hAnsi="Amiri" w:eastAsia="Amiri" w:cs="Amiri"/>
          <w:color w:val="111111"/>
          <w:sz w:val="28"/>
          <w:sz w:val="28"/>
          <w:szCs w:val="28"/>
          <w:rtl w:val="true"/>
          <w:lang w:bidi="ar-SA"/>
        </w:rPr>
        <w:t xml:space="preserve">أَنْفُسِهِمْ، وَتَعْوِيْلُهُمْ فِي المُبْهَاتِ </w:t>
      </w:r>
      <w:r>
        <w:rPr>
          <w:rStyle w:val="FootnoteAnchor"/>
          <w:rtl w:val="true"/>
        </w:rPr>
        <w:footnoteReference w:id="3418"/>
      </w:r>
      <w:r>
        <w:rPr>
          <w:rFonts w:ascii="Amiri" w:hAnsi="Amiri" w:eastAsia="Amiri" w:cs="Amiri"/>
          <w:color w:val="111111"/>
          <w:sz w:val="28"/>
          <w:sz w:val="28"/>
          <w:szCs w:val="28"/>
          <w:rtl w:val="true"/>
          <w:lang w:bidi="ar-SA"/>
        </w:rPr>
        <w:t xml:space="preserve">عَلَى آرَائِهِمْ، كَأَنَّ كُلَّ امْرِئٍ مِنْهُمْ إِمَامُ نَفْسِهِ، قَدْ أَخَذَ مِنْهَا فِيمَا يَرَى بِعُرّى وَثِيْقَاتٍ </w:t>
      </w:r>
      <w:r>
        <w:rPr>
          <w:rStyle w:val="FootnoteAnchor"/>
          <w:rtl w:val="true"/>
        </w:rPr>
        <w:footnoteReference w:id="3419"/>
      </w:r>
      <w:r>
        <w:rPr>
          <w:rFonts w:ascii="Amiri" w:hAnsi="Amiri" w:eastAsia="Amiri" w:cs="Amiri"/>
          <w:color w:val="111111"/>
          <w:sz w:val="28"/>
          <w:sz w:val="28"/>
          <w:szCs w:val="28"/>
          <w:rtl w:val="true"/>
          <w:lang w:bidi="ar-SA"/>
        </w:rPr>
        <w:t>وَ أَسْبَابٍ مُحْكَمَاتٍ</w:t>
      </w:r>
      <w:r>
        <w:rPr>
          <w:rFonts w:eastAsia="Amiri" w:cs="Amiri" w:ascii="Amiri" w:hAnsi="Amiri"/>
          <w:color w:val="111111"/>
          <w:sz w:val="28"/>
          <w:szCs w:val="28"/>
          <w:rtl w:val="true"/>
          <w:lang w:bidi="ar-SA"/>
        </w:rPr>
        <w:t xml:space="preserve">» </w:t>
      </w:r>
      <w:r>
        <w:rPr>
          <w:rStyle w:val="FootnoteAnchor"/>
          <w:rtl w:val="true"/>
        </w:rPr>
        <w:footnoteReference w:id="3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نهج البلاغة أيضا من جملة كلام له علیه السلام يذم فيه من يعمل برأيه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4264998_3804643083"/>
      <w:bookmarkStart w:id="287" w:name="_Toc97"/>
      <w:bookmarkEnd w:id="286"/>
      <w:r>
        <w:rPr>
          <w:rtl w:val="true"/>
        </w:rPr>
        <w:t>[</w:t>
      </w:r>
      <w:r>
        <w:rPr>
          <w:rtl w:val="true"/>
        </w:rPr>
        <w:t>إلى هنا انقطع النص من جميع النسخ التي بين أيدينا</w:t>
      </w:r>
      <w:r>
        <w:rPr>
          <w:rtl w:val="true"/>
        </w:rPr>
        <w:t>]</w:t>
      </w:r>
      <w:bookmarkStart w:id="288" w:name="pg2523_40098"/>
      <w:bookmarkEnd w:id="287"/>
    </w:p>
    <w:p>
      <w:pPr>
        <w:pStyle w:val="Heading3"/>
        <w:numPr>
          <w:ilvl w:val="2"/>
          <w:numId w:val="1"/>
        </w:numPr>
        <w:rPr/>
      </w:pPr>
      <w:bookmarkStart w:id="289" w:name="__RefHeading___Toc4265000_3804643083"/>
      <w:bookmarkStart w:id="290" w:name="_Toc98"/>
      <w:bookmarkEnd w:id="288"/>
      <w:bookmarkEnd w:id="289"/>
      <w:r>
        <w:rPr>
          <w:rtl w:val="true"/>
        </w:rPr>
        <w:t>[</w:t>
      </w:r>
      <w:r>
        <w:rPr>
          <w:rtl w:val="true"/>
        </w:rPr>
        <w:t xml:space="preserve">تذنيب الناسخ لنسخة </w:t>
      </w:r>
      <w:r>
        <w:rPr>
          <w:rtl w:val="true"/>
        </w:rPr>
        <w:t>(</w:t>
      </w:r>
      <w:r>
        <w:rPr>
          <w:rtl w:val="true"/>
        </w:rPr>
        <w:t>ت</w:t>
      </w:r>
      <w:r>
        <w:rPr>
          <w:rtl w:val="true"/>
        </w:rPr>
        <w:t>):]</w:t>
      </w:r>
      <w:bookmarkEnd w:id="290"/>
    </w:p>
    <w:p>
      <w:pPr>
        <w:pStyle w:val="BookText"/>
        <w:rPr/>
      </w:pPr>
      <w:r>
        <w:rPr>
          <w:rFonts w:ascii="Amiri" w:hAnsi="Amiri" w:eastAsia="Amiri" w:cs="Amiri"/>
          <w:color w:val="111111"/>
          <w:sz w:val="28"/>
          <w:sz w:val="28"/>
          <w:szCs w:val="28"/>
          <w:rtl w:val="true"/>
          <w:lang w:bidi="ar-SA"/>
        </w:rPr>
        <w:t>بقلم فقير ربه السبحاني علي بن يوسف بن محمد بن يوسف الوداعي الموسوي البحراني، البارباري أصلا، الراس الرماني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فرغ من كتابتها باليوم التاسع و العشرين من شهر جمادى الثانية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و الثلاثين بعد الثلاثمائة و الألف من الهجرة النبوية على مهاجرها و آله أفضل الصلاة و أكمل التحية، في ملك كاتبه المزبور، متعه الله بالنظر فيه، و عفا عنها و عن والديه و عمن أعانه على كتابته و والديه، و عن المؤمنين و المؤمنات، إنه أرحم الراحمين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 و الحمد لله رب العالمين</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الفراغ من كتابة هذا الكتاب الشريف و مقابلة نسخه صبيحة يوم عيد الفطر الشريف من العام الثامن و الثلاثين بعد الأربعمائة و الألف من الهجرة النبوية على مهاجرها صلوات الله و على آله الطاهرين، و صادف الانتهاء من تقويم نصه و تخريج مصادره و أقواله و التعليق عليه بما سنح سحر الإثنين، الرابع من محرم لسنة ألف و أربعمائة و تسع و ثلاثين للهجرة المباركة، صلّى الله على مهاجرها السيد الأنجب، و الجمال الأكمل، خيرة خلق الله و أشرفهم، صاحب الرسالة المقدسة و الشريعة الخالدة، أبي القاسم محمد بن عبد الله عليه و على أهل بيته أفضل صلوات الله تعالى وسلامه</w:t>
      </w:r>
      <w:r>
        <w:rPr>
          <w:rFonts w:eastAsia="Amiri" w:cs="Amiri" w:ascii="Amiri" w:hAnsi="Amiri"/>
          <w:color w:val="111111"/>
          <w:sz w:val="28"/>
          <w:szCs w:val="28"/>
          <w:rtl w:val="true"/>
          <w:lang w:bidi="ar-SA"/>
        </w:rPr>
        <w:t xml:space="preserve">]. </w:t>
      </w:r>
      <w:bookmarkStart w:id="291" w:name="pg2523_40100"/>
    </w:p>
    <w:p>
      <w:pPr>
        <w:pStyle w:val="Heading2"/>
        <w:numPr>
          <w:ilvl w:val="1"/>
          <w:numId w:val="1"/>
        </w:numPr>
        <w:rPr/>
      </w:pPr>
      <w:bookmarkStart w:id="292" w:name="__RefHeading___Toc4265002_3804643083"/>
      <w:bookmarkStart w:id="293" w:name="_Toc99"/>
      <w:bookmarkEnd w:id="291"/>
      <w:bookmarkEnd w:id="292"/>
      <w:r>
        <w:rPr>
          <w:rtl w:val="true"/>
        </w:rPr>
        <w:t>مصادر التحقيق و مراجعه</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بالنصوص و المعجزات، للشيخ محمد بن الحسن الحر العاملي، منشورات مؤسسة الأعلمي،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المسائل المهنائية، للعلامة الحلي الحسن بن يوسف ابن المطهر الحلي، نشر چاپخانه خيام، قم، إيران،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لأبي منصور أحمد بن علي بن أبي طالب الطبرسي، تعليقات و ملاحظات السيد محمد باقر الخرسان، نشر مطابع النعمان النجف الأشرف، العراق، لا ط،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في أصول الأحكام ، لعلي بن محمد الآمدي، تعليق الشيخ عبد الرزق عفيفي، نشر المكتب الإسلامي،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معالم الشيعة بأخبار الشريعة، للشيخ عبد علي بن الشيخ أحمد آل عصفور، تحقيق الشيخ حسن آل عصفور، انتشارات دار النفيس،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لشيخ الطائفة الشيخ محمد بن الحسن الطوسي، تصحيح و تعليق المعلم الثالث الميرداماد الاسترابادي، تحقيق السيد مهدي الرجائي، نشر مؤسسة آل البيت عليهم السلام قم، إيران، لا ط،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إلى أحكام الإيمان للعلامة الحلي الحسن بن يوسف ابن المطهر الحلي، تحقيق الشيخ فارس الحسون، نشر مؤسسة النشر التابعة لجماعة المدرسين بقم المشرفة،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الفحول إلى تحقيق الحق من علم الأصول، لمحمد بن علي بن محمد الشوكاني، طبع بمطبعة البابي الحلبي و أولاده في مصر،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 لشيخ الطائفة الشيخ محمد بن الحسن الطوسي، حققه و علق عليه السيد حسن الخرسان، نشر دار الأضواء، بيروت، 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الاعتبار في شرح الاستبصار للشيخ محمد بن الشيخ حسن ابن الشهيد الثاني، تحقيق و نشر مؤسسة آل البيت علیهم السلام لإحياء التراث، قم، إيران،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الأصيلة، للمولى محمد بن محسن الفيض الكاشاني، تصحيح و تحقيق السيد أبو القاسم و حسن قاسمي، نشر المدرسة </w:t>
      </w:r>
    </w:p>
    <w:p>
      <w:pPr>
        <w:pStyle w:val="BookText"/>
        <w:rPr/>
      </w:pPr>
      <w:r>
        <w:rPr>
          <w:rFonts w:ascii="Amiri" w:hAnsi="Amiri" w:eastAsia="Amiri" w:cs="Amiri"/>
          <w:color w:val="111111"/>
          <w:sz w:val="28"/>
          <w:sz w:val="28"/>
          <w:szCs w:val="28"/>
          <w:rtl w:val="true"/>
          <w:lang w:bidi="ar-SA"/>
        </w:rPr>
        <w:t xml:space="preserve">العليا للشهيد مطهري، طهران، إيران، لا ط،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كتب الرواية الأولية في عصر الأئمة المعصومين علیهم السلام ، تحقيق ضياء الدين المحمودي و آخرين، نشر دار الحديث للطباعة و النشر، قم،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تاريخ و رجاله للدكتور شعبان محمد إسماعيل، نشر دار المريخ الرياض السعودية،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لخير الدين بن محمود بن محمد الزركلّي الدمشقي، نشر دار العلم للملايين، بيروت، لبنان، 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للسيد محسن الأمين، حققه و أخرجه حسن الأمين، دار التعارف للمطبوعات، بيروت، لبنان، لا ط، 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محمد بن علي بن الحسين بن موسى بن بابويه القمي، تحقيق قسم الدراسات الإسلامية في مؤسسة البعثة، نشر مؤسسة البعثة، طهران،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المفيد محمد بن محمد بن النعمان التلعكبري البغدادي، تحقيق الحسين أستاد ولي و علي أكبر الغفاري، نشر دار المفيد للطباعة و النشر و التوزيع،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التبصرة من الحيرة، لعلي ابن بابويه القمي، تحقيق ونشر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 في علماء جبل عامل، تأليف الشيخ محمد بن الحسن الحر العاملي، تحقيق السيد أحمد الحسيني مكتبة المتنبي، بغداد، العراق، لا ط ، 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للشريف المرتضى علي بن الحسين الموسوي، تحقيق و نشر مؤسسة النشر الإسلامي التابعة لجماعة المدرسين بقم، قم، إيران</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اللوامع في شرح مفاتيح الشرائع، للشيخ حسين بن الشيخ محمد بن أحمد البحراني، تحقيق و نشر الميرزا محسن آل عصفور، إصدار مجمع البحوث العلمية، لا مكان لا ط، 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في شرح إشكالات القواعد، للشيخ محمد بن الحسن بن يوسف ابن المطهر الحلي، تنميق و تعليق السيد حسين الموسوي الكرماني و زميليه، المطبعة العلمية بقم،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للمولى محمد باقر المجلسي، نشر مؤسسة الوفاء، بيروت، 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الهداية، للشيخ محمد بن الحسن الحر العاملي، مع لباب الوسائل، للشيخ عباس القمي، تحقيق محمد علي انتصاري شوشتري ، نشر دار زين العابدين،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صلی الله علیه و آله و سلم الشيعة المرتضى علیه السلام ، لأبي جعفر محمد بن أبي القاسم الطبري، تحقيق جواد القيومي الأصفهاني، نشر مؤسسة النشر الإسلامي التابعة لجماعة المدرسين، قم، إيران،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الكبرى في فضائل آل محمد علیه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السلام ، لشيخ القميين أبي جعفر محمد بن الحسن بن فروخ الصفار، تقديم و تعليق و تصحيح الحاج ميرزا محسن كوجه باغي، نشر مؤسسة الأعلمي، طهران إيران، لا ط،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التشريع الإسلامي، لمنّاع بن خليل القطان، نشر مكتبة وهبة، الرياض،السعودية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الفلسفة اليونانية، يوسف كرم، نشر مؤسسة هنداوي للتعليم و الثقافة،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التأسيس لتاريخ الشيعة في لبنان و سورية، للشيخ جعفر المهاجر، دار الملاك،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تأصيل الاجتهاد مفهوما و اصطلاحا للدكتور مهند مصطفى جمال الدين، بحث منشور في مجلة آداب الكوفة الصادرة عن جامعة الكوفة في عدد سنة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لشيخ الطائفة الشيخ محمد بن الحسن </w:t>
      </w:r>
    </w:p>
    <w:p>
      <w:pPr>
        <w:pStyle w:val="BookText"/>
        <w:rPr/>
      </w:pPr>
      <w:r>
        <w:rPr>
          <w:rFonts w:ascii="Amiri" w:hAnsi="Amiri" w:eastAsia="Amiri" w:cs="Amiri"/>
          <w:color w:val="111111"/>
          <w:sz w:val="28"/>
          <w:sz w:val="28"/>
          <w:szCs w:val="28"/>
          <w:rtl w:val="true"/>
          <w:lang w:bidi="ar-SA"/>
        </w:rPr>
        <w:t xml:space="preserve">الطوسي، تحقيق و تصحيح أحمد حبيب قصير العاملي، نشر مكتب الإعلام الإسلامي،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الشرعية على مذهب الإمامية، للعلامة الحلي الحسن بن يوسف ابن المطهر الحلي، تحقيق الشيخ إبراهيم البهادري، نشر مؤسسة الإمام الصادق علیه السلام ، قم،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صلی الله علیه و آله و سلم ، للشيخ أبي محمد الحسن بن علي بن شعبة الحراني ، عني بتصحيحه و التعليق عليه علي أكبر الغفاري، نشر مؤسسة النشر الإسلامي التابعة لجماعة المدرسين في الحوزة العلمية بقم، قم، إيران،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السنية في شرح النخبة المحسنية، للسيد عبد الله بن نعمة الجزائري، نسخة خطية موقوفة لدى آستانة قدس، تحت رقم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للعلامة الحلي الحسن بن يوسف ابن المطهر الحلي، تحقيق ونشر مؤسسة آل البيت علیهم السلام لإحياء الترث، قم،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الإمامية، للشيخ المفيد محمد بن محمد بن النعمان التلعكبري البغدادي، تحقيق حسن درگاهي، نشر دار المفيد للطباعة و النشر و التوزيع، بيروت،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لعلي بن محمد بن علي الشريف الجرجاني، ضبطه و صححه جماعة من العلماء بإشراف الناشر، دار الكتب العلمية،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النظر محمد بن مسعود بن عياش السلمي السمرقندي المعروف بالعياشي، تصحيح و تعليق و تحقيق السيد هاشم الرسولي المحلاتي، طباعة و نشر المكتبة العلمية الإسلامية، طهران، إيران، لا ط،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لأبي الحسن علي بن إبراهيم القمي، صححه و علق عليه و قدم له السيد طيب الموسوي الجزائري، نشر مؤسسة دار الكتاب للطباعة و النشر، قم، إيران،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أبي محمد الحسن بن علي العسكري، تحقيق و 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لفرات بن إبراهيم الكوفي، تحقيق محمد الكاظم، نشر مؤسسة الطبع و النشر التابعة لوزارة الثقافة و الإرشاد الديني الإيرانية، طهران،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تأليف الشيخ محمد بن الحسن الحر العاملي، تحقيق ونشر مؤسسة آل البيت لإحياء </w:t>
      </w:r>
    </w:p>
    <w:p>
      <w:pPr>
        <w:pStyle w:val="BookText"/>
        <w:rPr/>
      </w:pPr>
      <w:r>
        <w:rPr>
          <w:rFonts w:ascii="Amiri" w:hAnsi="Amiri" w:eastAsia="Amiri" w:cs="Amiri"/>
          <w:color w:val="111111"/>
          <w:sz w:val="28"/>
          <w:sz w:val="28"/>
          <w:szCs w:val="28"/>
          <w:rtl w:val="true"/>
          <w:lang w:bidi="ar-SA"/>
        </w:rPr>
        <w:t xml:space="preserve">التراث، قم، 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المرام في معرفة الأحكام للعلامة الحلي الحسن بن يوسف ابن المطهر الحلي، تحقيق هادي القبيسي، نشر مركز النشر التابع لمركز الإعلام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الأصولية، للشهيد الثاني زين الدين بن علي العاملي، تحقيق و نشر مكتب الإعلام الإسلامي، مشهد،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المقنعة للشيخ المفيد رحمه الله، تأليف شيخ الطائفة أبي جعفر محمد بن الحسن الطوسي، حققه و علق عليه السيد حسن الخرسان، دار الأضواء، بيروت، 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الرشاد في تاريخ حصر الاجتهاد، للشيخ آغا بزرك الطهراني، تحقيق محمد علي الأنصاري، مطبعة الخيام، قم، إيران ، لا ط،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للشيخ الصدوق محمد بن علي بن بابويه القمي، نشر منشورات الرضا ،قم، 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الحسين مسلم بن الحجاج ابن مسلم القشيري النيسابوري، طبعة مصححة و مقابلة على عدة مخطوطات و نسخ 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p>
    <w:p>
      <w:pPr>
        <w:pStyle w:val="BookText"/>
        <w:rPr/>
      </w:pPr>
      <w:r>
        <w:rPr>
          <w:rFonts w:ascii="IRNazanin" w:hAnsi="IRNazanin" w:eastAsia="IRNazanin"/>
          <w:color w:val="111111"/>
          <w:sz w:val="28"/>
          <w:sz w:val="28"/>
          <w:szCs w:val="28"/>
          <w:rtl w:val="true"/>
          <w:lang w:bidi="fa-IR"/>
        </w:rPr>
        <w:t>لبنان، لا ط، لا 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في شرح القواعد، للمحقق الثاني الشيخ علي بن الحسين الكركي العاملي، تحقيق و نشر مؤسسة آل البيت علیهم السلام لإحياء التراث، قم، إيران،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ليحيى بن سعيد الحلي الهذلي، تحقيق و تخريج ثلة من الفضلاء بإشراف الشيخ جعفر السبحاني، نشر مؤسسة سيد الشهداء العلمية، قم، إيران، لا 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للشيخ يوسف بن أحمدالبحراني، حققه و علق عليه محمد تقي الإيرواني، نشر دار الأضواء،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لقطب الدين أبي الحسين سعيد بن عبد الله الراوندي، تحقيق و نشر مؤسسة الإمام الهادي علیه السلام، قم،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الصدوق محمد بن علي بن الحسين بن بابويه القمي، صححه و علق عليه علي أكبر غفاري، نشر جماعة المدرسية في الحوزة العلمية، قم، إيران،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الشيخ الطائفة الشيخ محمد بن الحسن الطوسي، تحقيق ونشر مؤسسة النشر الإسلامي التابعة لجماعة المدرسين بقم </w:t>
      </w:r>
    </w:p>
    <w:p>
      <w:pPr>
        <w:pStyle w:val="BookText"/>
        <w:rPr/>
      </w:pPr>
      <w:r>
        <w:rPr>
          <w:rFonts w:ascii="Amiri" w:hAnsi="Amiri" w:eastAsia="Amiri" w:cs="Amiri"/>
          <w:color w:val="111111"/>
          <w:sz w:val="28"/>
          <w:sz w:val="28"/>
          <w:szCs w:val="28"/>
          <w:rtl w:val="true"/>
          <w:lang w:bidi="ar-SA"/>
        </w:rPr>
        <w:t xml:space="preserve">المقدسة،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النجفية من الملتقطات اليوسفية، للشيخ يوسف بن أحمد البحراني، تحقيق و نشر شركة دار المصطفى لإحياء التراث،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الإمامية،للشهيد الأول محمد بن مكي العاملي، تحقيق ونشر مؤسسة النشر الإسلامي، قم، إيران،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 ذكر الحلال والحرام والقضايا والأحكام عن أهل بيت رسول الله عليه السلام، للقاضي أبي حنيفة النعمان بن محمد بن منصور التميمي المغربي، تحقيق آصف بن علي أصغر فيضي، نشر دار المعارف، القاهرة، مصرة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في أحكام الشريعة، للشهيد الأول محمد بن جمال الدين مكي الجزيني العاملي، تحقيق ونشر مؤسسة آل البيت علیهم السلام لإحياء التراث، قم، إيران،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لتقي الدين الحسن بن علي بن داود الحلي، حققه و قدم له السيد محمد صادق آل بحر العلوم، منشورات المطبعة الحيدرية، النجف العراق، لا ط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التسع، للمحقق الحلي أبي القاسم جعفر بن الحسن الحلي، </w:t>
      </w:r>
    </w:p>
    <w:p>
      <w:pPr>
        <w:pStyle w:val="BookText"/>
        <w:rPr/>
      </w:pPr>
      <w:r>
        <w:rPr>
          <w:rFonts w:ascii="Amiri" w:hAnsi="Amiri" w:eastAsia="Amiri" w:cs="Amiri"/>
          <w:color w:val="111111"/>
          <w:sz w:val="28"/>
          <w:sz w:val="28"/>
          <w:szCs w:val="28"/>
          <w:rtl w:val="true"/>
          <w:lang w:bidi="ar-SA"/>
        </w:rPr>
        <w:t xml:space="preserve">تحقيق رضا الأستادي، نشر مكتبة آية الله المرعشي النجفي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للشريف المرتضى علي بن الحسين الموسوي، إعداد السيد مهدي الرجائي، نشر دار القرآن الكريم، قم، إيران، لا 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الشهيد الثاني، للشهيد الثاني زين الدين بن علي العاملي، تحقيق مركز الدراسات و الأبحاث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إحياء التراث الإسلامي، نشر مرکز انتشارات دفتر تبليغات إسلامي، قم، إيران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المحقق الكركي، تأليف المحقق الثاني الشيخ علي بن الحسين الكركي، تحقيق الشيخ محمد الحسون، نشر مكتبة آية الله العظمى المرعشي النجفي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في شرح إرشاد الأذهان، للشهيد الثاني زين الدين بن علي العاملي، تحقيق مركز الأبحاث و الدراسات الإسلامية، نشر بوستان ،كتب،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 للميرزا محمد باقر الموسوي الخوانساري، نشر الدار الإسلامية،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شرح اللمعة الدمشقية للشهيد الثاني زين الدين بن علي الجبعي العاملي، تحقيق و تعليق السيد محمد سلطان کلانتر، نشر منشورات جامعة النجف الدينية،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للشيخ محمد بن الفتال النيسابوري، قدم له السيد محمد مهدي الخرسان، نشر منشورات الشريف الرضي، قم، ،إيران، لاط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و حياض الفضلاء، للميرزا عبد الله أفندي الأصفهاني، تحقيق و تصحيح السيد أحمد الحسيني الأشكوري، نشر مطبعة الخيام، لا مكان،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الأصول، للشيخ بهاء الدين محمد بن الحسين بن عبد الصمد الحارثي الهمداني العاملي، تحقيق فارس حسون کریم، نشر مرصاد، لا مكان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للشيخ أبي جعفر محمد بن منصور بن أحمد بن إدريس الحلي، تحقيق ونشر مؤسسة النشر الإسلامي التابعة لجماعة المدرسين بقم، قم، 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لمحمد بن محسن الفيض الكاشاني، مع ترجمة وشرح محمد رضا درودیان تفرشي، لا ط، لا ت، لا دار نشر، لا مكان نشر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للحافظ أبي أبكر أحمد بن الحسين البيهقي، نشر دار الفكر ، دمشق سورية، لاط،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للشريف المرتضى علي بن حسين بن موسى علم الهدى، حققه و علق عليه السيد عبد الزهراء الحسيني الخطيب، نشر مؤسسة الصادق، طهران، 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مع تعليقات السيد صادق الشيرازي، للمحقق الحلي نجم الدين جعفر بن الحسن و السيد صادق مهدي الشيرازي، نشر انتشارات استقلال، طهران، ایران،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العضدي على مختصر المنتهى الأصولي، للقاضي عضد الدين و الملة عبد الرحمن بن أحمد الإيجي، ضبطه و وضع حواشيه فادي نصيف و طارق نحلي، منشورات محمد علي بيضون لنشر كتب السنة والجماعة، و 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 الجامع، للمولى محمد صالح المازندراني، مع تعاليق الميرزا أبي الحسن الشعراني، ضبط و تصحيح السيد علي عاشور، دار إحياء التراث العربي،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المعتزلي، تحقيق محمد أبو الفضل إبراهيم، نشر دار إحياء الكتب العربية – عيسى البابي الحلبي </w:t>
      </w:r>
    </w:p>
    <w:p>
      <w:pPr>
        <w:pStyle w:val="BookText"/>
        <w:rPr/>
      </w:pPr>
      <w:r>
        <w:rPr>
          <w:rFonts w:ascii="Amiri" w:hAnsi="Amiri" w:eastAsia="Amiri" w:cs="Amiri"/>
          <w:color w:val="111111"/>
          <w:sz w:val="28"/>
          <w:sz w:val="28"/>
          <w:szCs w:val="28"/>
          <w:rtl w:val="true"/>
          <w:lang w:bidi="ar-SA"/>
        </w:rPr>
        <w:t xml:space="preserve">و شركاه لا مكان 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الثاقب في بيان معنى الناصب، للشيخ يوسف بن أحمد البحراني، تحقيق و نشر السيد مهدي الرجائي،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خزيمة، لأبي بكر محمد بن إسحاق ابن خزيمة، تخقيق الجمتور مصطفى الأغلبي، نشر المكتب الإسلامي، لا مكان، لا ط،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لأبي عبد الله محمد بن إسماعيل بن إبراهيم البخاري الجعفي، طبعة بالأوفست عن طبعة دار الطباعة العامرة بإستانبول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للطباعة و النشر و التوزيع، لا مكان لا ط،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الشيعة، للشيخ الصدوق محمد بن علي بن بابويه القمي، نشر کانون انتشارات عابدي، تهران، إيران،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عليهم السلام، لأبي عتاب عبد الله بن سابور الزيات و الحسين ابني بسطام النيسابوريين تقديم السيد محمد مهدي الخرسان نشر انتشارات الشريف الرضي، قم، إيران،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في أصول الفقه، لشيخ الطائفة أبي جعفر محمد بن الحسن </w:t>
      </w:r>
    </w:p>
    <w:p>
      <w:pPr>
        <w:pStyle w:val="BookText"/>
        <w:rPr/>
      </w:pPr>
      <w:r>
        <w:rPr>
          <w:rFonts w:ascii="Amiri" w:hAnsi="Amiri" w:eastAsia="Amiri" w:cs="Amiri"/>
          <w:color w:val="111111"/>
          <w:sz w:val="28"/>
          <w:sz w:val="28"/>
          <w:szCs w:val="28"/>
          <w:rtl w:val="true"/>
          <w:lang w:bidi="ar-SA"/>
        </w:rPr>
        <w:t xml:space="preserve">الطوسي، تحقيق محمد رضا الأنصاري القمي، طبع في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الكاملة في الاجتهاد والتقليد، للشيخ سليمان بن عبد الله الماحوزي، عني بتحقيقه الشيخ ضياء بدر آل سنبل، نشر مؤسسة طيبة لإحياء التراث،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للشيخ الصدوق محمد بن علي بن الحسين بان بابويه القمي، منشورات المكتبة الحيدرية، النجف، العراق، لا ط،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اللئالي العزيزية في الأحاديث الدينية، للشيخ محمد بن علي بن إبراهيم الأحسائي المعروف بابن أبي جمهور، تحقيق و نشر آغا مجتبی العراقي ، طبع ،قم،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للشيخ الصدوق محمد بن علي بن الحسين بن بابويه القمي، صححه و قدم له و علق عليه الشيخ حسين الأعلمي، نشر منشورات مؤسسة الأعلمي،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المراد في شرح نكت الإرشاد للشهيد الأول محمد بن مكي العاملي، تحقيق و نشر مركز الأبحاث و الدراسات الإسلامية بقم،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في القرآن والحديث لأبي عبيد أحمد بن محمد الهروي </w:t>
      </w:r>
    </w:p>
    <w:p>
      <w:pPr>
        <w:pStyle w:val="BookText"/>
        <w:rPr/>
      </w:pPr>
      <w:r>
        <w:rPr>
          <w:rFonts w:ascii="Amiri" w:hAnsi="Amiri" w:eastAsia="Amiri" w:cs="Amiri"/>
          <w:color w:val="111111"/>
          <w:sz w:val="28"/>
          <w:sz w:val="28"/>
          <w:szCs w:val="28"/>
          <w:rtl w:val="true"/>
          <w:lang w:bidi="ar-SA"/>
        </w:rPr>
        <w:t>صاحب الأزهري، تحقيق و دراسة أحمد فريد المزيدي، نشر مكتبة نزار مصطفى الباز ، مكة المكرمة، المملكة العربية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النزوع إلى علمي الأصول و الفروع، للشيخ حمزة بن علي بن زهرة الحلبي، تحقيق الشيخ إبراهيم بالهادري، نشر مؤسسة الإمام الصادق علیه السلام ،قم، إيران،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لشيخ الطائفة الشيخ محمد بن الحسن الطوسي، تحقيق الشيخ عباد الله الطهراني و الشيخ علي أحمد ناصح، نشر مؤسسة المعارف الإسلامية،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للشيخ أبي عبد الله محمد بن إبراهيم بن جعفر الكاتب المعروف بابن أبي زينب النعماني، تحقيق فارس حسون کریم، نشر منشورات أنوار الهدى، قم ،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للشيخ مرتضى الأنصاري، تحقيق لجة تحقيق تراث الشيخ الأعظم، نشر مجمع الفكر الإسلامي، قم، إيران،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 بن الحسن الحر العاملي، تحقيق الشيخ محمد بن محمد الحسين القائيني، نشر مؤسسة معارف إسلامي إمام رضا عليه السلام،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علي بن موسى الرّضا عليه السلام، تحقيق مؤسسة آل البيت علیهم السلام لإحياء التراث، نشر المؤتمر العالمي للإمام الرّضَا علیه السلام ، مشهد ،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أبي العباس أحمد بن علي بن أحمد بن العباس النجاشي الأسدي الكوفي، تحقيق السيد موسى الشبيري الزنجاني، نشر مؤسسة النشر الإسلامي التابعة لجماعة المدرسين بقم، قم، إيران،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علماء البحرين، للعلامة الشيخ سليمان بن عبد الله الماحوزي البحراني، تحقيق و نشر فاضل الزاكي البحراني، البحرين،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الطوسية، تأليف الشيخ محمد بن الحسن الحر العاملي، علق عليه و صححه الحاج السيد مهدي اللازوردي و الشيخ محمد درودي، المطبعة العلمية، قم، إيران، لا ط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للمولى محمد أمين الأسترآبادي، و بذيله الشواهد المكية ، للمحقق السيد نور الدين الموسوي العاملي، تحقيق و نشر مؤسسة النشر الإسلامي التابعة لجماعة المدرسين بقم المشرفة، قم، 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للشيخ أبي العباس عبد الله بن جعفر الحميري، </w:t>
      </w:r>
    </w:p>
    <w:p>
      <w:pPr>
        <w:pStyle w:val="BookText"/>
        <w:rPr/>
      </w:pPr>
      <w:r>
        <w:rPr>
          <w:rFonts w:ascii="IRNazanin" w:hAnsi="IRNazanin" w:eastAsia="IRNazanin"/>
          <w:color w:val="111111"/>
          <w:sz w:val="28"/>
          <w:sz w:val="28"/>
          <w:szCs w:val="28"/>
          <w:rtl w:val="true"/>
          <w:lang w:bidi="fa-IR"/>
        </w:rPr>
        <w:t>تحقيق و نشر مؤسسة آل البيت علیهم السلام لإحياء التراث، قم، إيران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معرفة الحلال و الحرام، للعلامة الحلي الحسن بن يوسف ابن المطهر الحلي، تحقيق و نشر مؤسسة النشر الإسلامي التابعة لجماعة المدرسين ،بقم،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 الفوائد في الفقه و الأصول و العربية، للشهيد الأول محمد بن مكي العاملي، تحقيق الدكتور السيد عبد الهادي الحكيم، منشورات مكتبة المفيد،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والفروع والروضة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لثقة الإسلام أبي جعفر محمد بن يعقوب بن إسحاق الكليني الرازي، صححه و علق عليه علي أكبر الغفاري، نشر دار الكتب الإسلامية، طهران، إيران،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في الفقه، لتقي الدين بن عبيد الله بن محمد الحلي المعروف بأبي الصلاح الحلبي، تحقيق و تصحيح رضا أستادي، منشورات مكتبة الإمام أمير المؤمنين علي علیه السلام العامة، أصفهان،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الرموز في شرح المختصر النافع، لزين الدين أبي علي الحسن ابن أبي طالب ابن أبي المجد اليوسفي المعروف بالفاضل الآبي، </w:t>
      </w:r>
    </w:p>
    <w:p>
      <w:pPr>
        <w:pStyle w:val="BookText"/>
        <w:rPr/>
      </w:pPr>
      <w:r>
        <w:rPr>
          <w:rFonts w:ascii="IRNazanin" w:hAnsi="IRNazanin" w:eastAsia="IRNazanin"/>
          <w:color w:val="111111"/>
          <w:sz w:val="28"/>
          <w:sz w:val="28"/>
          <w:szCs w:val="28"/>
          <w:rtl w:val="true"/>
          <w:lang w:bidi="fa-IR"/>
        </w:rPr>
        <w:t xml:space="preserve">تحقيق الشيخ علي پناه الاشتهاردي و الحاج آغا حسين يزدي، نشر مؤسسة النشر الإسلامي التابعة لجماعة المدرسين بقم، قم، إيران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عن قواعد الأحكام، للشيخ بهاء الدين محمد بن الحسن الأصفهاني المعروف بالفاضل الهندي، تحقيق و نشر مؤسسة النشر الإسلامي التابعة لجماعة المدرسين في الحوزة العلمية في قم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في النص على الأئمة الاثني عشر، لأبي القاسم علي بن محمد بن علي الخزاز القمي الرازي، تحقيق السيد عبد اللطيف الحسيني الكوه كمري الخوئي، نشر انتشارات بيدار، قم، إيران، لا ط،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بكفاية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للمولى محمد باقر السبزواري، تحقيق مرتضى الواعظي الآراكي، نشر مؤسسة النشر الإسلامي التابعة لجماعة المدرسين في قم،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للشيخ الصدوق محمد بن علي بن الحسين بن بابويه القمي، صححه و علق عليه علي أكبر غفاري، نشر مؤسسة النشر الإسلامي التابعة لجماعة المدرسين بقم، قم، إيران </w:t>
      </w:r>
    </w:p>
    <w:p>
      <w:pPr>
        <w:pStyle w:val="BookText"/>
        <w:rPr/>
      </w:pPr>
      <w:r>
        <w:rPr>
          <w:rFonts w:ascii="IRNazanin" w:hAnsi="IRNazanin" w:eastAsia="IRNazanin"/>
          <w:color w:val="111111"/>
          <w:sz w:val="28"/>
          <w:sz w:val="28"/>
          <w:szCs w:val="28"/>
          <w:rtl w:val="true"/>
          <w:lang w:bidi="fa-IR"/>
        </w:rPr>
        <w:t xml:space="preserve">لا ط،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 للشيخ عباس القمي، تقديم محمد هادي الأمين، نشر مكتبة الصدر، طهران إيران لا ط،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في فقه الإمامية، للشهيد الأول محمد بن مكي العاملي، نشر دار الفكر ،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الوصول إلى علم الأصول، للعلامة الحلي الحسن بن يوسف ابن المطهر الحلي، إخراج و تحقيق و تعليق عبد الحسين محمد علي البقال، نشر مركز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قم، إيران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فقه الإمامية لشيخ الطائفة الشيخ محمد بن الحسن الطوسي، تصحيح و تعليق السيد محمد تقي الكشفي، نشر المكتبة المرتضوية لإحياء آثار الجعفرية، لا مكان لا ط،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تأليف أمين الإسلام أبي علي الفضل بن الحسن الطبرسي، حققه و علق عليه لجنة من العلماء و المحققين الأخصائيين نشر منشورات الأعلمي،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في شرح إرشاد الأذهان، للمولى أحمد الأردبيلي، صححه و علق عليه آغا مجتبى العراقي وزميلاه، نشر </w:t>
      </w:r>
    </w:p>
    <w:p>
      <w:pPr>
        <w:pStyle w:val="BookText"/>
        <w:rPr/>
      </w:pPr>
      <w:r>
        <w:rPr>
          <w:rFonts w:ascii="Amiri" w:hAnsi="Amiri" w:eastAsia="Amiri" w:cs="Amiri"/>
          <w:color w:val="111111"/>
          <w:sz w:val="28"/>
          <w:sz w:val="28"/>
          <w:szCs w:val="28"/>
          <w:rtl w:val="true"/>
          <w:lang w:bidi="ar-SA"/>
        </w:rPr>
        <w:t xml:space="preserve">منشورات جماعة المدرسين في الحوزة العلمية في قم المقدسة،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للشيخ أبي جعفر أحمد بن محمد بن خالد البرقي، عني بنشره و تصحيحه و التعليق عليه السيد جلال الدين الحسيني، نشر دار الكتب الإسلامية، 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 في فقه الإمامية، للمحقق الحلي جعفر بن الحسن الحلي، نشر قسم الدراسات الإسلامية في مؤسسة البعثة، طهران، إيران،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 للعلامة الحلي الحسن بن يوسف ابن المطهر الحلي، تحقيق و نشر مؤسسة النشر الإسلامي التابعة لجماعة المدرسين بقم المقدسة،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في شرح شرائع الإسلام، للسيد محمد بن علي الموسوي العاملي، تحقيق ونشر مؤسسة آل البيت علیهم السلام لإحياء التراث، قم، إيران،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دراسة المدارس والمذاهب الفقهية، للدكتور عمر سليمان الأشيقر، نشر دار النفائس، عمان، الأردن،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للشهيد الثاني زين الدين بن علي الجبعي العاملي، تحقيق ونشر مؤسسة المعارف الإسلامية، </w:t>
      </w:r>
    </w:p>
    <w:p>
      <w:pPr>
        <w:pStyle w:val="BookText"/>
        <w:rPr/>
      </w:pPr>
      <w:r>
        <w:rPr>
          <w:rFonts w:ascii="Amiri" w:hAnsi="Amiri" w:eastAsia="Amiri" w:cs="Amiri"/>
          <w:color w:val="111111"/>
          <w:sz w:val="28"/>
          <w:sz w:val="28"/>
          <w:szCs w:val="28"/>
          <w:rtl w:val="true"/>
          <w:lang w:bidi="ar-SA"/>
        </w:rPr>
        <w:t xml:space="preserve">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الناصريات، للشريف المرتضى علي بن الحسين بن موسى، تحقيق مركز الدرسات و البحوث العلمية، نشر رابطة الثقافات و العلاقات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الترجمة والنشر، طهران، إيران، لا ط،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أعيان الشيعة، تأليف حسن الأمين، نشر دار التعارف للمطبوعات، بيروت، لبنان، لا ط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للإمام أحمد بن حنبل، و بهامشه منتخب كنز العمال في سنن الأقوال والأفعال، دار صادر، بيروت، لا ط، 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 و إكسير السعادتين، للشيخ بهاء الدين محمد بن الحسين البهائي العاملي، منشورات مكتبة بصيرتي، قم، إيران، لا ط، 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المنسوب للإمام جعفر بن محمد الصادق علیه السلام، نشر مؤسسة الأعلمي للمطبوعات، بيروت، ،لبنان،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الأصول للمحقق الحلي الشيخ نجم الدین جعفر بن الحسن الهذلي الحلي، إعداد محمد حسين الرضوي، نشر مؤسسة آل البيت عليهم السلام للطباعة و النشر،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و ملاذ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في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جمال الدین حسن ابن الشهيد الثاني زين الدين العاملي، منشورات مكتبة آية الله المرعشي النجفي، قم، إيران،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للشيخ الصدوق محمد بن علي بن بابويه القمي، عني بتصحيحه علي أكبر غفاري، نشر انتشارات إسلامي وابسته بجامعة مدرسين حوزه علمية قم، قم، إيران، لا ط ،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الشرح المختصر، للمحقق الحلي أبي القاسم جعفر بن الحسن الحلي، تحقيق و تصحيح عدة من الأفاضل بإشراف الشيخ ناصر مكارم الشيرازي، نشر مؤسسة سيد الشهداء،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الرواة، للسيد أبي القاسم الموسوي الخوئي، لا مكان،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للمولى محمد بن محسن الفيض الكاشاني، تحقيق السيد مهدي الرجائي، نشر مجمع الذخيرة الإسلامية، قم، إيران، لا ط،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العلية في شرح الرسالة الألفية و حاشيتا الألفية، للشهيد الثاني زين الدين بن علي الجبعي العاملي، تحقيق مركز الأبحاث و الدراسات الإسلامية، نشر مركز انتشارات دفتر تبلیغات </w:t>
      </w:r>
    </w:p>
    <w:p>
      <w:pPr>
        <w:pStyle w:val="BookText"/>
        <w:rPr/>
      </w:pPr>
      <w:r>
        <w:rPr>
          <w:rFonts w:ascii="Amiri" w:hAnsi="Amiri" w:eastAsia="Amiri" w:cs="Amiri"/>
          <w:color w:val="111111"/>
          <w:sz w:val="28"/>
          <w:sz w:val="28"/>
          <w:szCs w:val="28"/>
          <w:rtl w:val="true"/>
          <w:lang w:bidi="ar-SA"/>
        </w:rPr>
        <w:t xml:space="preserve">إسلامي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المقتصر من شرح المختصر، لجمال الدين أبي العباس أحمد بن محمد بن فهد الحلي، تحقيق السيد مهدي الرجائي، نشر مجمع البحوث الإسلامية، مشهد،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للشيخ الصدوق محمد بن علي بن بابويه القمي، تحقيق لجنة التحقيق التابعة لمؤسسة الإمام الهادي علیه السلام ، نشر مؤسسة الإمام الهادي علیه السلام ، قم ، إيران، لا ط،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للشيخ المفيد محمد بن محمد بن النعمان العكبري البغدادي، تحقيق و نشر مؤسسة النشر الإسلامي التابعة لجماعة المدرسين في الحوزة العلمية بقم، قم، 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في فهم تهذيب الأخبار، للمولى الشيخ محمد باقر المجلسي، تحقيق السيد مهدي الرجائي، نشر مكتبة آية الله المرعشي النجفي، قم، إيران، لا ط،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للشيخ الصدوق محمد بن علي بن الحسين بن بابويه القمي، صححه و علق عليه علي أكبر الغفاري، نشر جماعة المدرسين في الحوزة العلمية، قم، إيران،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في الأحاديث الصحاح و الحسان للشيخ جمال الدين الحسن بن الشهيد الثاني العاملي، صححه و علق عليه علي أكبر </w:t>
      </w:r>
    </w:p>
    <w:p>
      <w:pPr>
        <w:pStyle w:val="BookText"/>
        <w:rPr/>
      </w:pPr>
      <w:r>
        <w:rPr>
          <w:rFonts w:ascii="Amiri" w:hAnsi="Amiri" w:eastAsia="Amiri" w:cs="Amiri"/>
          <w:color w:val="111111"/>
          <w:sz w:val="28"/>
          <w:sz w:val="28"/>
          <w:szCs w:val="28"/>
          <w:rtl w:val="true"/>
          <w:lang w:bidi="ar-SA"/>
        </w:rPr>
        <w:t xml:space="preserve">الغفاري، نشر مؤسسة النشر الإسلامي التابعة لجماعة المدرسين في قم المقدسة،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للعلامة الحلي الحسن بن يوسف بن المطهر، تحقيق قسم الفقه في مجمع البحوث الإسلامية، نشر مجمع البحوث الإسلامية، مشهد،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في معرفة الإمامة، للعلامة الحلي الحسن بن يوسف ابن المطهر الحلي، تحقيق الأستاذ عبد الرحيم مبارك، نشر انتشارات تاسوعاء، مشهد،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في شرح المختصر النافع، لجمال الدين أبي العباس أحمد بن محمد بن فهد الحلي، تحقيق الشيخ مجتبى العراقي، نشر مؤسسة النشر الإسلامي التابعة لجماعة المدرسين بقم،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للقاضي عبد العزيز ابن البرّاج الطرابلسي، تحقيق جماعة من المحققين تحت إشراف الشيخ جعفر السبحاني، نشر مؤسسة النشر الإسلامي التابعة لجماعة المدرسين بقم،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المواريث من الحدائق الناضرة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يوسف بن أحمد آل عصفور البحراني، بشرح و تحقيق الشيخ محمد طاهر آل </w:t>
      </w:r>
    </w:p>
    <w:p>
      <w:pPr>
        <w:pStyle w:val="BookText"/>
        <w:rPr/>
      </w:pPr>
      <w:r>
        <w:rPr>
          <w:rFonts w:ascii="Amiri" w:hAnsi="Amiri" w:eastAsia="Amiri" w:cs="Amiri"/>
          <w:color w:val="111111"/>
          <w:sz w:val="28"/>
          <w:sz w:val="28"/>
          <w:szCs w:val="28"/>
          <w:rtl w:val="true"/>
          <w:lang w:bidi="ar-SA"/>
        </w:rPr>
        <w:t xml:space="preserve">شبير الخاقاني، منشورات باقر العلوم، 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الموافقات لإبراهيم بن موسى الغرناطي المعروف بالشاطبي، تحقيق أبي عبيدة مشهور بن حسن آل سلمان، نشر دار ابن عفان، القاهرة، مصر،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الجليل لشرح مختصر خليل، لأبي عبد الله محمد بن محمد بن عبد الرحمن المغربي المعروف بالحطاب الرعيني، ضبطه و خرج آياته و أحاديثه الشيخ زكريا عميرات، نشر دار الكتب العلمية،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دول العالم الإسلامي و رجالها، مصفطی شاکر، دار العلم للملايين، بيروت،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تأليف اللجنة العلمية في مؤسسة الإمام الصادق علیه السلام ، نشر مؤسسة الإمام الصادق علیه السلام، قم،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يوم الحشر في شرح الباب الحادي عشر، للمقداد بن محمد بن الحسين السيوري الحلي الأسدي، دار الأضواء للطباعة والنشر، ،بيروت ،لبنان،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النخبة في الحكمة العملية والأحكام الشرعية للشيخ محمد بن محسن الفيض الكاشاني، تحقيق مهدى انصاری قمی، نشر مرکز </w:t>
      </w:r>
    </w:p>
    <w:p>
      <w:pPr>
        <w:pStyle w:val="BookText"/>
        <w:rPr/>
      </w:pPr>
      <w:r>
        <w:rPr>
          <w:rFonts w:ascii="IRNazanin" w:hAnsi="IRNazanin" w:eastAsia="IRNazanin"/>
          <w:color w:val="111111"/>
          <w:sz w:val="28"/>
          <w:sz w:val="28"/>
          <w:szCs w:val="28"/>
          <w:rtl w:val="true"/>
          <w:lang w:bidi="fa-IR"/>
        </w:rPr>
        <w:t>چاپ و نشر سازمان تبلیغات اسلامی تهران، إيران،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المرام في شرح مختصر شرائع الإسلام، للسيد محمد العاملي، تحقيق الحاج آغا مجتبى العراقي وزميليه، نشر مؤسسة النشر الإسلامي التابعة لجماعة المدرسين بقم المقدسة،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والفتاوى لشيخ الطائفة الشيخ محمد بن الحسن الطوسي، نشر دار الكتاب العربي،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مجموع ما اختاره الشريف الرضي من كلام أمير المؤمنين علیه السلام، عن ضبط نصه وحققه الدكتور صبحي الصالح ،بیروت، 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أنيس الوحيد في شرح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للمحدث السيد نعمة الله الموسوي الجزائري، تحقيق السيد مهدي الرجائي، نشر مؤسسة النشر الإسلامي التابعة لجماعة المدرسين بقم المقدسة،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الأمة إلى أحكام الأئمة علیهم السلام ، للشيخ محمد بن الحسن الحر العاملي، تحقيق قسم الحديث في مجمع البحوث الإسلامية، نشر </w:t>
      </w:r>
    </w:p>
    <w:p>
      <w:pPr>
        <w:pStyle w:val="BookText"/>
        <w:rPr/>
      </w:pPr>
      <w:r>
        <w:rPr>
          <w:rFonts w:ascii="Amiri" w:hAnsi="Amiri" w:eastAsia="Amiri" w:cs="Amiri"/>
          <w:color w:val="111111"/>
          <w:sz w:val="28"/>
          <w:sz w:val="28"/>
          <w:szCs w:val="28"/>
          <w:rtl w:val="true"/>
          <w:lang w:bidi="ar-SA"/>
        </w:rPr>
        <w:t xml:space="preserve">مجمع البحوث الإسلامية، مشهد،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للمولى محمد بن محسن الفيض الكاشاني، عني بتحقيقه ومقابله أصله وتصحيحه ضياء الدين الحسيني الأصفهاني، نشر مكتبة الإمام أمير المؤمنين علیه السلام ، أصفهان،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في أصول الفقه للفاضل التوني عبد الله بن محمد البشروي الخراساني، تحقيق السيد محمد حسين الرضوي الكشميري، نشر مجمع الفكر الإسلامي،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تأليف الشيخ محمد بن الحسن الحر العاملي، تصحيح وتحقيق الشيخ عبد الرحيم الرباني الشيرازي، نشر دار إحياء التراث العربي، بيروت، لبنان،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نيل الفضيلة، لعماد الدين أبي جعفر محمد بن علي الطوسي المعروف بابن حمزة، تحقيق الشيخ محمد الحسون، نشر مكتبة آية الله العظمي المرعشي النجفي، قم،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الياقوت في علم الكلام، لأبي إسحاق إبراهيم بن نوبخت، تقديم وتحقيق علي أكبر رضائي، نشر مكتبة آية الله العظمى المرعشي النجفي الكبرى، قم، 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94" w:name="pg2523_40128"/>
    </w:p>
    <w:p>
      <w:pPr>
        <w:pStyle w:val="Heading2"/>
        <w:numPr>
          <w:ilvl w:val="1"/>
          <w:numId w:val="1"/>
        </w:numPr>
        <w:rPr/>
      </w:pPr>
      <w:bookmarkStart w:id="295" w:name="__RefHeading___Toc4265004_3804643083"/>
      <w:bookmarkStart w:id="296" w:name="_Toc100"/>
      <w:bookmarkEnd w:id="294"/>
      <w:bookmarkEnd w:id="295"/>
      <w:r>
        <w:rPr>
          <w:rtl w:val="true"/>
        </w:rPr>
        <w:t>الفهرس</w:t>
      </w:r>
      <w:bookmarkEnd w:id="296"/>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حول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الشيخ قاسم الواعظ الخراساني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الصفحة قبل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الصفحة الأولى من مختصر المحاسن النفسانية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الصفحة الأخيرة من مختصر المحاسن النفسانية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المصنف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المساله الاولی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في الأصوليين، وجواز الاختلاف في الفروع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قال رفع الله مقامه، و شرف مبدأه و ختامه</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سبب حدوث هذه الطرائق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طريقة المخالفين وباعث الانحراف عن الجادة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الفرقة المحقة من الصدر الأول حتى نهاية الغيبة الكبرى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الحال من بداية الغيبة الكبرى حتى نهاية القرن السادس الهجري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العلامة الحلي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الشيخ حسن ابن الشهيد الثاني والعودة للطريقة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النصوص الدالة على أحقية مذهب أهل الصدر الأول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يؤيد القول بعدم صحة مذهب الاجتهاد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وحادي عشرها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قطعية الأخبار ودلالتها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توجيه ما وقع من ذم الأخباريين للمجتهدين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الاختلاف في الفروع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المسألة 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أمور متصلة بمقام الفقاهة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الجواب، ومنه سبحانه استفاضة الصواب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دعوى الرجوع للأعلم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شرائط الفقيه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حال التفقه في هذا الزمان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استعلام الفقاهة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أحكام من يصلي خلف من لا يقتدي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ومنه سبحانه تحصيل الصواب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روايات الاقتداء للفاسق والناصب وشبههما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المنع من القدوة ووجه الجمع بينها وبين ما تقدم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التعارض بين هذه الأخبار وما يعارضها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معنى العصير المحرّم عند غليانه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ثم قال سلمه الله، وأطال بقاه، وجعل في مدارج العلياء ارتقاه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الجواب ومنه سبحانه إصابة الصواب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الأدلة الواردة في المسألة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الوضع الشرعي في لفظ العصير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المختار في حقيقة العصير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العصير الزبيبي وأدلته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العصير التمري وأدلته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الغليان والنشيش وما يرتب الحرمة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يعتبر في ذهاب الثلثين الوزن أو الكيل؟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ممازجة العصير المحرم بغيره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ومنه سبحانه إفاضة الصواب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وحكم معاملاتهم، والتمتع ببناتهم ونسائهم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الجواب ومنه سبحانه استمداد الصواب </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الأخبار المتواترة في كفر المخالف وشركه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الناصب</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عقود المخالفين وطلاقهم وسائر إيقاعاتهم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التمتع بنسائهن على القول بكفرهم ونجاستهم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حكم نسائهم حكم الإماء أم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الإذن في أموالهم وقتالهم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الوضوء قبل الأغسال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ثم قال حفظه الله تعالى</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الجواب ومنه سبحانه استمداد الصواب</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بالوجوب فيما سوى الجنابة وأدلته ومناقشته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و خدش هذا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بنفي الوجوب مطلقا وأدلته ومناقشتها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 بيان الملازمة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الزوجة من الدور والعقار والأشجار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ومنه سبحانه استفاضة الصواب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الممنوعة هل هي مطلق الزوجة أو غير ذات الولد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لمطلق الزوجة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اختصاص الحرمان بغير ذات الولد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تُحرم منه ذات الحرمان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 الزوجة من الميراث عند انحصار الوارث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الجواب ومنه سبحانه استمداد الصواب</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القول بالتفصيل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أخبار المذهبين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المساله العاشره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عند الزوجة من منقولات من مال الزوج بعد موته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الجواب ومنه سبحانه استفاضة الصواب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المسألة لدليل ملك ذي اليد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 المنفردة عن التصرف وأدلة مساواتها للمؤكدة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إيراد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تقديم البينة على اليد عند تعارضهما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القول بتقديم البينة ونقاشها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إيراد على عدم اعتبار ثمرة الاستصحاب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على جواب السؤال</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المؤيدة لما ذكرناه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المسألة الحادية 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حرمة المزني بها في العدة، واعتدادها من الزاني ونوع عدّتها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الجواب ومنه سبحانه الإرشاد إلى الصواب</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أما المسألة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وأما المسألة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الدين المرخص فيه والمحظور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ثم قال سلمه الله تعالى</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المرخص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الممنوع منه </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و تلخيص الاحتجاج من خمسة أوجه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انقطع النص من جميع النسخ التي بين أيدينا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تذنيب الناسخ 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ومراجعه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إجازات الشيخ أحمد الأحسائي، الطبعة الأولى، منشورات مكتبة العلامة الحائري،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كربلاء،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برزك الطهراني، الطبعة الثانية، دار الأضواء، بيروت،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برزك الطهراني، الطبعة الثانية، دار الأضواء، بيروت،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مغلقات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بيانها 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مقصورة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فروضي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الأمر لازبًا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ضروريًا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وامتثاله من الحقوق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بسلوك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مشهور نسب للنبي صلی الله علیه وآله و سلم في عوالی اللآلي، 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من هامشي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الذكي، ظريف الذهن، حاضر البديهة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العاملي المشهور بالبهائي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تعريف سيف الدين الآمدي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استفراغ الوسع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كالجنس الشامل لطلب الظن وغيره،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طلب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احتراز وفصل أخرج به الأحكام القطعية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بعدوا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أبعدوا وشردوا وقتلوا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الوسائل، وفي 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التسعة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الأبذال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 الحيات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الله تعالى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احتاج إلى الحجة والبيان أتى به مبينا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الهينة، ولعله أنسب للمقابلة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نقل لمعنى الآية، والآية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الْكِتَابَ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 شيء أحصيناه في إمام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فاستعان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سهو من الناسخ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كما يبدو ؛ لأنه 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أخرى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من مصادر أهل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عن أحمد بن محمد، عن الحسين بن سعيد، عن محمد ابن أبي عمير، عن محمد بن حكيم، عن أبي الحسن علیه السلام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موافق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تستغيثون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موافق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وبأهله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إن فيه أرش 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إن فيه لأرشَ خدش الكف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الرد إلى الكتاب والسنة وأنه ليس شيء من الحلال والحرام إلخ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الرد إلى الكتاب والسنة إلخ،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الرد إلى الكتاب والسنة إلخ،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تقول 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برأيكم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الرد إلى الكتاب والسنة إلخ،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وفي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جُعِلْتُ فِدَاكَ أَتَى رَسُولُ اللهِ صلى الله عليه و آله و سلم بمَا يَكْتَفُونَ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رَسُولَ اللهِ صلی الله علیه وآله و سلم ِبمَا اسْتَفْتَوْا بِهِ فِي عَهْدِهِ وبِمَا يَكْتَفُونَ بِهِ مِنْ بَعْدِهِ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 مِنْهُ شَيْءٌ قَالَ لَا هُوَ عِنْدَ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أَتى رَسُولُ اللهِ صَلَّى اللهُ عَلَيْهِ وَآلِهِ النَّاسَ بمَا يَكْتَفُونَ بهِ فِي عَهْدِهِ؟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وَمَا يَحْتَاجُونَ إِلَيْهِ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فَضَاعَ مِنْ ذلِكَ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هُوَ عِنْدَ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تلفيق بين هاتين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وصححناه من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الرد إلى الكتاب والسنة إلخ،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يحتاج الناس إليه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 إليه الأمة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فيه تفسير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الطلائق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شيء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نمضيها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ولولا ذلك ما احتج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الحديث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المغيري 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سهو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بينهم في أن الكتاب والسنة هما المصدران الأصليّان للتشريع وأن عليهما المدار والمعوّل، سواء في عصر النبي صلی الله علیه و آله وسلم أو ما لحق من عصور، إنما الخلاف في اجتهاد النبي صلی الله علیه و آله وسلم كما سيأتي بعد، وفي مدى إمكانية السعي فيما ورائيات النص، وهذا ما شكّل مدرستين أساسيتين عند أهل السنة هما مدرسة أهل الحديث ومدرسة الرأي، فمن أعلام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أنس وسفيان الثوري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أعلام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حنيفة النعمان بن ثابت، وزفر بن 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الإسلامي لمناع القطان،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والمدخل إلى دراسة المدارس والمذاهب الفقهية للدكتور عمر سليمان الأشقر،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الخلاف واقع في التأصيل التاريخي لاستعمال لفظ الاجتهاد، سواء من حيث زمن الاستعمال أهو في زمن رسول الله صلی الله علیه و آله وسلم كما في حديث معاذ أو في الأزمنة اللاحقة، أم من حيث نفس المفهوم ضيقا وسعةً، وراجع في ذلك بحثًا مفصلا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تأصيل الاجتهاد مفهوما واصطلاحًا، للدكتور مهند مصطفى جمال الدين، منشور في مجلة آداب الكوفة الصادرة عن جامعة الكوفة في عدد سنة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نصا في نهج البلاغة لابن أبي الحديد، وإنما هو متصيد من كلماته، وأغلب الظن أن الشيخ رحم الله نقله عن هداية الأبرار للشيخ حسين بن شهاب الدين الكركي العاملي، ولاحظ أن تلخيص الوقائع التاريخية كذلك مشابه له بدرجة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لابن أبي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بالمعنى على ما عرضه من حال بعد وفاة الرسول صلى الله عليه و آله و سلم لا بعد عمر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السطر فالتبس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وكشط عليها وكتب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الفقرة إجمال وإيجاز شديدان يكادان يخلّان بمقتضيات التحليل التاريخي لنشوء نظريات الاجتهاد وقواعده كما لا يخفى على من جاس خلال تلك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للاستزادة نفس المصادر سالفة الإشارة، وراجع أكثر لتوضيح التبلور الأصولي في هذه الفترة و علاقة جملة من أعلامه بالحكّام مما أثر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تاريخه ورجاله، للدكتور شعبان محمد إسماعيل،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السفسطائية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صحيح، والسوفسطائية نسبة للسفسطة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سوفیست </w:t>
      </w:r>
      <w:r>
        <w:rPr>
          <w:rFonts w:eastAsia="IRNazanin" w:cs="IRNazanin"/>
          <w:b w:val="false"/>
          <w:bCs w:val="false"/>
          <w:i w:val="false"/>
          <w:iCs w:val="false"/>
          <w:color w:val="333333"/>
          <w:sz w:val="20"/>
          <w:szCs w:val="20"/>
        </w:rPr>
        <w:t>Sophist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كلمة يونانية كان يراد بها معلم الحكمة، ثم لما كثر ادعاؤها وتوظيفها من قبل المغالطين المجادلين أضحت ذات معنى سلبي أكثر من كونه إيجابيا، وذلك في عصر سقراط و أفلاطون، فنقلت لتركيب الأقيسة والأدلة وفق المناهج غير السليمة، ومن ثم عمم استعمالها لكلّ استدلال وقول غير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تعريفات الجرجاني،ص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الفلسفة اليونانية ليوسف كرم،ص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الظنيات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الآمدي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فعبارة عن ترجح أحد الاحتمالين في النفس على الآخر من غير 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إن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هداية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العمدة عند عموم مذاهب العامة على القرآن والسنة، لكنهم بين مضيق لدائرة حجية السنة وموسع، فالأحناف مثلا على التقليل من قيمة الخبر الواحد، وإنما المدار عندهم على الوثوق بالخبر لا موثوقيته بخلاف المالكية 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طرفي 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فمسألة تقديم القياس والمصلحة على الخبر مرهونة بهذا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جادة التصويب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واحدًا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إلا أن يراد أن المسلوك هو جادة التصويب أو طريق التصويب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التخطئة والتصوبة مصبهما جعل اجتهاد المجتهد حكما لله تعالى في الواقع وعدم ذلك، ومرجع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تصرح به عبائرهم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القضايا الظنية الاجتهادية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ألا يكون لله تعالى فيها حكم معين أو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فمذهب من قال بالتصوبة هو أن ما لا حكم لله تعالى فيه يكون اجتهاد المجتهد فيه مصيبا وفق ما أدى إليه اجتهاده وغلب على 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لله حكم لكن دليله 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فالمجتهد مصيب و له أجران إن ظفر بالحق، وإلا فله أجر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دليله قطعيا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فاتفقت كلماتهم على أن المصيب واحد قطعًا، واختلفوا في تأثيم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 الله تعالى حكم في كل مسألة؟ أم أن الحكم الشرعي في المسألة ما يؤدي له اجتهاد المجتهد، وهي خلافية بينهم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رحم الله يشير إلى ما رووه عن النبي صلی الله علیه و 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حكم الحاكم فاجتهد ثم أصاب فله أجران، وإذا حكم فاجتهد ثم أخطأ فله 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الأقضية، باب بيان أجر الحاكم إذا اجتهد،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الاعتصام بالكتاب والسنة،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بينهم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المذاهب متكثرة ومتفرعة، كمذهب الليث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ومذهب سفيان الثوري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ومذهب الحسن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ومذهب عامر بن شرحبيل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الاجتهاد لآغا بزرگ ،الطهراني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آغا بزرگ في سياق عرضه لتطور الاجتهاد عند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يمكننا تعيين بداية هذا 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دور حصر الاجتهاد والمذاهب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التحديد؛ وذلك أن المحاولات لتحديد دائرة الاجتهاد كانت كثيرة وفي أزمنة مختلفة، فكانت هذه المحاولات في فترة بين الرابع والسابع الهجري، حتى تم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خطط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بيبرس البندقداري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ولى مصر أربعة 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شافعي، ومالكي، وحنفي، وحنبلي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فاستمر ذلك حتى لم يبق في مجموع أمصار الإسلام مذهب يعرف من مذاهب الإسلام سوى هذه الأربعة، وعودي من تمذهب بغيرها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حصر الاجتهاد،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الهشامان، و هما هشام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نهاية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وهشام بن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جعفر محمد بن علي الأحول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عبد الله الطيار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حوالي نهاية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بدايات ومنتصف القرن الثاني الهجري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إشارة إلى قبيلة همدان التي نزحت من الكوفة إلى حمص ما بين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والموضوع في ذلك ذو حديث عريض، انظر استزادة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التأسيس لتاريخ الشيعة في لبنان وسورية،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علیهم السلام ، وكذلك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المشتملة على غريبات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وكلاهما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المصنف تفصيل في ذلك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احتوت عليها تلك الكتب من الأحوال الشنيعة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ما تقدم من أخبار كان جملة منها وارداً في مورد الرد على الرأي والقياس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إسماعيل بن إسحاق ابن أبي سهل بن نُوبَخت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معرب للفارسية نوبخت بفتح النون، بمعنى جديد البخت والطالع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قدماء متكلمي الشيعة البارزين، كان حيا في القرن الثاني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الاختلاف في اسمه وزمنه ومكانته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الياقوت في علم الكلام له، لعلي أكبر رضائي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نقض مسألة عيسى بن أبان في باب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بوفاة السفير الرابع 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سلالة عربية تغلبية شيعية حكمت مناطق من العراق والشام وجنوب الأناضول، وذلك في العصر العباسي الثاني ما بين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ومؤسس دولتهم الحسن بن أبي الهيجاء المعروف بناصر الدولة، ومن أبرز أعيانها سيف الدولة الحمداني المعروف، وقد كانت الحياة الفكرية والعلمية مزدهرة في دولتهم، ومن أبرز من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المتنبي، وابن زهرة الحلبي، والصاحب بن عباد، وابن جني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بينهم وبين البويهيين حالتا حرب وسلم نتيجة صراعهم على النفوذ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دول العالم الإسلامي ورجالها لمصطفى شاكر،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سلالة من الديلم الفرس الموالين لأمير المؤمنين علیه السلام ، حكمت مناطق من العراق أهمها بغداد والبصرة وغيرها ومن إيران، وذلك في العصر العباسي الثاني ما بين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ومؤسس دولتهم ثلاثة 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 الدولة، وركن الدولة، و عماد الدولة، وأبرز ملوكهم عضد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الحياة العلمية زاهرة في أياهمهم، فقد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المناظرات والمحاورات تعقد في محضر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وقعت صراعات عدة بینهم وبین غيرهم كالحمدانيين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لأحمد أمين،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بين نواحي الحجاز والعراق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فاستمرت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حروفها منقوطة بما يحتمل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الإيجاب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فكلامكم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نريد أن نعرف فوائدها بطريق العقل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عن الغنية،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يمدحونه بالوثاقة والعلم والعدالة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يمدحونه بالوثاقة والعلم وكثرة الرواية والعدالة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لعثمان خان بن أرطغرل، و هم سلالة تركية حكمت أجزاء واسعة من المعمورة من سنة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واضح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هج، قال الزركلي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المستضيء بأمر الله الحسن بن المستنجد ، أبو العباس الناصر لدين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عباسي بويع بالخلافة بعد موت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طالت أيامه حتى انه لم يل الخلافة من بني العباس أطول مدة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يوصف بالدهاء على ما في أطواره من تقلب، فبينما هو مهتم بشؤون قومه يطلق المكوس ويرفع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 الضرائب، إذا به قد انقلب فانصرف إلى اللهو وأعاد ما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إنه هو الذي كاتب التتر و أطمعهم في البلاد لما كان بينه و بين خوارزم شاه من العداوة، أملا بأن یشغله بهم عن الزحف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اشتغال بالحديث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 ترجمته المفصلة وعلاقته بالتشيع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http://www.alhassanain.com/arabic/magazin/iman/iman_5_6_2/16.html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والمدارس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والمرتضى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لعضد الدين الإيجي على كتاب مختصر المنتهى الأصولي لابن الحاجب المالكي، من كتب أصول الفقه الشافعية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كتاب حاشية القديم والجديد على شرح التجريد، لأبي المعالي السيد محمد الدشتكي الشيرازي، المتوفى سنة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والشفاء كتاب فلسفي معروف لابن سينا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فلسفي منطقي لابن سينا أيضا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القاسم عبد الكريم بن محمد الرافعي الشافعي، أحد أعلام الشافعية وأئمتهم، المتوفي سنة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في قزوين، ومن أهم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بشرح الوجيز، والتدوين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 عبد الرحيم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مصروفة، والصحيح منعه لمنتهى الجموع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القاضي أبو الخير عبد الله بن عمر بن محمد بن أبي الحسن البيضاوي – نسبة لمدينة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الرافعي، المتوفى سنة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المعاصرين للعلامة الحلي ، وجرت بينهما مراسلات منها ما يتعلق ببعض مسائل كتاب قواعد الأحكام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للأفندي،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غيرها العامة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الرحيم بن الحسن بن علي الإسنوي الشافعي، المتوفى سنة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هج في القاهرة، واحد من أعلام الشافعية الذين انتهت إليه رياستهم، له 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فيما يتخرج على الأصول النحوية من الفروع الفقهية، طبقات الشافعية،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الإسنوي، عبد الرحيم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عبد الرحمن الشهرزوري، المعروف بابن الصلاح ، المتوفى سنة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هج في دمشق، له 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مقدمته في معرفة أنواع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ما أشار له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صيانة صحيح مسلم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الشهرزوري، عثمان بن عبد الرحمن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مختصر ابن الحاجب، وهو أبو عمرو بن عمرو بن أبي بكر المعروف بابن الحاجب، المتوفى سنة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يعد واحدا من الكتب المهمة في علم الأصول عند العامة، وكتبت عليه شروحات كثيرة، كشرح الأصفهاني والسبكي وغيرهما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 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الجر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كتاب منتقى الجهمان،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حسن و صاحب المدارك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الحرفوشي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ينقلونه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ما أثبتنا أنسب؛ لأن المنقول واحد من أقسام الإجماع، و الشهرة والإجماع يتعلق بهما بمعنى الاستدلال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صائب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وفرشوا ما ينقلونه حجورهم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قرينة مساعدة على الهامش السابق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محكم كتابه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والآيتان اللتان قبلها لم تردا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ثلاثة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بين هذه الآية وما تليها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ليس في قلوبكم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اشتباه وخلط مع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 بألسنتهم ما ليس في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يردّوا، وكذلك في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خص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تفاوتات أخرى يسيرة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التفانج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مهما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 السفاتج المذكور هو عينه إسحاق بن عبد العزيز، ويكنى بأبي يعقوب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مادة إسحاق بن عبد العزيز أبو السفاتج</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سورة الأعراف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السفاتج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الأمالي، وإنما في الخصال،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عن أحمد ابن أبي زاهر، عن علي بن إسماعيل، عن صفوان بن يحيى، عن عاصم بن حميد ، عن أبي إسحاق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غيرها النحر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التفويض إلى رسول الله صلی الله علیه و آله وسلم و إلى الأئمة علیهم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الروضة،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 فيمن عرف الحق من أهل البيت ومن أنكر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الجلالة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الراوي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سليم ابن قيس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دينكم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منصوبة في المصدر ، والوجهان جائزان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أثبت على الابتداء، وما في المصدر على البدلية من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اختراط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استلاله من غمده </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وكلاهما جائزان؛ إما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الابتداء أو 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في التعدادين الآخرين القادمين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البصائر مقطوع عند أبي بكر الحضرمي، وفي مختصر البصائر مرةً عن أحمد بن محمد بن عيسى عن علي بن الحكم عن سيف بن عميرة عن أبي بكر بن محمد الحضرمي عن أبي الصباح الكناني الخيبري، وأخرى عنه عن علي بن الحكم عن أبي بكر المذكور عن حجاج ابن الصباح الخيبري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خبر واحد كما يبدو، ويختلف عنهما خبر البصائر بما سأشير إليه في محله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عليك بالحديث فيقول بعضنا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 فيها شيئا ساقطا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البصائر الموجود لدينا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أتريد أن تكون أمانا بك</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ومختصر البصائر،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خرّجه محقق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بصائر الدرجات لسعد بن عبد الله، وهو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ضبطا لما سقط من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علي محمد بن الحسن بن علي بن أحمد الفتال النيسابوري، من علمائنا الإمامية، المستشهد في بدايات القرن الخامس الهجري في نيسابور من إيران، و مما قيل في حقه أنه فقيه متكلم متحدث 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كتبه السيد مهدي الخرسان من ترجمة طبعت في مقدمة كتاب روضة الواعظين المنشور في قم المقدسة عن منشورات الرضي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الواعظني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أخطاء الكتابة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الذين غيروا دين الله بآرائهم وخالفوا أمر الله</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 وهو خطأ جلي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جاءت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 آل محمد عليهم السلام وشيعتهم المهتدين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الذين آمنوا وعملوا الصالحات إلخ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الشعراء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يسند في المصدر بل أرسل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يتخذوا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أحلوا لهم حلالا وحرموا لهم حراما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وتثبيته يصح لكن بتكلف، فأثبت ما في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أربابًا لهم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أرز يأرِزُ إذا ثبت ولاذ بمستند ومرجع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البدن من الثياب</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تؤتوا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 بتشديد التاء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النقل شوب عدم الدقة في المعنى؛ فإن مفاد ذلك الحديث أن الحارث الهمداني دخل على أمير المؤمنين فسأله الأمير عليه السلام عن حال أصحابه، أي الشيعة، فأجابه بأنهم بين مختلفين في أمير المؤمنين والثلاثة الذين قبله و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مفرط غال و مقتصد وال ومتردد مرتاب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أمير المؤمنين علیه السلام حسبك، وأفاد بأن خير الشيعة النمط الأوسط، فاستوضح الحارث، فأجابه أمير المؤمنين علیه السلام بالحديث المذكور، وتتمته في 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بالرجال بل بالحق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معهم لا في الأحكام وتفسير القرآن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الجزء الأول،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قول الله تعالى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 خاص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108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قلدنا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فضل العلم، باب التقليد،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في النسخ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وبإسناده عن ضريس عن أبي عبدالله علیه السلام عن قوله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يعبد الله على حرف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أصابه الآية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الشرك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 همين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تطأ</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ثلثا ما في يدي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في المصدر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 باب طلب الرئاسة،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خياركم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شراركم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شراركم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باب من وصف عدلا و عمل بغيره،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علي بن إبراهيم، عن محمد بن عيسى ، عن يونس ، عن العلاء، عن محمد بن مسلم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اشهدوا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القضاء والأحكام، باب أصناف القضاة،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محمد بن حمران، عن أبي بصير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القضاء والأحكام، باب من حكم بغير ما أنزل الله عز وجل،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الحديث الأول من نفس الباب عن أبي بصير أيضًا بنفس المضمون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القضاء والأحكام، باب من حكم بغير ما أنزل الله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علي بن إبراهيم، عن أبيه، عن ابن أبي عمير، عن عبد الرحمن بن الحجاج</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القضاء والأحكام، باب أن المفتي ضامن،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الحسن بن محبوب، عن علي بن رئاب، عن أبي عبيدة الحذاء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بفتواه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النهي عن القول بغير علم،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القضاء والأحكام، باب أن المفتي ضامن،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الوشاء ، عن مثنى الحناط، عن أبي بصير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سنة الحديث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فضل العلم، باب البدع والرأي والمقاييس،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ذكرها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ببناء الفعل للمجهول وهو أولى، أو بنسبة الفاعلية للمصنف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قارنه مع أول ما ذكره الأسترآبادي في الفوائد المدنية إبطالا للتمسك بالاستنباطات الظنية في نفس أحكامه تعالى،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وإضافته تنقض المعنى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توجيه 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من المصنف 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مستند جواز الاعتماد على الظن هو الإجماع المدعى، و حيث كان ذلك الإجماع منقوضا بما تقدم عرضه من مخالفة علمائنا في الصدر الأول لتلك الطريقة، و أن سلوكهم إياها كان لغايات معينة مرت، فالإجماع منقوضُ، ومن ثم لا قطع، بل ظن، 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فمستند جواز الاعتماد على الظن هو الظن، و ذلك دور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واصطلاح الدور الظاهر لا يريد به المصنف الدور الصريح؛ فإن الدور الصريح هو أن يكون توقف الأول على الثاني بلا واسطة، كتوقف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إنما الدور المشار إليه هنا دور مضمر بالشكل وصريح بالنتيجة، فالاعتماد على الظن متوقف على الإجماع، والإجماع متوقف في حجيته على القطع، و حيث نقضت قطعية ذلك الإجماع، فيكون متوقفا على الظن ، فيصير دورًا ظاهرًا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تقدم شطر منها، وراجع استزادة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القضاء، الباب السادس من أبواب صفات القاضي،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الفارق هو إنما اعتبر الظن في ما ذكر من أمثلة كأرش الجنايات للزوم الحرج لولا اعتبار الظن فيها، و وجه الحرج تعسّر التقدير القطعي، وأما في أحكام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بها الأحكام في مقابل الموضوعات الخارجية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حرج في ذلك، فيكون قياسهما على بعضهما قياسًا مع الفارق ، فيبطل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ضمير، والضمير منّا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الحاجبي، في مسائل الإجماع،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التعويل في اعتماد ظن المجتهد المطلق إنما هو على دليل قطعي، وهو إجماع الأمة عليه وقضاء الضرورة به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استدلالهم بالآيات والروايات مسكون بقبلية الإجماع، فهو كالطريق للاستدلال بهما وراجع في مقابل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من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وفرائد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المقام الأول من المقصد الثاني في الظن، من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الله عليهم أجمعين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والفوائد المدنية،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والحدائق الناضرة،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في حجية الإجماع من مقدمات الكتاب،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القضاء، البابان السادس والسابع من أبواب صفات القاضي،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الفوائد المدنية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فائدتهما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بين علماء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الاختلاف، ليتم نظام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182</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الفوائد المدنية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لامتناع اجتماع النقيضين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في حال فتواك مخبر عن 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المصنف نقل عن الفوائد الطوسية أو الفوائد المدنية كما يشي به التطابق بينهما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تَقُولُوا عَلَى اللهُ مَا لَا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قسمين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والشواهد المكية،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والفوائد الطوسية، ص </w:t>
      </w:r>
      <w:r>
        <w:rPr>
          <w:rFonts w:eastAsia="IRNazanin" w:cs="IRNazanin"/>
          <w:b w:val="false"/>
          <w:bCs w:val="false"/>
          <w:i w:val="false"/>
          <w:iCs w:val="false"/>
          <w:color w:val="333333"/>
          <w:sz w:val="20"/>
          <w:szCs w:val="20"/>
        </w:rPr>
        <w:t>475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الفوائد المدنية،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 هو سهو</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أولئك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بالظن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مطلقا إما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خلاف بينهم، راجع شرح العضدي،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مبادئ الوصول للعلامة،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الأصول،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في سياق استدلالهم على حجية الخبر الواحد مع كونه ظنّا؛ حيث إن مرجع الاستدلال إلى أن في التمسك بهذا الظن دفعا لضرر مظنون، و دفع الضرر المظنون واجب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قرروه في مباحث الاجتهاد من أن ذلك لا يجوز في زمن النبي صلی الله علیه و آله وسلم والأئمة علیهم السلام لأنه زمن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والمعارج كذلك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الكركي في رسالة الجمعة، المطبوع ضمن رسائل المحقق الكركي،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قارنه مع الفوائد المدنية،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النافع يوم الحشر،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سهو محض؛ لعدم استقامة النقض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بتكلف أسلوبي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رسالة حاصلها النهي عن الرأي والقياس، وموضع الشاهد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متى ما لم يكن بالداعي قوة في دعائه على المدعو لم يؤمن على الداعي أن يحتاج إلى المدعو بعد قليل، لأنا قد رأينا المتعلم الطالب ربما كان فائقا لمعلم ولو بعد حين، ورأينا المعلم الداعي ربما احتاج في رأيه إلى رأى من يدعو وفي ذلك تحير الجاهلون وشك المرتابون وظن الظانون ولو كان ذلك عند الله جائزا لم يبعث الله الرسل بما فيه الفصل، ولم ينه عن 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مصابيح الظلم، الباب السابع،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الفوائد،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مقدمة في كلام الأسترآبادي، وتاليها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المعلوم أن اعتبار ظن المجتهد المتعلق بنفس أحكامه تعالى مستلزم لتلك المحذورات، ألا ترى أن في كثير من المسائل تخطر ببال جمع من أهل الاستباط أنواع من الترجيحات دون جمع، و في وقت دون 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الفوائد،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الفوائد،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أوجه للمعنى؛ لأن ذلك تفسير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المدنية،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ودلل عليه في الفوائد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ترى أن علماء العامة وابن أبي الحديد في شرح نهج البلاغة ذكروا في مقام الاعتذار عن الحروب والفتن الواقعة بين الصاحبة العدول الأخيار أن السبب فيها اختلاف اجتهاداتهم في أحكام الله تعالى،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في الفوائد ضمن الوجه السابع،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خفاء الملكة وعدم إمكان قياسها وضبطها، أو بمعنى اختلاف كلماتهم في شروط الاجتهاد، وراجع في ذلك ما تقدم تخريجه في الوجه الثاني من كلام حول الاجتهاد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 دليلهم سمت الهدی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فدعاؤهم فيها الضلال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خافه، وكذلك في المصدر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والقضاء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التي مر ذكرها آنفًا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الأخبار</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الأصل الثامن من الأصول الأصيلة، من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الفوائد الثامنة والتاسعة والعاشرة من خاتمة وسائل الشيعة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حيث ينقل المصنف نص كلام الدرر النجفية، وسيشير إليه في خاتمته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سترى، وهي قرينة على ما أثبتنا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ادعاه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الفوائد المدنية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سنبينه إن شاء الله تعالى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بتلك</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أوجبت لنا الإشكال والداء العضال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وكذلك في المصدر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 ظنّي، غايته الغلبة على بعض الأفهام والاعتماد على المرجّحات المروية في دفع ذلك، كما لا يخفى ما فيه من الإشكال كما حققناه في الدرة المتقدّمة في شرح مقبولة عمر ابن حنظلة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تعطي معنى مختلفا قليلا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ولذا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الجلالة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ديباجة كتابه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بالتخيير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 لدعوى قطعية الدلالة في الأخبار التي ادعاها صاحب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نقل ضمني أيضا لكلام المحقق البحراني في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أهل الذكر الذين أمر الله الخلق بسؤالهم هم الأئمة عليهم السلام من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ظهر ذلك مما سبقت الإشارة إليه من كلام الفوائد و الأصول الأصيلة وخاتمة الوسائل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عنوان هذه الرسالة في مصنفات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سقطا وقع هنا؛ فإن عدم اجتماع التضاد بدهي، و المقصود أن الاختلاف ينافي التواتر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غاية الشيخ رحم الله من تأليف كتاب الاستبصار رفع الاختلاف الموجود بين الروايات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علي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محتمل؛ فالمثبت جد المصنف، الشيخ سليمان بن عبد الله الماحوزي، المعروف بالمحقق البحراني، له حاشية على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بن سليمان القدمي المعروف بأم الحديث، له حاشية على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أقرب ، بقرينة أن المصنف عبّر عنه بالمحقق، و هو ينقل عنه في العادة، وفي غير موضع من هذا الكتاب كما ستلاحظ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متناول اليد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خطابًا غير ظاهره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استدلال الأسترابادي في الفوائد،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الإشارة إليه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اقتضت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أن أهل الذكر الذين أمر الله الخلق بسؤالهم هم الأئمة عليهم السلام، من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هو المذكور في الفهارس، راجع معجم رجال الحديث،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المصدر، فقد جاء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بريد الرزاز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تصحيف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والدرايات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تعلو</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دار الدنيا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إبراهيم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المقصود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 الشيعة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القياس و</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فعندنا أنهما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فإنهما عندنا ليسا بدليلين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بعد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يؤيد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المعارج</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ومأثمهم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المجتهد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حسبما في المصدر ثالث</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ثان في المصدر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يفتي الواحد منهم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معارج الأصول للمحقق،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الحاء مهملة في النسخ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 في المصدر، وكلاهما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فالنصب على التبعية، والرفع على الخبرية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طبقت</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كذلك في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الصلاة، باب القبلة،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العاملي في 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الأخباريون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الإسلام للقاضي النعمان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بألفاظ مقاربة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و الجهل، باب البدع و الرأي و المقاييس،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هداية الأبرار،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متناثرا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السابع والثامن والتاسع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علي بن أحمد الحريري الحرفوشي العاملي الدمشقي أصلا و الأصفهاني مهجرًا، المتوفي سنة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ببراعته في علوم العربية و الأدب، و له كتب عدّة في ذلك، و له في ما يتصل بالسياق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شرح الزبدة البهائية المسمى بعمدة الوصول إلى زبد الوصول، و كتاب القلائد السنية في شرح القواعد الكلية الأصولية و الفروعية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للحر العاملي،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الأعلام للزركلي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شيء له فيما بين اليدين متعلق بالمراد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للفاضل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الأحاديث الثلاثة الأولى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معذرتهم</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أحبُّوا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وذلك مبثوث في كتاب تصحيح اعتقادات الإمامية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داود في القسم الأول من كتابه وفق ما هو موجود بين أيدينا في ذكر الممدوحين و من لم يضعفهم الأصحاب، في 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فهرسة الكتاب،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أحمد بن الجنيد يكنى أبا على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جيد التصنيف حسنه إلا أنه كان يرى القول بالقياس فتركت كتبه لذلك ولم يتعول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سمعت بعض شيوخنا يذكر أنه كان عنده مال للصاحب عليه السلام وسيف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ابن داود،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والأخذ</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 أليق بالسياق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هو الشيخ علي بن محمد بن يونس البيضاوي العاملي، المولود في النبطية و المتوفى فيها سنة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هج، والمعروف اختصارًا بعلي بن يونس، لكن لم نعثر على نسبة الكتاب المذكور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وافية له كتبها المرحوم آغا بزرگ الطهراني وطبعت في مقدمة كتاب الصراط المستقيم للمترجم له نفسه بتحقيق محمد باقر البهبودي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الكتاب بين أيدينا</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وتجاوز الطعن في ذلك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 أيدينا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بيت شعري يؤتى به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تجازي تجازى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يزرع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الثوم لا يقلعه ريحانًا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للسيد نعمة الله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 وراجع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المولى عبد الله بن محمد التوني البشروي المعروف بالفاضل التوني من الفقهاء الأصوليين الماهرين أصله من بلدة تون في خراسان، وتوفي سنة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هج في كرمانشاه، ورسالته الوافية في أصول الفقه من الرسائل البديعة في التصنيف والتبويب مقارنةً بزمنها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للقمي،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المكية المطبوع بذيل الفوائد المدنية،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أو أن متمم معناها ساقط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 هو الشرفة المطلة من البيت، والبحث الفقهي في جواز إخراجها عن البيت بما يخرج عن حدود الأرض على الممر والشارع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العبارة بالمعنى وليس بالنص،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تؤذن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شطر كبير منها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كان كذا وكذا فأجابه فيها بوجه آخر، وإن كان كذا وكذا فأجابه بوجه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وقد كتبت الياء ألفا مقصورة فيها، والأصح أنها ياء بقرينة الخطاب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أحكمناه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لوقتها إلا واحد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الباب التاسع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قريبا منه الكليني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الصلاة، باب المواقيت أولها و آخرها و أفضلها،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كلامنا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إما إن تكون للمتكلم أو للمخاطب</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أنفسهم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عن أبيه، عن سعد بن عبد الله ، عن محمد بن الوليد و السندي ابن محمد، عن أبان بن عثمان الأحمر ، عن محمد بن بشير و حريز عن أبي عبدالله علیه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الصدوق عن محمد بن الحسن ، عن محمد بن الحسن الصفار، عن أحمد بن محمد عن أبي أيوب الخزاز عمن حدثه عن أبي الحسن علیه السلام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آله وسلم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عن أبيه، عن سعد بن عبد الله، عن محمد بن عبد الجبار، عن الحسن بن علي بن فضال، عن ثعبلة بن ميمون عن زرارة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تصلية في المصدر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أثيم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فبينا</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فبينما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مذكرة في المصدر، و الصواب التأنيث؛ لتذكير المعدود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كافة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أثيم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وتأخير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صلی الله علیه و آله وسلمٍ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وكذلك في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معماة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لا يأتي 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الفوائد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معماة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الإدراك</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الدرر النجفية،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باب صفة الوضوء، ذيل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صفة الوضوء،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 صاحب الإحياء رحمه الله بالتأمل بعد ذلك في سياق كلام طويل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معالم الشيعة بأخبار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تقرب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الفرائض، باب ميراث من علا من الآباء و هبط من الأولاد،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أن ولد الولد يقوم مقام الولد إذا لم يكن ولد بعد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و التعقيب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المواريث باب ميراث ولد الولد،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وارثًا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كملا لها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الفرائض، باب ميراث الأزواج،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الزوجة إذا لم يكن وارث غيرها، ذيل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الفوائد</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عوالي اللثالي،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حرره محمد هاشم بن علي بن السيد سخاوت علي المرحوم نور الله مضجعه؛ امتثالا لأمرجناب قدوة الأنجاب، أعلم و أصدق و أورع الأصحاب، المولى السيد محمد مرتضى أدام الله ظله العالي، باليوم الثلاثاء والثامن من شهر محرم الحرام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الأعلم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والضمير عائد على الأعلم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بناء على الزيادة السابقة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الوسع الجزم بالشيخ محمد يوسف المذكور، إلا أنه يحتمل قويًا كونه الشيخ محمد ابن الشيخ يوسف بن أحمد، ابن عم المصنّف، المتوفى سنة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أي بعد وفاة المصنّف بأربع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معهودية الاسم عند المصنف حتى عُبّر عنه من دون قرينة كتاب أو نسب و كون الشيخ محمد ابن صاحب الحدائق معاصرا، لكن ذلك ليس إلا قرينة 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مهما يكن، فقد نقل في تاريخ البحرين المسمى بالذخائر عن صدر الدين الحسيني في تاريخ فارس في حال علماء آل عصفور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العلامة الأوحد الشيخ محمد البحراني من آل عصفور نجل المرحوم المبرور الشيوف يوسف صاحب الحدائق، و هو أحد المجتهدين في علوم الدين وغيرها من فنون العلوم، خصوصا في الفقه و الأصلين، حتى لقبه علماء عصره بابن الفقيه، وكان تولده في البحرين، ومات سنة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العشرين والمائتين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وقال في مستدركات الأعيان،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رحل من البحرين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أبيه بعد الوقعة التي قد ذكرناها آنفا و وصل فيها إلى درجة الاجتهاد و انتهت إليه رئاسة العلم في زمانه في تلك النواحي، و شدت إليه الرحال و كان أعجوبة زمانه في استحضار النصوص و كلام الأصحاب، و له المصنفات الفائقة التي حقها أن تكتب بماء الذهب لما فيها من النفائس البديعة و التدقيقات النفيسة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وقصر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المتوسطين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مدرايج</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للعلامة،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الألفية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بقوم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أظهر في المدعى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السفال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باب أحكام الجماعة إلخ،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يرد في أحكام أئمة الجماعة وأحكام القضاة و التقليد و غير ذلك من ذي الشأن،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المدارك،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الأنوار اللوامع للمصنف،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الاستدلال و النقل مع الوافي،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تساويها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تعريفهم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أن من وصفه الله تعالى في كتابه بالعلم الأئمة علیهم السلام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روضة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وغيره، عن سهل بن زياد، عن ابن محبوب، عن ابن رئاب، عن أبي عبيدة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صححته لظهور خطئه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باب من تكره الصلاة خلفه،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 الدلالة قوله علیه السلام في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كانوا في السن سواء فليؤمهم أعلمهم بالسنة إلخ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على آية النفر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والتعميم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الدين،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باب وجوه الجمع بين الأحاديث المختلفة، ذيل الحديث الأول،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اختلاف الحديث،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 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سيأتي إنما جاء في المصدر بعد تتمة موضع الشاهد من الحديث</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الاشتراكهما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المصدر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أنها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هذه المرجحات مصارًا لها عند التعارض</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استخف بحكم الله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اختلاف الحديث،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والمحقق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لم نعثير عليها بنصها أو بنص مقارب في الكافي أو الصدوق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غيبة النعماني،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تدريه خير من عشر ترويه، إن لكل حق حقيقة، و لكل صواب نورا،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والله لا نعد الرجل من شيعتنا فقيها حتى يلحن له فيعرف اللحن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مستطرفات السرائر ،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تدريه خير من ألف ترويه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و محمد بن يحيى جميعا، عن عبد الله بن جعفر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اجمتعت أنا و الشيخ أبو عمر رحمه الله عند أحمد بن إسحاق الحديث</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كتبت بخط أزرق صغير بين السطرين، و يبدو أنها تعليق من غير الناسخ، و غير موجودة في المصدر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 و ذلك ناتج التجزئة السياقية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عمّن آخذ</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ثقتي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أدى إليك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أبو علي أنه سأل أبا محمد علیه السلام عن مثل ذلك</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وأطعهما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 في تسمية من رآه عليه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عن أحمد بن محمد عن الحسين بن سعيد عن أبي الجهم عن أبي خديجة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أثبتنا ما في المصدر للقرينة الجائية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تحاكموا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تتحاكموا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واجعلوا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القضايا والأحكام، باب من الزيادات في القضايا و الأحكام،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ومسندا في الأمالي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 رسول الله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الخبر 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يبلغون حديثي و سنتي، ثم يعلمونها أمتي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الأمالي،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المخطوطين، و اسم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المؤمن الأنصاري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أقواما يروون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 وذهبوا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فيتعلمون منه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وفي المصدر منصوبةً على 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ينفروا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جائزان، غير أن ما في المصدر أولى؛ لشدة الترابط السياقي كما هو غيرخاف، مما لا يقبل التجزئة و فرض الابتداء</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 وكذلك في المصدر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بدلا من الاسم الموصول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المستأكل بعلمه الذي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المفوق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العلل، و إنما في المعاني،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عن حمدويه بن نصير، عن يعقوب بن يزيد، عن محمد ابن أبي عمير، عن جميل بن دراج</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لانقطعت</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عن حمدويه، عن يعقوب بن يزيد عن ابن أبي عمير، عن شعيب العقرقوفي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و كذلك في المصدر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نسأله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فممن آخذ معالم ديني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المصدر كتاء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كذلك في 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فيتكلم ويستاءل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عند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عبد الله بن جعفر الحميري، عن أبيه، عن محمد بن صالح الهمداني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يؤذوني و يقرعوني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الرواية هنا أسقطه المصنف، و لعله لعدم تعلق الحاجة به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بفضلنا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أمرهم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تأتونا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مبني للمجهول في المصدر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الأحكام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من معدنها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تلفيقا بين حديثين،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النقل بالمعنى أكثر منه بالنص</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المشترطة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المسائل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مبادى الوصول،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والمعالم،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والوافية، من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أدلة المسائل وفروعها وأصولها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تهذيب الأصول،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الشهيد الأول في الذكرى،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الشيخ حسن في المعالم،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استدلال المصنف مع استدلال صاحب الحدائق في الدرر النجفية،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ما مفاده أنه لم يعثر لها على مستند سوى التبرك بها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يعني حكاية الأذان على الخلاء، ولعل المقصود هنا هو الشهيد الثاني في الروضة،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يتيسر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معالم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توضيح لكلام صاحب الإحياء المتقدمة الإشارة إليه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عن محمد بن يحيى، عن محمد بن الحسين، عن محمد بن عيسى، عن صفوان بن يحيى، عن داود بن الحصين، عن عمر بن حنظلة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بها في المصدر بالواو</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رسوله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الرد إلى الكتاب والسنة إلخ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عن ابن بكير، عن محمد بن الطيار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 الصدوق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أبيه، عن سعد بن عبد الله، عن أحمد بن محمد بن عيسى، عن الحسن بن علي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 و 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 وأهوى بيده إلى فيه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 بالمعنى أقرب منه للنقل النصي عن جزء رواية من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البدع و الرأي والمقاييس،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 البدع و الرأي و المقاييس من كتاب فضل العلم من الكافي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مبادئ الوصول،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والمعالم،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الوافية،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أمثالهما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مبادئ الوصول،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والمعالم،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الوافية،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وإحياء معالم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فضل العلم، باب الأخذ بالسنة وشواهد الكتاب،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فمن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التفسير المنسوب للعسكري علیه السلام</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التفسير المنسوب للعسكري علیه السلام،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هذه الفقرة مع ما في إحياء معالم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عبد الله عن محمد بن الحسين عن جعفر بن بشير عن حماد بن عاصم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و كذلك في المصدر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القضايا و الأحكام باب من الزيادات والأحكام،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والزبدة،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اختراعات العامة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الإحياء أيضا مما مر في الفقرة السابقة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قارنه مع الدرر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بالفقيه الجامع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بالدعاوى</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المصدر بين اليدين</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 اليدين</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الحسن بن عبد الكريم الفتال، جمال الدين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قبل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هج، من زملاء الشيخ علي بن هلال الجزائري، وأستاذ الشيخ ابن أبي جمهور، وقد أثنى عليه كثيرًا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بالعالم المبرز على الأقران المحرر المقرر لسائر الفنون على طول الأزمان، علامة المحققين، و خاتمة الأئمّة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غوالي اللئالي،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زين الملة والدين أبو الحسن علي بن هلال الجزائري، المتوفى حوالي سنة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ممن لقبوا بشيخ الإسلام، و من أساتذة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فاضلا متكلما عالما، له كتاب الدر الفريد في التوحيد، يروي عن الشيخ أحمد بن فهد، و يروي عنه الشيخ علي بن عبد العالي العاملي الكركي، و قد أثنى عليه في بعض إجازاته ثناءا بليغا من جملته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الاسلام، فقيه أهل البيت في زمانه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والجزائري نسبة لمنطقة بين نهر تستر والبصرة كما نص على ذلك صاحب روضات الجنات عند ترجمته للشيخ عبد النبي الجزائري،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مطبوعة ضمن رسائل الشهيد الثاني،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 الدين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بن مفلح بن حسن بن رشيد بن صلاح الصيمري، المتوفى سنة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هج في قرية سلماباد من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صاحب أنوار البدرين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أورع أهل زمانه، و أعبدهم و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اجتمع في بعض أسفاره بالشيخ العلامة مروج مذهب الإمامية في المائة التاسعة الشيخ علي ابن عبد العال الكركي، واستجاز منه وأجازه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أن عدول المسلمين يتولون جميع ما يتولاه الفقيه عند فقده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الحكومة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علماء البحرين للشيخ سليمان الماحوزي، بتحقيق الشيخ فاضل الزاكي،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يوسف في الكشكول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عندي نسخة الحاوي هذه لكنها منسوبة إلى المولى ركن الدين محمد بن علي الجرجاني غلطا، كما أن نسبتها إلى العلامة الحلي أيضا غلط، لأن الشهيد في شرح الإرشاد نقل عن الحاوي للجرجاني تعريف الطهارة بما له صلاحية رفع الحدث و استباحة الصلاة، و ذكر في الحاوي الموجود غير ذلك التعريف، فيظهر أنه ليس للجرجاني، بل هو للشيخ حسين بن منصور الذي نسبه إليه الصيمري، انتهى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الشيخ سليمان الماحوزي أو الشيخ يوسف أو الصيمري، اشتبه في اسم المصنف فبدله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صاحب السرائر الحاوي لتحرير الفتاوي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يعرف اسمه و لا أثر له، و يمكن مقارنة ما نقل في هذا الكتاب مع السرائر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نقله أيضا عن المحقق المولى الأردبيلي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تداركا للسياق</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القضاء والأحكام، باب أن الحكومة إنما هي للإمام علیه السلام ،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القضاء والأحكام، باب أن الحكومة إنما هي للإمام علیه السلام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القضايا و الأحكام، باب من إليه الحكم،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يعقوب بن زيد، عن أبيه، عن النضر بن سويد، عن يحيى بن عمران الحلبي، عن عبد الله بن مسكان، عن أبي بصير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النجاشي عند ترجمته،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العطف، ولم نجد لها وجهًا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تدراك</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البنيان و الجملة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آل الحال إلى انتقاض هذا البناء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انسد هذا الطريق النبوي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الفقرة غير موجود في المصدر المطبوع ، لكن نقله عنه في العشرة الكاملة،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النقل كله غير موجود في المصدر، و نقله عنه في العشرة الكاملة،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المستيقظة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وأين الألباب المتنبهة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وأين النفوس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هذا التقصير نشأ هذا القصور، و من هذه الغفلة حدث هذا الفتور، واندرست معالم الشريعة في سائر الجهات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أوجب هذه البلوى قلة التقوى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أعظمُ مِن هذا محِنَةٌ، و أكبر مصيبةً، وأوجب على مرتكبه إثما، ما يتداوله كثير من المتسمين بالعلم من أهل بلاد العجم، وما ناسبها من غيرهم في هذا الزمان حيث يصرِفُون عمرَهُم و يقضون دهرَهُم على تحصيل علوم الحكمة كالمنطق إلخ</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هم مع ذلك</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المنع من تقليد الميت المطبوعة ضمن مجموعة رسائل للشهيد الثاني،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للأعمى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 وأتباعه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قد يوجب صعوبة الأمر؛ لكثرة الشبهات التي يوردها كل على خصمه، وانتشار الأدلة والأخبار والأقوال على وجه يعسر ضبطه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ونقصانا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الكاملة،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فالمنفعة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 أشرنا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المسلك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الإيراد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استعلام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العملية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مبادئ الوصول،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فضلائنا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انضم إليه عزّ الجهات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القائل، و أشار له من قبل صاحب الحدائق في الدرر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شريعة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فتصدّوا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وأكثروا فيه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و كذلك في المصدر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في المصدر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وردت في إحدى النسخ</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 شروح</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أصدر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والفروعية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الدين و الشريعة تقديم و تأخير في المصدر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 نصبه لهم حكام الجور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جريا على طريقة العامة في هذا المقام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إلى ما هم عليه من الجهل بشريعة الملك العلّام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رزية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النبوية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ترى من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انتزاعًا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بعدما يهبطه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فيذهب بما يعلم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فقد العلماء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 بين صدر هذه و ذيل اللاحقة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العلم باب رفع العلم وقبضه،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في حدود ما بين اليد من مصادر أشار لعنوانها المصنف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 الحسن بن علي بن يقطين، عن أخيه الحسين بن علي بن يقطين، عن أبيه علي بن يقطين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يقتدى</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الصلاة، باب الصلاة خلف من لا تقتدي به،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أبيه، عن ابن أبي عمير، عن حماد بن عثمان، عن الحلبي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صليت خلف إمام لا تقتدي به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صليت خلف إمام لا يقتدى به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باب الصلاة خلف من لا تقتدي به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في أحكام الجماعة،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عن يعقوب بن زيد، عن ابن أبي عمير، عن ابن مسكان، عن أبي بصير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أصلي خلف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الصلاة، باب فضل المساجد و الصلاة فيها،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عن محمد بن إسماعيل عن الفضل بن شاذان، عن صفوان، عن إسحاق بن عمار، عمن سأل أبا عبد الله علیه السلام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أفرغ قبل أن يفرغ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مما هو مثبت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باب فضل المساجد و الصلاة فيها،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 و المحقق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في الفقيه و سندها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يعقوب بن يزيد، عن عمرو بن عثمان و محمد بن يزيد، عن محمد بن عذافر، عن عمر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يعني الصحيح بالاصطلاح القديم؛ فإن الصدوق قد أرسلها في الفقيه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 عمر بن يزيد أبا عبد الله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باب أحكام الجماعة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نهاه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يلوح ذلك من كلمات الكاشاني في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 عن النضر، عن يحيى الحلبي، عن ابن مسكان عن إسماعيل الجعفي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يبرأ</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في أحكام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أحمد بن محمد عن أحمد بن محمد بن أبي نصر عن إبراهيم بن شيبة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جامعك</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إياهم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في فضل المساجد والصلاة فيها،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الإرسال من جهة الرواية عن بعض الأصحاب، فالسند في التهذيب، والسند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في أحكام الجماعة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للمأموم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توقف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أحمد بن محمد، عن سعد بن إسماعيل، عن أبيه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في أحكام الجماعة،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لرواية خلف بن حماد عن رجل عن الإمام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في أحكام الجماعة،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الصدوق عنه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إياه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إطلاقا غير محمول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لأن المراد أن إطلاق غير هذا الخبر محمول عليه، فهو مفسّر لغيره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عن الفضل بن شاذان، عن ابن أبي عمير، عن حفص البختري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البحتري</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باب الصلاة خلف من لا يقتدي به،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فضل الصلاة في المساجد و الجماعة وأحكامها،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عن الحلبي، عن أبي عبدالله علیه السلام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بسنده عن حماد بن عثمان عن جميل بن دراج</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باب الرجل صلى و حده ثم يعيد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 ما قد يؤثر في المعنى؛ إذ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في منزله ثم أتى إلخ</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باب الرجل صلى وحده ثم يعيد ،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الحسين بن سعيد، عن حماد بن عيسى، عن معاوية بن وهب، عن أبي عبد الله علیه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أصلي إذا أنا في بيتي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فأعاد ابن الكوى فأنصت عليه علیه السلام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في أحكام الجماعة،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صفوان، عن عبد الله بن بكير، عن أبيه بكير بن أعين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الواو عطفا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في أحكام الجماعة،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الصلاة، في أحكام الجماعة،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الطائفة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باب فضل المساجد و الصلاة فيها، بعدح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الكاشي، والأولى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التهذيب و إنما في الفقيه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الفقيه الأولتين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الإمام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الوقت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التركيب منا، حيث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أخبار أمر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الأخبار السابقة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مراده من غيرهما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الله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العنبي و الزبيبي و التمري و غيرهما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 و في التهذيب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والسند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أبي يحيى الواسطي، عن حماد بن عثمان، عن أبي عبدالله علیه السلام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أبي يحيى الواسطي، عن حماد بن عثمان، عن أبي عبدالله علیه السلام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الصيد و الذباحة، باب الذبائح و الأطعمة،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باب العصير،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عن حماد بن عثمان لا عبد الله بن سنان، 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أحمد بن محمد بن أبي نصر، عن حماد بن عثمان، عن أبي عبدالله علیه السلام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باب العصير،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محمد، عن ابن فضال، عن الحسن بن الجهم، عن ذريح</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الصيد و الذباحة باب الذبائح و الأطعمة،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باب العصير،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من جهة رواية محمد بن الهيثم عن رجل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الأشربة، باب العصير الذي قد مسته النار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علي بن إبراهيم عن أبيه، عن عبد الله بن المغيرة، عن عبد الله بن سنان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الأشربة ، باب الطلاء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أبو علي الأشعري عن محمد بن عبد الجبار، عن منصور بن حازم، عن ابن أبي يعفور، عن أبي عبد الله علیه السلام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الطلاء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العنب المطبوخ</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الأشربة، باب الطلاء،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الكافي، عن بعض أصحابنا، عن محمد بن عبد الحميد، عن سيف بن عميرة، عن منصور، عن ابن أبي يعفور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يطبخ من عصير العنب حتى يذهب ثلثاه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الطلاء ما يطبخ من عصير العنب مطلقا، لا خصوص ما يذهب ثلثاه، و إلا انتفت فائدة الإخبار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الغلاء</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 باب الطلاء،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باب الطلاء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محمد بن يحيى، عن أحمد بن محمد، عن علي بن الحكم، عن معاوية بن وهب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العصير إذا 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عصير العنب، 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لكن أثبت موافقا للمصدر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باب الطلاء،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باب أصل تحريم الخمر،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علي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رجل عن علي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فضال، عن عمرو بن سعيد، عن مصدق بن صدقة، عن عمار بن موسى الساباطي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صب عليه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انقعه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مسجور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 و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أصبحت صببت عليه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الضمير ساقط في المخطوطات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متن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فتصب عليه الماء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تصبه على الماء الأول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الأشربة، باب صفة الشراب الحلال،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محمد بن يحيى، عن محمد بن أحمد بن الحسن، عن عمرو بن سعيد، عن مصدق بن صدقة، عن عمار الساباطي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مصدر الرواية السابقة،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تتخذ</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لا تتخذ نبيذا؟ نشر به نحن، وهو يمرئ الطعام إلخ</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طبخته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باب صفة الشراب الحلال،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من جهة رواية السيّاري عمن ذكره عن إسحاق</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أصب عليه الواحد اثنين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الشاهد من هذه الرواية لم تذكره نسخ الكتاب، و تتمة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أطبخه حتى يذهب ثلثاه و يبقى الثلث،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حلوا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أخبره كم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باب صفة الشراب الحلال،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الخبر في كتاب طب الأئمة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شكوت إلى جعفر بن محمد الصادق عليه السلام بعض الوجع و قلت له ان الطبيب وصف لي شرابا و ذكر أن ذلك الشراب موافق لهذا الداء فقال له الصادق عليه السلام و ما وصف لك الطبيب؟ قال خذ الزبيب و صب عليه الماء ثم صب عليه عسلا ثم اطبخه حتى يذهب ثلثاه و يبقى الثلث فقال أليس هو حلوا قلت بلی یا بن رسول الله قال اشرب الحلو حيث وجدته و حيث أصبته ولم يزدني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 من المصدر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صار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فأغلاه، و كذلك في المصدر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النرسي المطبوع ضمن الأصول الستة عشر من الأصول الأولية بتحقيق ضياء الدين المحمودي،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يشرب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باب الطلاء ،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أحمد بن الحسن، عن عمر و ابن سعيد، عن مصدق بن صدقة، عن عمار بن موسى</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يحل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خبر طويل في التهذيب كتاب الصيد و الذبائح، باب الذبائح و الأطعمة،</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علي بن إبراهيم، عن أبيه، عن أحمد بن محمد بن أبي نصر، عن أبان، عن زرارة، عن أبي جعفر علیه السلام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هبط نوح علیه السلام من السفينة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غرسًا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 و هو قضيب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كونها بناء عليه أجنبية عن السياق، و سيأتي من المصنف بيان لذلك في المتن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فقلعها، وكذلك في الكافي و الوسائل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بالواو</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لي منها نصيبًا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بالفاء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جبرئيل علیه السلام لنوح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أحسن إلخ</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أخذت عصيرا فاطبخه حتى يذهب الثلثان، و كل و اشرب فذاك نصيب الشيطان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باب أصل تحريم الخمر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مسألته</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مدعيًا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بالعنب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أمر الله بالتأمل بعد هذا القول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المخطوطين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شمول العصير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مجهول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تصحيف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المخطوطين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المخطوطين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كما يظهر ليس من الناسخ بل من المعلّق</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كلامه ليس نصا في ذلك، لاحظ الوافية،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صدقه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صدقه عليهما لغة</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في شرح النخبة المحسنية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علي بن إبراهيم، عن أبيه، و محمد بن إسماعيل، عن الفضل بن شاذان جميعا، عن ابن أبي عمير، عن عبد الرحمن بن الحجاج، عن أبي عبدالله علیه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المخطوطين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المرز</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باب ما يتخذ منه الخمر،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 إذا أردت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محله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فتتجه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السكنجبين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أظن أنه لا يلتزمه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استدراكا للسياق</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النقش</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المجمع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الكركي في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مقابلهم ما حرره السبزواري في الكفاية من عرض للمسألة و نقاشها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النخبة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عن عدة من أصحابنا، عن أحمد بن محمد، عن محمد بن خالد، عن النضر بن سويد، عن أبي بصير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 باب الطبيخ،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نفس المصدر السابق</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نفس المصدر السابق</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غليان ماء العنب في حبه لا اعتداد به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ظاهرها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لا يدل على مدعاهم؛ إذ الظاهر أنه إنما يحرم إذا إلخ</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غير خفي على من تأمله إلى نهاية الفقرة غير موجودة في المصدر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النخبة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رسالته عن الزبيب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المصدر السابق</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المرعى</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ليستقيم المعنى</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لترتيب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لبقاء</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 وعائه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وزقُ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لذلك الوعاء</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من كلمات المحقق الأردبيلي في شرح الإرشاد،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جزم بالتحريم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النخبة، المصدر السابق نفسه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منبه</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فخبأها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السفينة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فيلمسها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الملك أحسن فأنت محسن، فقال له نوح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سدس و لي خمسة أسداس</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في المصدر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بالفاء في المصدر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فلابليس، و هو حظه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ليشرب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الساباطي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موسى بن عمر، عن عمرو بن سعيد، عن مصدق بن صدقة ، عن عمار الساباطي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الصيد، باب الذبائح و الأطعمة، 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رواية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المخطوطين الضباح</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فأهرق</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باب النوادر ،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الأسلمي</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الكلمتين بياض</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فنجعل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المصدر نفسه،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الشيخ،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مؤيد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أثبتناها غير معطوفة؛ لتناسب السياق</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يتحقق</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للخل، وكذا أثبتنا، وفي كلا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ذكره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كذلك بحار الأنوار المتقدم تخريجه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يكون نقصان الحجم قد يكون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المخطوطين معرفة، والأليق تنكيرها؛ لأنها خبر أن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بتقويمات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ذهب منها عشرون رطلا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أيصلح شرب ذلك أم لا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طبخ</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باب الطلاء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الصيد، باب الذبائح و الأطعمة،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فنجعل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الشريف المرتضى في الناصريات عن النبي صلی الله علیه و 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على الشريعة السمحة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باب الذبائح و الأطعمة،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المطلب أن الدانق سدس الدرهم؛ فإن الدرهم ستة دوانيق، ومقصود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يترك على النار حتى يذهب منه حال غليانه ثلاثة أسداس و نصف، فيبقى نصف سدس حتى يصل للثلثين؛ لأن ثلثي الدرهم أربعة دوانق، فيترك المطبوخ ليبرد حتى يذهب هذا النصف، فيتحقق ذهاب 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التمثيل بالدانق و الدرهم من أجل البيان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المصنف استفاد هذه الفقرة من المجلسي في ملاذ الأخيار،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وما في المخطوطين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بدلا من أو، وذلك لأن الأوقية إما أربعون درهما أو سبعة مثاقيل،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والحدائق،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لنبني</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تمثيلها رياضيا هكذا سدس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نصف 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التعبير عنه بصورة أخرى 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فالذي يذهب بالغليان هو سبعة أجزاء  ونصف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السدس نصف سدس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نصف سدس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القدر اللازم للحلية هو ذهاب ثلثين ، أي أربعة أسداس ، أي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حيث إن الخبر ذكر ذهاب ثلاثة أسداس و نصف بالغليان ، فإن ذلك يعني ذهاب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ينقص عن مجموع الثلثين ما مقداره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نصف السدس،فيكون التبريد سببًا لذهابه، فيحل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 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الحصرم بكسر الحاء وسكون الصاد و 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العنب قبل نضوجه، و أوله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بالعصير من العنب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ثلثه وهو اشتباه واضح</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الأثمار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ما يوجب المذمة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المعصومين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مادة حصرم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فأكل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قد أجهدني الجوع و العطش</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ذهب يعض عليه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آدم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عصيرة الخمرة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باب أصل تحريم الخمر،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المستطرفات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المستطرفات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المستطرفات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أستأذن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التسليم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أبواب الأشربة المحرمة، باب حكم طبخ اللحم بالحصرم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الخبر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صرح به المجلسي محمد هادي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المولى محمد هادي ابن أخ الفيض الكاشاني، المتوفى سنة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 وليس الكتاب بين أيدينا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لمعارضته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باب الطلاء،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الصيد، باب الذبائح و الأطعمة،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النخبة،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باب الطلاء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مر تفصيله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يصفّى</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النرسي المطبوع ضمن الأول الستة عشر من الأصول الأولية بتحقيق ضياء الدين المحمودي،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مرت الإشارة إليه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الطافية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يذهب ثلثاه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ذكر تلك</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لتشكيك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النفحة،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 باب تحريم العصير إذا أخذ مطبوخا،</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الماء منه وبين ما مازج</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بالسادسة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يتأتى إلا بفرض دمج المسألتين الرابعة و الخامسة، و هو غير ممكن؛ لأن تينك المسألتين و إن كانتا مرتبطتين إلا أن المصنف رحمه الله أفرد جوابًا لكل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الأظهر أنه سهو من الناسخ؛ خصوصًا و أن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أنها مسألتان انتقيتا لغاية ما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المخالفين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 به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الثاقب،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الرابع عشر من أبواب النجاسات من كتاب الطهارة من الوسائل؛ إذ عنونه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نجاسة الكافر ولو ذميا ولو ناصبيا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يظهر ذلك منه أيضا في تفسير الناصبي في الباب الثاني من أبواب ما يجب فيه الخمس في كتاب الخمس،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سيما الفاضل الشهيد في المسالك</w:t>
      </w:r>
      <w:r>
        <w:rPr>
          <w:rFonts w:eastAsia="IRNazanin" w:cs="IRNazanin"/>
          <w:b w:val="false"/>
          <w:bCs w:val="false"/>
          <w:i w:val="false"/>
          <w:iCs w:val="false"/>
          <w:color w:val="333333"/>
          <w:sz w:val="20"/>
          <w:szCs w:val="20"/>
          <w:rtl w:val="true"/>
        </w:rPr>
        <w:t>)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 عند الله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الجملتان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 أنه إمام و ليس بإمام و من زعم في إمام حق أنه ليس بإمام و هو إمام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ادعى إمامةً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ادعى من الله إمامة ليست له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جحد إماما من الله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بسقوطات مخلّة، حيث جاءت بعد السند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 ينظر الله إليهم و لا يزكيهم و 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ادعى إمامة من الله و من زعم أن لهما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باب من ادعى الإمامة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اشتبه المصنف هنا، وإنما هو طريق آخر رواه في الكافي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عن أبي العباس أحمد بن محمد بن سعيد بن عقدة، عن أحمد بن المفضل بن إبراهيم الأشعري، و سعدان بن إسحاق بن سعيد و أحمد بن الحسين بن عبد الملك، و محمد بن أحمد بن الحسن القطواني، عنهم جميعا، عن الحسن بن محبوب الزراد، عن علي بن رئاب، عن محمد بن مسلم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في المصدر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النعماني، عن علي بن احمد ، عن عبیدالله بن موسی ، عن محمد بن احمد القلانسي، عن إسماعيل بن مهران، عن أحمد بن محمد، عن عبد الله بن بكير و جميل بن دراج جميعا، عن محمد بن مسلم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برئ من دينه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في النسختين مع زيادة واو العطف</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المقصود في السند سدير عن أبي جعفر، أو أن الخبر ملفق بين خبرين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الصدوق بإسناده إلى المفضل بن عمر في ثواب الأعمال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جعل عليا علیه السلام علما بينه و بين خلقه، ليس بينه و بينهم علم غيره، فمن تبعه كان مؤمنا، و من جحده كان كافرا، ومن شك فيه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صلى و ترك الصلاة على النبي،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في علل الشرائع بإسناده إلى سدير عن أبي جعفر علیه السلام في حديث قال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العلم الذي وضع رسول الله صلی الله علیه و آله وسلم عند علي علیه السلام من عرفه كان مؤمنا و من جحده كان</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في المصدر بالفاء</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171</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الجبل</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معطوفة بالواو</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إلى الله منهم بريء</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بالواو في المصدر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الرواية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من جحد إماما من الله، أو زاد إماما ليست إمامته من الله، أو جحد، أو قال ثالث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جاحد أمر آخرنا جاحد أمر أولنا، و الزائد فينا كالناقص الجاحد لأمرنا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أعلامه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الكافي، و إنما في كمال الدين و تمام النعمة،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يقرئك</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أقر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أقر بمحمد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112</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عرف الآخر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 من ادعى الإمامة،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 و إنما في الإمامة و التبصرة لوالد الصدوق، و في كمال الدين و تمام</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يتبرأ</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بالفاء</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ميتة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فأقول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إمامك</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منزلة الإمام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وأفضل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من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 بياض بقدر كلمة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إجماع</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أحتاج</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بنصه في شرح النهج للقطب الراوندي أو غيره من المصادر الموجودة بين أيدينا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علمائنا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المسائل الخمسة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الرسائل التسع،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المقاصد العلية في شرح الألفية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عقاب الأعمال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تتوالونا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وصفات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الرجل مجرما حتى يبغض عليا قليلا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نقل البحار عن العلل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يكون الرجل سنيا حتى يبغض عليا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وفايات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طالب</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المطبوع</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عميرة، عن ابن أذينة، عن أبي</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المكية المطبوع بذيل الفوائد،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 معنى الناصب مذهب الشهيد الثاني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لم يتفق على كون الخلاف لفظيًا، و ذكر ما يترتب من فروقات بين هذه الأقوال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الأخواجة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التحقيق</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فالظاهر من الفتوى</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الطلاق، باب أحكام الطلاق، قبل الحديث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طَلَّقَ امْرَأَتَهُ وَ كَانَ مُخَالِفاً وَ لَمْ يَسْتَوْفِ شَرَائِطَ الطَّلَاقِ إِلَّا أَنَّهُ يَعْتَقِدُ أَنَّهُ يَقَعُ بِهِ الْبَيْنُونَةُ لَزِمَهُ ذَلِكَ يَدُلُّ عَلَى ذَلِكَ مَا رَوَاه إلخ</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والكاشي في وافيه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حيث عنون الباب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المخالف يقع طلاقه و إن لم يستوف الشرائط</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الطلاق،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 و شروطه، في أن المخالف إذا كان يعتقد وقوع الطلاق الثلاث في مجلس أو الطلاق في الحيض أو نحوه جاز إلزامه بمعتقده،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طلاقهم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کتاب النکاح باب جواز النوم بين أمتين،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نكاحًا</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المكاسب، باب المكاسب ،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عمر بن أذينة، عن عبد الله بن محرز</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لأبيه و أمه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لابنته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المصدر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الميت رجل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هؤلاء الناس</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النصف لها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ميراث الأخوة و الأخوات مع الولد،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الفرائض، باب ميراث الإخوة و الأخوات،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 عن أيوب بن نوح</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أحكامهم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وفي المصدر ما يغايره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لكم ذلك إن كان مذهبكم فيه التقية منهم والمداراة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 باب ميراث الإخوة و الأخوات،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علي بن الحسن بن فضال، عن السندي بن محمد البزاز عن العلاء بن رزين القلاء، عن محمد بن مسلم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ميراث الإخوة والأخوات،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المواريث، باب ميراث الإخوة و الأخوات،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أحمد، عن ابن محبوب، عن أبي أيوب الخزاز، عن محمد بن مسلم، عن أبي جعفر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بالفاء في المصدر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 فراغ بمقدار نصف الكلمة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باب طلاق الأمة و عدتها في الطلاق،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 إبراهيم بن محمد الهمداني</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بالواو في المصدر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فهمنا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ذكرت من حنثه بطلاقها غير مرة، فانظر رحمك الله، فإن كان ممن يتولانا الحديث</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أحكام الطلاق،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من جهة رواية الهيثم ابن أبي مسروق عمن أسماهم بعض أصحابنا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كذلك في المصدر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الاستفهام معطوف بالواو في المصدر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فحرمت عليه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باب أحكام الطلاق،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عن جعفر بن سماعة و الحسن بن عديس، عن أبان، عن عبد الرحمن البصري، عن أبي عبد الله عليه السلام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الحرف معطوف بالواو في المصدر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باب أحكام الطلاق،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ألزموا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باب أحكام الطلاق،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سماعة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جعفر بن سماعة و سئل عن امرأة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وقع اشتباه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فحسبا أن المصنف يريد إلى أن قال فزادا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حين أن الرواية كما 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كافة النسخ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 قد 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عليها بعد كتبها، و هو معضود بما في المصدر، و عليه قد أثبتنا</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المطلقات</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علي ابن أبي حمزة روى، و هي عين الرواية التي قبلها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ألزموا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الطلاق، باب أحكام الطلاق،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 إن طلاقكم لا يحل لغيركم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اشتباه؛ و سيأتي في الحديث اللاحق</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الطلاق، باب أحكام الطلاق،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عبيد الله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باب أحكام الطلاق،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بتفاوت يسير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من كان يديه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ناقص</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أزواجكم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ممن كان من هؤلاء</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و كذلك في المصدر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المصدر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يلتزمها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 اليدين</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العلل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بحبكم أو بمودتكم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 كذلك في الكشي</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الكشي</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كذا أصنع</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النهي عن المنكر، باب وجوب التقية في الفتوى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قائلين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المسالك،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جملتها بين أيدينا، و ما بين أيدينا ليس فيه ما أشار إليه المصنف</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محبوب، عن جميل بن صالح، عن فضيل بن يسار، عن أبي عبد الله علیه السلام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لا التهذيب، و السند علي بن الحسن بن فضال، عن الحسن بن محبوب، عن جميل بن صالح، عن الفضيل بن يسار، عن أبي عبد الله علیه السلام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مناكحة النصاب والشكاك،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النكاح، باب تحريم نكاح الناصبة،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في الكافي محمد بن يحيى، عن أحمد بن محمد، عن عبد الرحمن ابن أبي نجران،</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البصرة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أفزوجها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كرامة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مناكحة النصاب و الشكاك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عن الحسن بن محمد، عن غير واحد، عن أبان بن عثمان، عن الفضيل بن يسار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 كذلك في الكافي</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مناكحة النصاب و الشكاك ،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علي بن إبراهيم، عن أبيه، عن محمد بن أبي عمير، عن عبد الله بن سنان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مناكحة النصاب و الشكاك،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المصدر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مناكحة النصاب و الشكاك،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عن الحلبي، عن أبي عبدالله عليه السلام</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تناكحوهم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مناكحة النصاب و الشكاك،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الفقيه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الأقرب أنه أبو سليمان الحمار؛ إذ أنه من ضمن من يروي عنهم الحسن بن محبوب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الفقيه يطرحها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 كذلك في المصدر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نكاحهم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كافة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فلهذا حرّم مناكحتهم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يبدو أنه التباس</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صنفان من أمتي لا نصيب لهما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 لأهل بيتي إلخ</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مناكحته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النكاح، باب تحريم نكاح الناصبة،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 عن أحمد بن الحسن بن علي، عن أبيه، عن الحسن بن رباط، عن ابن أذينة، عن فضيل بن يسار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النكاح، باب تحريم نكاح الناصبة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أنه لا يجوز التمتع إلا بالعفيفة،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محمد بن إسماعيل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الجر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قبلت فتزوجها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أنه لا يجوز التمتع إلا بالعفيفة،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ناصبية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المسالك،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النضر بن سويد، عن عبد الله بن سنان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 أظهر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معطوفة في المصدر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النكاح، باب من يحرم نكاحهن بالأسباب،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أحمد بن محمد، عن ابن فضال، عن ابن بكير، عن زرارة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 أيضا قال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كذك أصحابنا بالكوفة قوما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أثبتنا على ما في المصدر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 كما في المصدر، و بناء على ما ورد في النسخ منصوبة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يقولون و يتولون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يتولون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 قد رأيت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المخطوط بياض بقدر كلمتين محلها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مناكحة النصاب،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أحمد بن محمد، عن ابن فضال، عن ابن بكير، عن زرارة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تشتم عليا علیه السلام</w:t>
      </w:r>
      <w:r>
        <w:rPr>
          <w:rFonts w:eastAsia="IRNazanin" w:cs="IRNazanin"/>
          <w:b w:val="false"/>
          <w:bCs w:val="false"/>
          <w:i w:val="false"/>
          <w:iCs w:val="false"/>
          <w:color w:val="333333"/>
          <w:sz w:val="20"/>
          <w:szCs w:val="20"/>
          <w:rtl w:val="true"/>
        </w:rPr>
        <w:t>)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بالفاء</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 باب مناكحة النصاب،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شديدة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فتبسمت حين ضحكت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أعلم لم ضحكت؛ ضحكت من هذا الثوب الذي هو علي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الزي و التجمل، باب لبس المعصفر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فأدرتها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فامتنعت علي</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الزي والتجمل، باب الفرش،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لربط السياق</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الخبر لا ينافي ما قدمناه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العداوة والنصب</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 بيت رسول الله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النكاح، باب من يحرم نكاحهن بالأسباب، ذيل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تمديد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يستطيعوا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أنكح</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صلى علي علیه السلام وراءهم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لأحمد بن محمد بن عیسی، 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خزيمة في صحيحه،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الأمر واضح بما خرجناه من فرق بين نقل المصنف و المصدر، و راجع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أحمد بن محمد بن عيسى، عن ابن أبي عمير، عن عمر بن أذينة، عن الفضيل بن يسار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ح</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 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غيرها نسائهن</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عن النافع ،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 الشرائع بنص قريب منه،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الشيعة</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الجر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المحاسن و العلل</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الجهاد، باب،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الجهاد، باب سيرة الإمام علیه السلام ،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 و إنما في التهذيب</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على 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عن محمد بن الحسين بن أبي الخطاب، عن جعفر بن بشير و محمد بن عبد الله بن هلال عن العلاء بن رزين القلاء، عن محمد بن مسلم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الناس</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كتاب الجهاد، باب سيرة الإمام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لم نعثر عليه في الكافي و إنما في التهذيب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عن محمد بن عبد الجبار، عن ابن فضال، عن ثعلبة بن ميمون عن الحسن بن هارون</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كتاب الجهاد، باب سيرة الإمام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 و الحال أن ما رواه في الغيبة هو الرواية السابقة، و هذه لم نعثر عليها في الغيبة</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أبي جعفر، عن أبيه، عن وهب، عن حفص، عن أبيه، عن جده عن مروان بن الحكم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باب سيرة الإمام علي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أبيه، عن سعد بن عبد الله، عن عبد الله بن مسعدة، عن مسعدة بن زياد عن جعفر بن محمد علیه السلام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البحتري قرب الإسناد،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سيكون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بسيرة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ذا يسار في الناس بسيرة علي</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الصدوق، عن أبيه، عن سعد بن عبد الله، عن أحمد بن محمد بن عيسى، عن العباس بن معروف، عن حماد بن عيسى، عن حريز عن بريد بن معاوية، عن زرارة عن أبي جعفر علیه السلام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بالأخذ</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الكفار والنصاب</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ساقطة من المصدر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 كثيرا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 ثلاث مرات</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كذلك في المصدر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القميين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منهم عشرون ثلاثون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يقل لي نعم و لا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أجدر ؛ لأن المقصود أن ذلك الاحتيال يزيل التقية بما هو احتيال مکشوف فيؤدي لوقوع الأذى</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المنهي، و هو أولى من النسبة للنهي</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لإعانتها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الزكاة، باب الخمس و الغنائم،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حرره السيد محمد هاشم علي باليوم خميس و السابع عشر من شهر</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المقصود التهذيب،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كتابي، و هو غير صحيح؛ لأنه في الاستبصار عنون الباب بباب سقوط فرض الوضوء عند الغسل من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الجنابة، بعيد الخبر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لإزائها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ببدعية البعدية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محلها بياض بقدر كلمة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عن جعفر بن محمد، عن محمد بن يعقوب، عن محمد بن يحيى و غيره، عن محمد بن أحمد، عن يعقوب بن يزيد، عن ابن أبي عمير، عن رجل، عن أبي عبد الله علیه السلام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الجنابة ،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عن يعقوب بن يزيد، عن ابن أبي عمير، عن بن عثمان أو غيره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الجنابة،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التهذيبين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محلها بياض يسير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اغتسل</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الجنابة ،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 عن أبي جعفر، عن علي بن حديد، عن عبد الرحمن بن أبي نجران و الحسين بن سعيد، عن حماد، عن حريز</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تلقين المحتضر،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من جهة رواية علي بن محمد عن بعض أصحابه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تلقين المحتضر ،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بدلا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يوضأ وضوء الصلاة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تلقين المحتضرين،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الخبران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نفسه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نذكر خبرين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في التهذيب عن زرارة عن أبي عبدالله علیه السلام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والوضوء فريضة، و ليس شيء من السنة ينقض الفريضة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أحدهما علیه السلام في حديث 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غسل الجنابة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باب الأحداث الموجبة للطهارة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الأغسال المفترضات والمسنونات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الأحداث الموجبة للطهارة،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إرشاد</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لمناقض</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وارد بعينه عليهم</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الأشنان، مما ينظف به بدن الميت</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فالمقدم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الشيخ عن المفيد، عن أحمد بن محمد، عن أبيه، عن سعد بن عبد الله، عن احمد بن محمد، عن الحسين بن سعيد و محمد بن خالد، عن عبد الحميد بن عوض ، عن محمد بن مسلم، عن أبي جعفر علیه السلام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أحمد بن الحسن بن علي بن فضال، عن عمرو بن سعيد، عن مصدق بن صدقة، عن عمار الساباطي</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أبو عبد الله علیه السلام عن الرجل إذا اغتسل من جنابته أو يوم جمعة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المصدر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حكم الجنابة،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حكم الجنابة،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الجنابة ،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الشيخ في التهذيب عن محمد بن مسلم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أرادت الحائض أن تغتسل فلتستدخل قطنة، فإن خرج فيها شيء من الدم فلا تغتسل، وإن لم ترشيئا فلتغتسل، و إن رأت بعد ذلك صفرة فلتتوضأ و لتصلّ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الحيض،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عن المفيد، عن أحمد بن محمد، عن أبيه، عن سعد بن عبد الله، عن أحمد بن محمد، عن الحسين بن سعيد عن حماد بن عيسى، عن حريز، عن زرارة، عن أبي عبدالله علیه السلام</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الحيض ،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عن المفيد عن أحمد بن محمد، عن أبيه، عن سعد بن عبد الله، عن أحمد بن محمد، عن الحسين بن سعيد عن النضر، عن ابن سنان، عن أبي عبدالله علیه السلام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نصي أكثر منه بالمعنى؛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باب حكم الحيض،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عن أبي محمد هارون بن موسى التلعكبري، عن أبي العباس أحمد بن محمد بن سعيد بن عقدة الحافظ، عن أحمد بن الحسين بن عبد الملك الأودى، و أحمد بن عبدون، عن أبي الحسن علي بن محمد بن الزبير، عن أحمد بن الحسين بن عبد الملك، عن الحسن بن محبوب، عن حسين بن نعيم الصحاف</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الحيض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عن المفيد، عن أبي القاسم جعفر بن محمد، عن محمد بن يعقوب، عن محمد بن إسماعيل، عن الفضل بن شاذان، عن حماد بن عيسى ورابن أبي عمير، عن معاوية بن عمار، عن أبي عبد الله علیه السلام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دخلت المسجد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الأغسال المفترضات و المسنونات،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الحيض،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صلاة الحوائج،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باب حكم الحيض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كذلك، باب تلقين المحتضرين،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في المجامع من أخبار حول غسل الجمعة تعطي معنى قريبا مما ذكره المصنف و خرجناه، و ليس نصًا في ذلك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الأغسال المفترضات و المسنونات،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باب صفة الوضوء،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بقول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الأغسال المسنونة، الباب الأول،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فراغ بقدر كلمة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للمدعى</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لمذهب العامة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الجنابة،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الجنابة ،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حكم الجنابة ،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الكتاب</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علي صاحب الإحياء، أو الشيخ يوسف صاحب الحدائق، و لم نعثر فيما يبن أيدينا من مصنفات لهذين الشيخين على أجوبة المسائل المشار لها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الطهارة، باب صفة الغسل، في ذيل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يكون</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لأنها </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الزوجين يرث مل واحد منهما صاحبه كسائر الوارث</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الشهيد الأول، و نقلها عنه في المجمع</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و ما نقله المصنف هو ما نقله في مجمع الفائدة والبرهان،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الأثمار</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والبحث</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جاءت بسقط ،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عليه عموم ما دل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ابن أذينة، عنهم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رواه عن أبي جعفر علیه السلام</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أرض</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وفي المصدرين يقوم</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الطوب و الخشب</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فراغ بقدر 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فتعطى ربعها أو ثمنها إن كان من قيمة الطوب و الجذوع و الخشب</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و في الكافي و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قيمة</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أن النساء لا يرثن من العقار شيئا،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الفرائض و المواريث، باب ميراث الأزواج،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علي بن إبراهيم، عن أبيه، عن ابن عمير، عن جميل، عن زرارة و محمد بن مسلم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في الكافي و التهذيب</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أن النساء لا يرثن من العقار شيئا،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و محمد بن يحيى، عن أحمد بن محمد، و حميد بن زياد، عن ابن سماعة جميعا، عن ابن محبوب، عن علي بن رئاب، عن زرارة، عن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الحسن بن محبوب، عن علي بن رئاب، عن زرارة، عن أبي جعفر</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بالفاء</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أن النساء لا يرثن من العقار شيئا،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رواية</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الكافي،عن عدة من أصحابنا، عن سهل بن زياد، عن علي بن الحكم، عن العلاء، عن محمد بن مسلم</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أن النساء لا يرثن من العقار شيئا،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مروية كذلك في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المورايث، باب ميراث الأزواج،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زياد بنفس السند في الكافي</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قرب الإسناد، عن السندي بن محمد، عن العلاء بن رزين</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كما أثبتته النسخ، وفي الفقيه 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 </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بإسناده عن علي بن الحكم عن أبان الأحمر، عن ميسر، عن أبي عبد الله علیه السلام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ميسر بياع الزطي</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الكافي، و أثبتنا موافقا للتهذيب</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المطبوعة الثياب</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المطبوعة الثياب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الثياب 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الثياب لهن نصيبهن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المصادر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لهذه الربع و الثمن 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لهن الربع و الثمن مسمى</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صار هذا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الكافي و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صار هذا كذا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يتزوج</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أن النساء لا يرثن من العقار شيئا،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باب ميراث الأزواج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منا،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محلها بياض بقدر كلمة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المواريث، باب أن النساء لا يرثن من العقار شيئا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الفرائض و المواريث، باب ميراث الأزواج،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عن يونس، عن محمد بن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عن محمد بن حمران</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فعدّه في المختلف</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بن عثمان، عن زرارة و محمد بن مسلم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بالفاء</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أن النساء لا يرثن من العقار شيئا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 عليه السلام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كذلك في المصدر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يستقيموا، و كذلك في المصدر</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أن النساء لا يرثن من العقار شيئا،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بإسناده عن محمد بن الوليد، عن حماد بن عثمان، عن أبي عبد الله علیه السلام</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فيه الحسين بن محمد، عن معلى بن محمد، عن الحسن بن علي، عن عثمان، عن أبي عبدالله علیه السلام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ما في الكافي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سماعة، عن معلى بن محمد، عن الحسن بن علي، عن حماد بن عثمان،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الخرسان عند اسم سماعة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توسط سماعة بين الحسين بن محمد و معلى بن محمد كأنه من سهو النساخ</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موافق للمصادر،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جعلوا</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يتزوجن</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فتدخل</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أهل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الكافي، و غير موجودة في التهذيب و الفقيه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أن النساء لا يرثن من العقار شيئا،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المواريث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أن النساء لا يرثن من العقار شيئا،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الفرائض و المواريث، باب ميراث الأزواج،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تصريح بالرواية عن زرارة، وإنما ذاك في التهذيب، و السند في الفقيه مقارب له في التهذيب، فهو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رواية الحسن بن محبوب، عن علي بن رئاب، و خطاب أبي محمد الهمداني عن طربال بن رجاء عن عن أبي جعفر علیه السلام </w:t>
      </w:r>
      <w:r>
        <w:rPr>
          <w:rFonts w:eastAsia="IRNazanin" w:cs="IRNazanin"/>
          <w:b w:val="false"/>
          <w:bCs w:val="false"/>
          <w:i w:val="false"/>
          <w:iCs w:val="false"/>
          <w:color w:val="333333"/>
          <w:sz w:val="20"/>
          <w:szCs w:val="20"/>
          <w:rtl w:val="true"/>
        </w:rPr>
        <w:t>)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سندها الحسن بن محمد بن سماعة عن الحسن بن محبوب، عن علي بن رئاب، عن زرارة عن أبي جعفر علیه السلام، و خطاب أبي محمد الهمداني عن طربال بن رجاء عن أبي جعفر علیه السلام </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باب ميراث الأزواج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ومنصوبة في المصدر</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ميراث الأزواج،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بسنده عما في رواية الحسن بن محبوب، عن الأحول، عن أبي عبدالله علیه السلام</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لهن</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الشرح إما من كلام الراوي أو المؤلف</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مطوى</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هو توفى عنها</w:t>
      </w:r>
      <w:r>
        <w:rPr>
          <w:rFonts w:eastAsia="IRNazanin" w:cs="IRNazanin"/>
          <w:b w:val="false"/>
          <w:bCs w:val="false"/>
          <w:i w:val="false"/>
          <w:iCs w:val="false"/>
          <w:color w:val="333333"/>
          <w:sz w:val="20"/>
          <w:szCs w:val="20"/>
          <w:rtl w:val="true"/>
        </w:rPr>
        <w:t>)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بالواو في العيون؛ إذ أنها جاءت ضمن رسالة كاملة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العقارات</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بينهما 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 و العلل و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بينها و بينه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ميراثها</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تغيّره</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 أشبهها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المورايث، باب ميراث الأزواج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وكذلك في المصدر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الفرائض والمواريث، باب ميراث الأزواج،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كذلك في المصدر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بالسياط</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أن النساء لا يرثن من العقار شيئا،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الإرشاد و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يغبطه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شرح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فيثقل</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كلام الشهيد الأول في شرح الإرشاد،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 بعده من كلام الأردبيلي في مجمع الفائدة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فهمها</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 و هو عادل بالسياق</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المسالك،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الفضل ابن عبد الملك</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فضالة، عن أبان، عن الفضل ابن عبد الملك أو ابن أبي يعفور، عن أبي عبد الله علیه السلام</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بسنده عن أبان، عن الفضل بن عبد الملك و ابن أبي و ابن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أخرى منه كما أثبت محققه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ابن أبي يعفور</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المصدرين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تركت</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باب ميراث الأزواج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باب المتوفى عنها زوجها و لم يدخل بها،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الطلاق، باب عدد النساء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باب عدد النساء،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جواب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يرد عليها أنها مخالفة إلخ</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أنك قد عرفت ما في موافقة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و قدشطب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 أثبت</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العلامة في المختلف،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الأردبيلي في مجمع الفائدة،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كما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يعقوب بن يزيد، عن ابن أبي عمير، عن ابن أذينة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باب ميراث الأزواج،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يحمل</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لذلك الأردبيلي في مجمع الفائدة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جاء موافقا للتقية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للحر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والوسائل،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 حدوه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إعقادهم</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كذلك في 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الوسيلة،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الفقه،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كالكاشاني في المفاتيح،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الكاشاني في المفاتيح، انظره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كشف الرموز للفاضل الآبي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يشي بذلك التشابه بين ما نقله و بين ما رواه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مسندها</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مسندها</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بعجيب</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مجمع الفائدة</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في مجمع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أرض</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التقادير</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على إعمال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 عدم جعلها حكايةً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حرمانها من العين و القيمة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 فالنصوص السابقة و سياق الكلام إنما للحرمان في الآلات و الأشجار من العين دون القيمة، بخلافه في الأرض نفسها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تعقب</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ضمير المخاطب</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الفاء منا</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نص عبارتها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غيرها مما اقتصر فيها على ذكر الرباع صحيحة ضعيفة يزيد</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ترثن</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المقتضى</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باليقين</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مادة عقيرة</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مادة عقر ،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 الضياع و النخل</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الغريبين في القرآن و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بالمعنى عن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باب أن المرأة لا ترث من العقار 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 .</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بالمعنى عما ذكره الأردبيلي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نصت</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إلى ص</w:t>
      </w:r>
      <w:r>
        <w:rPr>
          <w:rFonts w:eastAsia="IRNazanin" w:cs="IRNazanin"/>
          <w:b w:val="false"/>
          <w:bCs w:val="false"/>
          <w:i w:val="false"/>
          <w:iCs w:val="false"/>
          <w:color w:val="333333"/>
          <w:sz w:val="20"/>
          <w:szCs w:val="20"/>
        </w:rPr>
        <w:t>5</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المتباينات المطبوع ضمن رسائل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ارتكاب</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يتعدّى</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لعلها بأنّ بأن تكون متعلقة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من القائلين</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حاجة إلى ما تكلفه المحقق</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وهبية</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التخصيص</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الضياع</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بعد هذا</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صدق اسم البناء عليه</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كالكاشاني في المفاتيح،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السبزواري في الكفاية،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المحمدية في أحكام الميراث الأبدية للشيخ يوسف رحمه الله، المطبوع اشتباها تحت عنوان المواريث من الحدائق الناضرة، بشرح و تعليق الشيخ محمد طاهر آل شبير الخاقاني،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المحمدية،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رواية أنها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بالتشديد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الجذوع</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كشف الرموز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التذكرة،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المختلف،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له ولد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ولد الولد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يرثون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يرثون</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يورثون ميراث البنات</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الزوجة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يرثون</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الكافي</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ويحجبون</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ميراث الولد مع الزوج و المرأة،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باب ميراث الأزواج، 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المحمدية،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تبعيته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ليه</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المحمدية،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واو العطف على الضمير</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لترتيب</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استفاضة</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الجامع للشرائع،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كفاية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التلخيص للعلامة،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كذلك المختلف له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لسياقها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التلخيص الموجود بين اليدين، 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المسالك،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 و العبارة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جلة أصحابنا نقلوه، و نقلهم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عدة من أصحابنا، عن سهل بن زياد و محمد بن يحيى، عن جميعا، عن علي بن مهزيار</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علي بن مهزيار</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الخوئي في المعجم عند ترجمة محمد بن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أوصى إلي بمائة درهم</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الجملة 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واحدة فلا أعرف لها موضعا الساعة</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الذي تأمر في</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إليه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الدراهم</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الرجل يموت و لا يترك إلا امرأته،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المواريث، باب ميراث الأزواج،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الزوجتين</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الاعتراض بأنه مكاتبة للشهيد الثاني، و بقيته إنما جاء به لله نقلا عن الشهيد الأول في مقام الرد</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سبق 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من قوله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الأخبار كلها مما آل</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بالواو</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فكتبت إلى عبد صالح</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 التهذيب</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الرجل يموت و لا يترك إلا امرأة،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 باب ميراث الأزواج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فرواه في الكافي عن حميد بن زياد، عن الحسن بن محمد، عن علي بن الحسن بن رباط، عن محمد بن سكين؛ و علي بن أبي حمزة، عن مشمعل؛ و عن ابن رباط، عن مشمعل؛ كلهم، عن أبي بصير</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الرجل يموت و لا يترك إلا امرأة،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حميد بن زياد عن الحسن بن محمد، عن وهيب بن حفص، عن أبي بصير عن أبي جعفر عليه السلام</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الرجل يموت و لا يترك إلا امرأته،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تدفع</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المواريث، باب الرجل يموت و لا يترك إلا امرأته،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يدفع الباقي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التهذيب</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باب ميراث الأزواج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الفرائض ، باب ميراث الأزواج، 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علي بن الحسن، عن الحسن بن علي ابن بنت إلياس، عن جميل بن دراج</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الأزواج،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 محمد بن عيسى، عن محمد ابن أبي عمير، عن ابن مسكان، عن أبي بصير</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وفق ما في التهذيب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مات و ترك امرأته؟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امرأة ماتت و تركت زوجها؟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كون المصنف نقل الخبر عن الفقيه فيما سيأتي، غير أن الخبر في الفقيه مروي عن أبان بن عثمان عن أبي عبد الله عليه السلام</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الفرائض ، باب ميراث الأزواج،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استدلال للمفيد رحمة الله سوى الإجماع المزبور، و لعل مقصود المصنف ذكر ما استدل به لمذهب المفيد رحمة الله،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نعثر لهم بدليل</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فالمال لها</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أشرنا إلى أنها في الفقيه لأبان، غير أن المضمون واحد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المواريث، باب ميراث الأزواج،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الزوجة،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حضورها</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يقنعوا</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البابان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الحامل لذلك</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و الجملة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يحتمل أن يكون حكم ما بقي عن الزوجة هكذا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للبعض</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النسخ لمشاريجه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فارسية معربة أصلها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همشهری، مركبة من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دالة على المشاركة و العموم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تعني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والياء للنسبة، فالمقصود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 أهل بلده</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من شرح الإرشاد جاء بالمعنى أكثر منه بالنص،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علي بن إبراهيم، عن أبيه، عن ابن أبي عمير، عن خلاد السندي</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النسخ مشاريجه</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مفاد الخبر أن حفصًا سأل أبا عبدالله علیه السلام</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التجارات، باب الرهون،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التفضيل</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على 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 عن محمد بن عبد الجبار و محمد بن إسماعيل، عن الفضل بن شاذان جميعا، عن صفوان بن يحيى، عن ابن مسكان عن محمد الحلبي، عن أبي عبدالله علیه السلام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من مات و ليس له وارث،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إبراهيم، عن أبيه، عن ابن أبي عمير، عن حماد بن عثمان، عن الحلبي</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وإلينا</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فللورثة</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من مات و ليس له وارث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ابن رئاب، عن عمار ابن أبي الأحوص</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تحرير</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الاسم الموصول</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ولايته</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المواريث باب ولاء السائبة،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سماعة، عن محمد بن زياد، عن رفاعة، عن أبان بن تغلب</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الفرائض، باب ميراث من لا وارث 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أخبار</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بقي</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 سبحانه استفاضة الصواب</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الملابس</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الإمتاع بالنفقة</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المرام للعاملي،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المفاتيح،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المسالك،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للمذكورة</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بالأكثرية لعله مقتبس عن صاحب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المهذب البارع،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المقتصر،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غاية المراد،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مفاتيح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جملة حسب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ينظر في شيء إلا بما حدث في سلطانه</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القضايا والأحكام، باب من الزيادات،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بالملكية</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على الحكم بالملكية المتصرف مع أن الحاكم بالملكية سابقة</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إذا ادّعى شيء حاضرًا</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بتفاوتات 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الشهادات باب غير معنوان،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القضايا و الأحكام باب البينات،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الأردبيلي في شرح الإرشاد بعد ذكرها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ضعيفة بحفص و القول في سليمان بن داود و اشتراك القاسم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ليحيى بن سعيد للجامع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المذكورين</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الرسالة بين اليدين</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علي بن إبراهيم، عن أبيه، عن ابن أبي عمير، عن عثمان بن عيسى و حماد بن عثمان، عن أبي عبدالله علیه السلام</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تدعيه على المسلمين</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بالواو في المصدر</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بالفاء</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بعد هذه الكلمة كلام طويل لم ينقله المصنف</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 ادعي عليه</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كفاضل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نتعرف عليه، و رسائله لا زال أغلبها مخطوطا</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بهذا النص من طريق العامة، كالبيهقي في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جاء من طرقنا بألفاظ مقاربة،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القضاء،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من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التهذيب من</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القضايا و الأحكام باب البينتين يتقابلان،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التركيب منّا،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قريته</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الجملة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آكل من طعامه عاداني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يستحل أن يأكل من طعامنا الخبر</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بصدقة</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المصدر</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هارون بن مسلم، عن مسعدة بن صدقة</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تعلم أنه حرام</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فبيع أو قهر</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أختك</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كتاب التجارات، باب من الزيادات،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النوادر،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متنها</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يأتينا هلاكه و نحن لا ندري ما أحدث له من الولاد إلا أنا لا نعلم</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 من الكافي</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فلان</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فنشهد</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فيوجد</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الغلام لفلان</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كلفناه</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كذلك في المصدرين</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القضايا، باب البينات،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الشهادات، باب دون عنوان،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مروي بالمعنى أكثر منه بالنص، و قد روي مرسلا و محكيَّا،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الشهادات ، باب الرجل ينسى الشهادة،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بتفاوتات غير مضرة بالمعنى</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محضيّاً</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الاستنباطات</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واقتفته</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بقرينة ما بعده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إلى الأردبيلي في شرح الإرشاد،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ذكر ما يتفق و مضمون ما أشار له المصنف، و لكن بتفصيل أوسع، فيكون ما ذكره المصنف زبدة ذلك الكلام</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الشكال</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يصرفه</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الله رمى</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قال في المسالك بعد عرض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الفرق بين هذه و السابقة الموجب لإعادة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المعارضة في هذه بين اليد المتحققة و اليد السابقة الثابتة بالبينة أو الملك السابق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السابقة وقع فيها التعارض بين البينتين الدالة إحداهما على اليد في الحال مع عدم ظهورها، و الأخرى على الملك السابق، و لا تأكد فيها للمعارضة بين اليد السابقة و الحالية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فتنبه للفرق؛ فإنه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طيات كلام المصنف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يصرح و أخرى يلمّح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تعميم دلالة اليد و ترجيحها حتى مع الفرق المذكور</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ذهب فيه أولا لعدم سماع الدعوى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ثانيا لتقديم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فيه أولا لعدم سماع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ثانيًا لتقديم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مع تفصيل طفيف في فرض الدعوى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 في تقرير كلماته و تفصيلاتها و أدلتها المختلف،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مصنفاته بين أيدينا</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اليد الحالية محسوسة قطعية متحققة</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مستنده</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المفاتيح،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حسّ لا ينفعهم</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مقام عدم التعارض</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 و مراد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مآل التعارض إلى التعارض بين اليد الحالية المحققة، و بين الملك المدعى من المدعي الذي مآله للاستصحاب</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فضلاء</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نفيه</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لصاحب الفوائد المدنية،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خلف الادعاء بالملكية</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تقديمه</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ترجيح شهادة الملك إلى سبب غير اليد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مبرر لها </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ترجیح</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ظنيّة الدلالة في الاستصحاب المشار إليه</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متحقق</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فكثرة</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لكنها</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الشهيد الثاني</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سرد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لمشاركتهما</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أفاد</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أرجح</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موردي</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 على حصول وفي العمل</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المعالم،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مثلما رواه في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الأحداث الموجبة للطهارة،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ينقض اليقين أبدا بالشك، ولكن ينقضه يقين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باب تطهير البدن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فليس ينبغي لك أن تنقض اليقين بالشك أبدا</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جوامع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المتفق</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تعريفها منّا، و في كلا النسختين منكرة</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 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استصحابه</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تلازم</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اليد</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ثبتت</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الأصوب استبدال واو العطف بأو</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تعديلها منا، وفي كلا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أثبتنا ما أثبتنا لأن المراد أن مرجع فساد يده و عدم استحقاقه كونه غاصبًا أو مستأجرًا</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الواو منا لأجل استقامة القسمة</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الكفاية،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قد ثبت بالإقرار أو البينة أنه أثبت عليه يد عدوان، فيستصحب ذلك حتى يثبت خلافه</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الأذهان للعلامة،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الدعويين</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مقتض</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معاوية بن وهب</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ميراثه</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بما هو علمك</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الغموس</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القضايا، باب البينات ،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الشهادات، باب من دون عنوان،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عن أحمد بن الحسن و غيره، عن معاوية بن وهب، و كذلك ابن أبي حمزة عن معاوية بن وهب</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أفنشهد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التجارات، باب من الزيادات،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في التهذيب عن ابن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عن عدة من أصحابنا، عن سهل بن زیاد، عن علي بن مهزيار</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جعفر الثاني</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هي تصحيف</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الكافي بالبحر</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أشقاصها، وكذلك في التهذيب</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غيبته</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تشتري</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و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غيبته</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الفرائض باب ميراث المفقود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ميراث المفقود،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بإعلان</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بالإبان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 الفقودة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صححناه بقرينة ما ورد في صحيحة ابن مهزيار</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لتلك</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مالكه</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الجنيد على ما حكاه عنه العلامة في 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المضارعة في المصدر مبدوءة بتاء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 تحلف، تعلم، تعلم</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 وجد</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المرخصة</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لسعد</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الحديث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ذلك ليس هو إلا قول الله يا أيها الذين آمنوا شهادة بينكم إذا حضر أحدكم الموت حين الوصية اثنان ذوا عدل منكم أو أخران من غيركم إلى آخره</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بيمين</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يجحده</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هذه الكلمة إلى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ساقطة،و محلها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يكن له شاهد غير واحد فهو إذا رفعه إلى بعض ولاة الجور أبطل حقه و لم يقضوا فيه بقضاء رسول الله صلی الله علیه و آله و سلم </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إذا رفعه إلى ولاية الجور أبطلوا حقه و لم يقضوا فيها بقضاء رسول الله صلی الله علیه و آله و سلم كان الحق الحديث</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التالي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الحق في الجور أن لا يبطل حق رجل فيستخرج الله على يديه حق رجل مسلم و يأجره الله و يجئ عدلا كان رسول الله صلى الله عليه وسلم يعمل به</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سوى</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يعمله رسول الله</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 حسب تقسيمنا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صاحب الوسائل بعد إيراده جملة من الأخبار السالفة، و المصنف في مقام الرد على ما جمع به، فلذا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حصول سقط في النسختين يعطي معنى كونه مريدا للنقض عليه</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الجملة في النسختين، و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يظهر كون المصنف في مقام نقاشه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يعطي معنى مختلفا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منافاة بين جواز الشهادة و عدم قبولها، لمعارضة ما هو أقوى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خبري</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عدم القبول 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الوسائل كما قدّمنا</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المتصرف</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يقال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الوجيه</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فينظر</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يكون تصرفها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تفصيل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المدة</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اختصار؛ لتكررها، لكن لا علامة لذلك فيها</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أثبات</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التطابق</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مذكرًا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للزوج</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أكثر </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 محمد بن إسماعيل، عن الفضل بن شاذان جميعا، عن ابن أبي عمير، عن عبد الرحمن بن الحجاج</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عن محمد بن عبد الله بن زرارة وهارون بن مسلم، عن محمد ابن أبي عمير، عن عبد الرحمن بن الحجاج</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تقضي</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قضيات</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أولاهن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أول ذلك</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للرجال</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للنساء</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نصفان</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بأيديهما</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يدعيان</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الداخلة</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المتاع</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ذلك بقضاء</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أني شاهدته لم أرده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أني شاهدته لم أروه عليه</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فرفعها</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اكتبوه</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قرأه</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بينهما تقديم و تأخير</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جعلته</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لك</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التهذيب الذي بين أيدينا اليوم أيضا، بتفاوتات يسيرة جدا</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منه</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التهذيب الذي بين أيدينا أيضا، بتفاوت يسير غير مخل</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بين لابتيها</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علانية يهدى</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لعدة</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المواريث باب نادر،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باب ميراث الأزواج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أبيه، عن سعد، عن أحمد بن محمد بن الحسن، عن الحسين بن سعيد ، عن أخيه، عن زراعة عن سماعة</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القضايا، باب من الزيادات في القضايا و الأحكام،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عن محمد بن الوليد، عن يونس بن يعقوب</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رجل قبل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التهذيب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الفرائض ، باب ميراث الأزواج،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الصدوق، بسنده عن محمد ابن أبي عمير، عن رفاعة بن موسى النخاس</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محمد بن الحسين، عن الحسن بن مسكين، عن رفاعة النخاس</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طلق الرجل امرأته و في بيتها متاع فادعت أن المتاع لها و ادعى الرجل أن المتاع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ما للرجال و لها ما للنساء، و ما يكون للرجال و النساء قسم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القضايا والأحكام، باب من الزيادات، ح</w:t>
      </w:r>
      <w:r>
        <w:rPr>
          <w:rFonts w:eastAsia="IRNazanin" w:cs="IRNazanin"/>
          <w:b w:val="false"/>
          <w:bCs w:val="false"/>
          <w:i w:val="false"/>
          <w:iCs w:val="false"/>
          <w:color w:val="333333"/>
          <w:sz w:val="20"/>
          <w:szCs w:val="20"/>
        </w:rPr>
        <w:t>81825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طلق الرجل امرأته فادعت أن المتاع لها و ادعى أن المتاع له كان له ما للرجال و لها ما للنساء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للنساء</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بين جبلي منى</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الإشهاد</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مزيدة بحروف وسطها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المصدر</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الشرح، و المحقق الثاني، و الشهيد الثاني</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والدرع</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صحيحتي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أنه اعتبر الخبر خبرين</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من أبيها</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بدلا من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سألت من بين لابتيها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الثانية</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تشويش في نقل المصنف عن المصدر ، فبعد هذا الكلام قال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متاع مشترك بين ذي اليدين من غير اختصاص، فيتحالفان فيقتسمان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مع عدم التحالف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نكول أحدهما دون الآخر فهو للحالف، و كذا مع البينتين المتعارضتين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مع وجود المرجح أن يحكم له، و مع عدمه و التعارض يقرع و يحلف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بعد فقد ما يدل على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نقل ما هو مثبت في الأعلى</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الخاص</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 الرحمن بن الحجاج</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القضايا والأحكام، باب اختلاف الرجل والمرأة في متاع البيت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لابتيها</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بذلك المتاع الذي هو من متاع النساء، و المتاع الذي هو يحتاج إليه الرجال إلخ</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من المصدر، و في النسختين المخالف</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فيما بين اليدين</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بامرأة</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لمؤلفاتهم</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اتفاق</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مؤيدا</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المصدر</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مهما </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في شرح النخبة المحسنية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بين اليدين</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نفز</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المقام</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بالعدة</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اللعين</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كالخبر المروي في الكافي بسنده إلى عيسى بن عبد الله القرشي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 أبو حنيفة على أبي عبد الله عليه السلام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حنيفة بلغني أنك تقيس؟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تقس؛ فإن أول من قاس إبليس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خلقتني من نار و خلقته من 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البدع و الرأي و المقاييس،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العلماء، و في ذلك خبر مروي عن ابن عباس بنفس المضمون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روي عن علي</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يتزوج</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روى قريبًا منه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النکاح باب نکاح المرأة و عمتها و خالتها،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النكاح، باب القول فيمن يفجر بامرأة ثم يبدو له في نکاحها،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النكاح،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علي بن الحكم، عن علي ابن أبي حمزة، عن أبي بصير</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وآخره نكاح أوله حرام</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الرجل يفجر بالمرأة،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ابن أبي عمير، عن حماد، عن الحلبي</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محمد ابن أبي عمير، عن حماد بن عثمان، عن عبيد الله ابن علي الحلبي</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فجر 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رجل فجر</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حرامًا</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النكاح، باب القول فيمن يفجر بالمرأة إلخ،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الرجل يفجر بالمرأة،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 عن ابن أبي عمير، عن أبي أيوب، عن محمد بن مسلم</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أو عن أبي عبد الله علیه السلام</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النكاح، باب القول فيمن يفجر بالمرأة إلخ،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 أبي المعزا، عن أبي بصير</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المغرا</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تابت وفي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تابت حلت له</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القول فيمن يفجر إلخ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يحيى، عن محمد بن أحمد بن يحيى، عن أحمد بن الحسن، عن عمرو بن سعيد ، عن مصدق بن صدقة، عن عمار بن موسى الساباطي</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النكاح، باب القول فيمن يفجر إلخ،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يتزوج بها</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سرق من تمرة نخلة</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ضمن خبر طويل</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حلالا حرام</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هو اجتنبها حتى تنقضي عدتها باستبراء رحمها من ماء الفجور فله أن يتزوجها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النكاح، باب القول فيمن يفجر إلخ،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القول فيمن يفجر إلخ،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بإجماع</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بالنخلة</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 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الحجة لنا</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 طويل</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العبارة في المخطوطين، وفي المصدر جزم بالانفراد،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الإمامية به القول</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في أصول أصحابنا المعمول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عن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ما ذكره لا تقصر عن المراسيل التي عملنا عليها في كلام الصدوق والكليني والشيخ بل ربما ظهر أن مثل هذه الأخبار لا تقصر عن الصحاح التي في أصول أصحابنا المعمول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بعد ذلك ينتظم سلك الكلام</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 نحوها،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الجامع للشرائع،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المسالك،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رواية محمد بن يحيى عمن أسماهم بعض أصحابنا</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القول فيمن يفجر إلخ،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الرجل يفجر بالمرأة،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 يؤمن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المصدر</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المصدر</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المصدر</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سندها علي بن إبراهيم، عن أبيه، عن ابن أبي عمير، عن حماد، عن الحلبي</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الحلبي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ذلك في الرواية اللاحقة الآتية، ولعل ذلك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ما يوجب المهر كملا،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حفص بن البختري</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دخل بامرأة فقال</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ما يوجب المهر كملا،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محمد بن يحيى، عن أحمد بن محمد، عن ابن محبوب، عن عبد الله بن سنان</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ما يوجب المهر كملا ،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سندها علي بن الحسن، عن الزيات، عن ابن أبي عمير وأحمد بن الحسن، عن هارون بن مسلم، عن ابن أبي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حفص البختري</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النكاح، باب من الزيادات ،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لعلها لأنها</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في شرح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في الحكمة العملية والأحكام الشرعية،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 .</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ومحلها بياض بقدر كلمة</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 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إلحاقها </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في شرح النخبة المحسنية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للمزية</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قدمناها</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العنونة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عقد بابًا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الاختلاف في الأحكام لغير تقية، وأن الحق من الأقوال المختلفة لا يكون أكثر من واحد في نفس الأمر</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أشرنا في هامش كلام السائل إلى أن الحر العاملي رحمه الله عقد بابا ذا عنوان مقارب لما سأل عنه، لكن لا في كتاب الوسائل، وإنما في الفصول المهمة المعروف أيضًا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الناس</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جملة منها في المسألة الأولى، فراجع</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ذلك كله في المسألة الأولى</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أحمد بن الحسن بن علي بن فضال، عن أبيه، عن أبان بن عثمان، عن أبي مريم، عن أبي جعفر علیه السلام</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القضايا والأحكام، باب الزيادات،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المصدر</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فقضيت</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مكثا</w:t>
      </w:r>
      <w:r>
        <w:rPr>
          <w:rFonts w:eastAsia="IRNazanin" w:cs="IRNazanin"/>
          <w:b w:val="false"/>
          <w:bCs w:val="false"/>
          <w:i w:val="false"/>
          <w:iCs w:val="false"/>
          <w:color w:val="333333"/>
          <w:sz w:val="20"/>
          <w:szCs w:val="20"/>
          <w:rtl w:val="true"/>
        </w:rPr>
        <w:t>) .</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أول</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والحرام ما حرم الله</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الحلال و الحرام تقديم وتأخير في المصدر</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البدع والرأي،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ما عظم</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 به وينهى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ومكانه فراغ بقدر كلمة</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يترك شيئا رضيه أو كرهه إلا وجعل له علما باديا وآية محكمة تزجر عنه أو تدعو إليه</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فرضها</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النسختين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ولست أعرف لها وجها</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بالإنفاق</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بعدئذ استدلال من ابن أبي الحديد فيه تفصيل لذلك وإشارة</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الاختصاص</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وتأخير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ذهبهم وورقهم</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عن يعقوب بن يزيد، عن محمد ابن أبي عمير، عن عمرو بن أذينة، عن الفضيل بن يسار</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وحبيبه</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 اللاحق له ساقطان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معروف، عن حماد بن عيسى، عن ربعي، عن سورة بن كليب</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نظن</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فيها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المعضلات التي لا توجد في الكتاب والسنة ما يعرفه الأئمة، من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كالخبر الرابع من الباب</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تكون</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في الموافقات،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والقول باجتهاده صلی الله علیه و آله و سلم مذهب جمهورهم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في إرشاد الفحول،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في مادة كلف، و 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تجشمه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مادة الكلف</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والقوانين</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أحدهما</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ساقط من النسختين، و ذكره في المتن منا</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أراد جعلهما حديثين منفصلين</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معنى مستفيض في كلماتهم علیهم السلام،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الصلاة،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طهارة</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الباب</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الباب التاسع من أبواب صفات القاضي، من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ناشئ</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الجوابية</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فلهم</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الكتاب الكريم آية بهذا النص، وقد وقع الكثير من المصنفين، بل ورد على لسان بعض الرواة، والآية المظنونة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رحف العطف</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يتحمل</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مأمورا به</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يكون الثاني أو لا، والثاني حق</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يكون مأمورا به أو منهيا عنه</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كلاهم</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أبلغه</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كماله و تمامه</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لاستقامة سياق النسختين، و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الاجتهاد إنما يكون</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فكلما ليس في الكتاب</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المصدر</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المصدر</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ومحلها فراغ يسير بقدر كلمة واحدة</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مذهبهم</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المصدر</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حمال خطايا غيره</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وفي النسختين بدلا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مدهن بخطيئته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العبارة تشويش واضح</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متمش</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قمش أي جمع</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أغباش الفتنة ظلماتها</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 بما في عقد الهدنة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 من العمى، كناية عن الجهل</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التبكير والإبكار في أول النهار</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فاستكثر</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إما أن تكون موصولة، فيكون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 الذي قل منه خير من كثيره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أن تكون مصدرية ، فيكون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قلته خير من كثرته</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فراغ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كلمة</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أخير منه</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وفي النسختين بدلا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استستقى علمه من غير منبع صاف</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ومحلها فراغ بقدرها</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ويؤديان نفس المعنى، إلا أن التعبير بالعشوة أكثر دلالة على المراد من التعبير بالغشوة</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الجملة في المصدر، و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يدري الروايات إذا رأى الريح الهشيم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الرياح تذرو الهشيم دونما تمييز بين جيده ورديئه، فكذلك الجاهل</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يحسن ويتقن</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النسختين ساعة</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لنور</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 من المصدر</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 من المصدر</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غير موجود كلاهما</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فإنهما واحد في الظاهر</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يشفون</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وادعاء</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الفروعيات</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بلبيب</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ببصير</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عجبي</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خطاء</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يقتمصون،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يعتصمون بأثر</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ويسرون الشهوات</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المهمات</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footer" Target="footer17.xml"/><Relationship Id="rId35" Type="http://schemas.openxmlformats.org/officeDocument/2006/relationships/image" Target="media/image9.jpeg"/><Relationship Id="rId36" Type="http://schemas.openxmlformats.org/officeDocument/2006/relationships/image" Target="media/image9.jpeg"/><Relationship Id="rId37" Type="http://schemas.openxmlformats.org/officeDocument/2006/relationships/footer" Target="footer18.xml"/><Relationship Id="rId38" Type="http://schemas.openxmlformats.org/officeDocument/2006/relationships/image" Target="media/image10.jpeg"/><Relationship Id="rId39" Type="http://schemas.openxmlformats.org/officeDocument/2006/relationships/image" Target="media/image10.jpeg"/><Relationship Id="rId40" Type="http://schemas.openxmlformats.org/officeDocument/2006/relationships/footer" Target="footer19.xml"/><Relationship Id="rId41" Type="http://schemas.openxmlformats.org/officeDocument/2006/relationships/image" Target="media/image11.jpeg"/><Relationship Id="rId42" Type="http://schemas.openxmlformats.org/officeDocument/2006/relationships/image" Target="media/image11.jpeg"/><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footer" Target="footer456.xml"/><Relationship Id="rId480" Type="http://schemas.openxmlformats.org/officeDocument/2006/relationships/footer" Target="footer457.xml"/><Relationship Id="rId481" Type="http://schemas.openxmlformats.org/officeDocument/2006/relationships/footer" Target="footer458.xml"/><Relationship Id="rId482" Type="http://schemas.openxmlformats.org/officeDocument/2006/relationships/footer" Target="footer459.xml"/><Relationship Id="rId483" Type="http://schemas.openxmlformats.org/officeDocument/2006/relationships/footer" Target="footer460.xml"/><Relationship Id="rId484" Type="http://schemas.openxmlformats.org/officeDocument/2006/relationships/footer" Target="footer461.xml"/><Relationship Id="rId485" Type="http://schemas.openxmlformats.org/officeDocument/2006/relationships/footer" Target="footer462.xml"/><Relationship Id="rId486" Type="http://schemas.openxmlformats.org/officeDocument/2006/relationships/footer" Target="footer463.xml"/><Relationship Id="rId487" Type="http://schemas.openxmlformats.org/officeDocument/2006/relationships/footer" Target="footer464.xml"/><Relationship Id="rId488" Type="http://schemas.openxmlformats.org/officeDocument/2006/relationships/footer" Target="footer465.xml"/><Relationship Id="rId489" Type="http://schemas.openxmlformats.org/officeDocument/2006/relationships/footer" Target="footer466.xml"/><Relationship Id="rId490" Type="http://schemas.openxmlformats.org/officeDocument/2006/relationships/footer" Target="footer467.xml"/><Relationship Id="rId491" Type="http://schemas.openxmlformats.org/officeDocument/2006/relationships/footer" Target="footer468.xml"/><Relationship Id="rId492" Type="http://schemas.openxmlformats.org/officeDocument/2006/relationships/footer" Target="footer469.xml"/><Relationship Id="rId493" Type="http://schemas.openxmlformats.org/officeDocument/2006/relationships/footer" Target="footer470.xml"/><Relationship Id="rId494" Type="http://schemas.openxmlformats.org/officeDocument/2006/relationships/footer" Target="footer471.xml"/><Relationship Id="rId495" Type="http://schemas.openxmlformats.org/officeDocument/2006/relationships/footer" Target="footer472.xml"/><Relationship Id="rId496" Type="http://schemas.openxmlformats.org/officeDocument/2006/relationships/footer" Target="footer473.xml"/><Relationship Id="rId497" Type="http://schemas.openxmlformats.org/officeDocument/2006/relationships/footer" Target="footer474.xml"/><Relationship Id="rId498" Type="http://schemas.openxmlformats.org/officeDocument/2006/relationships/footer" Target="footer475.xml"/><Relationship Id="rId499" Type="http://schemas.openxmlformats.org/officeDocument/2006/relationships/footer" Target="footer476.xml"/><Relationship Id="rId500" Type="http://schemas.openxmlformats.org/officeDocument/2006/relationships/footer" Target="footer477.xml"/><Relationship Id="rId501" Type="http://schemas.openxmlformats.org/officeDocument/2006/relationships/footer" Target="footer478.xml"/><Relationship Id="rId502" Type="http://schemas.openxmlformats.org/officeDocument/2006/relationships/footer" Target="footer479.xml"/><Relationship Id="rId503" Type="http://schemas.openxmlformats.org/officeDocument/2006/relationships/footer" Target="footer480.xml"/><Relationship Id="rId504" Type="http://schemas.openxmlformats.org/officeDocument/2006/relationships/footer" Target="footer481.xml"/><Relationship Id="rId505" Type="http://schemas.openxmlformats.org/officeDocument/2006/relationships/footer" Target="footer482.xml"/><Relationship Id="rId506" Type="http://schemas.openxmlformats.org/officeDocument/2006/relationships/footer" Target="footer483.xml"/><Relationship Id="rId507" Type="http://schemas.openxmlformats.org/officeDocument/2006/relationships/footer" Target="footer484.xml"/><Relationship Id="rId508" Type="http://schemas.openxmlformats.org/officeDocument/2006/relationships/footer" Target="footer485.xml"/><Relationship Id="rId509" Type="http://schemas.openxmlformats.org/officeDocument/2006/relationships/footer" Target="footer486.xml"/><Relationship Id="rId510" Type="http://schemas.openxmlformats.org/officeDocument/2006/relationships/footer" Target="footer487.xml"/><Relationship Id="rId511" Type="http://schemas.openxmlformats.org/officeDocument/2006/relationships/footer" Target="footer488.xml"/><Relationship Id="rId512" Type="http://schemas.openxmlformats.org/officeDocument/2006/relationships/footer" Target="footer489.xml"/><Relationship Id="rId513" Type="http://schemas.openxmlformats.org/officeDocument/2006/relationships/footer" Target="footer490.xml"/><Relationship Id="rId514" Type="http://schemas.openxmlformats.org/officeDocument/2006/relationships/footer" Target="footer491.xml"/><Relationship Id="rId515" Type="http://schemas.openxmlformats.org/officeDocument/2006/relationships/footer" Target="footer492.xml"/><Relationship Id="rId516" Type="http://schemas.openxmlformats.org/officeDocument/2006/relationships/footer" Target="footer493.xml"/><Relationship Id="rId517" Type="http://schemas.openxmlformats.org/officeDocument/2006/relationships/footer" Target="footer494.xml"/><Relationship Id="rId518" Type="http://schemas.openxmlformats.org/officeDocument/2006/relationships/footer" Target="footer495.xml"/><Relationship Id="rId519" Type="http://schemas.openxmlformats.org/officeDocument/2006/relationships/footer" Target="footer496.xml"/><Relationship Id="rId520" Type="http://schemas.openxmlformats.org/officeDocument/2006/relationships/footer" Target="footer497.xml"/><Relationship Id="rId521" Type="http://schemas.openxmlformats.org/officeDocument/2006/relationships/footer" Target="footer498.xml"/><Relationship Id="rId522" Type="http://schemas.openxmlformats.org/officeDocument/2006/relationships/footer" Target="footer499.xml"/><Relationship Id="rId523" Type="http://schemas.openxmlformats.org/officeDocument/2006/relationships/footer" Target="footer500.xml"/><Relationship Id="rId524" Type="http://schemas.openxmlformats.org/officeDocument/2006/relationships/footer" Target="footer501.xml"/><Relationship Id="rId525" Type="http://schemas.openxmlformats.org/officeDocument/2006/relationships/footer" Target="footer502.xml"/><Relationship Id="rId526" Type="http://schemas.openxmlformats.org/officeDocument/2006/relationships/footer" Target="footer503.xml"/><Relationship Id="rId527" Type="http://schemas.openxmlformats.org/officeDocument/2006/relationships/footer" Target="footer504.xml"/><Relationship Id="rId528" Type="http://schemas.openxmlformats.org/officeDocument/2006/relationships/footer" Target="footer505.xml"/><Relationship Id="rId529" Type="http://schemas.openxmlformats.org/officeDocument/2006/relationships/footer" Target="footer506.xml"/><Relationship Id="rId530" Type="http://schemas.openxmlformats.org/officeDocument/2006/relationships/footer" Target="footer507.xml"/><Relationship Id="rId531" Type="http://schemas.openxmlformats.org/officeDocument/2006/relationships/footer" Target="footer508.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09.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66291</Words>
  <Characters>268554</Characters>
  <CharactersWithSpaces>333063</CharactersWithSpaces>
  <Paragraphs>2183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2026-08-17T08:58:44Z</dcterms:created>
  <dc:creator>ghaemiyeh.com</dc:creator>
  <dc:description/>
  <dc:language>en-US</dc:language>
  <cp:lastModifiedBy/>
  <dcterms:modified xsi:type="dcterms:W3CDTF">2026-08-17T12:29:18Z</dcterms:modified>
  <cp:revision>1</cp:revision>
  <dc:subject/>
  <dc:title>المحاسن النفسانیة فی أجوبة المسائل الخراسانیة</dc:title>
</cp:coreProperties>
</file>

<file path=docProps/custom.xml><?xml version="1.0" encoding="utf-8"?>
<Properties xmlns="http://schemas.openxmlformats.org/officeDocument/2006/custom-properties" xmlns:vt="http://schemas.openxmlformats.org/officeDocument/2006/docPropsVTypes"/>
</file>