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گفتم گفت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8865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478867_3650668749">
            <w:r>
              <w:rPr>
                <w:webHidden/>
                <w:rStyle w:val="IndexLink"/>
                <w:rtl w:val="true"/>
              </w:rPr>
              <w:t>ديباچه‌</w:t>
            </w:r>
            <w:r>
              <w:rPr>
                <w:rStyle w:val="IndexLink"/>
                <w:rtl w:val="true"/>
              </w:rPr>
              <w:tab/>
            </w:r>
            <w:r>
              <w:rPr>
                <w:rStyle w:val="IndexLink"/>
              </w:rPr>
              <w:t>4</w:t>
            </w:r>
          </w:hyperlink>
        </w:p>
        <w:p>
          <w:pPr>
            <w:pStyle w:val="Contents2"/>
            <w:tabs>
              <w:tab w:val="clear" w:pos="8743"/>
              <w:tab w:val="right" w:pos="9026" w:leader="dot"/>
            </w:tabs>
            <w:rPr/>
          </w:pPr>
          <w:hyperlink w:anchor="__RefHeading___Toc1478869_3650668749">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478871_3650668749">
            <w:r>
              <w:rPr>
                <w:webHidden/>
                <w:rStyle w:val="IndexLink"/>
                <w:rtl w:val="true"/>
              </w:rPr>
              <w:t>كدام قرآن؟</w:t>
            </w:r>
            <w:r>
              <w:rPr>
                <w:rStyle w:val="IndexLink"/>
                <w:rtl w:val="true"/>
              </w:rPr>
              <w:tab/>
            </w:r>
            <w:r>
              <w:rPr>
                <w:rStyle w:val="IndexLink"/>
              </w:rPr>
              <w:t>9</w:t>
            </w:r>
          </w:hyperlink>
        </w:p>
        <w:p>
          <w:pPr>
            <w:pStyle w:val="Contents2"/>
            <w:tabs>
              <w:tab w:val="clear" w:pos="8743"/>
              <w:tab w:val="right" w:pos="9026" w:leader="dot"/>
            </w:tabs>
            <w:rPr/>
          </w:pPr>
          <w:hyperlink w:anchor="__RefHeading___Toc1478873_3650668749">
            <w:r>
              <w:rPr>
                <w:webHidden/>
                <w:rStyle w:val="IndexLink"/>
                <w:rtl w:val="true"/>
              </w:rPr>
              <w:t>مهر سجود</w:t>
            </w:r>
            <w:r>
              <w:rPr>
                <w:rStyle w:val="IndexLink"/>
                <w:rtl w:val="true"/>
              </w:rPr>
              <w:tab/>
            </w:r>
            <w:r>
              <w:rPr>
                <w:rStyle w:val="IndexLink"/>
              </w:rPr>
              <w:t>14</w:t>
            </w:r>
          </w:hyperlink>
        </w:p>
        <w:p>
          <w:pPr>
            <w:pStyle w:val="Contents2"/>
            <w:tabs>
              <w:tab w:val="clear" w:pos="8743"/>
              <w:tab w:val="right" w:pos="9026" w:leader="dot"/>
            </w:tabs>
            <w:rPr/>
          </w:pPr>
          <w:hyperlink w:anchor="__RefHeading___Toc1478875_3650668749">
            <w:r>
              <w:rPr>
                <w:webHidden/>
                <w:rStyle w:val="IndexLink"/>
                <w:rtl w:val="true"/>
              </w:rPr>
              <w:t>مرز توحيد و شرك‌</w:t>
            </w:r>
            <w:r>
              <w:rPr>
                <w:rStyle w:val="IndexLink"/>
                <w:rtl w:val="true"/>
              </w:rPr>
              <w:tab/>
            </w:r>
            <w:r>
              <w:rPr>
                <w:rStyle w:val="IndexLink"/>
              </w:rPr>
              <w:t>19</w:t>
            </w:r>
          </w:hyperlink>
        </w:p>
        <w:p>
          <w:pPr>
            <w:pStyle w:val="Contents2"/>
            <w:tabs>
              <w:tab w:val="clear" w:pos="8743"/>
              <w:tab w:val="right" w:pos="9026" w:leader="dot"/>
            </w:tabs>
            <w:rPr/>
          </w:pPr>
          <w:hyperlink w:anchor="__RefHeading___Toc1478877_3650668749">
            <w:r>
              <w:rPr>
                <w:webHidden/>
                <w:rStyle w:val="IndexLink"/>
                <w:rtl w:val="true"/>
              </w:rPr>
              <w:t xml:space="preserve">بهانه تهمت </w:t>
            </w:r>
            <w:r>
              <w:rPr>
                <w:rStyle w:val="IndexLink"/>
                <w:rtl w:val="true"/>
              </w:rPr>
              <w:t>(</w:t>
            </w:r>
            <w:r>
              <w:rPr>
                <w:rStyle w:val="IndexLink"/>
                <w:rtl w:val="true"/>
              </w:rPr>
              <w:t>توسل</w:t>
            </w:r>
            <w:r>
              <w:rPr>
                <w:rStyle w:val="IndexLink"/>
                <w:rtl w:val="true"/>
              </w:rPr>
              <w:t>)</w:t>
              <w:tab/>
            </w:r>
            <w:r>
              <w:rPr>
                <w:rStyle w:val="IndexLink"/>
              </w:rPr>
              <w:t>22</w:t>
            </w:r>
          </w:hyperlink>
        </w:p>
        <w:p>
          <w:pPr>
            <w:pStyle w:val="Contents2"/>
            <w:tabs>
              <w:tab w:val="clear" w:pos="8743"/>
              <w:tab w:val="right" w:pos="9026" w:leader="dot"/>
            </w:tabs>
            <w:rPr/>
          </w:pPr>
          <w:hyperlink w:anchor="__RefHeading___Toc1478879_3650668749">
            <w:r>
              <w:rPr>
                <w:webHidden/>
                <w:rStyle w:val="IndexLink"/>
                <w:rtl w:val="true"/>
              </w:rPr>
              <w:t>توسل‌</w:t>
            </w:r>
            <w:r>
              <w:rPr>
                <w:rStyle w:val="IndexLink"/>
                <w:rtl w:val="true"/>
              </w:rPr>
              <w:tab/>
            </w:r>
            <w:r>
              <w:rPr>
                <w:rStyle w:val="IndexLink"/>
              </w:rPr>
              <w:t>24</w:t>
            </w:r>
          </w:hyperlink>
        </w:p>
        <w:p>
          <w:pPr>
            <w:pStyle w:val="Contents2"/>
            <w:tabs>
              <w:tab w:val="clear" w:pos="8743"/>
              <w:tab w:val="right" w:pos="9026" w:leader="dot"/>
            </w:tabs>
            <w:rPr/>
          </w:pPr>
          <w:hyperlink w:anchor="__RefHeading___Toc1478881_3650668749">
            <w:r>
              <w:rPr>
                <w:webHidden/>
                <w:rStyle w:val="IndexLink"/>
                <w:rtl w:val="true"/>
              </w:rPr>
              <w:t>تبرّك‌</w:t>
            </w:r>
            <w:r>
              <w:rPr>
                <w:rStyle w:val="IndexLink"/>
                <w:rtl w:val="true"/>
              </w:rPr>
              <w:tab/>
            </w:r>
            <w:r>
              <w:rPr>
                <w:rStyle w:val="IndexLink"/>
              </w:rPr>
              <w:t>28</w:t>
            </w:r>
          </w:hyperlink>
        </w:p>
        <w:p>
          <w:pPr>
            <w:pStyle w:val="Contents2"/>
            <w:tabs>
              <w:tab w:val="clear" w:pos="8743"/>
              <w:tab w:val="right" w:pos="9026" w:leader="dot"/>
            </w:tabs>
            <w:rPr/>
          </w:pPr>
          <w:hyperlink w:anchor="__RefHeading___Toc1478883_3650668749">
            <w:r>
              <w:rPr>
                <w:webHidden/>
                <w:rStyle w:val="IndexLink"/>
                <w:rtl w:val="true"/>
              </w:rPr>
              <w:t>بوسيدن‌</w:t>
            </w:r>
            <w:r>
              <w:rPr>
                <w:rStyle w:val="IndexLink"/>
                <w:rtl w:val="true"/>
              </w:rPr>
              <w:tab/>
            </w:r>
            <w:r>
              <w:rPr>
                <w:rStyle w:val="IndexLink"/>
              </w:rPr>
              <w:t>32</w:t>
            </w:r>
          </w:hyperlink>
        </w:p>
        <w:p>
          <w:pPr>
            <w:pStyle w:val="Contents2"/>
            <w:tabs>
              <w:tab w:val="clear" w:pos="8743"/>
              <w:tab w:val="right" w:pos="9026" w:leader="dot"/>
            </w:tabs>
            <w:rPr/>
          </w:pPr>
          <w:hyperlink w:anchor="__RefHeading___Toc1478885_3650668749">
            <w:r>
              <w:rPr>
                <w:webHidden/>
                <w:rStyle w:val="IndexLink"/>
                <w:rtl w:val="true"/>
              </w:rPr>
              <w:t>سلمان محمّدى‌</w:t>
            </w:r>
            <w:r>
              <w:rPr>
                <w:rStyle w:val="IndexLink"/>
                <w:rtl w:val="true"/>
              </w:rPr>
              <w:tab/>
            </w:r>
            <w:r>
              <w:rPr>
                <w:rStyle w:val="IndexLink"/>
              </w:rPr>
              <w:t>36</w:t>
            </w:r>
          </w:hyperlink>
        </w:p>
        <w:p>
          <w:pPr>
            <w:pStyle w:val="Contents2"/>
            <w:tabs>
              <w:tab w:val="clear" w:pos="8743"/>
              <w:tab w:val="right" w:pos="9026" w:leader="dot"/>
            </w:tabs>
            <w:rPr/>
          </w:pPr>
          <w:hyperlink w:anchor="__RefHeading___Toc1478887_3650668749">
            <w:r>
              <w:rPr>
                <w:webHidden/>
                <w:rStyle w:val="IndexLink"/>
                <w:rtl w:val="true"/>
              </w:rPr>
              <w:t>برائت از مشركان‌</w:t>
            </w:r>
            <w:r>
              <w:rPr>
                <w:rStyle w:val="IndexLink"/>
                <w:rtl w:val="true"/>
              </w:rPr>
              <w:tab/>
            </w:r>
            <w:r>
              <w:rPr>
                <w:rStyle w:val="IndexLink"/>
              </w:rPr>
              <w:t>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7_10365"/>
      <w:bookmarkStart w:id="1" w:name="pg1687_10365"/>
      <w:bookmarkEnd w:id="1"/>
    </w:p>
    <w:p>
      <w:pPr>
        <w:pStyle w:val="Heading2"/>
        <w:numPr>
          <w:ilvl w:val="1"/>
          <w:numId w:val="1"/>
        </w:numPr>
        <w:rPr/>
      </w:pPr>
      <w:bookmarkStart w:id="2" w:name="pg1687_10365"/>
      <w:bookmarkStart w:id="3" w:name="__RefHeading___Toc1478865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محدثي، جواد، </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جواد محدثي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خودسازي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خودشناسي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خداجويي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۲۱۰۳۳۳۸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8867_3650668749"/>
      <w:bookmarkStart w:id="6" w:name="_Toc2"/>
      <w:bookmarkEnd w:id="5"/>
      <w:r>
        <w:rPr>
          <w:rtl w:val="true"/>
        </w:rPr>
        <w:t>ديباچه‌</w:t>
      </w:r>
      <w:bookmarkEnd w:id="6"/>
    </w:p>
    <w:p>
      <w:pPr>
        <w:pStyle w:val="BookText"/>
        <w:rPr/>
      </w:pPr>
      <w:r>
        <w:rPr>
          <w:rFonts w:ascii="Amiri" w:hAnsi="Amiri" w:eastAsia="Amiri" w:cs="Amiri"/>
          <w:color w:val="111111"/>
          <w:sz w:val="28"/>
          <w:sz w:val="28"/>
          <w:szCs w:val="28"/>
          <w:rtl w:val="true"/>
          <w:lang w:bidi="ar-SA"/>
        </w:rPr>
        <w:t>الحمدلله رب العالمين وصلى الله على محمد و آله الطاهرين الذين اذهب الله عنهم الرجس و طهرّهم تطهيرا</w:t>
      </w:r>
    </w:p>
    <w:p>
      <w:pPr>
        <w:pStyle w:val="BookText"/>
        <w:rPr/>
      </w:pPr>
      <w:r>
        <w:rPr>
          <w:rFonts w:ascii="IRNazanin" w:hAnsi="IRNazanin" w:eastAsia="IRNazanin"/>
          <w:color w:val="111111"/>
          <w:sz w:val="28"/>
          <w:sz w:val="28"/>
          <w:szCs w:val="28"/>
          <w:rtl w:val="true"/>
          <w:lang w:bidi="fa-IR"/>
        </w:rPr>
        <w:t>يكى از دستورات خداوند در قرآن براى دعوت ديگران به حق، بحث علمى و دعوت به ارايه دليل و برهان و جدال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زائر سرزمين وحى، گاه با برخوردهايى روبه‌رو مى‌شود كه نه با چنين دستورى موافقت دارد و نه با سنت و سيره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او و عالمان امت، هماهنگ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جاى سفر حج، زائر بيت الله با كسانى مواجه مى‌شود كه برچسب شرك و تكفير را در دست دارند و بسيار سهل و آسان، آن را به ديگران حوالت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جاى جدال احسن و دليل و برهان، از تهمت و افترا كمك مى‌گيرند و هر عقيده‌اى را كه با مرامشان نسازد، به شرك و كفر و بدعت متهم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w:t>
      </w:r>
    </w:p>
    <w:p>
      <w:pPr>
        <w:pStyle w:val="BookText"/>
        <w:rPr/>
      </w:pPr>
      <w:r>
        <w:rPr>
          <w:rFonts w:ascii="IRNazanin" w:hAnsi="IRNazanin" w:eastAsia="IRNazanin"/>
          <w:color w:val="111111"/>
          <w:sz w:val="28"/>
          <w:sz w:val="28"/>
          <w:szCs w:val="28"/>
          <w:rtl w:val="true"/>
          <w:lang w:bidi="fa-IR"/>
        </w:rPr>
        <w:t>مواجهه با اينان، هميشه مناسب نيست، اما چه بسا عمل به دستور قرآن و يادآورى آن، وجدان خفته برخى از آنان را بيدار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جزوه ارائه مى‌گردد، نمونه‌هايى از دو نوع عملكرد است كه حضرت حجت الاسلام و المسلمين استاد جواد محدثى با قلمى شيوا و روان عرضه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براى عموم زائران و حاجيان، مفيد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گروه كلام و معارف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تحقيقات حج</w:t>
      </w:r>
      <w:bookmarkStart w:id="7" w:name="pg1687_10373"/>
    </w:p>
    <w:p>
      <w:pPr>
        <w:pStyle w:val="Heading2"/>
        <w:numPr>
          <w:ilvl w:val="1"/>
          <w:numId w:val="1"/>
        </w:numPr>
        <w:rPr/>
      </w:pPr>
      <w:bookmarkStart w:id="8" w:name="__RefHeading___Toc1478869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اعتقادات و فقه و آداب و سنن شيعى، ريشه در محكم‌ترين منابع دارد و از زلال‌ترين سرچشمه‌هاى معرفت و شرع، يعنى قرآن و سنت و تعاليم و سيره پيامبر اكرم 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از ديرباز تاكنون، عده‌اى از روى غرض و دشمنى و گروهى به سبب جهل و بى‌خبرى، بدترين دروغ‌ها و تهمت‌ها را به شيعه زده‌اند و تا آنجا پيش رفته‌اند كه پيروان اهل بيت را به شرك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بزرگ ما نيز از همان قرن‌هاى نخستين تا عصر حاضر به صورت‌هاى مختلف به دفاع از عقايد شيعى و پاسخ به شبهات و ردّ دروغ‌ها و تهمت‌ها پرداخته‌اند و با تأليف كتاب‌هاى گوناگون به سبك‌هاى مختلف، پيروان خاندان رسالت را در دفاع از معتقدات و فرهنگ خود، راهنمايى و پشتيبانى كرده‌اند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فرد شيعه ضرورى است تا نسبت به باورهاى ناب خود آگاهى كامل داشته باشد و بتواند هميشه به</w:t>
      </w:r>
    </w:p>
    <w:p>
      <w:pPr>
        <w:pStyle w:val="BookText"/>
        <w:rPr/>
      </w:pPr>
      <w:r>
        <w:rPr>
          <w:rFonts w:ascii="IRNazanin" w:hAnsi="IRNazanin" w:eastAsia="IRNazanin"/>
          <w:color w:val="111111"/>
          <w:sz w:val="28"/>
          <w:sz w:val="28"/>
          <w:szCs w:val="28"/>
          <w:rtl w:val="true"/>
          <w:lang w:bidi="fa-IR"/>
        </w:rPr>
        <w:t xml:space="preserve">خصوص در برخورد با مخالفان فكرى و شبهه‌افكنان و وهّابيان و وهابيت‌زدگان، از عقايد و خط عملى و برنامه‌هاى دينى خود دفاع كند و با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مناظره منطقى و دور از هتاكى و اهانت و عصبانيت و با تكيه به منابع معتبر و دلايل استوار عقلى و نقلى، حق را روشن سازد و شبهه را بزدايد و مشت شبهه‌افكنان را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عزيز، در سفر حج و عمره پيوسته با كسانى مواجه مى‌شوند كه چه به صورت گفتار شفاهى يا توزيع نشريات و جزوات، شيعه را مورد تهاجم و تهمت قرار مى‌دهند و اگر زائران، مجهّز و مسلّح به بينش و منطق و دليل و برهان نباشند، چه بسا تبليغات سوءآنان، در دل‌ها ترديد و شبهه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مى‌خوانيد، در قالب گفت‌وگو و ترسيم صحنه‌هاى برخورد ميان دو طرف، به تبيين برخى از مفاهيم اعتقادى و پاسخ به بعضى از شبهات مطرح در مورد زيارت، توسل، تبرّك، شفاعت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شده اين نكات، با قلمى روان و استدلالى روشن و همه فهم عنوان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آنكه خوانندگان محترم و زائران عزيز را مفيد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محدثى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88</w:t>
      </w:r>
      <w:bookmarkStart w:id="10" w:name="pg1687_10375"/>
    </w:p>
    <w:p>
      <w:pPr>
        <w:pStyle w:val="Heading2"/>
        <w:numPr>
          <w:ilvl w:val="1"/>
          <w:numId w:val="1"/>
        </w:numPr>
        <w:rPr/>
      </w:pPr>
      <w:bookmarkStart w:id="11" w:name="__RefHeading___Toc1478871_3650668749"/>
      <w:bookmarkStart w:id="12" w:name="_Toc4"/>
      <w:bookmarkEnd w:id="10"/>
      <w:bookmarkEnd w:id="11"/>
      <w:r>
        <w:rPr>
          <w:rtl w:val="true"/>
        </w:rPr>
        <w:t>كدام قرآن؟</w:t>
      </w:r>
      <w:bookmarkEnd w:id="12"/>
    </w:p>
    <w:p>
      <w:pPr>
        <w:pStyle w:val="BookText"/>
        <w:rPr/>
      </w:pPr>
      <w:r>
        <w:rPr>
          <w:rFonts w:ascii="IRNazanin" w:hAnsi="IRNazanin" w:eastAsia="IRNazanin"/>
          <w:color w:val="111111"/>
          <w:sz w:val="28"/>
          <w:sz w:val="28"/>
          <w:szCs w:val="28"/>
          <w:rtl w:val="true"/>
          <w:lang w:bidi="fa-IR"/>
        </w:rPr>
        <w:t>در فرودگاه جدّه، ساك‌ها و وسايلمان را 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قرآنى همراه داشتم كه آن را هم در كنار بعضى كتاب‌هاى دعا و مربوط به حج از من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ديگر چرا گرفتى؟ اين هم ممنوع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حرمين شريفين، تا دلت بخواهد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مى‌دارى و از روى آنها مى‌خوانى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شخصى خودم است، مى‌خواهم هميشه همراه داشته باشم و در مسجد و مسير و محل اقامت تلاوت كنم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شما با قرآن ما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 و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مسلمانان در سراسر جهان يكى است و هيچ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ندارى تطبيق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كلمه و يك زير و زبر هم با قرآن شما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به خط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خطاط قرآن‌هاى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شيعه‌ها قرآن ديگرى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عقيده داريد كه قرآن تحريف شده و اين، همان قرآنى نيست كه بر پيامبر نازل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تهمت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را گفته است؟ ما معتقديم كه هيچ تحريف و كم و زيادى در قرآن پيش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مگر مى‌شود گفت كه قرآن تحريف شده؟ اولًا خود قرآن از زبان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نازل كرديم و خودمان آن را حفظ مى‌كنيم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ثانياً اصحاب پيامبر و حافظان قرآن در صدر اسلام آن‌قدر نسبت به اين كتاب آسمانى حساس بودند كه در يك مورد در زمان خليفه سوم بر سر بودن</w:t>
      </w:r>
    </w:p>
    <w:p>
      <w:pPr>
        <w:pStyle w:val="BookText"/>
        <w:rPr/>
      </w:pPr>
      <w:r>
        <w:rPr>
          <w:rFonts w:ascii="Amiri" w:hAnsi="Amiri" w:eastAsia="Amiri" w:cs="Amiri"/>
          <w:color w:val="111111"/>
          <w:sz w:val="28"/>
          <w:sz w:val="28"/>
          <w:szCs w:val="28"/>
          <w:rtl w:val="true"/>
          <w:lang w:bidi="ar-SA"/>
        </w:rPr>
        <w:t xml:space="preserve">يا نبودن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اول يك آيه </w:t>
      </w:r>
      <w:r>
        <w:rPr>
          <w:rStyle w:val="FootnoteAnchor"/>
          <w:rtl w:val="true"/>
        </w:rPr>
        <w:footnoteReference w:id="3"/>
      </w:r>
      <w:r>
        <w:rPr>
          <w:rFonts w:ascii="IRNazanin" w:hAnsi="IRNazanin" w:eastAsia="IRNazanin"/>
          <w:color w:val="111111"/>
          <w:sz w:val="28"/>
          <w:sz w:val="28"/>
          <w:szCs w:val="28"/>
          <w:rtl w:val="true"/>
          <w:lang w:bidi="fa-IR"/>
        </w:rPr>
        <w:t xml:space="preserve">، نزديك بود كسانى دست به شمشير ببرند تا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علماى شيعه اين است كه قرآن مصون از تحريف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فضل بن شاذان، شيخ صدوق، شيخ مفيد، سيد مرتضى، شيخ طوسى، مرحوم طبرسى، علّامه حلّى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از بزرگان شيعه‌اند، اين عقيده رسماً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گوشه و كنار، بعضى مطالبى گفته باشند كه بوى تحريف از آن به مشام آيد، ولى آن را نمى‌توان به حساب شيعه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امامان ما و چه علماى بزرگ ما و چه عموم شيعه، عقيده‌شان بر عدم تحريف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معتقديد كه غير از اين قرآن، قرآن‌هاى ديگرى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 ابداً چنين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مصحف على و فاطمه چيست؟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نسخه‌اى از قرآن بوده</w:t>
      </w:r>
    </w:p>
    <w:p>
      <w:pPr>
        <w:pStyle w:val="BookText"/>
        <w:rPr/>
      </w:pPr>
      <w:r>
        <w:rPr>
          <w:rFonts w:ascii="IRNazanin" w:hAnsi="IRNazanin" w:eastAsia="IRNazanin"/>
          <w:color w:val="111111"/>
          <w:sz w:val="28"/>
          <w:sz w:val="28"/>
          <w:szCs w:val="28"/>
          <w:rtl w:val="true"/>
          <w:lang w:bidi="fa-IR"/>
        </w:rPr>
        <w:t>كه متن آن با اين قرآن تفاوتى نداشته، بلكه در دورانى كه آن حضرت پس از سقيفه خانه‌نشين شد، دست به گردآورى سوره‌هاى نازل شده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قرآن را به هفت بخش تقسيم كرده بود و ترتيب سوره‌ها متفاوت بود و متن آن هيچ تفاوتى با آيات و سوره‌هاى قرآن موجود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معناى مصحف يعنى نوشته شده، كتاب، طبق روايات فراوان، پس از رحلت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براى تسليت به حضرت فاطمه نازل مى‌شد و از مقام و جايگاه آن حضرت نزد خدا و از حوادث آينده و آنچه بر ذرّيه او پيش خواهد آمد مطالبى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بازگويى مى‌كرد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ماجراى 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كه عده‌اى همين را عَلَم مى‌كنند و مى‌گويند شيعه، قرآن‌ديگرى دارد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بهتان از بى‌خبرى سرچشمه مى‌گيرد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فرودگاه وقتى اين توضيحات را شنيد، به فكر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عده زيادى حافظ قرآنند و قاريان ما در مسابقات بين‌المللى حفظ و قرائت شركت مى‌كنند و رتبه مى‌آورند، در حالى كه داوران متعدد، ناظر اجراى مسابقات‌اند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ما متفاوت بود، چطور قارى ما نفر اول اين مسابقات مى‌شود؟</w:t>
      </w:r>
    </w:p>
    <w:p>
      <w:pPr>
        <w:pStyle w:val="BookText"/>
        <w:rPr/>
      </w:pPr>
      <w:r>
        <w:rPr>
          <w:rFonts w:ascii="IRNazanin" w:hAnsi="IRNazanin" w:eastAsia="IRNazanin"/>
          <w:color w:val="111111"/>
          <w:sz w:val="28"/>
          <w:sz w:val="28"/>
          <w:szCs w:val="28"/>
          <w:rtl w:val="true"/>
          <w:lang w:bidi="fa-IR"/>
        </w:rPr>
        <w:t>ناچار قرآن مرا پس داد و عذرخواهى كرد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افسوس خوردم كه چگونه اين‌گونه تهمت‌ها و نسبت‌هاى دروغ و بى‌اساس، در اعماق فكر اينها نفوذ كرده و باور كرده‌اند</w:t>
      </w:r>
      <w:r>
        <w:rPr>
          <w:rFonts w:eastAsia="IRNazanin" w:cs="IRNazanin"/>
          <w:color w:val="111111"/>
          <w:sz w:val="28"/>
          <w:szCs w:val="28"/>
          <w:rtl w:val="true"/>
          <w:lang w:bidi="fa-IR"/>
        </w:rPr>
        <w:t>!</w:t>
      </w:r>
      <w:bookmarkStart w:id="13" w:name="pg1687_10381"/>
    </w:p>
    <w:p>
      <w:pPr>
        <w:pStyle w:val="Heading2"/>
        <w:numPr>
          <w:ilvl w:val="1"/>
          <w:numId w:val="1"/>
        </w:numPr>
        <w:rPr/>
      </w:pPr>
      <w:bookmarkStart w:id="14" w:name="__RefHeading___Toc1478873_3650668749"/>
      <w:bookmarkStart w:id="15" w:name="_Toc5"/>
      <w:bookmarkEnd w:id="13"/>
      <w:bookmarkEnd w:id="14"/>
      <w:r>
        <w:rPr>
          <w:rtl w:val="true"/>
        </w:rPr>
        <w:t>مهر سجود</w:t>
      </w:r>
      <w:bookmarkEnd w:id="15"/>
    </w:p>
    <w:p>
      <w:pPr>
        <w:pStyle w:val="BookText"/>
        <w:rPr/>
      </w:pPr>
      <w:r>
        <w:rPr>
          <w:rFonts w:ascii="IRNazanin" w:hAnsi="IRNazanin" w:eastAsia="IRNazanin"/>
          <w:color w:val="111111"/>
          <w:sz w:val="28"/>
          <w:sz w:val="28"/>
          <w:szCs w:val="28"/>
          <w:rtl w:val="true"/>
          <w:lang w:bidi="fa-IR"/>
        </w:rPr>
        <w:t>دنبال جايى مى‌گشتم كه فرش نباشد و بتوانم بر سنگ‌فرش مسجدالنبى سجده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جلو روى فرش‌ها جا بود، ولى يك جاى خالى روى سنگ‌هاى مرمر پيدا كردم و همان‌جا به نماز ايستادم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كنارم يك مصرى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ايرانى‌ها چرا روى فرش سجده نمى‌كنيد؟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دين ما، طبق روايات نقل شده از امامان شيعه، جايز نمى‌دانند كه بر غير زمين سجده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با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آن حضرت نيز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براى من سجده‌گاه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كتب اهل سنّت هم</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شنيده‌ام شما همراه خود چيزى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 كه هنگام نماز، به آن سجده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سجده بر خاك را بهتر مى‌دانيم، وگرنه سجده بر شن و سنگريزه و چوب و حصير و سنگ هم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مهرهاى شما به صورت‌هاى مختلف است، گرد، چهارگوش، مستطيل و داراى نقش و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سجده جز براى خدا جايز نيست، شما در برابر اين مهرها سجده مى‌كنيد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ما براى خداست و بر روى مهر، نه آنكه، در برابر مهر سجده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حرف يكى از زوّار خانه خدا افتادم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يكى از مأموران سعودى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مشرك هستيد و بت‌پرست، من در خانه خودم انواع مختلفى از بت‌هاى شما را جمع‌آورى كرده‌ام، بت‌هايى كه در جيب خود يا سجّاده‌هايتان</w:t>
      </w:r>
    </w:p>
    <w:p>
      <w:pPr>
        <w:pStyle w:val="BookText"/>
        <w:rPr/>
      </w:pPr>
      <w:r>
        <w:rPr>
          <w:rFonts w:ascii="IRNazanin" w:hAnsi="IRNazanin" w:eastAsia="IRNazanin"/>
          <w:color w:val="111111"/>
          <w:sz w:val="28"/>
          <w:sz w:val="28"/>
          <w:szCs w:val="28"/>
          <w:rtl w:val="true"/>
          <w:lang w:bidi="fa-IR"/>
        </w:rPr>
        <w:t>مى‌گذاريد و بر آن سجده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نمى‌دانست كه اين مهرها بت نيست، بلكه يك قطعه فراهم شده از خاك زمين است و چون هميشه انسان دسترسى به خاك پاك ندارد، مهر را براى همين منظور تهيه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ما مُهرپرست نيستيم، ما خدا را مى‌پرستيم و سجده ما در مقابل خداست، ولى پيشانى بر مُهر مى‌گذاريم تا خاكسارى و خضوع خود را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مُهر خضوع نمى‌كنيم، بلكه خضوعمان در برابر خداست همان‌طور كه شما بر روى فرش پيشانى مى‌گذاريد سجده شما براى فرش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 شما بدعت نيست؟ مگر پيامبر بر مهر سجده مى‌كرد؟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بر خاك سجده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مسجد، خاكى يا ريگزار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كه هوا گرم بود و سنگريزه‌ها داغ مى‌شد و آزاردهنده، برخى هنگام سجده، گوشه لباس يا دستار خود را بر زمين پهن مى‌كردند و بر آن سجده مى‌كردند تا گرماى زمين اذيتشان</w:t>
      </w:r>
    </w:p>
    <w:p>
      <w:pPr>
        <w:pStyle w:val="BookText"/>
        <w:rPr/>
      </w:pPr>
      <w:r>
        <w:rPr>
          <w:rFonts w:ascii="IRNazanin" w:hAnsi="IRNazanin" w:eastAsia="IRNazanin"/>
          <w:color w:val="111111"/>
          <w:sz w:val="28"/>
          <w:sz w:val="28"/>
          <w:szCs w:val="28"/>
          <w:rtl w:val="true"/>
          <w:lang w:bidi="fa-IR"/>
        </w:rPr>
        <w:t>نكند، ولى باز هم دستور آمد كه چنان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 دست‌هايشان زمين را خنك مى‌كردند، يا بر حصير و بوريا پيشانى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روزى صُهيب را ديد كه هنگام سجده گويا از نهادن پيشانى بر خاك پرهيز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چهره‌ات را بر خاك بگذار</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روايت شده هرگاه آن حضرت سجده مى‌كرد، عمامه را از پيشانى خود كنار مى‌زد تا صورت بر روى زمين قرار گيرد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خلاصه آنكه ما مهر را سجده نمى‌كنيم، بلكه بر مهر سجده مى‌كنيم و سجده ما براى خدا و در پيشگاه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 خاك؟ شنيده‌ام بر خاك كربلا هم سجده مى‌كنيد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خاك، نشان خاكى بودن و فروتنى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بر خوراكى و پوشاكى و سنگ‌هاى گران‌قيمت و جواهرات سجده درست</w:t>
      </w:r>
    </w:p>
    <w:p>
      <w:pPr>
        <w:pStyle w:val="BookText"/>
        <w:rPr/>
      </w:pPr>
      <w:r>
        <w:rPr>
          <w:rFonts w:ascii="IRNazanin" w:hAnsi="IRNazanin" w:eastAsia="IRNazanin"/>
          <w:color w:val="111111"/>
          <w:sz w:val="28"/>
          <w:sz w:val="28"/>
          <w:szCs w:val="28"/>
          <w:rtl w:val="true"/>
          <w:lang w:bidi="fa-IR"/>
        </w:rPr>
        <w:t>باشد، هر كس سعى مى‌كند اشياى نفيس‌تر و گران‌قيمت‌ترى انتخاب كند و اين با اصلِ خضوع و فروتنى ناسازگار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سجده بر تربت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خاك كربلا، براى يادآورى فداكارى و جان‌فشانى آن پيشواى مجاهد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در يك جهاد مقدس براى احياى دين خدا و سنّت پيامبر، جان خود را فدا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او، گرامى‌داشت آن مجاهدت‌هاست و اين مستحب است</w:t>
      </w:r>
      <w:r>
        <w:rPr>
          <w:rFonts w:eastAsia="IRNazanin" w:cs="IRNazanin"/>
          <w:color w:val="111111"/>
          <w:sz w:val="28"/>
          <w:szCs w:val="28"/>
          <w:rtl w:val="true"/>
          <w:lang w:bidi="fa-IR"/>
        </w:rPr>
        <w:t>.</w:t>
      </w:r>
      <w:bookmarkStart w:id="16" w:name="pg1687_10387"/>
    </w:p>
    <w:p>
      <w:pPr>
        <w:pStyle w:val="Heading2"/>
        <w:numPr>
          <w:ilvl w:val="1"/>
          <w:numId w:val="1"/>
        </w:numPr>
        <w:rPr/>
      </w:pPr>
      <w:bookmarkStart w:id="17" w:name="__RefHeading___Toc1478875_3650668749"/>
      <w:bookmarkStart w:id="18" w:name="_Toc6"/>
      <w:bookmarkEnd w:id="16"/>
      <w:bookmarkEnd w:id="17"/>
      <w:r>
        <w:rPr>
          <w:rtl w:val="true"/>
        </w:rPr>
        <w:t>مرز توحيد و شرك‌</w:t>
      </w:r>
      <w:bookmarkEnd w:id="18"/>
    </w:p>
    <w:p>
      <w:pPr>
        <w:pStyle w:val="BookText"/>
        <w:rPr/>
      </w:pPr>
      <w:r>
        <w:rPr>
          <w:rFonts w:ascii="IRNazanin" w:hAnsi="IRNazanin" w:eastAsia="IRNazanin"/>
          <w:color w:val="111111"/>
          <w:sz w:val="28"/>
          <w:sz w:val="28"/>
          <w:szCs w:val="28"/>
          <w:rtl w:val="true"/>
          <w:lang w:bidi="fa-IR"/>
        </w:rPr>
        <w:t>از بقيع بيرون آمده بودم،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ماى 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نوشته؟ عربى يا انگليسى؟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اين مأموران در بقيع و حرم، مرتب به زائران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ماى جوز، ماى 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جائز نيست،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همين‌كه مى‌بينند يك زائر، كنار يك قبر، دست به دعا بلند مى‌كند، يا به جايى دست مى‌كشد و مى‌بوسد، مى‌گويند حرام است،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بى‌خود مى‌گويند، اين دفعه اگر به من چنين بگويند، من به آنان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نخير، يجوز</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عربى بلد نيستى، بهتر است</w:t>
      </w:r>
    </w:p>
    <w:p>
      <w:pPr>
        <w:pStyle w:val="BookText"/>
        <w:rPr/>
      </w:pPr>
      <w:r>
        <w:rPr>
          <w:rFonts w:ascii="IRNazanin" w:hAnsi="IRNazanin" w:eastAsia="IRNazanin"/>
          <w:color w:val="111111"/>
          <w:sz w:val="28"/>
          <w:sz w:val="28"/>
          <w:szCs w:val="28"/>
          <w:rtl w:val="true"/>
          <w:lang w:bidi="fa-IR"/>
        </w:rPr>
        <w:t>با آنان بحث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اينها كه به خرجشان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سرى چيزهايى به مغز اينها وارد كرده‌اند، اينها هم طوطى‌وار تكرار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بخواهم با يكى‌شان بحث كنم، چى‌بگم؟ خيلى صاف و پوست كنده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يكى از دوستان حرف جالبى به اينها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مأمور مى‌گفت كه بوسيدن ضريح و ديوار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است و توجّه به غير خداست، آن دوست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تا به حال بچه‌هايت را بوسيده‌اى؟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هم مشرك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اينها حرف به اين سادگى را نمى‌فهمند؟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خيال مى‌كنند ما در و ديوار و ضريح و قبر را مى‌پرستيم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ما به صاحب قبر علاقه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 سبب مى‌شود كه به هر چه وابسته به محبوب ما باشد، عشق بورزيم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كجايش شرك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فرزند، البته با بوسيدن در و ديوار فرق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مى‌گويى، كه بوسيدنش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پيامبر هم آن را بوسيده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بابا، اينها سوراخ دعا را گم كرده‌اند</w:t>
      </w:r>
      <w:r>
        <w:rPr>
          <w:rFonts w:eastAsia="IRNazanin" w:cs="IRNazanin"/>
          <w:color w:val="111111"/>
          <w:sz w:val="28"/>
          <w:szCs w:val="28"/>
          <w:rtl w:val="true"/>
          <w:lang w:bidi="fa-IR"/>
        </w:rPr>
        <w:t>.</w:t>
      </w:r>
      <w:bookmarkStart w:id="19" w:name="pg1687_10391"/>
    </w:p>
    <w:p>
      <w:pPr>
        <w:pStyle w:val="Heading2"/>
        <w:numPr>
          <w:ilvl w:val="1"/>
          <w:numId w:val="1"/>
        </w:numPr>
        <w:rPr/>
      </w:pPr>
      <w:bookmarkStart w:id="20" w:name="__RefHeading___Toc1478877_3650668749"/>
      <w:bookmarkStart w:id="21" w:name="_Toc7"/>
      <w:bookmarkEnd w:id="19"/>
      <w:bookmarkEnd w:id="20"/>
      <w:r>
        <w:rPr>
          <w:rtl w:val="true"/>
        </w:rPr>
        <w:t xml:space="preserve">بهانه تهمت </w:t>
      </w:r>
      <w:r>
        <w:rPr>
          <w:rtl w:val="true"/>
        </w:rPr>
        <w:t>(</w:t>
      </w:r>
      <w:r>
        <w:rPr>
          <w:rtl w:val="true"/>
        </w:rPr>
        <w:t>توسل</w:t>
      </w:r>
      <w:r>
        <w:rPr>
          <w:rtl w:val="true"/>
        </w:rPr>
        <w:t>)</w:t>
      </w:r>
      <w:bookmarkEnd w:id="2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زار زار گريه مى‌كرد و با صداى بلند فرياد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اباالفضل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خداى اباالفضل را صدا نمى‌زنى؟ اينجا خانه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اباالفضل، باب الحوائج است، حاجت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دهنده،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 و ائمّه، واسطه و شفيعند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همين جهت، قمر بنى‌هاشم را صدا مى‌زنم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مراعات مصلحت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همين كارهاى ما سوژه تبليغاتى پيدا مى‌كنند و به ما نسبت شرك مى‌دهند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كعبه و بيت الله هم، غير خدا را صدا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داريم، از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منكرش 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هيچ، همه عالم طفيل وجود اين انوار پاكند، ولى چه ربطى به حرف ما دارد؟</w:t>
      </w:r>
    </w:p>
    <w:p>
      <w:pPr>
        <w:pStyle w:val="BookText"/>
        <w:rPr/>
      </w:pPr>
      <w:r>
        <w:rPr>
          <w:rFonts w:ascii="IRNazanin" w:hAnsi="IRNazanin" w:eastAsia="IRNazanin"/>
          <w:color w:val="111111"/>
          <w:sz w:val="28"/>
          <w:sz w:val="28"/>
          <w:szCs w:val="28"/>
          <w:rtl w:val="true"/>
          <w:lang w:bidi="fa-IR"/>
        </w:rPr>
        <w:t>من مى‌گويم طواف، عالى‌ترين مظهر نشان دادن توحيد و 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و ياد خدا را تكرار نكنيم؟ يك شيعه لبنانى را ديدم كه از حفظ، فرازهاى عرفانى و عاشقانه دعاى كميل را در طواف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حتّى در طواف هم نام امام‌ها را تكرار مى‌كنم تا شكّ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ائمه معصوم، آن هم فقط هفت امام اوّل، براى اين هستند كه با نامشان عدد طواف‌هاى خود را بشماريم؟ اين بى‌معرفتى نسبت به مقام امامان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نبايد ما به اهل بيت، متوسّل شويم؟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توسّل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بهانه دست اينها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نام مبارك ائمه را تكرار مى‌كنى، لااقل آهسته، نه با فرياد، تا تهمت به ما نزنند</w:t>
      </w:r>
      <w:r>
        <w:rPr>
          <w:rFonts w:eastAsia="IRNazanin" w:cs="IRNazanin"/>
          <w:color w:val="111111"/>
          <w:sz w:val="28"/>
          <w:szCs w:val="28"/>
          <w:rtl w:val="true"/>
          <w:lang w:bidi="fa-IR"/>
        </w:rPr>
        <w:t>.</w:t>
      </w:r>
      <w:bookmarkStart w:id="22" w:name="pg1687_10393"/>
    </w:p>
    <w:p>
      <w:pPr>
        <w:pStyle w:val="Heading2"/>
        <w:numPr>
          <w:ilvl w:val="1"/>
          <w:numId w:val="1"/>
        </w:numPr>
        <w:rPr/>
      </w:pPr>
      <w:bookmarkStart w:id="23" w:name="__RefHeading___Toc1478879_3650668749"/>
      <w:bookmarkStart w:id="24" w:name="_Toc8"/>
      <w:bookmarkEnd w:id="22"/>
      <w:bookmarkEnd w:id="23"/>
      <w:r>
        <w:rPr>
          <w:rtl w:val="true"/>
        </w:rPr>
        <w:t>توسل‌</w:t>
      </w:r>
      <w:bookmarkEnd w:id="24"/>
    </w:p>
    <w:p>
      <w:pPr>
        <w:pStyle w:val="BookText"/>
        <w:rPr/>
      </w:pPr>
      <w:r>
        <w:rPr>
          <w:rFonts w:ascii="IRNazanin" w:hAnsi="IRNazanin" w:eastAsia="IRNazanin"/>
          <w:color w:val="111111"/>
          <w:sz w:val="28"/>
          <w:sz w:val="28"/>
          <w:szCs w:val="28"/>
          <w:rtl w:val="true"/>
          <w:lang w:bidi="fa-IR"/>
        </w:rPr>
        <w:t xml:space="preserve">در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ضريح نبوى كردم كه دعا و زيارت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بايست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حاجت خواستن از غير خدا شرك است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از رسول الله حاجت نمى‌خواهم، از خدا حاجت مى‌طلبم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رو به قبر پيامبر مى‌كنى و دعا مى‌خوانى؟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گنه‌كارم، ولى رسول الله نزد خداوند آبرو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واسطه و شفيع قرار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خدا را بخوانى شرك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 كه</w:t>
      </w:r>
    </w:p>
    <w:p>
      <w:pPr>
        <w:pStyle w:val="BookText"/>
        <w:rPr/>
      </w:pPr>
      <w:r>
        <w:rPr>
          <w:rFonts w:ascii="IRNazanin" w:hAnsi="IRNazanin" w:eastAsia="IRNazanin"/>
          <w:color w:val="111111"/>
          <w:sz w:val="28"/>
          <w:sz w:val="28"/>
          <w:szCs w:val="28"/>
          <w:rtl w:val="true"/>
          <w:lang w:bidi="fa-IR"/>
        </w:rPr>
        <w:t xml:space="preserve">يَا أَيُّهَا الَّذِينَ آمَنُوا اتَّقُوا اللَّهَ وَ ابْتَغُوا إِلَيْهِ الْوَسِيلَةَ وَ جَاهِدُوا فِي سَبِيلِهِ لَعَلَّكُمْ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 وسيله بجوييد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و واسطه جستن به درگاه الهى، چيزى است كه دستور خود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نزد پروردگار، همين دعا و نماز است؛ يعنى نماز بخوانيد تا به خدا نزديك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گنه‌كارى براى بخشايش گناهانش از يك انسان مقرّب و آبرومند در درگاه خدا بخواهد كه او براى اين گنه‌كار، آمرزش بطلبد، اين هم نوعى توسّل و شفيع طلبى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را حرام مى‌دانيد؟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پس اين آيه قرآن را چه مى‌گوييد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آنان كه به خود ستم كردند، نزد تو مى‌آمدند و از خدا آمرزش مى‌طلبيدند و پيامبر هم براى آنان آمرزش مى‌طلبيد، خدا</w:t>
      </w:r>
    </w:p>
    <w:p>
      <w:pPr>
        <w:pStyle w:val="BookText"/>
        <w:rPr/>
      </w:pPr>
      <w:r>
        <w:rPr>
          <w:rFonts w:ascii="IRNazanin" w:hAnsi="IRNazanin" w:eastAsia="IRNazanin"/>
          <w:color w:val="111111"/>
          <w:sz w:val="28"/>
          <w:sz w:val="28"/>
          <w:szCs w:val="28"/>
          <w:rtl w:val="true"/>
          <w:lang w:bidi="fa-IR"/>
        </w:rPr>
        <w:t>را توبه‌پذير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براى آمرزش، از دعا و خواسته پيامبر كمك بگيرند، آمرزيده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اين شرك و حرام است؟</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خاطر تخلّفش خود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مگر غير از اين است؟ </w:t>
      </w:r>
      <w:r>
        <w:rPr>
          <w:rStyle w:val="FootnoteAnchor"/>
          <w:rtl w:val="true"/>
        </w:rPr>
        <w:footnoteReference w:id="7"/>
      </w:r>
      <w:r>
        <w:rPr>
          <w:rFonts w:ascii="IRNazanin" w:hAnsi="IRNazanin" w:eastAsia="IRNazanin"/>
          <w:color w:val="111111"/>
          <w:sz w:val="28"/>
          <w:sz w:val="28"/>
          <w:szCs w:val="28"/>
          <w:rtl w:val="true"/>
          <w:lang w:bidi="fa-IR"/>
        </w:rPr>
        <w:t>آآآآ</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رسول خدا خبر دادند كه ابولبابه به مسجدالنبى رفته و خود را به اين ستون و استوانه بسته تا خدا از خطاى او درگذرد،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ابولبابه مستقيماً نزد من آمده بود و تقاضاى عفو مى‌كرد، تاكنون بخشيده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به خانه خدا رفته، بايد منتظر امر الهى بود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انجام مى‌دهيد، غير از داستان ابولبابه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برآورده شدن حاجت‌هاى خود نيز به غير خدا متوسل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صحابه را تأييد مى‌كنيد؟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صحابه براى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شما از تاريخ و سيره هم اطلاعى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كتب معتبر شماست، نقل شده كه عمربن‌خطاب وقتى قحطى پيش مى‌آمد، به‌وسيله عباس عموى پيامبر از خدا طلب باران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دچار قحطى و بى‌آبى مى‌شديم به‌وسيله پيامبران به تو متوسّل مى‌شديم و ما را سيراب مى‌كردى، امروز هم به‌وسيله عموى پيغمبرمان به تو متوسل مى‌شويم، ما را سيراب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 هم مى‌آمد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البته حرفى نداشت كه در پاسخ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هنگام برگشت، چشمم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صاحب‌الشفاعه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كه در رديف اوصاف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ديوار داخلى مسجدالنبى نوشته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بودم كه براى اين، چه جوابى دارند؟</w:t>
      </w:r>
      <w:r>
        <w:rPr>
          <w:rFonts w:eastAsia="IRNazanin" w:cs="IRNazanin"/>
          <w:color w:val="111111"/>
          <w:sz w:val="28"/>
          <w:szCs w:val="28"/>
          <w:rtl w:val="true"/>
          <w:lang w:bidi="fa-IR"/>
        </w:rPr>
        <w:t>!</w:t>
      </w:r>
      <w:bookmarkStart w:id="25" w:name="pg1687_10397"/>
    </w:p>
    <w:p>
      <w:pPr>
        <w:pStyle w:val="Heading2"/>
        <w:numPr>
          <w:ilvl w:val="1"/>
          <w:numId w:val="1"/>
        </w:numPr>
        <w:rPr/>
      </w:pPr>
      <w:bookmarkStart w:id="26" w:name="__RefHeading___Toc1478881_3650668749"/>
      <w:bookmarkStart w:id="27" w:name="_Toc9"/>
      <w:bookmarkEnd w:id="25"/>
      <w:bookmarkEnd w:id="26"/>
      <w:r>
        <w:rPr>
          <w:rtl w:val="true"/>
        </w:rPr>
        <w:t>تبرّك‌</w:t>
      </w:r>
      <w:bookmarkEnd w:id="27"/>
    </w:p>
    <w:p>
      <w:pPr>
        <w:pStyle w:val="BookText"/>
        <w:rPr/>
      </w:pPr>
      <w:r>
        <w:rPr>
          <w:rFonts w:ascii="IRNazanin" w:hAnsi="IRNazanin" w:eastAsia="IRNazanin"/>
          <w:color w:val="111111"/>
          <w:sz w:val="28"/>
          <w:sz w:val="28"/>
          <w:szCs w:val="28"/>
          <w:rtl w:val="true"/>
          <w:lang w:bidi="fa-IR"/>
        </w:rPr>
        <w:t xml:space="preserve">خواستم دستى به محفظه شيشه‌اى كه جاى پاى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دارد، بكشم، مأمور نگهبان به‌شدّت مرا به عقب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مانع مى‌شوى، مگر دست كشيدن يا بوسيدن به‌عنوان تبرك اشكالى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بى‌خاصيتند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خواستم بحث كنم، مرا به مبلّغى كه روى صندلى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الوعظ و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نشسته بود، ارجاع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نزد او رفتم و همان سؤال را مطرح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حرام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چه اشكالى دارد كسى از پارچه كعبه بردارد؟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كعبه، پارچه‌اى بيش نيست، چرا به آن تبرّك مى‌جوييد؟ بين لباس من و پارچه كعبه چه فرق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فرقى نبود، از لباس تو هم مى‌كندند تا يادگارى با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لباس تو تبرّك نمى‌برند؟</w:t>
      </w:r>
    </w:p>
    <w:p>
      <w:pPr>
        <w:pStyle w:val="BookText"/>
        <w:rPr/>
      </w:pPr>
      <w:r>
        <w:rPr>
          <w:rFonts w:ascii="IRNazanin" w:hAnsi="IRNazanin" w:eastAsia="IRNazanin"/>
          <w:color w:val="111111"/>
          <w:sz w:val="28"/>
          <w:sz w:val="28"/>
          <w:szCs w:val="28"/>
          <w:rtl w:val="true"/>
          <w:lang w:bidi="fa-IR"/>
        </w:rPr>
        <w:t>به‌علاوه، اگر پرده كعبه قداست و بركت ندارد، چرا متوليّان حرم پس از تعويض پرده، پرده قبلى كعبه را به قطعات كوچكى تقسيم مى‌كنند و به‌عنوان هديه، به رؤسا و سران ممالك يا شخصيت‌هاى مهمان مى‌دهند؟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يادگارى است، والّا خاصيت ديگرى ندارد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بى‌خاصيّت است، 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پيراهنى را كه در آن نماز خوانده بود، پس از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پيكر او پوشاند و كفن كرد تا او را از فشارهاى قبر حفظ كند؟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مگر نه اينكه شما هر چيز را تنها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سنّت و مجاز مى‌دانيد؟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همين‌طور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علماى شما گفته‌اند و در روايات هم هست كه لمس حجرالاسود و بوسيدن آن جايز، بلكه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نقل كرده‌اند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حجرالاسود را بوسيد و لمس كرد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اين‌كار، غير از تبرّك جستن به يك شى‌ء مقدس، چيست؟ در صحيح بخارى روايت شده از زيدبن‌اسْلَمْ و او از پدرش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عمربن‌خطاب، حجرالاسود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اين بود كه ديدم پيغمبر تو را بوسيد، تو را نمى‌بوسيدم</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دست كشيدن به ديوار و پرده كعبه يا لمس و بوسه بر مقام ابراهيم، چه فرقى با آن كار</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هر دو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شرك باشد و آن توحيد؟ آيا شما العياذ بالله حاضريد نسبت شرك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صداى اذان، بهانه خوبى براى ختم اين گفت‌وگو بود </w:t>
      </w:r>
      <w:r>
        <w:rPr>
          <w:rFonts w:eastAsia="IRNazanin" w:cs="IRNazanin"/>
          <w:color w:val="111111"/>
          <w:sz w:val="28"/>
          <w:szCs w:val="28"/>
          <w:rtl w:val="true"/>
          <w:lang w:bidi="fa-IR"/>
        </w:rPr>
        <w:t>...</w:t>
      </w:r>
      <w:bookmarkStart w:id="28" w:name="pg1687_10401"/>
    </w:p>
    <w:p>
      <w:pPr>
        <w:pStyle w:val="Heading2"/>
        <w:numPr>
          <w:ilvl w:val="1"/>
          <w:numId w:val="1"/>
        </w:numPr>
        <w:rPr/>
      </w:pPr>
      <w:bookmarkStart w:id="29" w:name="__RefHeading___Toc1478883_3650668749"/>
      <w:bookmarkStart w:id="30" w:name="_Toc10"/>
      <w:bookmarkEnd w:id="28"/>
      <w:bookmarkEnd w:id="29"/>
      <w:r>
        <w:rPr>
          <w:rtl w:val="true"/>
        </w:rPr>
        <w:t>بوسيدن‌</w:t>
      </w:r>
      <w:bookmarkEnd w:id="30"/>
    </w:p>
    <w:p>
      <w:pPr>
        <w:pStyle w:val="BookText"/>
        <w:rPr/>
      </w:pPr>
      <w:r>
        <w:rPr>
          <w:rFonts w:ascii="IRNazanin" w:hAnsi="IRNazanin" w:eastAsia="IRNazanin"/>
          <w:color w:val="111111"/>
          <w:sz w:val="28"/>
          <w:sz w:val="28"/>
          <w:szCs w:val="28"/>
          <w:rtl w:val="true"/>
          <w:lang w:bidi="fa-IR"/>
        </w:rPr>
        <w:t xml:space="preserve">مى‌خواستم از درِ مسجدالحرام وارد شوم كه ديدم زن سياه‌پوست،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چنان بر سر او زد كه دلم برايش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مهمان خداست، چرا به ميهمان خدا بى‌احترامى مى‌كنى؟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مى‌كند، شرك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مى‌كنى كه انسان با بوسيدن در، مشرك مى‌شود؟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كجايى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حقيقت دوريد و كارهايتان شرك‌آلود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جرأت مى‌كنى ما را كه از راه دور، به عشق خدا و رسول و براى حج آمده‌ايم،</w:t>
      </w:r>
    </w:p>
    <w:p>
      <w:pPr>
        <w:pStyle w:val="BookText"/>
        <w:rPr/>
      </w:pPr>
      <w:r>
        <w:rPr>
          <w:rFonts w:ascii="IRNazanin" w:hAnsi="IRNazanin" w:eastAsia="IRNazanin"/>
          <w:color w:val="111111"/>
          <w:sz w:val="28"/>
          <w:sz w:val="28"/>
          <w:szCs w:val="28"/>
          <w:rtl w:val="true"/>
          <w:lang w:bidi="fa-IR"/>
        </w:rPr>
        <w:t>مشرك بدانى؟ كجا مشرك، براى عبادت به مركز توحيد مى‌آيد؟ مگر مرز توحيد و شرك دست شماست كه هر كه را بخواهيد مشرك مى‌دانيد؟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ديوار، از سنگ و 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قداستى دارد كه مى‌بوسيد؟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تو در منزل، فرزندت را نمى‌بوسى؟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چرا كه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فرزند تو مقدس است كه مى‌بوسى؟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علاقه مى‌بوسم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بوسيدن هم از روى علاقه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خانه‌اش علاقه داريم و به‌خاطر اين محبّت، در و ديوارش را مى‌بوسيم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به يك شخص، سبب مى‌شود انسان، هرچيز مربوط به او را ببوسد و احترام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برايش خاطره‌انگيز و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سال‌ها آرزو داشته‌ايم كه به اينجا برسيم و در و ديوار خانه خدا را غرق در بوسه و اشك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نشانه عاطفه و عشق ماست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حال، حاجى پاكستانى ديگرى دست</w:t>
      </w:r>
    </w:p>
    <w:p>
      <w:pPr>
        <w:pStyle w:val="BookText"/>
        <w:rPr/>
      </w:pPr>
      <w:r>
        <w:rPr>
          <w:rFonts w:ascii="IRNazanin" w:hAnsi="IRNazanin" w:eastAsia="IRNazanin"/>
          <w:color w:val="111111"/>
          <w:sz w:val="28"/>
          <w:sz w:val="28"/>
          <w:szCs w:val="28"/>
          <w:rtl w:val="true"/>
          <w:lang w:bidi="fa-IR"/>
        </w:rPr>
        <w:t xml:space="preserve">به حلقه در گرفت و شروع به بوسيدن و لمس كرد كه مأمور، روى برگرداند تا او را از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حرم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برداشته در يكى از رواق‌ها روبه‌روى كعبه به تلاوت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كنار گذاشته، به نماز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مأموران ارشاد آمد و با عصبانيت فرمان داد كه قرآن را بردارم و در قفسه بگذارم و بدون مهلت، خودش خم شد و قرآن را برداشته، بوسيد و در قفسه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شرك،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كاغذ و ورق است، چرا مى‌بوسى؟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كاغذ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كاغذ، با نوشتن آيات خدا قداست و حرمت پيدا مى‌كند، سنگ و چوب و آهن و شيشه هم به خاطر انتساب به خدا و رسول، مقدس و محترم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چرا مردم، آهن و شيشه‌هاى مغازه‌ها را نمى‌بوسند؟ اين بوسه كه شما آن را شرك مى‌پنداريد، نشانه علاقه قلبى به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وقتى است كه اينها را</w:t>
      </w:r>
    </w:p>
    <w:p>
      <w:pPr>
        <w:pStyle w:val="BookText"/>
        <w:rPr/>
      </w:pPr>
      <w:r>
        <w:rPr>
          <w:rFonts w:ascii="IRNazanin" w:hAnsi="IRNazanin" w:eastAsia="IRNazanin"/>
          <w:color w:val="111111"/>
          <w:sz w:val="28"/>
          <w:sz w:val="28"/>
          <w:szCs w:val="28"/>
          <w:rtl w:val="true"/>
          <w:lang w:bidi="fa-IR"/>
        </w:rPr>
        <w:t>بپرستيم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و ديوار و سنگ و چوب را بپرستد، ما هم او را مشرك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دليلى بر اين‌گونه بوسيدن و تبرّك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صلح حديبيّه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مى‌گرفت، صحابه براى گرفتن قطرات وضويش با هم نزاع مى‌كردند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سر مى‌تراشيد و اصحاب آن حضرت، اطراف او را گرفته بودند و هر مويش در دستِ يكى از آنان بود</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با اينكه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مى‌ديد، ولى آنان را نهى نمى‌كرد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كه عمل اصحاب را حجّت و سند مى‌دانيد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نشنيده بودم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كمى مطالعه مى‌كردى</w:t>
      </w:r>
      <w:r>
        <w:rPr>
          <w:rFonts w:eastAsia="IRNazanin" w:cs="IRNazanin"/>
          <w:color w:val="111111"/>
          <w:sz w:val="28"/>
          <w:szCs w:val="28"/>
          <w:rtl w:val="true"/>
          <w:lang w:bidi="fa-IR"/>
        </w:rPr>
        <w:t>!</w:t>
      </w:r>
      <w:bookmarkStart w:id="31" w:name="pg1687_10405"/>
    </w:p>
    <w:p>
      <w:pPr>
        <w:pStyle w:val="Heading2"/>
        <w:numPr>
          <w:ilvl w:val="1"/>
          <w:numId w:val="1"/>
        </w:numPr>
        <w:rPr/>
      </w:pPr>
      <w:bookmarkStart w:id="32" w:name="__RefHeading___Toc1478885_3650668749"/>
      <w:bookmarkStart w:id="33" w:name="_Toc11"/>
      <w:bookmarkEnd w:id="31"/>
      <w:bookmarkEnd w:id="32"/>
      <w:r>
        <w:rPr>
          <w:rtl w:val="true"/>
        </w:rPr>
        <w:t>سلمان محمّدى‌</w:t>
      </w:r>
      <w:bookmarkEnd w:id="33"/>
    </w:p>
    <w:p>
      <w:pPr>
        <w:pStyle w:val="BookText"/>
        <w:rPr/>
      </w:pPr>
      <w:r>
        <w:rPr>
          <w:rFonts w:ascii="IRNazanin" w:hAnsi="IRNazanin" w:eastAsia="IRNazanin"/>
          <w:color w:val="111111"/>
          <w:sz w:val="28"/>
          <w:sz w:val="28"/>
          <w:szCs w:val="28"/>
          <w:rtl w:val="true"/>
          <w:lang w:bidi="fa-IR"/>
        </w:rPr>
        <w:t xml:space="preserve">از كتاب فروشى نزديك مسجدالحرام،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كتابى را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 قمّى، درباره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حديث از ائمّه اهل سنت و جماعت، هرچه بخواهى داريم؛ صحيح بخارى، سنن بيهقى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ايران، در كتاب فروشى‌ها و كتاب خانه‌هايمان، به وفور، كتاب‌هاى شما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مطالعه مى‌شود و هم خريد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از كتب شيعه هيچ نداريد؟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كتاب‌هاى مجوسيان را توزيع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انتظار چنين سخنى را از يك فرد آشنا به كتاب نداشتم،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دين، مربوط به كشور و شهر خاصّى نيست، به صرف ايرانى بودن نمى‌توان كسى را مجوس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ايران، قبل از اسلام دين زردشتى داشت، ولى ايرانيان از آئين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كردند و از مسلمانانِ راستين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سلمانِ فارسى كه از ايران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شدّت ايمان و به خاطر فضيلت بسيار و قرب سلمان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مجوس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مسلمانيم و از ايران براى زيارت خانه خدا و مرقد مطهر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مجوسى‌ها كجا به حج مى‌آيند؟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دانشمندان بزرگ اهل سنت، ايرانى بوده‌اند؛ مثلًا بعضى از نويسندگان صحاح و سنن شما، مثل بيهقى، بخارى، ترمذى، نسائى، ابن ماجه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پيشواى مذهب حنفى،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مشهورى چون طبرى، زمخشرى، فخر رازى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ايرانى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ايرانى بودن دليل بر مجوسيّت است، پس بايد اين علما هم مجوسى باشند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صداى اذان برخاست، خداحافظى كردم و به طرف مسجدالحرام روانه شدم</w:t>
      </w:r>
      <w:r>
        <w:rPr>
          <w:rFonts w:eastAsia="Amiri" w:cs="Amiri" w:ascii="Amiri" w:hAnsi="Amiri"/>
          <w:color w:val="111111"/>
          <w:sz w:val="28"/>
          <w:szCs w:val="28"/>
          <w:rtl w:val="true"/>
          <w:lang w:bidi="ar-SA"/>
        </w:rPr>
        <w:t>.</w:t>
      </w:r>
      <w:bookmarkStart w:id="34" w:name="pg1687_10409"/>
    </w:p>
    <w:p>
      <w:pPr>
        <w:pStyle w:val="Heading2"/>
        <w:numPr>
          <w:ilvl w:val="1"/>
          <w:numId w:val="1"/>
        </w:numPr>
        <w:rPr/>
      </w:pPr>
      <w:bookmarkStart w:id="35" w:name="__RefHeading___Toc1478887_3650668749"/>
      <w:bookmarkStart w:id="36" w:name="_Toc12"/>
      <w:bookmarkEnd w:id="34"/>
      <w:bookmarkEnd w:id="35"/>
      <w:r>
        <w:rPr>
          <w:rtl w:val="true"/>
        </w:rPr>
        <w:t>برائت از مشركان‌</w:t>
      </w:r>
      <w:bookmarkEnd w:id="36"/>
    </w:p>
    <w:p>
      <w:pPr>
        <w:pStyle w:val="BookText"/>
        <w:rPr/>
      </w:pPr>
      <w:r>
        <w:rPr>
          <w:rFonts w:ascii="IRNazanin" w:hAnsi="IRNazanin" w:eastAsia="IRNazanin"/>
          <w:color w:val="111111"/>
          <w:sz w:val="28"/>
          <w:sz w:val="28"/>
          <w:szCs w:val="28"/>
          <w:rtl w:val="true"/>
          <w:lang w:bidi="fa-IR"/>
        </w:rPr>
        <w:t>راننده تاكسى وقتى ديد ايرانى هستم،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امسال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مراسم برائت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 جزء روح حج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بدعت است كه شما ايرانى‌ها در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چنين چيزهايى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يك سنّت است كه قبلًا به فراموشى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مسلمان كه به خدا و توحيد معتقد است، بايد بيزارى خودش را از مشركان ابراز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مشركان عصر خود، با صداى بلند، نگفت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كَانَتْ لَكُمْ أُسْوَةٌ حَسَنَةٌ فِي إِبْرَاهِيمَ وَ الَّذِينَ مَعَهُ إِذْ قَالُوا لِقَوْمِهِمْ إِنَّا بُرَآءُ مِنْكُمْ وَ مِمَّا تَعْبُدُونَ مِنْ دُونِ اللَّهِ كَفَرْنَا بِكُمْ وَ بَدَا بَيْنَنَا وَ بَيْنَكُمُ الْعَدَاوَةُ وَ الْبَغْضَاءُ أَبَداً حَتَّى تُؤْمِنُوا بِاللَّهِ وَحْدَهُ إِلَّا قَوْلَ إِبْرَاهِيمَ لِأَبِيهِ لَأَسْتَغْفِرَنَّ لَكَ وَ مَا أَمْلِكُ لَكَ مِنَ اللَّهِ مِنْ شَيْ‌ءٍ رَبَّنَا عَلَيْكَ تَوَكَّلْنَا وَ إِلَيْكَ أَنَبْنَا وَ إِلَيْكَ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شما و از بت‌هايى كه مى‌پرستيد، بيزاريم و به شما كفر مى‌ورزيم و ميان ما و</w:t>
      </w:r>
    </w:p>
    <w:p>
      <w:pPr>
        <w:pStyle w:val="BookText"/>
        <w:rPr/>
      </w:pPr>
      <w:r>
        <w:rPr>
          <w:rFonts w:ascii="IRNazanin" w:hAnsi="IRNazanin" w:eastAsia="IRNazanin"/>
          <w:color w:val="111111"/>
          <w:sz w:val="28"/>
          <w:sz w:val="28"/>
          <w:szCs w:val="28"/>
          <w:rtl w:val="true"/>
          <w:lang w:bidi="fa-IR"/>
        </w:rPr>
        <w:t>شما دشمنى و خصومتى آشتى‌ناپذير و هميشگى است، تا آن زمان كه به خداى يگانه ايمان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اندكى تأمّل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آن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چندين هزار سال قبل، چه ارتباطى به ما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اوّل آيه، دستور پيروى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موحّدان همراهش را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مؤمنان به او در اين شعار و عمل، براى شما الگو و اسوه عملى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كَانَتْ لَكُمْ أُسْوَةٌ حَسَنَةٌ فِي إِبْرَاهِيمَ وَ الَّذِينَ مَعَهُ إِذْ قَالُوا لِقَوْمِهِمْ إِنَّا بُرَآءُ مِنْكُمْ وَ مِمَّا تَعْبُدُونَ مِنْ دُونِ اللَّهِ كَفَرْنَا بِكُمْ وَ بَدَا بَيْنَنَا وَ بَيْنَكُمُ الْعَدَاوَةُ وَ الْبَغْضَاءُ أَبَداً حَتَّى تُؤْمِنُوا بِاللَّهِ وَحْدَهُ إِلَّا قَوْلَ إِبْرَاهِيمَ لِأَبِيهِ لَأَسْتَغْفِرَنَّ لَكَ وَ مَا أَمْلِكُ لَكَ مِنَ اللَّهِ مِنْ شَيْ‌ءٍ رَبَّنَا عَلَيْكَ تَوَكَّلْنَا وَ إِلَيْكَ أَنَبْنَا وَ إِلَيْكَ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شما مسلمانان نيز بايد همچون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كفار، ابراز برائت و بيزارى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قرآن نمى‌گويد كه در حج،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 وجدال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شما چرا شعار مى‌دهيد و تظاهرات مى‌كنيد؟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مسلمانان در ايام حج، بايد حريم حرم امن الهى را حفظ كنند و از نزاع و مشاجره</w:t>
      </w:r>
    </w:p>
    <w:p>
      <w:pPr>
        <w:pStyle w:val="BookText"/>
        <w:rPr/>
      </w:pPr>
      <w:r>
        <w:rPr>
          <w:rFonts w:ascii="IRNazanin" w:hAnsi="IRNazanin" w:eastAsia="IRNazanin"/>
          <w:color w:val="111111"/>
          <w:sz w:val="28"/>
          <w:sz w:val="28"/>
          <w:szCs w:val="28"/>
          <w:rtl w:val="true"/>
          <w:lang w:bidi="fa-IR"/>
        </w:rPr>
        <w:t>بپرهيزند و با هم درگير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نسبت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نبايد بيزارى خودشان را از دشمنان خدا و كعبه و قبله و حج ابراز كنند؟</w:t>
      </w:r>
    </w:p>
    <w:p>
      <w:pPr>
        <w:pStyle w:val="BookText"/>
        <w:rPr/>
      </w:pPr>
      <w:r>
        <w:rPr>
          <w:rFonts w:ascii="IRNazanin" w:hAnsi="IRNazanin" w:eastAsia="IRNazanin"/>
          <w:color w:val="111111"/>
          <w:sz w:val="28"/>
          <w:sz w:val="28"/>
          <w:szCs w:val="28"/>
          <w:rtl w:val="true"/>
          <w:lang w:bidi="fa-IR"/>
        </w:rPr>
        <w:t>به علاوه، ما كه با كسى درگير نمى‌شويم، ما فقط كينه و بيزارى خود را نسبت به كفر جهانى اعلام 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 را نبايد با شعارها و برنامه‌هاى سياسى مخلوط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بايد نماز خواند و طواف كرد و ذكر خدا گفت و قرآن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مراسم اعلان برائت، يك عمل سياسى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سال نهم هجرى، آيات اول سوره توبه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أَذَانٌ مِنَ اللَّهِ وَ رَسُولِهِ إِلَى النَّاسِ يَوْمَ الْحَجِّ الْأَكْبَرِ أَنَّ اللَّهَ بَرِي‌ءٌ مِنَ الْمُشْرِكِينَ وَ رَسُولُهُ فَإِنْ تُبْتُمْ فَهُوَ خَيْرٌ لَكُمْ وَ إِنْ تَوَلَّيْتُمْ فَاعْلَمُوا أَنَّكُمْ غَيْرُ مُعْجِزِي اللَّهِ وَ بَشِّرِ الَّذِينَ كَفَرُوا بِعَذَابٍ 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 و مگر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على‌بن‌ابى‌طالب را مأمور نكرد كه اين آيات را كه اعلام بيزارى از مشركان بود، در موسم حج بخواند و فرياد برائت را</w:t>
      </w:r>
    </w:p>
    <w:p>
      <w:pPr>
        <w:pStyle w:val="BookText"/>
        <w:rPr/>
      </w:pPr>
      <w:r>
        <w:rPr>
          <w:rFonts w:ascii="IRNazanin" w:hAnsi="IRNazanin" w:eastAsia="IRNazanin"/>
          <w:color w:val="111111"/>
          <w:sz w:val="28"/>
          <w:sz w:val="28"/>
          <w:szCs w:val="28"/>
          <w:rtl w:val="true"/>
          <w:lang w:bidi="fa-IR"/>
        </w:rPr>
        <w:t>به گوش مشركان برساند؟</w:t>
      </w:r>
      <w:r>
        <w:rPr>
          <w:rStyle w:val="FootnoteAnchor"/>
          <w:rtl w:val="true"/>
        </w:rPr>
        <w:footnoteReference w:id="1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در تاريخ اسلام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دستور خدا در سوره توبه است، هم عمل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بنيانگذار كعبه است و 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برنامه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كجاى اين كار، بدعت يا خلاف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تازه، آنها كه با برائت مخالفت مى‌كنند يا در آن شركت نمى‌كنند، سنّت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كرده‌اند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مقصد رسيده بوديم، ناچار كرايه را دادم و پياده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راننده همچنان در فكر حرف‌هايى بود كه از قرآن و سنّت برايش گفته بودم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يَكْنِزُونَ الذَّهَبَ وَ الْفِضَّه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لى الأرضُ مسجداً وطَهوراً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ابولبابه از اصحاب بدرى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واسطه بين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يهود بنى‌قريظه شد تا حَكَم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از وى پرسيدند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نظرت درباره تسليم شدن در برابر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چيست؟ ابولبابه به حلق خود اشاره نمود؛ يعنى اگر تسليم شويد، گردن زده مى‌شويد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ابولبابه بعد اين ماجرا پشيمان شد و به مسجدالنبى آمد و خود را به ستون بست تا خدا توبه‌اش را بپذيرد و خداوند نيز پس از چند روز توبه‌اش را پذيرفت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بيروت، دارالنصر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مسأله تنها به‌منظور تسهيل در فهم مطلب از سوى مخاطب مورد اشاره و احتجاج قرار گرفته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هيثمى،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بيروت، دارالكتب العلميه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درويش، فتاوى لجنة الدائمه،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باب ما ذكر فى الحجرالاسود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بيروت، دارالفكر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واحدى، اسباب النزول،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2.jpeg"/><Relationship Id="rId46" Type="http://schemas.openxmlformats.org/officeDocument/2006/relationships/image" Target="media/image2.jpeg"/><Relationship Id="rId47" Type="http://schemas.openxmlformats.org/officeDocument/2006/relationships/footer" Target="footer40.xml"/><Relationship Id="rId48" Type="http://schemas.openxmlformats.org/officeDocument/2006/relationships/footnotes" Target="footnotes.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Pages>
  <Words>4865</Words>
  <Characters>18823</Characters>
  <CharactersWithSpaces>23419</CharactersWithSpaces>
  <Paragraphs>286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2026-08-16T17:50:32Z</dcterms:created>
  <dc:creator>ghaemiyeh.com</dc:creator>
  <dc:description/>
  <dc:language>en-US</dc:language>
  <cp:lastModifiedBy/>
  <dcterms:modified xsi:type="dcterms:W3CDTF">2026-08-16T21:20:33Z</dcterms:modified>
  <cp:revision>1</cp:revision>
  <dc:subject/>
  <dc:title>گفتم گفت</dc:title>
</cp:coreProperties>
</file>

<file path=docProps/custom.xml><?xml version="1.0" encoding="utf-8"?>
<Properties xmlns="http://schemas.openxmlformats.org/officeDocument/2006/custom-properties" xmlns:vt="http://schemas.openxmlformats.org/officeDocument/2006/docPropsVTypes"/>
</file>