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الجمع بین العمره و الحج فی اشهر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230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2303_3650668749">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732305_3650668749">
            <w:r>
              <w:rPr>
                <w:webHidden/>
                <w:rStyle w:val="IndexLink"/>
                <w:rtl w:val="true"/>
              </w:rPr>
              <w:t>الجمع بين الحج والعمرة</w:t>
            </w:r>
            <w:r>
              <w:rPr>
                <w:rStyle w:val="IndexLink"/>
                <w:rtl w:val="true"/>
              </w:rPr>
              <w:tab/>
            </w:r>
            <w:r>
              <w:rPr>
                <w:rStyle w:val="IndexLink"/>
              </w:rPr>
              <w:t>7</w:t>
            </w:r>
          </w:hyperlink>
        </w:p>
        <w:p>
          <w:pPr>
            <w:pStyle w:val="Contents2"/>
            <w:tabs>
              <w:tab w:val="clear" w:pos="8743"/>
              <w:tab w:val="right" w:pos="9026" w:leader="dot"/>
            </w:tabs>
            <w:rPr/>
          </w:pPr>
          <w:hyperlink w:anchor="__RefHeading___Toc732307_3650668749">
            <w:r>
              <w:rPr>
                <w:webHidden/>
                <w:rStyle w:val="IndexLink"/>
              </w:rPr>
              <w:t>1</w:t>
            </w:r>
            <w:r>
              <w:rPr>
                <w:rStyle w:val="IndexLink"/>
                <w:rtl w:val="true"/>
              </w:rPr>
              <w:t xml:space="preserve">- </w:t>
            </w:r>
            <w:r>
              <w:rPr>
                <w:rStyle w:val="IndexLink"/>
                <w:rtl w:val="true"/>
              </w:rPr>
              <w:t>حجّ التمتع</w:t>
            </w:r>
            <w:r>
              <w:rPr>
                <w:rStyle w:val="IndexLink"/>
                <w:rtl w:val="true"/>
              </w:rPr>
              <w:t>:</w:t>
              <w:tab/>
            </w:r>
            <w:r>
              <w:rPr>
                <w:rStyle w:val="IndexLink"/>
              </w:rPr>
              <w:t>8</w:t>
            </w:r>
          </w:hyperlink>
        </w:p>
        <w:p>
          <w:pPr>
            <w:pStyle w:val="Contents2"/>
            <w:tabs>
              <w:tab w:val="clear" w:pos="8743"/>
              <w:tab w:val="right" w:pos="9026" w:leader="dot"/>
            </w:tabs>
            <w:rPr/>
          </w:pPr>
          <w:hyperlink w:anchor="__RefHeading___Toc732309_3650668749">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حجّ الإفراد وحجّ القران</w:t>
            </w:r>
            <w:r>
              <w:rPr>
                <w:rStyle w:val="IndexLink"/>
                <w:rtl w:val="true"/>
              </w:rPr>
              <w:t>:</w:t>
              <w:tab/>
            </w:r>
            <w:r>
              <w:rPr>
                <w:rStyle w:val="IndexLink"/>
              </w:rPr>
              <w:t>10</w:t>
            </w:r>
          </w:hyperlink>
        </w:p>
        <w:p>
          <w:pPr>
            <w:pStyle w:val="Contents2"/>
            <w:tabs>
              <w:tab w:val="clear" w:pos="8743"/>
              <w:tab w:val="right" w:pos="9026" w:leader="dot"/>
            </w:tabs>
            <w:rPr/>
          </w:pPr>
          <w:hyperlink w:anchor="__RefHeading___Toc732311_3650668749">
            <w:r>
              <w:rPr>
                <w:webHidden/>
                <w:rStyle w:val="IndexLink"/>
                <w:rtl w:val="true"/>
              </w:rPr>
              <w:t>المتمتّع</w:t>
            </w:r>
            <w:r>
              <w:rPr>
                <w:rStyle w:val="IndexLink"/>
                <w:rtl w:val="true"/>
              </w:rPr>
              <w:tab/>
            </w:r>
            <w:r>
              <w:rPr>
                <w:rStyle w:val="IndexLink"/>
              </w:rPr>
              <w:t>10</w:t>
            </w:r>
          </w:hyperlink>
        </w:p>
        <w:p>
          <w:pPr>
            <w:pStyle w:val="Contents3"/>
            <w:tabs>
              <w:tab w:val="clear" w:pos="8459"/>
              <w:tab w:val="right" w:pos="9026" w:leader="dot"/>
            </w:tabs>
            <w:rPr/>
          </w:pPr>
          <w:hyperlink w:anchor="__RefHeading___Toc732313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32315_3650668749">
            <w:r>
              <w:rPr>
                <w:webHidden/>
                <w:rStyle w:val="IndexLink"/>
                <w:rtl w:val="true"/>
              </w:rPr>
              <w:t>أولًا</w:t>
            </w:r>
            <w:r>
              <w:rPr>
                <w:rStyle w:val="IndexLink"/>
                <w:rtl w:val="true"/>
              </w:rPr>
              <w:t xml:space="preserve">: </w:t>
            </w:r>
            <w:r>
              <w:rPr>
                <w:rStyle w:val="IndexLink"/>
                <w:rtl w:val="true"/>
              </w:rPr>
              <w:t>سنّة الرسول صلى الله عليه و آله في العمرة</w:t>
            </w:r>
            <w:r>
              <w:rPr>
                <w:rStyle w:val="IndexLink"/>
                <w:rtl w:val="true"/>
              </w:rPr>
              <w:tab/>
            </w:r>
            <w:r>
              <w:rPr>
                <w:rStyle w:val="IndexLink"/>
              </w:rPr>
              <w:t>12</w:t>
            </w:r>
          </w:hyperlink>
        </w:p>
        <w:p>
          <w:pPr>
            <w:pStyle w:val="Contents3"/>
            <w:tabs>
              <w:tab w:val="clear" w:pos="8459"/>
              <w:tab w:val="right" w:pos="9026" w:leader="dot"/>
            </w:tabs>
            <w:rPr/>
          </w:pPr>
          <w:hyperlink w:anchor="__RefHeading___Toc732317_3650668749">
            <w:r>
              <w:rPr>
                <w:webHidden/>
                <w:rStyle w:val="IndexLink"/>
                <w:rtl w:val="true"/>
              </w:rPr>
              <w:t>ثانياً</w:t>
            </w:r>
            <w:r>
              <w:rPr>
                <w:rStyle w:val="IndexLink"/>
                <w:rtl w:val="true"/>
              </w:rPr>
              <w:t xml:space="preserve">: </w:t>
            </w:r>
            <w:r>
              <w:rPr>
                <w:rStyle w:val="IndexLink"/>
                <w:rtl w:val="true"/>
              </w:rPr>
              <w:t>سنّة الرسول في حجّ التمتع</w:t>
            </w:r>
            <w:r>
              <w:rPr>
                <w:rStyle w:val="IndexLink"/>
                <w:rtl w:val="true"/>
              </w:rPr>
              <w:tab/>
            </w:r>
            <w:r>
              <w:rPr>
                <w:rStyle w:val="IndexLink"/>
              </w:rPr>
              <w:t>13</w:t>
            </w:r>
          </w:hyperlink>
        </w:p>
        <w:p>
          <w:pPr>
            <w:pStyle w:val="Contents2"/>
            <w:tabs>
              <w:tab w:val="clear" w:pos="8743"/>
              <w:tab w:val="right" w:pos="9026" w:leader="dot"/>
            </w:tabs>
            <w:rPr/>
          </w:pPr>
          <w:hyperlink w:anchor="__RefHeading___Toc732319_3650668749">
            <w:r>
              <w:rPr>
                <w:webHidden/>
                <w:rStyle w:val="IndexLink"/>
                <w:rtl w:val="true"/>
              </w:rPr>
              <w:t>خلاصة الروايات في سنّة الرسول في عمرة التمتّع وحجّ التمتّع</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_12351"/>
      <w:bookmarkStart w:id="1" w:name="pg1568_12351"/>
      <w:bookmarkEnd w:id="1"/>
    </w:p>
    <w:p>
      <w:pPr>
        <w:pStyle w:val="Heading2"/>
        <w:numPr>
          <w:ilvl w:val="1"/>
          <w:numId w:val="1"/>
        </w:numPr>
        <w:rPr/>
      </w:pPr>
      <w:bookmarkStart w:id="2" w:name="pg1568_12351"/>
      <w:bookmarkStart w:id="3" w:name="__RefHeading___Toc73230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العمرة و الحج في أشهر الحج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العسكري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2303_3650668749"/>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لنا اليوم وفي كلّ يوم أن نرجع إلى الكتاب والسنّة في ما اختلفنا فيه ونوحّد كلمتنا حولهما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 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7" w:name="pg1568_12365"/>
    </w:p>
    <w:p>
      <w:pPr>
        <w:pStyle w:val="Heading2"/>
        <w:numPr>
          <w:ilvl w:val="1"/>
          <w:numId w:val="1"/>
        </w:numPr>
        <w:rPr/>
      </w:pPr>
      <w:bookmarkStart w:id="8" w:name="__RefHeading___Toc732305_3650668749"/>
      <w:bookmarkStart w:id="9" w:name="_Toc3"/>
      <w:bookmarkEnd w:id="7"/>
      <w:bookmarkEnd w:id="8"/>
      <w:r>
        <w:rPr>
          <w:rtl w:val="true"/>
        </w:rPr>
        <w:t>الجمع بين الحج والعمرة</w:t>
      </w:r>
      <w:bookmarkEnd w:id="9"/>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شرّع اللَّه سبحانه التمتّع بالعمرة الى الحجّ لمن لم يكن أهله حاضري المسجد الحرام وأمن، وبيّن في الآية التي تليها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العمرة والحجّ يجب أن يقع في أشهر الحجّ</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 أنّ الحجّ ينقسم الى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rtl w:val="true"/>
          <w:lang w:bidi="ar-SA"/>
        </w:rPr>
        <w:t>.</w:t>
      </w:r>
      <w:bookmarkStart w:id="10" w:name="pg1568_12368"/>
    </w:p>
    <w:p>
      <w:pPr>
        <w:pStyle w:val="Heading2"/>
        <w:numPr>
          <w:ilvl w:val="1"/>
          <w:numId w:val="1"/>
        </w:numPr>
        <w:rPr/>
      </w:pPr>
      <w:bookmarkStart w:id="11" w:name="__RefHeading___Toc732307_3650668749"/>
      <w:bookmarkStart w:id="12" w:name="_Toc4"/>
      <w:bookmarkEnd w:id="10"/>
      <w:bookmarkEnd w:id="11"/>
      <w:r>
        <w:rPr/>
        <w:t>1</w:t>
      </w:r>
      <w:r>
        <w:rPr>
          <w:rtl w:val="true"/>
        </w:rPr>
        <w:t xml:space="preserve">- </w:t>
      </w:r>
      <w:r>
        <w:rPr>
          <w:rtl w:val="true"/>
        </w:rPr>
        <w:t>حجّ التمتع</w:t>
      </w:r>
      <w:r>
        <w:rPr>
          <w:rtl w:val="true"/>
        </w:rPr>
        <w:t>:</w:t>
      </w:r>
      <w:bookmarkEnd w:id="12"/>
    </w:p>
    <w:p>
      <w:pPr>
        <w:pStyle w:val="BookText"/>
        <w:rPr/>
      </w:pPr>
      <w:r>
        <w:rPr>
          <w:rFonts w:ascii="Amiri" w:hAnsi="Amiri" w:eastAsia="Amiri" w:cs="Amiri"/>
          <w:color w:val="111111"/>
          <w:sz w:val="28"/>
          <w:sz w:val="28"/>
          <w:szCs w:val="28"/>
          <w:rtl w:val="true"/>
          <w:lang w:bidi="ar-SA"/>
        </w:rPr>
        <w:t>وهو فرض من لم يكن أهله حاضري المسجد الحرام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بالعمرة الى الحجّ ويلبي بها من الميقات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وذي القعدة وذي الحجّة ثمّ يأتي مكّة ويطوف بالبيت سبعاً ويصلّي ركعتي الطواف ويسعى بين الصفا والمروة سبعاً ثمّ يقصّر فيحلّ له جميع ما حرم عليه بالإحرام ويقيم بمكّة محلًّا حتى ينشئ يوم التروية من تلك السنة إحراماً آخر للحجّ ثمّ يخرج الى عرفات ثمّ يفيض منها بعد غروب التاسع الى المشعر ومنها الى منى وهكذا حتى يتمّ مناسك الحجّ ويحلّ بالحلق أو التقصير من إحرامه، ويسمّى هذا الحجّ بحجّ التمتّع وعمرته بعمرة التمتّع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الحاجّ يتمتّع بالحلّ بين إحرامي العمرة والحجّ ومدّة الحلّ بين الإحرامين هي متعة الحجّ التي حرّمها الخليفة عمر ومن تبعه على ذلك ويأتي بها جلّ المسلمين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أهل البيت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للحجّ من الميقات أو منزله إن</w:t>
      </w:r>
    </w:p>
    <w:p>
      <w:pPr>
        <w:pStyle w:val="BookText"/>
        <w:rPr/>
      </w:pPr>
      <w:r>
        <w:rPr>
          <w:rFonts w:ascii="Amiri" w:hAnsi="Amiri" w:eastAsia="Amiri" w:cs="Amiri"/>
          <w:color w:val="111111"/>
          <w:sz w:val="28"/>
          <w:sz w:val="28"/>
          <w:szCs w:val="28"/>
          <w:rtl w:val="true"/>
          <w:lang w:bidi="ar-SA"/>
        </w:rPr>
        <w:t>كان دون الميقات ثمّ يمضي الى عرفات ويقف بها يوم التاسع، ثمّ يأتي بباقي مناسك الحجّ حتى يتمّها جميعاً، ثمّ يحلّ من إحرامه وعليه عمرة مفردة يأتي بها من أدنى الحلّ أو من أحد المواقيت وتصحّ تمام السنة ويسمّيان بالإفراد والمفردة لأنّ الحاجّ يأتي بكلّ منهما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كالإفراد في جميع مناسكه ويتميّز عنه بأنّ القارن يسوق الهدي عند إحرامه،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بين التلبية والهدي فليزمه بسياقه، وليس على المفرد هدي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وأحدهما فرض حاضري المسجد الحرام على سبيل التخيير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مدرسة الخلفاء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 بين العمرة والحجّ أي يجمع بينهما بنيّة واحدة وتلبية واحدة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أو يهلّ بالعمرة في أشهر الحجّ ثمّ يردف ذلك بالحجّ قبل أن يحلّ من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القارن من غير حاضري المسجد الحرام هدي</w:t>
      </w:r>
      <w:bookmarkStart w:id="13" w:name="pg1568_12372"/>
    </w:p>
    <w:p>
      <w:pPr>
        <w:pStyle w:val="Heading2"/>
        <w:numPr>
          <w:ilvl w:val="1"/>
          <w:numId w:val="1"/>
        </w:numPr>
        <w:rPr/>
      </w:pPr>
      <w:bookmarkStart w:id="14" w:name="__RefHeading___Toc732309_3650668749"/>
      <w:bookmarkStart w:id="15" w:name="_Toc5"/>
      <w:bookmarkEnd w:id="13"/>
      <w:bookmarkEnd w:id="14"/>
      <w:r>
        <w:rPr/>
        <w:t>2</w:t>
      </w:r>
      <w:r>
        <w:rPr>
          <w:rtl w:val="true"/>
        </w:rPr>
        <w:t xml:space="preserve"> </w:t>
      </w:r>
      <w:r>
        <w:rPr>
          <w:rtl w:val="true"/>
        </w:rPr>
        <w:t xml:space="preserve">و </w:t>
      </w:r>
      <w:r>
        <w:rPr/>
        <w:t>3</w:t>
      </w:r>
      <w:r>
        <w:rPr>
          <w:rtl w:val="true"/>
        </w:rPr>
        <w:t xml:space="preserve">- </w:t>
      </w:r>
      <w:r>
        <w:rPr>
          <w:rtl w:val="true"/>
        </w:rPr>
        <w:t>حجّ الإفراد وحجّ القران</w:t>
      </w:r>
      <w:r>
        <w:rPr>
          <w:rtl w:val="true"/>
        </w:rPr>
        <w:t>:</w:t>
      </w:r>
      <w:bookmarkEnd w:id="15"/>
    </w:p>
    <w:p>
      <w:pPr>
        <w:pStyle w:val="Heading2"/>
        <w:numPr>
          <w:ilvl w:val="1"/>
          <w:numId w:val="1"/>
        </w:numPr>
        <w:rPr/>
      </w:pPr>
      <w:bookmarkStart w:id="16" w:name="__RefHeading___Toc732311_3650668749"/>
      <w:bookmarkStart w:id="17" w:name="_Toc6"/>
      <w:bookmarkEnd w:id="16"/>
      <w:r>
        <w:rPr>
          <w:rtl w:val="true"/>
        </w:rPr>
        <w:t>المتمتّع</w:t>
      </w:r>
      <w:bookmarkEnd w:id="17"/>
    </w:p>
    <w:p>
      <w:pPr>
        <w:pStyle w:val="Heading3"/>
        <w:numPr>
          <w:ilvl w:val="2"/>
          <w:numId w:val="1"/>
        </w:numPr>
        <w:rPr/>
      </w:pPr>
      <w:bookmarkStart w:id="18" w:name="__RefHeading___Toc732313_3650668749"/>
      <w:bookmarkStart w:id="19" w:name="_Toc7"/>
      <w:bookmarkEnd w:id="18"/>
      <w:r>
        <w:rPr>
          <w:rtl w:val="true"/>
        </w:rPr>
        <w:t>اشارة</w:t>
      </w:r>
      <w:bookmarkEnd w:id="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متمتّعاً ولا قارناً بل يهلّ بالحجّ فقط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الحجّ، وفي بعض الروايات جرّد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تلكم أنواع الحجّ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المشركون في الجاهلية فكان عندهم ما رواه كلّ من البخاري ومسلم فيصح يحيهما، وأحمد في مسنده، والبيهقي في سننه الكبرى وغيرهم في غيرها، واللفظ للأوّل، عن ابن عباس أنّه أخبر عن المشركين في الجاهلية وقال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يرون العمرة في أشهر الححّ من أفجر الفجور في الأرض ويجعلون المحرّم صفر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الدبر وعفا الأثر وانسلخصفر حلّت العمرة لمن اعتمر</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النووي في شرح مسلم أنّ العلماء قالوا في شرح الرواية الآنفة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المحرّمصفر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الإخبار عن النسي‌ء الذي كانوا يفعلونه، وكانوا يسمّون المحرّمصفراً ويحلّونه وينسئون المحرّم،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يؤخّرون تحريمه الى ما بعدصفر، لئلّا يتوالى بينهم ثلاثة أشهر محرّمة تضيق عليهم أمورهم من الغارة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برأ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برأ ما كان يحصل بظهور الإبل من الحمل عليها ومشقّة السفر، فإنّه كان يبرأ بعد انصرافهم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اندرس أثر الإبل وغيره في سيرها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تعليل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تعلّق جواز الاعتمار بانسلاخصفر مع كونه ليس من أشهر الحجّ، وكذلك المحرّم أنّهم لمّا جعلوا المحرّمصفراً ولا يبر دبر إبلهم</w:t>
      </w:r>
      <w:bookmarkStart w:id="20" w:name="pg1568_12376"/>
    </w:p>
    <w:p>
      <w:pPr>
        <w:pStyle w:val="BookText"/>
        <w:rPr/>
      </w:pPr>
      <w:bookmarkEnd w:id="20"/>
      <w:r>
        <w:rPr>
          <w:rFonts w:ascii="Amiri" w:hAnsi="Amiri" w:eastAsia="Amiri" w:cs="Amiri"/>
          <w:color w:val="111111"/>
          <w:sz w:val="28"/>
          <w:sz w:val="28"/>
          <w:szCs w:val="28"/>
          <w:rtl w:val="true"/>
          <w:lang w:bidi="ar-SA"/>
        </w:rPr>
        <w:t xml:space="preserve">عند انسلاخه، ألحقوه بأشهر الحجّ على طريق التبعية، وجعلوا أوّل أشهر الاعتمار شهر المحرّم الذي هو في الأصلصفر، والعمرة عندهم في غير أشهر الحجّ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دأب قريش وسنّتهم في العمرة وقد خالفهم الرسول في ذلك كالآتي بيانه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32315_3650668749"/>
      <w:bookmarkStart w:id="22" w:name="_Toc8"/>
      <w:bookmarkEnd w:id="21"/>
      <w:r>
        <w:rPr>
          <w:rtl w:val="true"/>
        </w:rPr>
        <w:t>أولًا</w:t>
      </w:r>
      <w:r>
        <w:rPr>
          <w:rtl w:val="true"/>
        </w:rPr>
        <w:t xml:space="preserve">: </w:t>
      </w:r>
      <w:r>
        <w:rPr>
          <w:rtl w:val="true"/>
        </w:rPr>
        <w:t>سنّة الرسول صلى الله عليه و آله في العمرة</w:t>
      </w:r>
      <w:bookmarkEnd w:id="22"/>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صلى الله عليه و آله بعد الهجرة أربع عُمَر كلّهن في ذي القعدة، وأيّد ذلك بما رواه عن أنس وابن عباس وعائشة وفي لفظ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يعتمر رسول اللَّه صلى الله عليه و آله إلّافي ذي القعدة</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أنّ عمرةً كلّها كانت في أشهر الحجّ مخالفة لهدي المشركين، فإنّهم كانوا يكرهون العمرة</w:t>
      </w:r>
      <w:bookmarkStart w:id="23" w:name="pg1568_12378"/>
    </w:p>
    <w:p>
      <w:pPr>
        <w:pStyle w:val="BookText"/>
        <w:rPr/>
      </w:pPr>
      <w:bookmarkEnd w:id="23"/>
      <w:r>
        <w:rPr>
          <w:rFonts w:ascii="Amiri" w:hAnsi="Amiri" w:eastAsia="Amiri" w:cs="Amiri"/>
          <w:color w:val="111111"/>
          <w:sz w:val="28"/>
          <w:sz w:val="28"/>
          <w:szCs w:val="28"/>
          <w:rtl w:val="true"/>
          <w:lang w:bidi="ar-SA"/>
        </w:rPr>
        <w:t>في أشهر الحجّ، ويقولون هي من أفجر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الاعتمار في أشهر الحجّ أفضل منه في رجب بلا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اللَّه ليختار لنبيّه صلى الله عليه و آله في عمرةٍ إلّاأولى الأوقات وأحقّها بها </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732317_3650668749"/>
      <w:bookmarkStart w:id="25" w:name="_Toc9"/>
      <w:bookmarkEnd w:id="24"/>
      <w:r>
        <w:rPr>
          <w:rtl w:val="true"/>
        </w:rPr>
        <w:t>ثانياً</w:t>
      </w:r>
      <w:r>
        <w:rPr>
          <w:rtl w:val="true"/>
        </w:rPr>
        <w:t xml:space="preserve">: </w:t>
      </w:r>
      <w:r>
        <w:rPr>
          <w:rtl w:val="true"/>
        </w:rPr>
        <w:t>سنّة الرسول في حجّ التمتع</w:t>
      </w:r>
      <w:bookmarkEnd w:id="25"/>
    </w:p>
    <w:p>
      <w:pPr>
        <w:pStyle w:val="BookText"/>
        <w:rPr/>
      </w:pPr>
      <w:r>
        <w:rPr>
          <w:rFonts w:ascii="Amiri" w:hAnsi="Amiri" w:eastAsia="Amiri" w:cs="Amiri"/>
          <w:color w:val="111111"/>
          <w:sz w:val="28"/>
          <w:sz w:val="28"/>
          <w:szCs w:val="28"/>
          <w:rtl w:val="true"/>
          <w:lang w:bidi="ar-SA"/>
        </w:rPr>
        <w:t>نصّت الآيتان بكلّ جلاء ووضوح على هذا الحكم، والى هذا أشار الصحابيّ عمران بن الحصين حسب رواية البخاري فيصحيحه عنه، حيث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أُنزلت آية المتعة في كتاب اللَّه ففعلناها مع رسول اللَّه صلى الله عليه و آله ولم ينزل القرآن يحرّمه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ينه عنها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بها رسول اللَّه صلى الله عليه و آله، ثمّ لم تنزل آية تنسخ آية متعة الحجّ، ولم ينه عنها رسول اللَّه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جاء في الروايات عن سنّة الرسول صلى الله عليه و آله فيها ما يأتي</w:t>
      </w:r>
      <w:r>
        <w:rPr>
          <w:rFonts w:eastAsia="Amiri" w:cs="Amiri" w:ascii="Amiri" w:hAnsi="Amiri"/>
          <w:color w:val="111111"/>
          <w:sz w:val="28"/>
          <w:szCs w:val="28"/>
          <w:rtl w:val="true"/>
          <w:lang w:bidi="ar-SA"/>
        </w:rPr>
        <w:t>:</w:t>
      </w:r>
      <w:bookmarkStart w:id="26" w:name="pg1568_12382"/>
    </w:p>
    <w:p>
      <w:pPr>
        <w:pStyle w:val="Heading2"/>
        <w:numPr>
          <w:ilvl w:val="1"/>
          <w:numId w:val="1"/>
        </w:numPr>
        <w:rPr/>
      </w:pPr>
      <w:bookmarkStart w:id="27" w:name="__RefHeading___Toc732319_3650668749"/>
      <w:bookmarkStart w:id="28" w:name="_Toc10"/>
      <w:bookmarkEnd w:id="26"/>
      <w:bookmarkEnd w:id="27"/>
      <w:r>
        <w:rPr>
          <w:rtl w:val="true"/>
        </w:rPr>
        <w:t>خلاصة الروايات في سنّة الرسول في عمرة التمتّع وحجّ التمتّع</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مكث الرسولصلى الله عليه و آله تسع سنين بعد الهجرة لم يحجّ وأجمع الخروج الى الحجّ في ذي القعدة سنة عشر من الهجرة وقد أسلمت جزيرة العرب ومن شاء اللَّه من أهل اليمن، فأذّن بالحجّ فقدم المدينة بشر كثير يريدون أن يأتمّوا برسول اللَّه ويعملوا بعمله، وسار من المدينة ومعه أزواجه وأهل بيته وعامّة المهاجرين والأنصار ومن شاء اللَّه من قبائل العرب وأفناء الناس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معه جموع لا يحصيهم إلّا</w:t>
      </w:r>
    </w:p>
    <w:p>
      <w:pPr>
        <w:pStyle w:val="BookText"/>
        <w:rPr/>
      </w:pPr>
      <w:r>
        <w:rPr>
          <w:rFonts w:ascii="Amiri" w:hAnsi="Amiri" w:eastAsia="Amiri" w:cs="Amiri"/>
          <w:color w:val="111111"/>
          <w:sz w:val="28"/>
          <w:sz w:val="28"/>
          <w:szCs w:val="28"/>
          <w:rtl w:val="true"/>
          <w:lang w:bidi="ar-SA"/>
        </w:rPr>
        <w:t>خالقهم ورازقهم، ووافاهم في الطريق خلائق لا يحصون، فكانوا من بين يديه ومن خلفه وعن يمينه وعن شماله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بين أظهرنا وعليه ينزل القرآن وهو يعرف تأويله وما عمل به من شي‌ء عملنا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الى وادي العقيق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أتاني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حجّة فقد دخلت العمرة في الحجّ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عسفان، قال له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لنا قضاء قوم كأنّما ولدوا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قد أدخل عليكم في حجّكم هذا عمرة، فإذا قدمتم فمن تطوّف بالبيت وبين الصفا والمروة فقد حلّ إلّا من كان معه هدي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وسراقة بن مالك بن جُعْشُم أبو سفيان الكناني المدلجي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قديداً بالقرب من مكّة، وهو الذي تبع الرسول حين هاجر الى المدينة ليرده الى قريش فيأخذ الجعالة مائة ناقة فساخت قوائم فرسه، أسلم عام الفتح مات سنة أربع وعشرين روى عنه غير مسلم من أصحاب الصحاح تسعة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وجوامع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سرف بلّغ ذلك عامة أصحابه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هدي فأحبّ أن يجعلها عمرة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فالآخذ بها والتارك لها من أصحابه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التبليغ بها في بطحاء مكّة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أن يجعلها عمرة فليجعلها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سبق أنّ النبيّ تدرّج في تبليغهم حكم عمرة المتّع فإنّه أخبر في العقيق عمر خاصّة بنزول الوحي عليه يأمره أن يجمع هو بنفسهصلى الله عليه و آله بين الحجّ والعمرة، وفي عسفان بلّغ سراقة أنّ اللَّه أدخل عليهم في حجّهم الذي هم فيه عمرة وأنّ من تطوّف بالبيت وبين الصفا والمروة فقد حلّ إلّامن كان معه الهدي، وفي سرف بلّغ عامّة أصحابه بالحكم فالآخذ بها والتارك لها من أصحابه، ويظهر أنّ التارك لها من أصحابه كانوا من مهاجرة قريش الذين كانوا يرونها في الجاهلية من</w:t>
      </w:r>
    </w:p>
    <w:p>
      <w:pPr>
        <w:pStyle w:val="BookText"/>
        <w:rPr/>
      </w:pPr>
      <w:r>
        <w:rPr>
          <w:rFonts w:ascii="Amiri" w:hAnsi="Amiri" w:eastAsia="Amiri" w:cs="Amiri"/>
          <w:color w:val="111111"/>
          <w:sz w:val="28"/>
          <w:sz w:val="28"/>
          <w:szCs w:val="28"/>
          <w:rtl w:val="true"/>
          <w:lang w:bidi="ar-SA"/>
        </w:rPr>
        <w:t>أفجر الفجور من أجل ذلك تدرّج الرسول في تبليغهم حكم التمتّع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اذا كان بين الصفا والمروة وحان وقت الأداء نزل عليه القضاء فأمر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 طوافه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أهلّ بالحجّ ولم يكن معه هدي أن يجعلها عمرة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لما سقت الهدي ولكنّي لبّدت رأسي وسقت هديي ولا يحلّ منّي حرام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سراقة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لنا قضاء قوم كأنّما ولدوا اليوم؛ أعمرتنا لعامنا هذا أم للأبد؟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وشبّك أصابعه واحدة في الأُخرى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قامت قيامة من كان يرى العمرة محرّمة في أشهر الحجّ من أصحابه وتعاظم ذلك عندهم وضاقت بهصدورهم،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عمرة استمتعنا بها فمن لم يكن عنده الهدي فليحلّ الحلّ كلّه فإنّ العمرة قد دخلت في الحجّ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حلالًا حتى اذا كان يوم التروية فأهلّوا بالحجّ</w:t>
      </w:r>
    </w:p>
    <w:p>
      <w:pPr>
        <w:pStyle w:val="BookText"/>
        <w:rPr/>
      </w:pPr>
      <w:r>
        <w:rPr>
          <w:rFonts w:ascii="Amiri" w:hAnsi="Amiri" w:eastAsia="Amiri" w:cs="Amiri"/>
          <w:color w:val="111111"/>
          <w:sz w:val="28"/>
          <w:sz w:val="28"/>
          <w:szCs w:val="28"/>
          <w:rtl w:val="true"/>
          <w:lang w:bidi="ar-SA"/>
        </w:rPr>
        <w:t>واجعلوا التي قدمتم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نجعلها متعة وقد سمّينا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ما آمركم به فإنّي لولا أنّي سقت الهدي لفعلت مثل الذي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أحلّوا وأصيبوا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ففشت في ذلك القالة وبلغه أنّهم يقولون لمّا لم يكن بيننا وبين عرفة إلّاخمس أمرنا أن نحلّ الى نسائنا فنأتي الى عرفة تقطر مذاكيرنا، هكذا ردّوا عليه القول، فغضب فانطلق حتى دخل على عائشة غضبان فرأت الغضب في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أغضبه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اللَّه النار،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أغضب وأنا آمر أمراً فلا أُتّبع</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أقواماً يقولون كذا وكذا واللَّه لأنا أبرّ وأتقى للَّه‌منهم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أنّي أتقاكم للَّه‌وأصدقكم وأبرّكم ولولا هديي لحللت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أيروح أحدنا الى منى وذكره يقطر منيّاً؟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فأحلّوا ومسّوا الطيب ووطأوا النساء وفعلوا ما يفعل الحلال،</w:t>
      </w:r>
    </w:p>
    <w:p>
      <w:pPr>
        <w:pStyle w:val="BookText"/>
        <w:rPr/>
      </w:pPr>
      <w:r>
        <w:rPr>
          <w:rFonts w:ascii="Amiri" w:hAnsi="Amiri" w:eastAsia="Amiri" w:cs="Amiri"/>
          <w:color w:val="111111"/>
          <w:sz w:val="28"/>
          <w:sz w:val="28"/>
          <w:szCs w:val="28"/>
          <w:rtl w:val="true"/>
          <w:lang w:bidi="ar-SA"/>
        </w:rPr>
        <w:t xml:space="preserve">فلمّا كان يوم التروية أهلّوا بالحجّ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أطاعوا اللَّه ورسوله بكلّ صعوبة واعتمروا في أشهر الحجّ عدا أُمّ المؤمنين عائشة التي حرمت منها لأنّها حاضت فأمرها النبيّ أن تحجّ، فلمّا طهرت وأتمّت الحجّ أمر أخاها عبد الرحمن فأعمرها من التنعيم كي لا ترجع بحجّ مفرد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الرسول واستخلف أبو بكر فأفرد الحجّ، واستخلف عمر فأفرد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بعرفة رجلًا مرجلًا شعره فاستفهمه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متمتّعاً وإنّما أُحرمت اليوم فقال عند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تتمتّعوا في هذه الأيّام فإنّي لو رخّصت في المتعة لهم لعرسوا بهنّ تحت الأراك ثمّ راحوا بهنّ حجّاجاً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إفصلوا بين حجّكم وعمرتكم، إجعلوا الحجّ في أشهر الحجّ واجعلوا العمرة في غير أشهر الحجّ، أتمّ لحجّكم وعمرتكم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علىصحّة فتواه لمّا سأله أبو موسى ما هذا الذي أحدثت بشأن النسك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تأخذ بكتاب اللَّه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تأخذ بسنّة نبيّناصلى الله عليه و آله فإنّه لم يحلّ حتى نحر الهدي، ذكر عمر في هذه الأحاديث وغيرها أنّ تمامهما في الفصل بينهما، وجعل العمرة في غير أشهر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 يحلّ حتى نحر الهدي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وموطأ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جامع ما جاء في العمرة؛ وسنن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اختار الإفراد ورآه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شيبة؛ وحلية الأولياء لأبي نعيم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وشرح معاني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w:t>
      </w:r>
    </w:p>
    <w:p>
      <w:pPr>
        <w:pStyle w:val="BookText"/>
        <w:rPr/>
      </w:pPr>
      <w:r>
        <w:rPr>
          <w:rFonts w:ascii="Amiri" w:hAnsi="Amiri" w:eastAsia="Amiri" w:cs="Amiri"/>
          <w:color w:val="111111"/>
          <w:sz w:val="28"/>
          <w:sz w:val="28"/>
          <w:szCs w:val="28"/>
          <w:rtl w:val="true"/>
          <w:lang w:bidi="ar-SA"/>
        </w:rPr>
        <w:t>يجرؤ أبو موسى ولا غيره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الرسولصرّح غير مرّة بأنّه لم يحلّ لأنّه ساق الهدي ولا يحلّ حتى ينحر وأنّ التمتّع بالعمرة في كتاب اللَّه، عدا ما كان من أمر الإمام عليّ فإنّه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فقد أخذ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عمر اضطرّ بعد هذا الاعتراض الى أن يجابههم بالواقع ويقول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أنهى عنهما وأُعاقب عليهما </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لأنهاكم عن المتعة وإنّها لفي كتاب اللَّه ولقد فعلتها مع رسول اللَّه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الخليفةصرّح بهذه الأقوال ليمنع سائر الصحابة من متابعة الإمام والرواية عن رسول اللَّه بما يضعف موقفه، ونرى أنّه قد كشف عن سبب نهيه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يظلّوا معرّسين بهنّ تحت الأراك ثمّ يروحون في الحجّ تقطر رؤوسهم، وفي 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ضرع ولا زرع</w:t>
      </w:r>
    </w:p>
    <w:p>
      <w:pPr>
        <w:pStyle w:val="BookText"/>
        <w:rPr/>
      </w:pPr>
      <w:r>
        <w:rPr>
          <w:rFonts w:ascii="Amiri" w:hAnsi="Amiri" w:eastAsia="Amiri" w:cs="Amiri"/>
          <w:color w:val="111111"/>
          <w:sz w:val="28"/>
          <w:sz w:val="28"/>
          <w:szCs w:val="28"/>
          <w:rtl w:val="true"/>
          <w:lang w:bidi="ar-SA"/>
        </w:rPr>
        <w:t xml:space="preserve">وإنّما ربيهم في من يطرأ عليهم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يأتي بعض النصوص المصرّحة بقول الخليفة الثاني وموقفه من عمرة التمتّع وحجّ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أحمد وغيره واللفظ له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على عهد النبيّ الحجّ والنساء فلمّا كان عمر نهانا عنهما فانتهينا</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السيوطي وكنز العمال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عمر عن المتعتين متعة النساء ومتعة الحجّ</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بداية المجتهد وزاد المعاد وشرح نهج البلاغة والمغني لابن قدامة والمحلّى لابن حزم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w:t>
      </w:r>
    </w:p>
    <w:p>
      <w:pPr>
        <w:pStyle w:val="BookText"/>
        <w:rPr/>
      </w:pPr>
      <w:r>
        <w:rPr>
          <w:rFonts w:ascii="Amiri" w:hAnsi="Amiri" w:eastAsia="Amiri" w:cs="Amiri"/>
          <w:color w:val="111111"/>
          <w:sz w:val="28"/>
          <w:sz w:val="28"/>
          <w:szCs w:val="28"/>
          <w:rtl w:val="true"/>
          <w:lang w:bidi="ar-SA"/>
        </w:rPr>
        <w:t>كانتا على عهد رسول اللَّه صلى الله عليه و آله أنا أنهى عنهما وأُعاقب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الجصّاص وابن حزم واللفظ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اللَّهصلى الله عليه و آله أنا أنهى عنهما وأضرب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القول في هذه الواقعة أنّ الخليفة تأوّل وطلب الخير لقريش سكان مكّة حين نهى عن عمرة التمتّع، وأراد تمام الحجّ والعمرة حين أمر بفصل الحجّ عن العمرة وإتيان العمرة في غير أشهر الحجّ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وانقسم المسلمون بعد نهي الخليفة عمر الى من يعمل بسنة الرسولصلى الله عليه و آله ويأتي بعمرة التمتع وحجّ التمتع في أشهر</w:t>
      </w:r>
    </w:p>
    <w:p>
      <w:pPr>
        <w:pStyle w:val="BookText"/>
        <w:rPr/>
      </w:pPr>
      <w:r>
        <w:rPr>
          <w:rFonts w:ascii="Amiri" w:hAnsi="Amiri" w:eastAsia="Amiri" w:cs="Amiri"/>
          <w:color w:val="111111"/>
          <w:sz w:val="28"/>
          <w:sz w:val="28"/>
          <w:szCs w:val="28"/>
          <w:rtl w:val="true"/>
          <w:lang w:bidi="ar-SA"/>
        </w:rPr>
        <w:t>الحج وهم أئمة أهل البيت وأتباعهم وأبو عبد اللَّه أحمد بن حنبل وأتباعه من السلفية وغيرهم الى عصرنا الحاضر ومنهم من يعمل باجتهاد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الرفاه الذي يعيشه أهل مكة اليوم لم يبق مبرر لبعض المسلمين في عملهم هذا باجتهاد الخليفة بل ينبغي أن يعملوا بسنّة الرسولصلى الله عليه و آله وصدق اللَّه العظيم حيث 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للسيد محسن الحكيم ط الآداب، النجف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لبعض أصحاب مالك حسب نقل بداية المجتهد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لما أوردناه هنا الى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نهاية اللغة لابن الأثير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احتار الإفراد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مراعاة للسجع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الحج، باب التمتع والقران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مناقب الأنصار منه؛ وصحيح مسلم، باب جواز العمرة في أشهر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المناسك، باب العمرة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والنسائي، كتاب 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وراجع الطحاوي في مشكل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مناسك الحج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الحديث بشرح النووي على مسلم وشرح ابن حجر بفتح الباري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هديه عليه السلام في حجّه وعمرِه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الروايات بصحيح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كم اعتمر النبي؛ وبصحيح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عمر النبي صلى الله عليه و آله وزمانهنّ من كتاب الحج؛ والبيهقي بسننه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استحبّ الإحرام بالعمرة من الجعرانة، وفي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 في أشهر الحج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ورد النصّ في البخاري، والأولى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يحرمها لعودة الضمير على المتعة وهي مؤنثة لفظاً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 وتفسير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وزاد المعاد لابن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اوربا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الثانية في باب ما ذكر النبي وحض على اتفاق أهل العلم من كتاب الاعتصام بالكتاب والسنّة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التمتع بالعمرة الى الحج؛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والعقيق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 ببطن ذي الحليفة من ذات عرق وفي شرح الحديث في فتح الباري بينه وبين المدينة أربعة أميال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الإقران، الحديث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المناسك؛ والمنتقى لابن تيمية، باب ما جاء في فسخ الحجّ الى العمرة، 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أشهر 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بإيجاز؛ وكذلك بسنن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المفرد أو القارن يريد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فسخ الحج؛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فسخ الحج الى العمرة؛ وزاد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والمنتقى، باب ما جاء في فسخ الحج الى العمرة، ح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وجوه الإحرام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وقريب منه لفظ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إهلاله صلى الله عليه و آله بالحج؛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الحجّ على العمرة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مكّة والمدينة وعلى أميال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وجوه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وفي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وكذلك في ابن ماجة، 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اختار الإفراد ورآه أفضل؛ وتاريخ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ما جاء في المتعة من الخلاف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وفي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القرآن هذا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فسخ التحلل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 وباب الحجّ بغير نيّة يقصد المحرم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التمتع من كتاب الحجّ؛ والبخاري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الحديث بإيجاز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الرحل يحرم بالحج تطوّعاً؛ ومنحة المعبود 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الطعن الثامن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ونظيره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بإيجاز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 وراجع مشكل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وسعيد بن المسيّب قرشي مخزومي من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حديثه أصحاب الصحاح، مات بعد التسعين وقد ناهز الثمانين؛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في التمتع؛ وزاد المعاد لابن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إباحة متعة النساء ولفظة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وتفسير القرطبي والرازي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والبيان والتبيين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وراجع الطحاوي في كتابه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عن ابن عمر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منشأ الاختلاف في اللفظ أنّ الخليفة قالها مرّتين،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عليهما وأُخرى أُعاقب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3328</Words>
  <Characters>13959</Characters>
  <CharactersWithSpaces>17164</CharactersWithSpaces>
  <Paragraphs>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2026-08-16T17:06:02Z</dcterms:created>
  <dc:creator>ghaemiyeh.com</dc:creator>
  <dc:description/>
  <dc:language>en-US</dc:language>
  <cp:lastModifiedBy/>
  <dcterms:modified xsi:type="dcterms:W3CDTF">2026-08-16T20:36:03Z</dcterms:modified>
  <cp:revision>1</cp:revision>
  <dc:subject/>
  <dc:title>الجمع بین العمره و الحج فی اشهر الحج</dc:title>
</cp:coreProperties>
</file>

<file path=docProps/custom.xml><?xml version="1.0" encoding="utf-8"?>
<Properties xmlns="http://schemas.openxmlformats.org/officeDocument/2006/custom-properties" xmlns:vt="http://schemas.openxmlformats.org/officeDocument/2006/docPropsVTypes"/>
</file>