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انتظار </w:t>
      </w:r>
      <w:r>
        <w:rPr/>
        <w:t>2</w:t>
      </w:r>
      <w:r>
        <w:rPr>
          <w:rtl w:val="true"/>
        </w:rPr>
        <w:t xml:space="preserve"> </w:t>
      </w:r>
      <w:r>
        <w:rPr>
          <w:rtl w:val="true"/>
        </w:rPr>
        <w:t>پژوهشی عقلی درباره 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518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48519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485193_2116733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5485195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5485197_211673320">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5485199_211673320">
            <w:r>
              <w:rPr>
                <w:webHidden/>
                <w:rStyle w:val="IndexLink"/>
                <w:rtl w:val="true"/>
              </w:rPr>
              <w:t>دلایل عقلی امامت حضرت مهدی علیه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5485201_211673320">
            <w:r>
              <w:rPr>
                <w:webHidden/>
                <w:rStyle w:val="IndexLink"/>
                <w:rtl w:val="true"/>
              </w:rPr>
              <w:t>مقدمه</w:t>
            </w:r>
            <w:r>
              <w:rPr>
                <w:rStyle w:val="IndexLink"/>
              </w:rPr>
              <w:t>1</w:t>
            </w:r>
            <w:r>
              <w:rPr>
                <w:rStyle w:val="IndexLink"/>
                <w:rtl w:val="true"/>
              </w:rPr>
              <w:t xml:space="preserve">. </w:t>
            </w:r>
            <w:r>
              <w:rPr>
                <w:rStyle w:val="IndexLink"/>
                <w:rtl w:val="true"/>
              </w:rPr>
              <w:t>ضرورت وجود امام</w:t>
            </w:r>
            <w:r>
              <w:rPr>
                <w:rStyle w:val="IndexLink"/>
                <w:rtl w:val="true"/>
              </w:rPr>
              <w:t>(</w:t>
            </w:r>
            <w:r>
              <w:rPr>
                <w:rStyle w:val="IndexLink"/>
                <w:rtl w:val="true"/>
              </w:rPr>
              <w:t>وجوب امام</w:t>
            </w:r>
            <w:r>
              <w:rPr>
                <w:rStyle w:val="IndexLink"/>
                <w:rtl w:val="true"/>
              </w:rPr>
              <w:t>)</w:t>
              <w:tab/>
            </w:r>
            <w:r>
              <w:rPr>
                <w:rStyle w:val="IndexLink"/>
              </w:rPr>
              <w:t>11</w:t>
            </w:r>
          </w:hyperlink>
        </w:p>
        <w:p>
          <w:pPr>
            <w:pStyle w:val="Contents4"/>
            <w:tabs>
              <w:tab w:val="clear" w:pos="8176"/>
              <w:tab w:val="right" w:pos="9026" w:leader="dot"/>
            </w:tabs>
            <w:rPr/>
          </w:pPr>
          <w:hyperlink w:anchor="__RefHeading___Toc5485203_21167332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5485205_211673320">
            <w:r>
              <w:rPr>
                <w:webHidden/>
                <w:rStyle w:val="IndexLink"/>
                <w:rtl w:val="true"/>
              </w:rPr>
              <w:t>الف</w:t>
            </w:r>
            <w:r>
              <w:rPr>
                <w:rStyle w:val="IndexLink"/>
                <w:rtl w:val="true"/>
              </w:rPr>
              <w:t xml:space="preserve">. </w:t>
            </w:r>
            <w:r>
              <w:rPr>
                <w:rStyle w:val="IndexLink"/>
                <w:rtl w:val="true"/>
              </w:rPr>
              <w:t>فرقه های کلامی شیعه</w:t>
            </w:r>
            <w:r>
              <w:rPr>
                <w:rStyle w:val="IndexLink"/>
                <w:rtl w:val="true"/>
              </w:rPr>
              <w:tab/>
            </w:r>
            <w:r>
              <w:rPr>
                <w:rStyle w:val="IndexLink"/>
              </w:rPr>
              <w:t>12</w:t>
            </w:r>
          </w:hyperlink>
        </w:p>
        <w:p>
          <w:pPr>
            <w:pStyle w:val="Contents5"/>
            <w:tabs>
              <w:tab w:val="clear" w:pos="7892"/>
              <w:tab w:val="right" w:pos="9026" w:leader="dot"/>
            </w:tabs>
            <w:rPr/>
          </w:pPr>
          <w:hyperlink w:anchor="__RefHeading___Toc5485207_211673320">
            <w:r>
              <w:rPr>
                <w:webHidden/>
                <w:rStyle w:val="IndexLink"/>
                <w:rtl w:val="true"/>
              </w:rPr>
              <w:t>اشاره</w:t>
            </w:r>
            <w:r>
              <w:rPr>
                <w:rStyle w:val="IndexLink"/>
                <w:rtl w:val="true"/>
              </w:rPr>
              <w:tab/>
            </w:r>
            <w:r>
              <w:rPr>
                <w:rStyle w:val="IndexLink"/>
              </w:rPr>
              <w:t>12</w:t>
            </w:r>
          </w:hyperlink>
        </w:p>
        <w:p>
          <w:pPr>
            <w:pStyle w:val="Contents5"/>
            <w:tabs>
              <w:tab w:val="clear" w:pos="7892"/>
              <w:tab w:val="right" w:pos="9026" w:leader="dot"/>
            </w:tabs>
            <w:rPr/>
          </w:pPr>
          <w:hyperlink w:anchor="__RefHeading___Toc5485209_211673320">
            <w:r>
              <w:rPr>
                <w:webHidden/>
                <w:rStyle w:val="IndexLink"/>
                <w:rtl w:val="true"/>
              </w:rPr>
              <w:t>توضیح دیدگاه اسماعیلیه</w:t>
            </w:r>
            <w:r>
              <w:rPr>
                <w:rStyle w:val="IndexLink"/>
                <w:rtl w:val="true"/>
              </w:rPr>
              <w:tab/>
            </w:r>
            <w:r>
              <w:rPr>
                <w:rStyle w:val="IndexLink"/>
              </w:rPr>
              <w:t>14</w:t>
            </w:r>
          </w:hyperlink>
        </w:p>
        <w:p>
          <w:pPr>
            <w:pStyle w:val="Contents4"/>
            <w:tabs>
              <w:tab w:val="clear" w:pos="8176"/>
              <w:tab w:val="right" w:pos="9026" w:leader="dot"/>
            </w:tabs>
            <w:rPr/>
          </w:pPr>
          <w:hyperlink w:anchor="__RefHeading___Toc5485211_211673320">
            <w:r>
              <w:rPr>
                <w:webHidden/>
                <w:rStyle w:val="IndexLink"/>
                <w:rtl w:val="true"/>
              </w:rPr>
              <w:t>ب</w:t>
            </w:r>
            <w:r>
              <w:rPr>
                <w:rStyle w:val="IndexLink"/>
                <w:rtl w:val="true"/>
              </w:rPr>
              <w:t xml:space="preserve">. </w:t>
            </w:r>
            <w:r>
              <w:rPr>
                <w:rStyle w:val="IndexLink"/>
                <w:rtl w:val="true"/>
              </w:rPr>
              <w:t>فرقه‌های کلامی اهل سنّت</w:t>
            </w:r>
            <w:r>
              <w:rPr>
                <w:rStyle w:val="IndexLink"/>
                <w:rtl w:val="true"/>
              </w:rPr>
              <w:tab/>
            </w:r>
            <w:r>
              <w:rPr>
                <w:rStyle w:val="IndexLink"/>
              </w:rPr>
              <w:t>15</w:t>
            </w:r>
          </w:hyperlink>
        </w:p>
        <w:p>
          <w:pPr>
            <w:pStyle w:val="Contents5"/>
            <w:tabs>
              <w:tab w:val="clear" w:pos="7892"/>
              <w:tab w:val="right" w:pos="9026" w:leader="dot"/>
            </w:tabs>
            <w:rPr/>
          </w:pPr>
          <w:hyperlink w:anchor="__RefHeading___Toc5485213_21167332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5485215_211673320">
            <w:r>
              <w:rPr>
                <w:webHidden/>
                <w:rStyle w:val="IndexLink"/>
                <w:rtl w:val="true"/>
              </w:rPr>
              <w:t>یک</w:t>
            </w:r>
            <w:r>
              <w:rPr>
                <w:rStyle w:val="IndexLink"/>
                <w:rtl w:val="true"/>
              </w:rPr>
              <w:t xml:space="preserve">. </w:t>
            </w:r>
            <w:r>
              <w:rPr>
                <w:rStyle w:val="IndexLink"/>
                <w:rtl w:val="true"/>
              </w:rPr>
              <w:t>قاعده لطف</w:t>
            </w:r>
            <w:r>
              <w:rPr>
                <w:rStyle w:val="IndexLink"/>
                <w:rtl w:val="true"/>
              </w:rPr>
              <w:tab/>
            </w:r>
            <w:r>
              <w:rPr>
                <w:rStyle w:val="IndexLink"/>
              </w:rPr>
              <w:t>18</w:t>
            </w:r>
          </w:hyperlink>
        </w:p>
        <w:p>
          <w:pPr>
            <w:pStyle w:val="Contents6"/>
            <w:tabs>
              <w:tab w:val="clear" w:pos="7609"/>
              <w:tab w:val="right" w:pos="9026" w:leader="dot"/>
            </w:tabs>
            <w:rPr/>
          </w:pPr>
          <w:hyperlink w:anchor="__RefHeading___Toc5485217_211673320">
            <w:r>
              <w:rPr>
                <w:webHidden/>
                <w:rStyle w:val="IndexLink"/>
                <w:rtl w:val="true"/>
              </w:rPr>
              <w:t>اشاره</w:t>
            </w:r>
            <w:r>
              <w:rPr>
                <w:rStyle w:val="IndexLink"/>
                <w:rtl w:val="true"/>
              </w:rPr>
              <w:tab/>
            </w:r>
            <w:r>
              <w:rPr>
                <w:rStyle w:val="IndexLink"/>
              </w:rPr>
              <w:t>18</w:t>
            </w:r>
          </w:hyperlink>
        </w:p>
        <w:p>
          <w:pPr>
            <w:pStyle w:val="Contents6"/>
            <w:tabs>
              <w:tab w:val="clear" w:pos="7609"/>
              <w:tab w:val="right" w:pos="9026" w:leader="dot"/>
            </w:tabs>
            <w:rPr/>
          </w:pPr>
          <w:hyperlink w:anchor="__RefHeading___Toc5485219_21167332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تعریف لطف</w:t>
            </w:r>
            <w:r>
              <w:rPr>
                <w:rStyle w:val="IndexLink"/>
                <w:rtl w:val="true"/>
              </w:rPr>
              <w:tab/>
            </w:r>
            <w:r>
              <w:rPr>
                <w:rStyle w:val="IndexLink"/>
              </w:rPr>
              <w:t>19</w:t>
            </w:r>
          </w:hyperlink>
        </w:p>
        <w:p>
          <w:pPr>
            <w:pStyle w:val="Contents6"/>
            <w:tabs>
              <w:tab w:val="clear" w:pos="7609"/>
              <w:tab w:val="right" w:pos="9026" w:leader="dot"/>
            </w:tabs>
            <w:rPr/>
          </w:pPr>
          <w:hyperlink w:anchor="__RefHeading___Toc5485221_21167332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اقسام لطف</w:t>
            </w:r>
            <w:r>
              <w:rPr>
                <w:rStyle w:val="IndexLink"/>
                <w:rtl w:val="true"/>
              </w:rPr>
              <w:tab/>
            </w:r>
            <w:r>
              <w:rPr>
                <w:rStyle w:val="IndexLink"/>
              </w:rPr>
              <w:t>20</w:t>
            </w:r>
          </w:hyperlink>
        </w:p>
        <w:p>
          <w:pPr>
            <w:pStyle w:val="Contents6"/>
            <w:tabs>
              <w:tab w:val="clear" w:pos="7609"/>
              <w:tab w:val="right" w:pos="9026" w:leader="dot"/>
            </w:tabs>
            <w:rPr/>
          </w:pPr>
          <w:hyperlink w:anchor="__RefHeading___Toc5485223_21167332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تفاوت در لطف</w:t>
            </w:r>
            <w:r>
              <w:rPr>
                <w:rStyle w:val="IndexLink"/>
                <w:rtl w:val="true"/>
              </w:rPr>
              <w:tab/>
            </w:r>
            <w:r>
              <w:rPr>
                <w:rStyle w:val="IndexLink"/>
              </w:rPr>
              <w:t>21</w:t>
            </w:r>
          </w:hyperlink>
        </w:p>
        <w:p>
          <w:pPr>
            <w:pStyle w:val="Contents6"/>
            <w:tabs>
              <w:tab w:val="clear" w:pos="7609"/>
              <w:tab w:val="right" w:pos="9026" w:leader="dot"/>
            </w:tabs>
            <w:rPr/>
          </w:pPr>
          <w:hyperlink w:anchor="__RefHeading___Toc5485225_211673320">
            <w:r>
              <w:rPr>
                <w:webHidden/>
                <w:rStyle w:val="IndexLink"/>
              </w:rPr>
              <w:t>1</w:t>
            </w:r>
            <w:r>
              <w:rPr>
                <w:rStyle w:val="IndexLink"/>
                <w:rtl w:val="true"/>
              </w:rPr>
              <w:t>ـ</w:t>
            </w:r>
            <w:r>
              <w:rPr>
                <w:rStyle w:val="IndexLink"/>
              </w:rPr>
              <w:t>4</w:t>
            </w:r>
            <w:r>
              <w:rPr>
                <w:rStyle w:val="IndexLink"/>
                <w:rtl w:val="true"/>
              </w:rPr>
              <w:t xml:space="preserve">. </w:t>
            </w:r>
            <w:r>
              <w:rPr>
                <w:rStyle w:val="IndexLink"/>
                <w:rtl w:val="true"/>
              </w:rPr>
              <w:t>دلالت قاعده لطف بر امامت</w:t>
            </w:r>
            <w:r>
              <w:rPr>
                <w:rStyle w:val="IndexLink"/>
                <w:rtl w:val="true"/>
              </w:rPr>
              <w:tab/>
            </w:r>
            <w:r>
              <w:rPr>
                <w:rStyle w:val="IndexLink"/>
              </w:rPr>
              <w:t>22</w:t>
            </w:r>
          </w:hyperlink>
        </w:p>
        <w:p>
          <w:pPr>
            <w:pStyle w:val="Contents6"/>
            <w:tabs>
              <w:tab w:val="clear" w:pos="7609"/>
              <w:tab w:val="right" w:pos="9026" w:leader="dot"/>
            </w:tabs>
            <w:rPr/>
          </w:pPr>
          <w:hyperlink w:anchor="__RefHeading___Toc5485227_211673320">
            <w:r>
              <w:rPr>
                <w:webHidden/>
                <w:rStyle w:val="IndexLink"/>
                <w:rtl w:val="true"/>
              </w:rPr>
              <w:t>اشاره</w:t>
            </w:r>
            <w:r>
              <w:rPr>
                <w:rStyle w:val="IndexLink"/>
                <w:rtl w:val="true"/>
              </w:rPr>
              <w:tab/>
            </w:r>
            <w:r>
              <w:rPr>
                <w:rStyle w:val="IndexLink"/>
              </w:rPr>
              <w:t>22</w:t>
            </w:r>
          </w:hyperlink>
        </w:p>
        <w:p>
          <w:pPr>
            <w:pStyle w:val="Contents6"/>
            <w:tabs>
              <w:tab w:val="clear" w:pos="7609"/>
              <w:tab w:val="right" w:pos="9026" w:leader="dot"/>
            </w:tabs>
            <w:rPr/>
          </w:pPr>
          <w:hyperlink w:anchor="__RefHeading___Toc5485229_211673320">
            <w:r>
              <w:rPr>
                <w:webHidden/>
                <w:rStyle w:val="IndexLink"/>
                <w:rtl w:val="true"/>
              </w:rPr>
              <w:t>پیش فرض های مهم برهان لطف</w:t>
            </w:r>
            <w:r>
              <w:rPr>
                <w:rStyle w:val="IndexLink"/>
                <w:rtl w:val="true"/>
              </w:rPr>
              <w:tab/>
            </w:r>
            <w:r>
              <w:rPr>
                <w:rStyle w:val="IndexLink"/>
              </w:rPr>
              <w:t>23</w:t>
            </w:r>
          </w:hyperlink>
        </w:p>
        <w:p>
          <w:pPr>
            <w:pStyle w:val="Contents5"/>
            <w:tabs>
              <w:tab w:val="clear" w:pos="7892"/>
              <w:tab w:val="right" w:pos="9026" w:leader="dot"/>
            </w:tabs>
            <w:rPr/>
          </w:pPr>
          <w:hyperlink w:anchor="__RefHeading___Toc5485231_211673320">
            <w:r>
              <w:rPr>
                <w:webHidden/>
                <w:rStyle w:val="IndexLink"/>
                <w:rtl w:val="true"/>
              </w:rPr>
              <w:t>دو</w:t>
            </w:r>
            <w:r>
              <w:rPr>
                <w:rStyle w:val="IndexLink"/>
                <w:rtl w:val="true"/>
              </w:rPr>
              <w:t xml:space="preserve">. </w:t>
            </w:r>
            <w:r>
              <w:rPr>
                <w:rStyle w:val="IndexLink"/>
                <w:rtl w:val="true"/>
              </w:rPr>
              <w:t>بایستگی کارشناس دین</w:t>
            </w:r>
            <w:r>
              <w:rPr>
                <w:rStyle w:val="IndexLink"/>
                <w:rtl w:val="true"/>
              </w:rPr>
              <w:tab/>
            </w:r>
            <w:r>
              <w:rPr>
                <w:rStyle w:val="IndexLink"/>
              </w:rPr>
              <w:t>26</w:t>
            </w:r>
          </w:hyperlink>
        </w:p>
        <w:p>
          <w:pPr>
            <w:pStyle w:val="Contents5"/>
            <w:tabs>
              <w:tab w:val="clear" w:pos="7892"/>
              <w:tab w:val="right" w:pos="9026" w:leader="dot"/>
            </w:tabs>
            <w:rPr/>
          </w:pPr>
          <w:hyperlink w:anchor="__RefHeading___Toc5485233_211673320">
            <w:r>
              <w:rPr>
                <w:webHidden/>
                <w:rStyle w:val="IndexLink"/>
                <w:rtl w:val="true"/>
              </w:rPr>
              <w:t>سه</w:t>
            </w:r>
            <w:r>
              <w:rPr>
                <w:rStyle w:val="IndexLink"/>
                <w:rtl w:val="true"/>
              </w:rPr>
              <w:t xml:space="preserve">. </w:t>
            </w:r>
            <w:r>
              <w:rPr>
                <w:rStyle w:val="IndexLink"/>
                <w:rtl w:val="true"/>
              </w:rPr>
              <w:t>سیره مسلمین</w:t>
            </w:r>
            <w:r>
              <w:rPr>
                <w:rStyle w:val="IndexLink"/>
                <w:rtl w:val="true"/>
              </w:rPr>
              <w:tab/>
            </w:r>
            <w:r>
              <w:rPr>
                <w:rStyle w:val="IndexLink"/>
              </w:rPr>
              <w:t>28</w:t>
            </w:r>
          </w:hyperlink>
        </w:p>
        <w:p>
          <w:pPr>
            <w:pStyle w:val="Contents5"/>
            <w:tabs>
              <w:tab w:val="clear" w:pos="7892"/>
              <w:tab w:val="right" w:pos="9026" w:leader="dot"/>
            </w:tabs>
            <w:rPr/>
          </w:pPr>
          <w:hyperlink w:anchor="__RefHeading___Toc5485235_211673320">
            <w:r>
              <w:rPr>
                <w:webHidden/>
                <w:rStyle w:val="IndexLink"/>
                <w:rtl w:val="true"/>
              </w:rPr>
              <w:t>چهار</w:t>
            </w:r>
            <w:r>
              <w:rPr>
                <w:rStyle w:val="IndexLink"/>
                <w:rtl w:val="true"/>
              </w:rPr>
              <w:t xml:space="preserve">. </w:t>
            </w:r>
            <w:r>
              <w:rPr>
                <w:rStyle w:val="IndexLink"/>
                <w:rtl w:val="true"/>
              </w:rPr>
              <w:t>اجرای حدود و حفظ نظام اسلامی</w:t>
            </w:r>
            <w:r>
              <w:rPr>
                <w:rStyle w:val="IndexLink"/>
                <w:rtl w:val="true"/>
              </w:rPr>
              <w:tab/>
            </w:r>
            <w:r>
              <w:rPr>
                <w:rStyle w:val="IndexLink"/>
              </w:rPr>
              <w:t>29</w:t>
            </w:r>
          </w:hyperlink>
        </w:p>
        <w:p>
          <w:pPr>
            <w:pStyle w:val="Contents5"/>
            <w:tabs>
              <w:tab w:val="clear" w:pos="7892"/>
              <w:tab w:val="right" w:pos="9026" w:leader="dot"/>
            </w:tabs>
            <w:rPr/>
          </w:pPr>
          <w:hyperlink w:anchor="__RefHeading___Toc5485237_211673320">
            <w:r>
              <w:rPr>
                <w:webHidden/>
                <w:rStyle w:val="IndexLink"/>
                <w:rtl w:val="true"/>
              </w:rPr>
              <w:t>پنجم</w:t>
            </w:r>
            <w:r>
              <w:rPr>
                <w:rStyle w:val="IndexLink"/>
                <w:rtl w:val="true"/>
              </w:rPr>
              <w:t xml:space="preserve">. </w:t>
            </w:r>
            <w:r>
              <w:rPr>
                <w:rStyle w:val="IndexLink"/>
                <w:rtl w:val="true"/>
              </w:rPr>
              <w:t>وجوب دفع ضررهای عظیم</w:t>
            </w:r>
            <w:r>
              <w:rPr>
                <w:rStyle w:val="IndexLink"/>
                <w:rtl w:val="true"/>
              </w:rPr>
              <w:tab/>
            </w:r>
            <w:r>
              <w:rPr>
                <w:rStyle w:val="IndexLink"/>
              </w:rPr>
              <w:t>29</w:t>
            </w:r>
          </w:hyperlink>
        </w:p>
        <w:p>
          <w:pPr>
            <w:pStyle w:val="Contents3"/>
            <w:tabs>
              <w:tab w:val="clear" w:pos="8459"/>
              <w:tab w:val="right" w:pos="9026" w:leader="dot"/>
            </w:tabs>
            <w:rPr/>
          </w:pPr>
          <w:hyperlink w:anchor="__RefHeading___Toc5485239_211673320">
            <w:r>
              <w:rPr>
                <w:webHidden/>
                <w:rStyle w:val="IndexLink"/>
                <w:rtl w:val="true"/>
              </w:rPr>
              <w:t xml:space="preserve">مقدمه </w:t>
            </w:r>
            <w:r>
              <w:rPr>
                <w:rStyle w:val="IndexLink"/>
              </w:rPr>
              <w:t>2</w:t>
            </w:r>
            <w:r>
              <w:rPr>
                <w:rStyle w:val="IndexLink"/>
                <w:rtl w:val="true"/>
              </w:rPr>
              <w:t xml:space="preserve">. </w:t>
            </w:r>
            <w:r>
              <w:rPr>
                <w:rStyle w:val="IndexLink"/>
                <w:rtl w:val="true"/>
              </w:rPr>
              <w:t>اوصاف امام</w:t>
            </w:r>
            <w:r>
              <w:rPr>
                <w:rStyle w:val="IndexLink"/>
                <w:rtl w:val="true"/>
              </w:rPr>
              <w:tab/>
            </w:r>
            <w:r>
              <w:rPr>
                <w:rStyle w:val="IndexLink"/>
              </w:rPr>
              <w:t>31</w:t>
            </w:r>
          </w:hyperlink>
        </w:p>
        <w:p>
          <w:pPr>
            <w:pStyle w:val="Contents4"/>
            <w:tabs>
              <w:tab w:val="clear" w:pos="8176"/>
              <w:tab w:val="right" w:pos="9026" w:leader="dot"/>
            </w:tabs>
            <w:rPr/>
          </w:pPr>
          <w:hyperlink w:anchor="__RefHeading___Toc5485241_2116733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5485243_211673320">
            <w:r>
              <w:rPr>
                <w:webHidden/>
                <w:rStyle w:val="IndexLink"/>
                <w:rtl w:val="true"/>
              </w:rPr>
              <w:t>به چه دلیل امام باید معصوم باشد؟</w:t>
            </w:r>
            <w:r>
              <w:rPr>
                <w:rStyle w:val="IndexLink"/>
                <w:rtl w:val="true"/>
              </w:rPr>
              <w:tab/>
            </w:r>
            <w:r>
              <w:rPr>
                <w:rStyle w:val="IndexLink"/>
              </w:rPr>
              <w:t>31</w:t>
            </w:r>
          </w:hyperlink>
        </w:p>
        <w:p>
          <w:pPr>
            <w:pStyle w:val="Contents5"/>
            <w:tabs>
              <w:tab w:val="clear" w:pos="7892"/>
              <w:tab w:val="right" w:pos="9026" w:leader="dot"/>
            </w:tabs>
            <w:rPr/>
          </w:pPr>
          <w:hyperlink w:anchor="__RefHeading___Toc5485245_211673320">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5485247_211673320">
            <w:r>
              <w:rPr>
                <w:webHidden/>
                <w:rStyle w:val="IndexLink"/>
                <w:rtl w:val="true"/>
              </w:rPr>
              <w:t>ادلّه عصمت امام</w:t>
            </w:r>
            <w:r>
              <w:rPr>
                <w:rStyle w:val="IndexLink"/>
                <w:rtl w:val="true"/>
              </w:rPr>
              <w:tab/>
            </w:r>
            <w:r>
              <w:rPr>
                <w:rStyle w:val="IndexLink"/>
              </w:rPr>
              <w:t>35</w:t>
            </w:r>
          </w:hyperlink>
        </w:p>
        <w:p>
          <w:pPr>
            <w:pStyle w:val="Contents3"/>
            <w:tabs>
              <w:tab w:val="clear" w:pos="8459"/>
              <w:tab w:val="right" w:pos="9026" w:leader="dot"/>
            </w:tabs>
            <w:rPr/>
          </w:pPr>
          <w:hyperlink w:anchor="__RefHeading___Toc5485249_211673320">
            <w:r>
              <w:rPr>
                <w:webHidden/>
                <w:rStyle w:val="IndexLink"/>
                <w:rtl w:val="true"/>
              </w:rPr>
              <w:t>مقدّمه</w:t>
            </w:r>
            <w:r>
              <w:rPr>
                <w:rStyle w:val="IndexLink"/>
              </w:rPr>
              <w:t>3</w:t>
            </w:r>
            <w:r>
              <w:rPr>
                <w:rStyle w:val="IndexLink"/>
                <w:rtl w:val="true"/>
              </w:rPr>
              <w:t xml:space="preserve">. </w:t>
            </w:r>
            <w:r>
              <w:rPr>
                <w:rStyle w:val="IndexLink"/>
                <w:rtl w:val="true"/>
              </w:rPr>
              <w:t>مصداق یابی بهواسطه سبر و تقسیم</w:t>
            </w:r>
            <w:r>
              <w:rPr>
                <w:rStyle w:val="IndexLink"/>
                <w:rtl w:val="true"/>
              </w:rPr>
              <w:tab/>
            </w:r>
            <w:r>
              <w:rPr>
                <w:rStyle w:val="IndexLink"/>
              </w:rPr>
              <w:t>37</w:t>
            </w:r>
          </w:hyperlink>
        </w:p>
        <w:p>
          <w:pPr>
            <w:pStyle w:val="Contents4"/>
            <w:tabs>
              <w:tab w:val="clear" w:pos="8176"/>
              <w:tab w:val="right" w:pos="9026" w:leader="dot"/>
            </w:tabs>
            <w:rPr/>
          </w:pPr>
          <w:hyperlink w:anchor="__RefHeading___Toc5485251_21167332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5485253_211673320">
            <w:r>
              <w:rPr>
                <w:webHidden/>
                <w:rStyle w:val="IndexLink"/>
                <w:rtl w:val="true"/>
              </w:rPr>
              <w:t>کیفیت استدلال</w:t>
            </w:r>
            <w:r>
              <w:rPr>
                <w:rStyle w:val="IndexLink"/>
                <w:rtl w:val="true"/>
              </w:rPr>
              <w:tab/>
            </w:r>
            <w:r>
              <w:rPr>
                <w:rStyle w:val="IndexLink"/>
              </w:rPr>
              <w:t>38</w:t>
            </w:r>
          </w:hyperlink>
        </w:p>
        <w:p>
          <w:pPr>
            <w:pStyle w:val="Contents5"/>
            <w:tabs>
              <w:tab w:val="clear" w:pos="7892"/>
              <w:tab w:val="right" w:pos="9026" w:leader="dot"/>
            </w:tabs>
            <w:rPr/>
          </w:pPr>
          <w:hyperlink w:anchor="__RefHeading___Toc5485255_21167332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5485257_211673320">
            <w:r>
              <w:rPr>
                <w:webHidden/>
                <w:rStyle w:val="IndexLink"/>
                <w:rtl w:val="true"/>
              </w:rPr>
              <w:t>الف</w:t>
            </w:r>
            <w:r>
              <w:rPr>
                <w:rStyle w:val="IndexLink"/>
                <w:rtl w:val="true"/>
              </w:rPr>
              <w:t xml:space="preserve">. </w:t>
            </w:r>
            <w:r>
              <w:rPr>
                <w:rStyle w:val="IndexLink"/>
                <w:rtl w:val="true"/>
              </w:rPr>
              <w:t>فرقه های اهل سنّت</w:t>
            </w:r>
            <w:r>
              <w:rPr>
                <w:rStyle w:val="IndexLink"/>
                <w:rtl w:val="true"/>
              </w:rPr>
              <w:tab/>
            </w:r>
            <w:r>
              <w:rPr>
                <w:rStyle w:val="IndexLink"/>
              </w:rPr>
              <w:t>38</w:t>
            </w:r>
          </w:hyperlink>
        </w:p>
        <w:p>
          <w:pPr>
            <w:pStyle w:val="Contents5"/>
            <w:tabs>
              <w:tab w:val="clear" w:pos="7892"/>
              <w:tab w:val="right" w:pos="9026" w:leader="dot"/>
            </w:tabs>
            <w:rPr/>
          </w:pPr>
          <w:hyperlink w:anchor="__RefHeading___Toc5485259_211673320">
            <w:r>
              <w:rPr>
                <w:webHidden/>
                <w:rStyle w:val="IndexLink"/>
                <w:rtl w:val="true"/>
              </w:rPr>
              <w:t>ب</w:t>
            </w:r>
            <w:r>
              <w:rPr>
                <w:rStyle w:val="IndexLink"/>
                <w:rtl w:val="true"/>
              </w:rPr>
              <w:t xml:space="preserve">. </w:t>
            </w:r>
            <w:r>
              <w:rPr>
                <w:rStyle w:val="IndexLink"/>
                <w:rtl w:val="true"/>
              </w:rPr>
              <w:t>فرقه های تشیع</w:t>
            </w:r>
            <w:r>
              <w:rPr>
                <w:rStyle w:val="IndexLink"/>
                <w:rtl w:val="true"/>
              </w:rPr>
              <w:tab/>
            </w:r>
            <w:r>
              <w:rPr>
                <w:rStyle w:val="IndexLink"/>
              </w:rPr>
              <w:t>39</w:t>
            </w:r>
          </w:hyperlink>
        </w:p>
        <w:p>
          <w:pPr>
            <w:pStyle w:val="Contents6"/>
            <w:tabs>
              <w:tab w:val="clear" w:pos="7609"/>
              <w:tab w:val="right" w:pos="9026" w:leader="dot"/>
            </w:tabs>
            <w:rPr/>
          </w:pPr>
          <w:hyperlink w:anchor="__RefHeading___Toc5485261_211673320">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5485263_211673320">
            <w:r>
              <w:rPr>
                <w:webHidden/>
                <w:rStyle w:val="IndexLink"/>
              </w:rPr>
              <w:t>1</w:t>
            </w:r>
            <w:r>
              <w:rPr>
                <w:rStyle w:val="IndexLink"/>
                <w:rtl w:val="true"/>
              </w:rPr>
              <w:t xml:space="preserve">. </w:t>
            </w:r>
            <w:r>
              <w:rPr>
                <w:rStyle w:val="IndexLink"/>
                <w:rtl w:val="true"/>
              </w:rPr>
              <w:t>فرقه کیسانیه</w:t>
            </w:r>
            <w:r>
              <w:rPr>
                <w:rStyle w:val="IndexLink"/>
                <w:rtl w:val="true"/>
              </w:rPr>
              <w:tab/>
            </w:r>
            <w:r>
              <w:rPr>
                <w:rStyle w:val="IndexLink"/>
              </w:rPr>
              <w:t>39</w:t>
            </w:r>
          </w:hyperlink>
        </w:p>
        <w:p>
          <w:pPr>
            <w:pStyle w:val="Contents6"/>
            <w:tabs>
              <w:tab w:val="clear" w:pos="7609"/>
              <w:tab w:val="right" w:pos="9026" w:leader="dot"/>
            </w:tabs>
            <w:rPr/>
          </w:pPr>
          <w:hyperlink w:anchor="__RefHeading___Toc5485265_211673320">
            <w:r>
              <w:rPr>
                <w:webHidden/>
                <w:rStyle w:val="IndexLink"/>
              </w:rPr>
              <w:t>2</w:t>
            </w:r>
            <w:r>
              <w:rPr>
                <w:rStyle w:val="IndexLink"/>
                <w:rtl w:val="true"/>
              </w:rPr>
              <w:t xml:space="preserve">. </w:t>
            </w:r>
            <w:r>
              <w:rPr>
                <w:rStyle w:val="IndexLink"/>
                <w:rtl w:val="true"/>
              </w:rPr>
              <w:t>فرقه زیدیه</w:t>
            </w:r>
            <w:r>
              <w:rPr>
                <w:rStyle w:val="IndexLink"/>
                <w:rtl w:val="true"/>
              </w:rPr>
              <w:tab/>
            </w:r>
            <w:r>
              <w:rPr>
                <w:rStyle w:val="IndexLink"/>
              </w:rPr>
              <w:t>40</w:t>
            </w:r>
          </w:hyperlink>
        </w:p>
        <w:p>
          <w:pPr>
            <w:pStyle w:val="Contents6"/>
            <w:tabs>
              <w:tab w:val="clear" w:pos="7609"/>
              <w:tab w:val="right" w:pos="9026" w:leader="dot"/>
            </w:tabs>
            <w:rPr/>
          </w:pPr>
          <w:hyperlink w:anchor="__RefHeading___Toc5485267_211673320">
            <w:r>
              <w:rPr>
                <w:webHidden/>
                <w:rStyle w:val="IndexLink"/>
              </w:rPr>
              <w:t>3</w:t>
            </w:r>
            <w:r>
              <w:rPr>
                <w:rStyle w:val="IndexLink"/>
                <w:rtl w:val="true"/>
              </w:rPr>
              <w:t xml:space="preserve">. </w:t>
            </w:r>
            <w:r>
              <w:rPr>
                <w:rStyle w:val="IndexLink"/>
                <w:rtl w:val="true"/>
              </w:rPr>
              <w:t>فرقه ناووسیه</w:t>
            </w:r>
            <w:r>
              <w:rPr>
                <w:rStyle w:val="IndexLink"/>
                <w:rtl w:val="true"/>
              </w:rPr>
              <w:tab/>
            </w:r>
            <w:r>
              <w:rPr>
                <w:rStyle w:val="IndexLink"/>
              </w:rPr>
              <w:t>41</w:t>
            </w:r>
          </w:hyperlink>
        </w:p>
        <w:p>
          <w:pPr>
            <w:pStyle w:val="Contents6"/>
            <w:tabs>
              <w:tab w:val="clear" w:pos="7609"/>
              <w:tab w:val="right" w:pos="9026" w:leader="dot"/>
            </w:tabs>
            <w:rPr/>
          </w:pPr>
          <w:hyperlink w:anchor="__RefHeading___Toc5485269_211673320">
            <w:r>
              <w:rPr>
                <w:webHidden/>
                <w:rStyle w:val="IndexLink"/>
              </w:rPr>
              <w:t>4</w:t>
            </w:r>
            <w:r>
              <w:rPr>
                <w:rStyle w:val="IndexLink"/>
                <w:rtl w:val="true"/>
              </w:rPr>
              <w:t xml:space="preserve">. </w:t>
            </w:r>
            <w:r>
              <w:rPr>
                <w:rStyle w:val="IndexLink"/>
                <w:rtl w:val="true"/>
              </w:rPr>
              <w:t>واقفیه</w:t>
            </w:r>
            <w:r>
              <w:rPr>
                <w:rStyle w:val="IndexLink"/>
                <w:rtl w:val="true"/>
              </w:rPr>
              <w:tab/>
            </w:r>
            <w:r>
              <w:rPr>
                <w:rStyle w:val="IndexLink"/>
              </w:rPr>
              <w:t>42</w:t>
            </w:r>
          </w:hyperlink>
        </w:p>
        <w:p>
          <w:pPr>
            <w:pStyle w:val="Contents6"/>
            <w:tabs>
              <w:tab w:val="clear" w:pos="7609"/>
              <w:tab w:val="right" w:pos="9026" w:leader="dot"/>
            </w:tabs>
            <w:rPr/>
          </w:pPr>
          <w:hyperlink w:anchor="__RefHeading___Toc5485271_211673320">
            <w:r>
              <w:rPr>
                <w:webHidden/>
                <w:rStyle w:val="IndexLink"/>
              </w:rPr>
              <w:t>5</w:t>
            </w:r>
            <w:r>
              <w:rPr>
                <w:rStyle w:val="IndexLink"/>
                <w:rtl w:val="true"/>
              </w:rPr>
              <w:t xml:space="preserve">. </w:t>
            </w:r>
            <w:r>
              <w:rPr>
                <w:rStyle w:val="IndexLink"/>
                <w:rtl w:val="true"/>
              </w:rPr>
              <w:t>فرقه اسماعیلیه</w:t>
            </w:r>
            <w:r>
              <w:rPr>
                <w:rStyle w:val="IndexLink"/>
                <w:rtl w:val="true"/>
              </w:rPr>
              <w:tab/>
            </w:r>
            <w:r>
              <w:rPr>
                <w:rStyle w:val="IndexLink"/>
              </w:rPr>
              <w:t>43</w:t>
            </w:r>
          </w:hyperlink>
        </w:p>
        <w:p>
          <w:pPr>
            <w:pStyle w:val="Contents6"/>
            <w:tabs>
              <w:tab w:val="clear" w:pos="7609"/>
              <w:tab w:val="right" w:pos="9026" w:leader="dot"/>
            </w:tabs>
            <w:rPr/>
          </w:pPr>
          <w:hyperlink w:anchor="__RefHeading___Toc5485273_211673320">
            <w:r>
              <w:rPr>
                <w:webHidden/>
                <w:rStyle w:val="IndexLink"/>
              </w:rPr>
              <w:t>6</w:t>
            </w:r>
            <w:r>
              <w:rPr>
                <w:rStyle w:val="IndexLink"/>
                <w:rtl w:val="true"/>
              </w:rPr>
              <w:t xml:space="preserve">. </w:t>
            </w:r>
            <w:r>
              <w:rPr>
                <w:rStyle w:val="IndexLink"/>
                <w:rtl w:val="true"/>
              </w:rPr>
              <w:t>دوازده امامی</w:t>
            </w:r>
            <w:r>
              <w:rPr>
                <w:rStyle w:val="IndexLink"/>
                <w:rtl w:val="true"/>
              </w:rPr>
              <w:tab/>
            </w:r>
            <w:r>
              <w:rPr>
                <w:rStyle w:val="IndexLink"/>
              </w:rPr>
              <w:t>45</w:t>
            </w:r>
          </w:hyperlink>
        </w:p>
        <w:p>
          <w:pPr>
            <w:pStyle w:val="Contents3"/>
            <w:tabs>
              <w:tab w:val="clear" w:pos="8459"/>
              <w:tab w:val="right" w:pos="9026" w:leader="dot"/>
            </w:tabs>
            <w:rPr/>
          </w:pPr>
          <w:hyperlink w:anchor="__RefHeading___Toc5485275_211673320">
            <w:r>
              <w:rPr>
                <w:webHidden/>
                <w:rStyle w:val="IndexLink"/>
                <w:rtl w:val="true"/>
              </w:rPr>
              <w:t xml:space="preserve">مقدمه </w:t>
            </w:r>
            <w:r>
              <w:rPr>
                <w:rStyle w:val="IndexLink"/>
              </w:rPr>
              <w:t>4</w:t>
            </w:r>
            <w:r>
              <w:rPr>
                <w:rStyle w:val="IndexLink"/>
                <w:rtl w:val="true"/>
              </w:rPr>
              <w:t xml:space="preserve">. </w:t>
            </w:r>
            <w:r>
              <w:rPr>
                <w:rStyle w:val="IndexLink"/>
                <w:rtl w:val="true"/>
              </w:rPr>
              <w:t>وجود حضرت مهدی علیه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5485277_211673320">
            <w:r>
              <w:rPr>
                <w:webHidden/>
                <w:rStyle w:val="IndexLink"/>
                <w:rtl w:val="true"/>
              </w:rPr>
              <w:t>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7_5881"/>
      <w:bookmarkStart w:id="1" w:name="pg637_5881"/>
      <w:bookmarkEnd w:id="1"/>
    </w:p>
    <w:p>
      <w:pPr>
        <w:pStyle w:val="Heading2"/>
        <w:numPr>
          <w:ilvl w:val="1"/>
          <w:numId w:val="1"/>
        </w:numPr>
        <w:rPr/>
      </w:pPr>
      <w:bookmarkStart w:id="2" w:name="pg637_5881"/>
      <w:bookmarkStart w:id="3" w:name="__RefHeading___Toc548518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شاکری زواردهی، روح‌الله،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عقلی درباره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شاکری‌زواردهی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۱۱۴۳۱۶۸</w:t>
      </w:r>
    </w:p>
    <w:p>
      <w:pPr>
        <w:pStyle w:val="Heading2"/>
        <w:numPr>
          <w:ilvl w:val="1"/>
          <w:numId w:val="1"/>
        </w:numPr>
        <w:rPr/>
      </w:pPr>
      <w:bookmarkStart w:id="5" w:name="__RefHeading___Toc5485191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عقلی درباره حضرت مهدی عجل الله تعالی فرجه الشریف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 شاکری زواردهی</w:t>
      </w:r>
    </w:p>
    <w:p>
      <w:pPr>
        <w:pStyle w:val="BookText"/>
        <w:rPr/>
      </w:pPr>
      <w:r>
        <w:rPr>
          <w:rFonts w:ascii="IRNazanin" w:hAnsi="IRNazanin" w:eastAsia="IRNazanin"/>
          <w:color w:val="111111"/>
          <w:sz w:val="28"/>
          <w:sz w:val="28"/>
          <w:szCs w:val="28"/>
          <w:rtl w:val="true"/>
          <w:lang w:bidi="fa-IR"/>
        </w:rPr>
        <w:t>پژوهشی عقلی درباره حضرت مهدی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شاکری زواردهی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زمستان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ترام‌اسکنر </w:t>
      </w:r>
      <w:r>
        <w:rPr>
          <w:rFonts w:eastAsia="IRNazanin" w:cs="IRNazanin"/>
          <w:color w:val="111111"/>
          <w:sz w:val="28"/>
          <w:szCs w:val="28"/>
          <w:lang w:bidi="fa-IR"/>
        </w:rPr>
        <w:t>7830058</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88998601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88998607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9</w:t>
      </w:r>
      <w:bookmarkStart w:id="7" w:name="pg637_5883"/>
    </w:p>
    <w:p>
      <w:pPr>
        <w:pStyle w:val="Heading2"/>
        <w:numPr>
          <w:ilvl w:val="1"/>
          <w:numId w:val="1"/>
        </w:numPr>
        <w:rPr/>
      </w:pPr>
      <w:bookmarkStart w:id="8" w:name="__RefHeading___Toc5485193_2116733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دلایل عقلی امامت حضرت مهدی علیه السلام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کلامی شیعه</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توضیح دیدگاه اسماعیلیه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کلامی اهل سنّت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لطف</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لطف</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لطف</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قاعده لطف بر امامت</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پیش فرض های مهم برهان لطف</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بایستگی کارشناس دین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مسلمین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و حفظ نظام اسلامی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ضررهای عظیم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امام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به چه دلیل امام باید معصوم باشد؟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ادلّه عصمت امام</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یابی به واسطه سبر و تقسیم</w:t>
      </w:r>
      <w:r>
        <w:rPr>
          <w:rFonts w:eastAsia="IRNazanin" w:cs="IRNazanin"/>
          <w:color w:val="111111"/>
          <w:sz w:val="28"/>
          <w:szCs w:val="28"/>
          <w:lang w:bidi="fa-IR"/>
        </w:rPr>
        <w:t>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اهل سنّت</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تشیع</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کیسانیه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زیدیه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ناووسیه</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اسماعیلیه</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امامی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حضرت مهدی علیه السلام </w:t>
      </w:r>
      <w:r>
        <w:rPr>
          <w:rFonts w:eastAsia="IRNazanin" w:cs="IRNazanin"/>
          <w:color w:val="111111"/>
          <w:sz w:val="28"/>
          <w:szCs w:val="28"/>
          <w:lang w:bidi="fa-IR"/>
        </w:rPr>
        <w:t>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49</w:t>
      </w:r>
      <w:bookmarkStart w:id="10" w:name="pg637_5885"/>
    </w:p>
    <w:p>
      <w:pPr>
        <w:pStyle w:val="Heading2"/>
        <w:numPr>
          <w:ilvl w:val="1"/>
          <w:numId w:val="1"/>
        </w:numPr>
        <w:rPr/>
      </w:pPr>
      <w:bookmarkStart w:id="11" w:name="__RefHeading___Toc5485195_211673320"/>
      <w:bookmarkStart w:id="12" w:name="_Toc4"/>
      <w:bookmarkEnd w:id="10"/>
      <w:bookmarkEnd w:id="11"/>
      <w:r>
        <w:rPr>
          <w:rtl w:val="true"/>
        </w:rPr>
        <w:t>مقدمه ناشر</w:t>
      </w:r>
      <w:bookmarkEnd w:id="12"/>
    </w:p>
    <w:p>
      <w:pPr>
        <w:pStyle w:val="BookText"/>
        <w:rPr/>
      </w:pPr>
      <w:r>
        <w:rPr>
          <w:rFonts w:ascii="IRNazanin" w:hAnsi="IRNazanin" w:eastAsia="IRNazanin"/>
          <w:color w:val="111111"/>
          <w:sz w:val="28"/>
          <w:sz w:val="28"/>
          <w:szCs w:val="28"/>
          <w:rtl w:val="true"/>
          <w:lang w:bidi="fa-IR"/>
        </w:rPr>
        <w:t>اندیشه مهدویت، پاسخگوی کامل و جامع به خواسته و نیاز دیرین انسان‌ها در اصلاح وضعیت نابسامان زندگی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نه فقط برای فردای مبهم بشریت، روشنی و زیبایی عرضه می‌کند که امروز بشر نیز در گرو فهم و معرفت به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نشناختن امام و راه، اهداف و جایگاه امام و وظایف ما در قبال او، همان زندگی جاهلی است که مرگ جاهلی را در پی دارد و روایات بسیاری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فرهنگی حضرت مهدی موعود عجل الله تعالی فرجه الشریف به همت پژوهشگران مرکز تخصصی مهدویت، در راستای این هدف مهم، مجموعه ای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تا به تبیین مباحث و موضوعات مختلف فرهنگ مهدویت به صورت مختصر و با حجمی اندک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فصلنامه علمی تخصصی انتظار که ویژه پژوهشگران و متخصصان است؛ رهنمون عموم علاقمندان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پژوهش</w:t>
      </w:r>
      <w:bookmarkStart w:id="13" w:name="pg637_5887"/>
    </w:p>
    <w:p>
      <w:pPr>
        <w:pStyle w:val="Heading2"/>
        <w:numPr>
          <w:ilvl w:val="1"/>
          <w:numId w:val="1"/>
        </w:numPr>
        <w:rPr/>
      </w:pPr>
      <w:bookmarkStart w:id="14" w:name="__RefHeading___Toc5485197_21167332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 xml:space="preserve">یکی از مباحث مهم و کلیدی ـ که جامعه شیعه را از دیگر فرقه های اسلامی ممتاز می‌کند ـ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اعتقادی مباحث امامت ـ چه امامت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امامت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یک امام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جایگاه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دانشمندان و متکلمان در اثبات امامت ائمه علیهم السلام در طول تاریخ کوشش های فراوانی کرده اند، و در این راستا از دو روش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گرفته‌اند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بحث در این نوشتار، بهره گیری از روش عقلی در اثبات امامت حضرت ولی عصر علیه السلام است و هر چند بحث در اثبات امامت حضرت مهدی علیه السلام است؛ ولی مباحث مطرح شده در بخش</w:t>
      </w:r>
    </w:p>
    <w:p>
      <w:pPr>
        <w:pStyle w:val="BookText"/>
        <w:rPr/>
      </w:pPr>
      <w:r>
        <w:rPr>
          <w:rFonts w:ascii="IRNazanin" w:hAnsi="IRNazanin" w:eastAsia="IRNazanin"/>
          <w:color w:val="111111"/>
          <w:sz w:val="28"/>
          <w:sz w:val="28"/>
          <w:szCs w:val="28"/>
          <w:rtl w:val="true"/>
          <w:lang w:bidi="fa-IR"/>
        </w:rPr>
        <w:t>امامت عامه نیز به عنوان پیش فرض بیان می‌گردد تا نتیجه روشنی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چهار مقدمه برای اثبات امامت حضرت حجت علیه السلام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یابی به واسطه برهان سبر و تقسیم منطقی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حضرت مهدی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استدلال، این مقدمات به کار خواهد رفت که سه مقدمه آن عقلی و مقدمه چهارم حسّی است که هچ گونه ضرری به عقلی بودن استدلال وارد نمی کند</w:t>
      </w:r>
      <w:r>
        <w:rPr>
          <w:rStyle w:val="FootnoteAnchor"/>
          <w:rtl w:val="true"/>
        </w:rPr>
        <w:footnoteReference w:id="3"/>
      </w:r>
      <w:bookmarkStart w:id="16" w:name="pg637_5889"/>
    </w:p>
    <w:p>
      <w:pPr>
        <w:pStyle w:val="Heading2"/>
        <w:numPr>
          <w:ilvl w:val="1"/>
          <w:numId w:val="1"/>
        </w:numPr>
        <w:rPr/>
      </w:pPr>
      <w:bookmarkStart w:id="17" w:name="__RefHeading___Toc5485199_211673320"/>
      <w:bookmarkStart w:id="18" w:name="_Toc6"/>
      <w:bookmarkEnd w:id="16"/>
      <w:bookmarkEnd w:id="17"/>
      <w:r>
        <w:rPr>
          <w:rtl w:val="true"/>
        </w:rPr>
        <w:t>دلایل عقلی امامت حضرت مهدی علیه السلام</w:t>
      </w:r>
      <w:bookmarkEnd w:id="18"/>
    </w:p>
    <w:p>
      <w:pPr>
        <w:pStyle w:val="Heading3"/>
        <w:numPr>
          <w:ilvl w:val="2"/>
          <w:numId w:val="1"/>
        </w:numPr>
        <w:rPr/>
      </w:pPr>
      <w:bookmarkStart w:id="19" w:name="__RefHeading___Toc5485201_211673320"/>
      <w:bookmarkStart w:id="20" w:name="_Toc7"/>
      <w:bookmarkEnd w:id="19"/>
      <w:r>
        <w:rPr>
          <w:rtl w:val="true"/>
        </w:rPr>
        <w:t>مقدمه</w:t>
      </w:r>
      <w:r>
        <w:rPr/>
        <w:t>1</w:t>
      </w:r>
      <w:r>
        <w:rPr>
          <w:rtl w:val="true"/>
        </w:rPr>
        <w:t xml:space="preserve">. </w:t>
      </w:r>
      <w:r>
        <w:rPr>
          <w:rtl w:val="true"/>
        </w:rPr>
        <w:t>ضرورت وجود امام</w:t>
      </w:r>
      <w:r>
        <w:rPr>
          <w:rtl w:val="true"/>
        </w:rPr>
        <w:t>(</w:t>
      </w:r>
      <w:r>
        <w:rPr>
          <w:rtl w:val="true"/>
        </w:rPr>
        <w:t>وجوب امام</w:t>
      </w:r>
      <w:r>
        <w:rPr>
          <w:rtl w:val="true"/>
        </w:rPr>
        <w:t>)</w:t>
      </w:r>
      <w:bookmarkEnd w:id="20"/>
    </w:p>
    <w:p>
      <w:pPr>
        <w:pStyle w:val="Heading4"/>
        <w:numPr>
          <w:ilvl w:val="3"/>
          <w:numId w:val="1"/>
        </w:numPr>
        <w:rPr/>
      </w:pPr>
      <w:bookmarkStart w:id="21" w:name="__RefHeading___Toc5485203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وجود امام و خلیفه پیامبر صلی الله علیه و آله و سلم و پیشوای مسلمین، مورد قبول همه مذاهب اسلامی ـ اعم از شیعه و سنّی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به قدری اهمیت دارد که وقتی به اهل سنّت درباره ماجرای سقیفه اعتراض می‌شود که چرا عده ای از صحابه ـ از جمله خلیفه اول و دوم ـ هنوز بدن پیامبر اکرم صلی الله علیه و آله و سلم را غسل و کفن نکرده، به مسأله جانشینی پرداختند،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امت اسلامی، مهم‌تر از تجهیز و کفن و دفن پیامبر صلی الله علیه و آله و سلماست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مسأله ضرورت وجود امام، نه تنها برای شیعه؛ بلکه حتی برای فرقه های مختلف اهل سنّت نیز جدّی و پر اهمیت است و آنان نیز در اینکه امامت و خلافت، امری بایسته و ضروری است، تردید ندارند، منتها در کیفیت و وجوب آن، با شیعه اختلاف دارند که در طول بحث روشن خواهد شد</w:t>
      </w:r>
      <w:r>
        <w:rPr>
          <w:rFonts w:eastAsia="IRNazanin" w:cs="IRNazanin"/>
          <w:color w:val="111111"/>
          <w:sz w:val="28"/>
          <w:szCs w:val="28"/>
          <w:rtl w:val="true"/>
          <w:lang w:bidi="fa-IR"/>
        </w:rPr>
        <w:t>.</w:t>
      </w:r>
      <w:bookmarkStart w:id="23" w:name="pg637_5890"/>
    </w:p>
    <w:p>
      <w:pPr>
        <w:pStyle w:val="BookText"/>
        <w:rPr/>
      </w:pPr>
      <w:bookmarkEnd w:id="23"/>
      <w:r>
        <w:rPr>
          <w:rFonts w:ascii="IRNazanin" w:hAnsi="IRNazanin" w:eastAsia="IRNazanin"/>
          <w:color w:val="111111"/>
          <w:sz w:val="28"/>
          <w:sz w:val="28"/>
          <w:szCs w:val="28"/>
          <w:rtl w:val="true"/>
          <w:lang w:bidi="fa-IR"/>
        </w:rPr>
        <w:t>ابتدا دیدگاه های هر یک از فرقه های شیعه و سنی به طور اختصار بیان می‌گردد</w:t>
      </w:r>
      <w:r>
        <w:rPr>
          <w:rFonts w:eastAsia="IRNazanin" w:cs="IRNazanin"/>
          <w:color w:val="111111"/>
          <w:sz w:val="28"/>
          <w:szCs w:val="28"/>
          <w:rtl w:val="true"/>
          <w:lang w:bidi="fa-IR"/>
        </w:rPr>
        <w:t>:</w:t>
      </w:r>
    </w:p>
    <w:p>
      <w:pPr>
        <w:pStyle w:val="Heading4"/>
        <w:numPr>
          <w:ilvl w:val="3"/>
          <w:numId w:val="1"/>
        </w:numPr>
        <w:rPr/>
      </w:pPr>
      <w:bookmarkStart w:id="24" w:name="__RefHeading___Toc5485205_211673320"/>
      <w:bookmarkStart w:id="25" w:name="_Toc9"/>
      <w:bookmarkEnd w:id="24"/>
      <w:r>
        <w:rPr>
          <w:rtl w:val="true"/>
        </w:rPr>
        <w:t>الف</w:t>
      </w:r>
      <w:r>
        <w:rPr>
          <w:rtl w:val="true"/>
        </w:rPr>
        <w:t xml:space="preserve">. </w:t>
      </w:r>
      <w:r>
        <w:rPr>
          <w:rtl w:val="true"/>
        </w:rPr>
        <w:t>فرقه های کلامی شیعه</w:t>
      </w:r>
      <w:bookmarkEnd w:id="25"/>
    </w:p>
    <w:p>
      <w:pPr>
        <w:pStyle w:val="Heading5"/>
        <w:numPr>
          <w:ilvl w:val="4"/>
          <w:numId w:val="1"/>
        </w:numPr>
        <w:rPr/>
      </w:pPr>
      <w:bookmarkStart w:id="26" w:name="__RefHeading___Toc5485207_211673320"/>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امامیه، امامت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کلام یکی بزرگان امامیه، خواجه نصیرالدین طوسی،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الامام لطف، لانّه یقرب من الطاعة و یبعد عن المعصیة واللطف واجب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یعنی،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لطف است؛ زیرا مردم را به طاعت نزدیک می‌کند و از معصیت دور می‌سازد و لطف بر خداوند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معتقد به وجوب امامت هستند، ولی در اینکه این وجوب بر خدا است یا بر مردم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کلامی است که امامیه بدان معتقد است؛ ولی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فقهی است که فرقه های اهل سنّت بر آن دیدگاه هستند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وجوب کلامی، این است که فعلی، مقتضای عدل یا حکمت یا جود یا</w:t>
      </w:r>
    </w:p>
    <w:p>
      <w:pPr>
        <w:pStyle w:val="BookText"/>
        <w:rPr/>
      </w:pPr>
      <w:r>
        <w:rPr>
          <w:rFonts w:ascii="IRNazanin" w:hAnsi="IRNazanin" w:eastAsia="IRNazanin"/>
          <w:color w:val="111111"/>
          <w:sz w:val="28"/>
          <w:sz w:val="28"/>
          <w:szCs w:val="28"/>
          <w:rtl w:val="true"/>
          <w:lang w:bidi="fa-IR"/>
        </w:rPr>
        <w:t>رحمت یا دیگر صفات کمال الهی است و چون ترک چنین فعلی، مستلزم نقص در ساحت خداوند و در نتیجه، محال است؛ پس انجام دادن آن، واجب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آن فعل را بر خداوند واجب نمی کند؛ بلکه او خود، به مقتضای صفات کمال و جمالش، آن را بر خود واجب می‌کند؛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امامت را مقتضای حکمت و لطف خداوند می‌داند و بر این اساس، آن را بر خداوند واجب می‌شمارد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این است که اسماعیلیه نیز مانند امامیه معتقد به وجوب امامت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وجوب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بین دیدگاه امامیه و اسماعیلیه در فلسفه امامت اختلاف نظر وجود دارد؛ زیرا 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تعلیم معرفت خداوند به بشر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 مقداد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اسماعیلیه، امامت را بر خداوند واجب می‌دانند تا معرفت</w:t>
      </w:r>
      <w:bookmarkStart w:id="28" w:name="pg637_5892"/>
    </w:p>
    <w:p>
      <w:pPr>
        <w:pStyle w:val="BookText"/>
        <w:rPr/>
      </w:pPr>
      <w:bookmarkEnd w:id="28"/>
      <w:r>
        <w:rPr>
          <w:rFonts w:ascii="IRNazanin" w:hAnsi="IRNazanin" w:eastAsia="IRNazanin"/>
          <w:color w:val="111111"/>
          <w:sz w:val="28"/>
          <w:sz w:val="28"/>
          <w:szCs w:val="28"/>
          <w:rtl w:val="true"/>
          <w:lang w:bidi="fa-IR"/>
        </w:rPr>
        <w:t>خداوند را به بشر تعلیم دهد</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29" w:name="__RefHeading___Toc5485209_211673320"/>
      <w:bookmarkStart w:id="30" w:name="_Toc11"/>
      <w:bookmarkEnd w:id="29"/>
      <w:r>
        <w:rPr>
          <w:rtl w:val="true"/>
        </w:rPr>
        <w:t>توضیح دیدگاه اسماعیلیه</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اسماعیلیّه عالم ممکنات را به دو عالم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باطن یا امر، مشتمل بر عقول و نفوس و ارواح است و نخستین موجود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سپس عقول دیگر و نفوس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را مظهر عالم باطن یا عالم امر می‌دانند و رتبه اش بر نبی ـ که مظهر نفس است ـ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معرفت به خداوند جز توسط امام،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وجود امام با وجود خداوند، نسبت مظهر و ظهور مَجلی و تجلّی است، یعنی وجود خداوند، در وجود امام، متجلّی می‌گردد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اگرچه با امامیه در مصادیق و شرایط امام اختلاف نظر جدی دارند؛ ولی معتقد به وجوب امام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وجوب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نصیرالدین طوسی آنان را از طرفداران وجوب نصب امام بر خدا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گفته شده که عده کمی از آنان معتقد</w:t>
      </w:r>
      <w:bookmarkStart w:id="31" w:name="pg637_5893"/>
    </w:p>
    <w:p>
      <w:pPr>
        <w:pStyle w:val="BookText"/>
        <w:rPr/>
      </w:pPr>
      <w:bookmarkEnd w:id="31"/>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نصب امام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Style w:val="FootnoteAnchor"/>
          <w:rtl w:val="true"/>
        </w:rPr>
        <w:footnoteReference w:id="9"/>
      </w:r>
      <w:r>
        <w:rPr>
          <w:rFonts w:ascii="IRNazanin" w:hAnsi="IRNazanin" w:eastAsia="IRNazanin"/>
          <w:color w:val="111111"/>
          <w:sz w:val="28"/>
          <w:sz w:val="28"/>
          <w:szCs w:val="28"/>
          <w:rtl w:val="true"/>
          <w:lang w:bidi="fa-IR"/>
        </w:rPr>
        <w:t>به هر حال در اصل وجوب و ضرورت امام، با سایر فرقه های شیعه هم عقیده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فرقه های شیعه، معتقد به وجوب امام و ضرورت آن در جامعه هستند؛ هرچند در فلسفه وجود امام، اختلافاتی دارند</w:t>
      </w:r>
      <w:r>
        <w:rPr>
          <w:rFonts w:eastAsia="IRNazanin" w:cs="IRNazanin"/>
          <w:color w:val="111111"/>
          <w:sz w:val="28"/>
          <w:szCs w:val="28"/>
          <w:rtl w:val="true"/>
          <w:lang w:bidi="fa-IR"/>
        </w:rPr>
        <w:t>.</w:t>
      </w:r>
    </w:p>
    <w:p>
      <w:pPr>
        <w:pStyle w:val="Heading4"/>
        <w:numPr>
          <w:ilvl w:val="3"/>
          <w:numId w:val="1"/>
        </w:numPr>
        <w:rPr/>
      </w:pPr>
      <w:bookmarkStart w:id="32" w:name="__RefHeading___Toc5485211_211673320"/>
      <w:bookmarkStart w:id="33" w:name="_Toc12"/>
      <w:bookmarkEnd w:id="32"/>
      <w:r>
        <w:rPr>
          <w:rtl w:val="true"/>
        </w:rPr>
        <w:t>ب</w:t>
      </w:r>
      <w:r>
        <w:rPr>
          <w:rtl w:val="true"/>
        </w:rPr>
        <w:t xml:space="preserve">. </w:t>
      </w:r>
      <w:r>
        <w:rPr>
          <w:rtl w:val="true"/>
        </w:rPr>
        <w:t>فرقه‌های کلامی اهل سنّت</w:t>
      </w:r>
      <w:bookmarkEnd w:id="33"/>
    </w:p>
    <w:p>
      <w:pPr>
        <w:pStyle w:val="Heading5"/>
        <w:numPr>
          <w:ilvl w:val="4"/>
          <w:numId w:val="1"/>
        </w:numPr>
        <w:rPr/>
      </w:pPr>
      <w:bookmarkStart w:id="34" w:name="__RefHeading___Toc5485213_211673320"/>
      <w:bookmarkStart w:id="35" w:name="_Toc13"/>
      <w:bookmarkEnd w:id="34"/>
      <w:r>
        <w:rPr>
          <w:rtl w:val="true"/>
        </w:rPr>
        <w:t>اشاره</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وجوب امام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بیشتر کتاب های آنها به دست می‌آید؛ ولی از آنجا که به حسن و قبح عقلی معتقد نیستند، وجوب امامت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بزرگ اشاعره، قاضی عضدالدین ایجی،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الامام عندنا واجب علینا سمعاً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آنان نیز معتقد به نصب امام و</w:t>
      </w:r>
    </w:p>
    <w:p>
      <w:pPr>
        <w:pStyle w:val="BookText"/>
        <w:rPr/>
      </w:pPr>
      <w:r>
        <w:rPr>
          <w:rFonts w:ascii="IRNazanin" w:hAnsi="IRNazanin" w:eastAsia="IRNazanin"/>
          <w:color w:val="111111"/>
          <w:sz w:val="28"/>
          <w:sz w:val="28"/>
          <w:szCs w:val="28"/>
          <w:rtl w:val="true"/>
          <w:lang w:bidi="fa-IR"/>
        </w:rPr>
        <w:t>ضرورت امام در جامعه اند؛ اما با دو تفاوت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به دلیل عقلی نیست؛ بلکه به دلیل نقلی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قاطع معتزله، قائل به وجوب امام هستند و تنها دو متکلم معتزلی ـ ابوبکر اصمّ و هشام بن عمرو فوطی ـ به وجوب امامت اعتقادی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تریدیه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اینان معتقد به وجوب امام هستند وجوب امامت در نظر آنها،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ماتریدیه با اشاعره در این جهت هم عقیده‌اند که وجوب امامت از دلایل نقلی فهمیده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امامت و خلافت را واجب می‌دانند؛ ولی قائل به وجوب کفایی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شرح کتاب لمعة الاعتقاد ابن قدامه مقدسی چنین</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منصب کبیر و مسؤولیة عظیمة و هی تولّی تدبیر امور المسلمین بحیث یکون هوالمسؤول الاوّل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فرض کفایة، لأنّ امور الناس لاتقوم الاّ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یعنی، خلافت، منصبی بزرگ و مسؤولیتی عظیم است و آن عبارت است از عهده دار شدن تدبیر امور مسلمانان به گونه ای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نخستین در این باره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واجب کفایی است، زیرا امور مردم، بدون آن قوام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فرقه های شیعه و سنی، به ضرورت وجود یا وجوب امام معتقدند و در این مورد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برخی مسایل نظیر اینکه این وجوب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وجوب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جای این پرسش است که دلیل یا دلایل وجوب امامت چیست؟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جایگاه بررسی دلایل در بحث امامت خاصه نیست؛ بلکه باید آن را در بحث امامت عامه ملاحظه کرد؛ ولی برای آشنایی اجمالی به</w:t>
      </w:r>
      <w:bookmarkStart w:id="36" w:name="pg637_5896"/>
    </w:p>
    <w:p>
      <w:pPr>
        <w:pStyle w:val="BookText"/>
        <w:rPr/>
      </w:pPr>
      <w:bookmarkEnd w:id="36"/>
      <w:r>
        <w:rPr>
          <w:rFonts w:ascii="IRNazanin" w:hAnsi="IRNazanin" w:eastAsia="IRNazanin"/>
          <w:color w:val="111111"/>
          <w:sz w:val="28"/>
          <w:sz w:val="28"/>
          <w:szCs w:val="28"/>
          <w:rtl w:val="true"/>
          <w:lang w:bidi="fa-IR"/>
        </w:rPr>
        <w:t>بعضی از دلایل به طور مختصر اشاره می‌شود</w:t>
      </w:r>
      <w:r>
        <w:rPr>
          <w:rFonts w:eastAsia="IRNazanin" w:cs="IRNazanin"/>
          <w:color w:val="111111"/>
          <w:sz w:val="28"/>
          <w:szCs w:val="28"/>
          <w:rtl w:val="true"/>
          <w:lang w:bidi="fa-IR"/>
        </w:rPr>
        <w:t>:</w:t>
      </w:r>
    </w:p>
    <w:p>
      <w:pPr>
        <w:pStyle w:val="Heading5"/>
        <w:numPr>
          <w:ilvl w:val="4"/>
          <w:numId w:val="1"/>
        </w:numPr>
        <w:rPr/>
      </w:pPr>
      <w:bookmarkStart w:id="37" w:name="__RefHeading___Toc5485215_211673320"/>
      <w:bookmarkStart w:id="38" w:name="_Toc14"/>
      <w:bookmarkEnd w:id="37"/>
      <w:r>
        <w:rPr>
          <w:rtl w:val="true"/>
        </w:rPr>
        <w:t>یک</w:t>
      </w:r>
      <w:r>
        <w:rPr>
          <w:rtl w:val="true"/>
        </w:rPr>
        <w:t xml:space="preserve">. </w:t>
      </w:r>
      <w:r>
        <w:rPr>
          <w:rtl w:val="true"/>
        </w:rPr>
        <w:t>قاعده لطف</w:t>
      </w:r>
      <w:bookmarkEnd w:id="38"/>
    </w:p>
    <w:p>
      <w:pPr>
        <w:pStyle w:val="Heading6"/>
        <w:numPr>
          <w:ilvl w:val="5"/>
          <w:numId w:val="1"/>
        </w:numPr>
        <w:rPr/>
      </w:pPr>
      <w:bookmarkStart w:id="39" w:name="__RefHeading___Toc5485217_21167332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یکی از براهین عقلی ـ که متکلّمان زیاد به آن استدلال می‌کنند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صراحت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رایج گذشتگان همین قاعده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عنایتی است که انسان را در انجام دادن عملی که باید آن را انجام دهد برمی انگیزد و او را یاری می‌کند؛ به طوری که اگر این یاری و انگیزه نباشد، وی آن کار را انجام نمی دهد، و نیز او را از انجام کاری که نباید انجام دهد، دور می‌کند 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وسایل و امکانات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رهبری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المطلوب</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ریاست عامه الهی در امور دین و دنیا است، برای شخصی از اشخاص به عنوان نیابت از پیامبر صلی الله علیه و آله و سلم و این واجب</w:t>
      </w:r>
      <w:bookmarkStart w:id="41" w:name="pg637_5897"/>
    </w:p>
    <w:p>
      <w:pPr>
        <w:pStyle w:val="BookText"/>
        <w:rPr/>
      </w:pPr>
      <w:bookmarkEnd w:id="41"/>
      <w:r>
        <w:rPr>
          <w:rFonts w:ascii="IRNazanin" w:hAnsi="IRNazanin" w:eastAsia="IRNazanin"/>
          <w:color w:val="111111"/>
          <w:sz w:val="28"/>
          <w:sz w:val="28"/>
          <w:szCs w:val="28"/>
          <w:rtl w:val="true"/>
          <w:lang w:bidi="fa-IR"/>
        </w:rPr>
        <w:t>عقلی است؛ زیرا امامت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علم قطعی داریم که اگر برای مردم شخصی باشد که ریاست آنها را بر عهده گیرد و آنها را راهنمایی کند و دیگران از او اطاعت کنند و او حق مظلوم را از ظالم بستاند و ظالم را از ظلم منع کند، مردم به صلاح نزدیک‌تر و از فساد دورتر می‌شوند</w:t>
      </w:r>
      <w:r>
        <w:rPr>
          <w:rFonts w:eastAsia="IRNazanin" w:cs="IRNazanin"/>
          <w:color w:val="111111"/>
          <w:sz w:val="28"/>
          <w:szCs w:val="28"/>
          <w:rtl w:val="true"/>
          <w:lang w:bidi="fa-IR"/>
        </w:rPr>
        <w:t>»</w:t>
      </w:r>
      <w:r>
        <w:rPr>
          <w:rStyle w:val="FootnoteAnchor"/>
          <w:rtl w:val="true"/>
        </w:rPr>
        <w:footnoteReference w:id="13"/>
      </w:r>
    </w:p>
    <w:p>
      <w:pPr>
        <w:pStyle w:val="Heading6"/>
        <w:numPr>
          <w:ilvl w:val="5"/>
          <w:numId w:val="1"/>
        </w:numPr>
        <w:rPr/>
      </w:pPr>
      <w:bookmarkStart w:id="42" w:name="__RefHeading___Toc5485219_211673320"/>
      <w:bookmarkStart w:id="43" w:name="_Toc16"/>
      <w:bookmarkEnd w:id="42"/>
      <w:r>
        <w:rPr/>
        <w:t>1</w:t>
      </w:r>
      <w:r>
        <w:rPr>
          <w:rtl w:val="true"/>
        </w:rPr>
        <w:t>ـ</w:t>
      </w:r>
      <w:r>
        <w:rPr/>
        <w:t>1</w:t>
      </w:r>
      <w:r>
        <w:rPr>
          <w:rtl w:val="true"/>
        </w:rPr>
        <w:t xml:space="preserve">. </w:t>
      </w:r>
      <w:r>
        <w:rPr>
          <w:rtl w:val="true"/>
        </w:rPr>
        <w:t>تعریف لطف</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فعل خداوند است، نه ذات و مراد از آن، هر فعلی است که خداوند نسبت به مکلفین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نعمت ها، خیرها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آن بندگان را به اطاعت نزدیک می‌کنند و از معصیت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حدّ جبر نمی رسد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لطف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گاهی دینی و گاه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مصلحتی دینی بود که نزدیک کننده به طاعت و دور کننده از معصیت باشد و در تکلیف دخالت کند، به آن لطف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مصلحت دنیوی بوده و در دایره تکلیف دخالت ندارد، به آن اصلح گویند</w:t>
      </w:r>
      <w:r>
        <w:rPr>
          <w:rFonts w:eastAsia="IRNazanin" w:cs="IRNazanin"/>
          <w:color w:val="111111"/>
          <w:sz w:val="28"/>
          <w:szCs w:val="28"/>
          <w:rtl w:val="true"/>
          <w:lang w:bidi="fa-IR"/>
        </w:rPr>
        <w:t>.</w:t>
      </w:r>
      <w:bookmarkStart w:id="44" w:name="pg637_5898"/>
    </w:p>
    <w:p>
      <w:pPr>
        <w:pStyle w:val="Heading6"/>
        <w:numPr>
          <w:ilvl w:val="5"/>
          <w:numId w:val="1"/>
        </w:numPr>
        <w:rPr/>
      </w:pPr>
      <w:bookmarkStart w:id="45" w:name="__RefHeading___Toc5485221_211673320"/>
      <w:bookmarkStart w:id="46" w:name="_Toc17"/>
      <w:bookmarkEnd w:id="44"/>
      <w:bookmarkEnd w:id="45"/>
      <w:r>
        <w:rPr/>
        <w:t>1</w:t>
      </w:r>
      <w:r>
        <w:rPr>
          <w:rtl w:val="true"/>
        </w:rPr>
        <w:t>ـ</w:t>
      </w:r>
      <w:r>
        <w:rPr/>
        <w:t>2</w:t>
      </w:r>
      <w:r>
        <w:rPr>
          <w:rtl w:val="true"/>
        </w:rPr>
        <w:t xml:space="preserve">. </w:t>
      </w:r>
      <w:r>
        <w:rPr>
          <w:rtl w:val="true"/>
        </w:rPr>
        <w:t>اقسام لطف</w:t>
      </w:r>
      <w:bookmarkEnd w:id="46"/>
    </w:p>
    <w:p>
      <w:pPr>
        <w:pStyle w:val="BookText"/>
        <w:rPr/>
      </w:pPr>
      <w:r>
        <w:rPr>
          <w:rFonts w:ascii="IRNazanin" w:hAnsi="IRNazanin" w:eastAsia="IRNazanin"/>
          <w:color w:val="111111"/>
          <w:sz w:val="28"/>
          <w:sz w:val="28"/>
          <w:szCs w:val="28"/>
          <w:rtl w:val="true"/>
          <w:lang w:bidi="fa-IR"/>
        </w:rPr>
        <w:t>لطف به لحاظ تأثیر و بهره مند ساختن انسان ها،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 و 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پیشوای الهی، از مصادیق هر دو نوع 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انجام دادن زمینه‌ها و مقدماتی از سوی خداوند که تحقّق هدف آفرینش، بر آنها متوقف است؛ به گونه ای که اگر خداوند، این امور را در حق انسان‌ها انجام ندهد، کار آفرینش لغو و بیهوده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این نوع لطف، بیان تکالیف شرعی، توان مند ساختن انسان‌ها برای انجام دادن تکالیف، نصب و معرفی ولی و حافظ دین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به این معنا، محقِّق اصل تکلیف و طاعت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اموری که خداوند برای بندگان انجام می‌دهد و در سایه آن، هدف از تکلیف برآورده می‌شود؛ به گونه ای که اگر این امور انجام نمی شد، امتثال و اطاعت برای عده زیادی امکان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نمونه های این نوع لطف، وعده بهشت به نیکوکاران و عذاب جهنم برای بدکاران، نعمت‌ها و سختی‌ها به عنوان ابتلا، امر به معروف و نهی از منکر و…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لطف، مکلّف را به سوی انجام دادن دستورات الهی نزدیک‌تر و از سرکشی به</w:t>
      </w:r>
      <w:bookmarkStart w:id="47" w:name="pg637_5899"/>
    </w:p>
    <w:p>
      <w:pPr>
        <w:pStyle w:val="BookText"/>
        <w:rPr/>
      </w:pPr>
      <w:bookmarkEnd w:id="47"/>
      <w:r>
        <w:rPr>
          <w:rFonts w:ascii="IRNazanin" w:hAnsi="IRNazanin" w:eastAsia="IRNazanin"/>
          <w:color w:val="111111"/>
          <w:sz w:val="28"/>
          <w:sz w:val="28"/>
          <w:szCs w:val="28"/>
          <w:rtl w:val="true"/>
          <w:lang w:bidi="fa-IR"/>
        </w:rPr>
        <w:t>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مرتبه اش، بعد از اثبات تکلیف است امّا لطف محصّل، محقّق و مثبت تکلیف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لطف مقرب را این 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مقرّب، عبارت است از هر آنچه که در دور کردن بندگان از معصیت ونزدیک ساختن ایشان به طاعت، مؤثر است؛ ولی در قدرت دادن آنان بر انجام تکالیف، مدخلیّتی ندارد و اختیار را نیز از آنان سلب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تعاریف دیگری از لطف مقرب و لطف محصل در کتب کلامی شده است</w:t>
      </w:r>
      <w:r>
        <w:rPr>
          <w:rFonts w:eastAsia="IRNazanin" w:cs="IRNazanin"/>
          <w:color w:val="111111"/>
          <w:sz w:val="28"/>
          <w:szCs w:val="28"/>
          <w:rtl w:val="true"/>
          <w:lang w:bidi="fa-IR"/>
        </w:rPr>
        <w:t>.</w:t>
      </w:r>
    </w:p>
    <w:p>
      <w:pPr>
        <w:pStyle w:val="Heading6"/>
        <w:numPr>
          <w:ilvl w:val="5"/>
          <w:numId w:val="1"/>
        </w:numPr>
        <w:rPr/>
      </w:pPr>
      <w:bookmarkStart w:id="48" w:name="__RefHeading___Toc5485223_211673320"/>
      <w:bookmarkStart w:id="49" w:name="_Toc18"/>
      <w:bookmarkEnd w:id="48"/>
      <w:r>
        <w:rPr/>
        <w:t>1</w:t>
      </w:r>
      <w:r>
        <w:rPr>
          <w:rtl w:val="true"/>
        </w:rPr>
        <w:t>ـ</w:t>
      </w:r>
      <w:r>
        <w:rPr/>
        <w:t>3</w:t>
      </w:r>
      <w:r>
        <w:rPr>
          <w:rtl w:val="true"/>
        </w:rPr>
        <w:t xml:space="preserve">. </w:t>
      </w:r>
      <w:r>
        <w:rPr>
          <w:rtl w:val="true"/>
        </w:rPr>
        <w:t>تفاوت در لطف</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لطف محصّل نباشد، اصولا تکلیف شرعی، بعثت، پیشوا و راهنمایی نخواهد بود، یعنی، اصل وجود تکلیف شرعی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لطف مقرّب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تکلیف، بعثت و نصب پیشوا و راهنما وجود دارد و چه بسا در مورد برخی از اشخاص، تکلیف هم امتثال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نوع مردم، امتثال تکلیف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وعد و وعیدی نباشد، هر چند بندگان، توانایی بر انجام دادن دستورهای الهی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سایه لطف محصّل، شریعت و راهنما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بیشتر آنان تا تشویق و تنبیهی نباشد، کمتر سراغ اطاعت و</w:t>
      </w:r>
      <w:bookmarkStart w:id="50" w:name="pg637_5900"/>
    </w:p>
    <w:p>
      <w:pPr>
        <w:pStyle w:val="BookText"/>
        <w:rPr/>
      </w:pPr>
      <w:bookmarkEnd w:id="50"/>
      <w:r>
        <w:rPr>
          <w:rFonts w:ascii="IRNazanin" w:hAnsi="IRNazanin" w:eastAsia="IRNazanin"/>
          <w:color w:val="111111"/>
          <w:sz w:val="28"/>
          <w:sz w:val="28"/>
          <w:szCs w:val="28"/>
          <w:rtl w:val="true"/>
          <w:lang w:bidi="fa-IR"/>
        </w:rPr>
        <w:t>فرمان برداری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اصطلاحی لطف که حالت برانگیزندگی دارد، اگر مکلف از این برانگیزندگی و بازدارندگی متأثر شود و به مرحله عمل برسد یعنی خلاف را ترک و ثواب را مرتکب شود، می‌شود لطفِ محصل، اگر این تأثیر را نگذاشت می‌شود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لطفی مقرب است یعنی شأن برانگیختن و بازدارندگی را دارد ولی هر لطفی محصّل نیست لذا بینشان از نظر نسب اربع منطقی عام و خاص مطلق است متکلمین بیشتر به لطف مقرّب توجه نمودند بخاطر عام بودن آن و توجه به لطف محصّل ننمودند</w:t>
      </w:r>
      <w:r>
        <w:rPr>
          <w:rStyle w:val="FootnoteAnchor"/>
          <w:rtl w:val="true"/>
        </w:rPr>
        <w:footnoteReference w:id="14"/>
      </w:r>
    </w:p>
    <w:p>
      <w:pPr>
        <w:pStyle w:val="Heading6"/>
        <w:numPr>
          <w:ilvl w:val="5"/>
          <w:numId w:val="1"/>
        </w:numPr>
        <w:rPr/>
      </w:pPr>
      <w:bookmarkStart w:id="51" w:name="__RefHeading___Toc5485225_211673320"/>
      <w:bookmarkStart w:id="52" w:name="_Toc19"/>
      <w:bookmarkEnd w:id="51"/>
      <w:r>
        <w:rPr/>
        <w:t>1</w:t>
      </w:r>
      <w:r>
        <w:rPr>
          <w:rtl w:val="true"/>
        </w:rPr>
        <w:t>ـ</w:t>
      </w:r>
      <w:r>
        <w:rPr/>
        <w:t>4</w:t>
      </w:r>
      <w:r>
        <w:rPr>
          <w:rtl w:val="true"/>
        </w:rPr>
        <w:t xml:space="preserve">. </w:t>
      </w:r>
      <w:r>
        <w:rPr>
          <w:rtl w:val="true"/>
        </w:rPr>
        <w:t>دلالت قاعده لطف بر امامت</w:t>
      </w:r>
      <w:bookmarkEnd w:id="52"/>
    </w:p>
    <w:p>
      <w:pPr>
        <w:pStyle w:val="Heading6"/>
        <w:numPr>
          <w:ilvl w:val="5"/>
          <w:numId w:val="1"/>
        </w:numPr>
        <w:rPr/>
      </w:pPr>
      <w:bookmarkStart w:id="53" w:name="__RefHeading___Toc5485227_211673320"/>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بیشتر دانشمندانِ علم کلام، مسأله امامت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این زمینه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ضرورت امامت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خداوند، تکالیفی را بر بندگان واجب کرده است، غرض او، اطاعت و پیروی انسان‌ها از آن تکالیف است تا در سایه آن، به کمال و سعادت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انجام دادن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نصب</w:t>
      </w:r>
      <w:bookmarkStart w:id="55" w:name="pg637_5901"/>
    </w:p>
    <w:p>
      <w:pPr>
        <w:pStyle w:val="BookText"/>
        <w:rPr/>
      </w:pPr>
      <w:bookmarkEnd w:id="55"/>
      <w:r>
        <w:rPr>
          <w:rFonts w:ascii="IRNazanin" w:hAnsi="IRNazanin" w:eastAsia="IRNazanin"/>
          <w:color w:val="111111"/>
          <w:sz w:val="28"/>
          <w:sz w:val="28"/>
          <w:szCs w:val="28"/>
          <w:rtl w:val="true"/>
          <w:lang w:bidi="fa-IR"/>
        </w:rPr>
        <w:t>امام معصوم، وعد و وعید و… محقّق نمی شود و خدای حکیم، حتماً این امور را انجام می‌دهد تا نقض غرض در تکلیف لازم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دانشمندان بزرگ کلامی با ذکر مثالی،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غذایی آماده کند و هدف او دعوت افرادی باشد، به آنان پیغام بدهد و با اینکه می‌داند آنان نشانی و راهنما ندارند، ولی برایشان راهنما نفرستد یا نشانی را به آنان نگوید؛ مسلماً کار عبث و بیهوده می‌کند</w:t>
      </w:r>
      <w:r>
        <w:rPr>
          <w:rFonts w:eastAsia="IRNazanin" w:cs="IRNazanin"/>
          <w:color w:val="111111"/>
          <w:sz w:val="28"/>
          <w:szCs w:val="28"/>
          <w:rtl w:val="true"/>
          <w:lang w:bidi="fa-IR"/>
        </w:rPr>
        <w:t>.</w:t>
      </w:r>
    </w:p>
    <w:p>
      <w:pPr>
        <w:pStyle w:val="Heading6"/>
        <w:numPr>
          <w:ilvl w:val="5"/>
          <w:numId w:val="1"/>
        </w:numPr>
        <w:rPr/>
      </w:pPr>
      <w:bookmarkStart w:id="56" w:name="__RefHeading___Toc5485229_211673320"/>
      <w:bookmarkStart w:id="57" w:name="_Toc21"/>
      <w:bookmarkEnd w:id="56"/>
      <w:r>
        <w:rPr>
          <w:rtl w:val="true"/>
        </w:rPr>
        <w:t>پیش فرض های مهم برهان لطف</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و غرض اصلی خداوند از تشریع تکالیف، اطاعت و پیروی بندگان است؛ نه اینکه هدف، صرفاً بیان تکالیف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عدّه اندکی بدون وعد و وعید و یا نصب امام، امتثال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سلیم، حکم می‌کند که پیمودن راه کمال و رسیدن به سعادت، با عمل به برنامه هایی است که عقل و شرع، آنها را بیان کرده‌اند و چون این هدف، مربوط به نوع انسان است و او بدون لطف الهی به آن نمی رسد؛ این لطف بر خدا واجب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موارد گوناگون، این مضمون را بیان می‌کند که اگر خداوند، دستوری داده، یا لطفی کرده است و یا ضرری را متوجه</w:t>
      </w:r>
    </w:p>
    <w:p>
      <w:pPr>
        <w:pStyle w:val="BookText"/>
        <w:rPr/>
      </w:pPr>
      <w:r>
        <w:rPr>
          <w:rFonts w:ascii="IRNazanin" w:hAnsi="IRNazanin" w:eastAsia="IRNazanin"/>
          <w:color w:val="111111"/>
          <w:sz w:val="28"/>
          <w:sz w:val="28"/>
          <w:szCs w:val="28"/>
          <w:rtl w:val="true"/>
          <w:lang w:bidi="fa-IR"/>
        </w:rPr>
        <w:t>انسان‌ها ساخته، هدف انجام دادن، دستورها بوده است تا در سایه آن، به کمال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نمونه از آیات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وَبَلَوْنَاهُمْ بِالْحَسَنَاتِ وَالسَّیِّئَاتِ لَعَلَّهُمْ یَرْجِعُونَ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آیت‌الله سبحانی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حسنات و سیئات، نعمت‌ها و ضررهای دنیایی بوده و هدف از این ابتلا، وادار کردن آنان به حق مداری و اطاعت است</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فِی قَرْیَةٍ مِّن نَّبِیٍّ إِلاَّ أَخَذْنَا أَهْلَهَا بِالْبَأْسَاء وَالضَّرَّاء لَعَلَّهُمْ یَضَّرَّعُونَ</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هر دو قسم از لطف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آیه کریمه این است که خداوند، پیامبران را برای ابلاغ تکالیف و ارشاد بندگان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منتها چون رفاه طلبی و سستی و فرورفتن در نعمت های دنیایی، می‌تواند سبب سرکشی و بی خبری انسان از هدف آفرینش و اجابت درخواست انبیا شود، حکمت الهی اقتضا می‌کند تا آنان را گرفتار سختی‌ها کند تا به سوی اوامر الهی</w:t>
      </w:r>
    </w:p>
    <w:p>
      <w:pPr>
        <w:pStyle w:val="BookText"/>
        <w:rPr/>
      </w:pPr>
      <w:r>
        <w:rPr>
          <w:rFonts w:ascii="IRNazanin" w:hAnsi="IRNazanin" w:eastAsia="IRNazanin"/>
          <w:color w:val="111111"/>
          <w:sz w:val="28"/>
          <w:sz w:val="28"/>
          <w:szCs w:val="28"/>
          <w:rtl w:val="true"/>
          <w:lang w:bidi="fa-IR"/>
        </w:rPr>
        <w:t>برگردند</w:t>
      </w:r>
      <w:r>
        <w:rPr>
          <w:rStyle w:val="FootnoteAnchor"/>
          <w:rtl w:val="true"/>
        </w:rPr>
        <w:footnoteReference w:id="18"/>
      </w:r>
      <w:r>
        <w:rPr>
          <w:rFonts w:ascii="IRNazanin" w:hAnsi="IRNazanin" w:eastAsia="IRNazanin"/>
          <w:color w:val="111111"/>
          <w:sz w:val="28"/>
          <w:sz w:val="28"/>
          <w:szCs w:val="28"/>
          <w:rtl w:val="true"/>
          <w:lang w:bidi="fa-IR"/>
        </w:rPr>
        <w:t>از آنجایی که هدف اصلی، انجام دادن دستورهای الهی بوده، پیامبران صرفاً، به اقامه حجّت و برهان اکتفا نکرده اند؛ بلکه به ارائه معجزات، بشارت نیکوکاران و ترسانیدن بدکاران پرداخته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مُّبَشِّرِینَ وَمُنذِرِینَ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این امور، در گرایش مردم به اطاعت و دوری گزیدن از معصیت، دخالت دارد</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امام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 با توجّه به تعریف مقام امامت و وظایف و اوصاف آن، کاملا روشن و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امامت، نزدیک به مرتبه نبوّت است، با این فرق که پیامبر، مؤسّس تکالیف شرعی است و امام، حافظ و پاسدار آن به نیابت از پیامبر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محافظت از قوانین و سایر کارکردهای امام انسان‌ها را به سوی پیروی از دستورات الهی نزدیک می‌کند و از سرکشی بر کنار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هرگاه جامعه، رهبری داشته باشد که آنان را از تجاوز و نزاع باز دارد و به صلح و عدل و انصاف وادارد، چنین</w:t>
      </w:r>
      <w:bookmarkStart w:id="58" w:name="pg637_5904"/>
    </w:p>
    <w:p>
      <w:pPr>
        <w:pStyle w:val="BookText"/>
        <w:rPr/>
      </w:pPr>
      <w:bookmarkEnd w:id="58"/>
      <w:r>
        <w:rPr>
          <w:rFonts w:ascii="IRNazanin" w:hAnsi="IRNazanin" w:eastAsia="IRNazanin"/>
          <w:color w:val="111111"/>
          <w:sz w:val="28"/>
          <w:sz w:val="28"/>
          <w:szCs w:val="28"/>
          <w:rtl w:val="true"/>
          <w:lang w:bidi="fa-IR"/>
        </w:rPr>
        <w:t>جامعه ای، به صلاح نزدیک و از فساد تباهی دور می‌شود</w:t>
      </w:r>
      <w:r>
        <w:rPr>
          <w:rStyle w:val="FootnoteAnchor"/>
          <w:rtl w:val="true"/>
        </w:rPr>
        <w:footnoteReference w:id="21"/>
      </w:r>
      <w:r>
        <w:rPr>
          <w:rFonts w:ascii="IRNazanin" w:hAnsi="IRNazanin" w:eastAsia="IRNazanin"/>
          <w:color w:val="111111"/>
          <w:sz w:val="28"/>
          <w:sz w:val="28"/>
          <w:szCs w:val="28"/>
          <w:rtl w:val="true"/>
          <w:lang w:bidi="fa-IR"/>
        </w:rPr>
        <w:t>حال اگر چنین رهبری، از جانب خدا بوده و معصوم هم باشد، دیگر جای تردیدی در لطف بودن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پیشوا و امام معصوم الهی، هیچ گونه مفسده و مزاحمی ندارد تا خداوند به جهت آن مفسده و یا تزاحم با امر دیگر، از نصب امام صرف نظر کند</w:t>
      </w:r>
      <w:r>
        <w:rPr>
          <w:rFonts w:eastAsia="IRNazanin" w:cs="IRNazanin"/>
          <w:color w:val="111111"/>
          <w:sz w:val="28"/>
          <w:szCs w:val="28"/>
          <w:rtl w:val="true"/>
          <w:lang w:bidi="fa-IR"/>
        </w:rPr>
        <w:t>.</w:t>
      </w:r>
    </w:p>
    <w:p>
      <w:pPr>
        <w:pStyle w:val="Heading5"/>
        <w:numPr>
          <w:ilvl w:val="4"/>
          <w:numId w:val="1"/>
        </w:numPr>
        <w:rPr/>
      </w:pPr>
      <w:bookmarkStart w:id="59" w:name="__RefHeading___Toc5485231_211673320"/>
      <w:bookmarkStart w:id="60" w:name="_Toc22"/>
      <w:bookmarkEnd w:id="59"/>
      <w:r>
        <w:rPr>
          <w:rtl w:val="true"/>
        </w:rPr>
        <w:t>دو</w:t>
      </w:r>
      <w:r>
        <w:rPr>
          <w:rtl w:val="true"/>
        </w:rPr>
        <w:t xml:space="preserve">. </w:t>
      </w:r>
      <w:r>
        <w:rPr>
          <w:rtl w:val="true"/>
        </w:rPr>
        <w:t>بایستگی کارشناس دین</w:t>
      </w:r>
      <w:bookmarkEnd w:id="60"/>
    </w:p>
    <w:p>
      <w:pPr>
        <w:pStyle w:val="BookText"/>
        <w:rPr/>
      </w:pPr>
      <w:r>
        <w:rPr>
          <w:rFonts w:ascii="IRNazanin" w:hAnsi="IRNazanin" w:eastAsia="IRNazanin"/>
          <w:color w:val="111111"/>
          <w:sz w:val="28"/>
          <w:sz w:val="28"/>
          <w:szCs w:val="28"/>
          <w:rtl w:val="true"/>
          <w:lang w:bidi="fa-IR"/>
        </w:rPr>
        <w:t xml:space="preserve">با پذیرش خاتمیّت رسالت پیامبر صلی الله علیه و آله و سلم و جامعیت دین اسلام، این مشکل رخ می‌دهد که پیامبر صلی الله علیه و آله و سلم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ابلاغ رسالت، فرصت نیافت که همه جزئیات و تفاصیل بایسته برای راهنمایی و رهبری امت را تبیین کند و شیوه های آن را در گفتار و عمل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مردم نیز توانایی درک بعضی از معارف را نداشتند و برخی مباحث و مسائل نیز مورد نیاز نبود تا مردم آن را یاد بگیرند و به دیگران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مسأله احتیاج به کارشناس بعد از رحلت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یعنی، کارشناس امر دین که به اشتباه دچار نشود و خطایی از او سر نزند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یک ضرورت عقلی و شیوه</w:t>
      </w:r>
    </w:p>
    <w:p>
      <w:pPr>
        <w:pStyle w:val="BookText"/>
        <w:rPr/>
      </w:pPr>
      <w:r>
        <w:rPr>
          <w:rFonts w:ascii="IRNazanin" w:hAnsi="IRNazanin" w:eastAsia="IRNazanin"/>
          <w:color w:val="111111"/>
          <w:sz w:val="28"/>
          <w:sz w:val="28"/>
          <w:szCs w:val="28"/>
          <w:rtl w:val="true"/>
          <w:lang w:bidi="fa-IR"/>
        </w:rPr>
        <w:t>پذیرفته شده در میان عقلا است که در هر کاری متخصّص آن را می‌طلبند و در مواجهه با هر مکتب و طرح پیچیده ای، کارشناس آن را جستوجو می‌کنند؛ زیرا بدون متخصّص و کارشناس، رسالت های علمی و دینی، ناتمام می‌ماند و سرانجام به تباهی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سبحانی در بحث ادله امامت دلیلی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الفراغات الهائلة بعد النبی فی مجالات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تقریر برهان چنین می‌گوید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اکرم صلی الله علیه و آله و سلم در طول حیات خود، مسؤولیت هایی داشته که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تفسیر آیات الهی و کشف اسرار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بیان احکام مستحدثه در زمان حیات پربرکت خویش؛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شبهات و پاسخ به سؤالات اهل کتاب؛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دین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 چهارگانه ای بود که پیامبر اکرم صلی الله علیه و آله و سلم در حیاتش بدان ممارست می‌کرد، حال بعد از رسول اکرم صلی الله علیه و آله و سلم چه کسی باید عهده دار چنین مسؤولیتی باشد؟ سه احتمال وجود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مسأله را مهمل بگذارد و کاری به بعد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w:t>
      </w:r>
      <w:bookmarkStart w:id="61" w:name="pg637_5906"/>
    </w:p>
    <w:p>
      <w:pPr>
        <w:pStyle w:val="BookText"/>
        <w:rPr/>
      </w:pPr>
      <w:bookmarkEnd w:id="61"/>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مهمل نگذارد؛ بلکه امّت بعد از پیامبر صلی الله علیه و آله و سلم مسؤولیت 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توجه به مسائل بعد از رحلت پیامبر صلی الله علیه و آله و سلم، و حوادثی که بعد از رحلت اتفاق افتاد و جامعه اسلامی را دچار تفرقه و جدایی کرد،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مسؤولیت را به شخصی مانند پیامبر صلی الله علیه و آله و سلم بسپارد که شئون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 معصومانه از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دو احتمال نخست باطل است، و احتمال درست نصب جانشین پیامبر و امام از سوی خداوند است</w:t>
      </w:r>
      <w:r>
        <w:rPr>
          <w:rFonts w:eastAsia="IRNazanin" w:cs="IRNazanin"/>
          <w:color w:val="111111"/>
          <w:sz w:val="28"/>
          <w:szCs w:val="28"/>
          <w:rtl w:val="true"/>
          <w:lang w:bidi="fa-IR"/>
        </w:rPr>
        <w:t>.</w:t>
      </w:r>
    </w:p>
    <w:p>
      <w:pPr>
        <w:pStyle w:val="Heading5"/>
        <w:numPr>
          <w:ilvl w:val="4"/>
          <w:numId w:val="1"/>
        </w:numPr>
        <w:rPr/>
      </w:pPr>
      <w:bookmarkStart w:id="62" w:name="__RefHeading___Toc5485233_211673320"/>
      <w:bookmarkStart w:id="63" w:name="_Toc23"/>
      <w:bookmarkEnd w:id="62"/>
      <w:r>
        <w:rPr>
          <w:rtl w:val="true"/>
        </w:rPr>
        <w:t>سه</w:t>
      </w:r>
      <w:r>
        <w:rPr>
          <w:rtl w:val="true"/>
        </w:rPr>
        <w:t xml:space="preserve">. </w:t>
      </w:r>
      <w:r>
        <w:rPr>
          <w:rtl w:val="true"/>
        </w:rPr>
        <w:t>سیره مسلمین</w:t>
      </w:r>
      <w:bookmarkEnd w:id="6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متکلمین در کتاب های کلامی خود این دلیل را آورده اند؛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نصیرالدین طوسی در تلخیص المحصل </w:t>
      </w:r>
      <w:r>
        <w:rPr>
          <w:rStyle w:val="FootnoteAnchor"/>
          <w:rtl w:val="true"/>
        </w:rPr>
        <w:footnoteReference w:id="23"/>
      </w:r>
      <w:r>
        <w:rPr>
          <w:rFonts w:ascii="IRNazanin" w:hAnsi="IRNazanin" w:eastAsia="IRNazanin"/>
          <w:color w:val="111111"/>
          <w:sz w:val="28"/>
          <w:sz w:val="28"/>
          <w:szCs w:val="28"/>
          <w:rtl w:val="true"/>
          <w:lang w:bidi="fa-IR"/>
        </w:rPr>
        <w:t xml:space="preserve">، عضدالدین ایجی در مواقف، </w:t>
      </w:r>
      <w:r>
        <w:rPr>
          <w:rStyle w:val="FootnoteAnchor"/>
          <w:rtl w:val="true"/>
        </w:rPr>
        <w:footnoteReference w:id="24"/>
      </w:r>
      <w:r>
        <w:rPr>
          <w:rFonts w:ascii="IRNazanin" w:hAnsi="IRNazanin" w:eastAsia="IRNazanin"/>
          <w:color w:val="111111"/>
          <w:sz w:val="28"/>
          <w:sz w:val="28"/>
          <w:szCs w:val="28"/>
          <w:rtl w:val="true"/>
          <w:lang w:bidi="fa-IR"/>
        </w:rPr>
        <w:t xml:space="preserve">سعدالدین تفتازانی در شرح مقاصد </w:t>
      </w:r>
      <w:r>
        <w:rPr>
          <w:rStyle w:val="FootnoteAnchor"/>
          <w:rtl w:val="true"/>
        </w:rPr>
        <w:footnoteReference w:id="25"/>
      </w:r>
      <w:r>
        <w:rPr>
          <w:rFonts w:ascii="IRNazanin" w:hAnsi="IRNazanin" w:eastAsia="IRNazanin"/>
          <w:color w:val="111111"/>
          <w:sz w:val="28"/>
          <w:sz w:val="28"/>
          <w:szCs w:val="28"/>
          <w:rtl w:val="true"/>
          <w:lang w:bidi="fa-IR"/>
        </w:rPr>
        <w:t xml:space="preserve">و شرح عقاید نسفیه </w:t>
      </w:r>
      <w:r>
        <w:rPr>
          <w:rStyle w:val="FootnoteAnchor"/>
          <w:rtl w:val="true"/>
        </w:rPr>
        <w:footnoteReference w:id="26"/>
      </w:r>
      <w:r>
        <w:rPr>
          <w:rFonts w:ascii="IRNazanin" w:hAnsi="IRNazanin" w:eastAsia="IRNazanin"/>
          <w:color w:val="111111"/>
          <w:sz w:val="28"/>
          <w:sz w:val="28"/>
          <w:szCs w:val="28"/>
          <w:rtl w:val="true"/>
          <w:lang w:bidi="fa-IR"/>
        </w:rPr>
        <w:t xml:space="preserve">، شهرستانی در نهایة الاقدام </w:t>
      </w:r>
      <w:r>
        <w:rPr>
          <w:rStyle w:val="FootnoteAnchor"/>
          <w:rtl w:val="true"/>
        </w:rPr>
        <w:footnoteReference w:id="27"/>
      </w:r>
      <w:r>
        <w:rPr>
          <w:rFonts w:ascii="IRNazanin" w:hAnsi="IRNazanin" w:eastAsia="IRNazanin"/>
          <w:color w:val="111111"/>
          <w:sz w:val="28"/>
          <w:sz w:val="28"/>
          <w:szCs w:val="28"/>
          <w:rtl w:val="true"/>
          <w:lang w:bidi="fa-IR"/>
        </w:rPr>
        <w:t>و آمری</w:t>
      </w:r>
      <w:bookmarkStart w:id="64" w:name="pg637_5907"/>
    </w:p>
    <w:p>
      <w:pPr>
        <w:pStyle w:val="BookText"/>
        <w:rPr/>
      </w:pPr>
      <w:bookmarkEnd w:id="64"/>
      <w:r>
        <w:rPr>
          <w:rFonts w:ascii="IRNazanin" w:hAnsi="IRNazanin" w:eastAsia="IRNazanin"/>
          <w:color w:val="111111"/>
          <w:sz w:val="28"/>
          <w:sz w:val="28"/>
          <w:szCs w:val="28"/>
          <w:rtl w:val="true"/>
          <w:lang w:bidi="fa-IR"/>
        </w:rPr>
        <w:t>در غایة المرام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با پژوهش در سیره مسلمانان ـ به ویژه مسلمین صدر اسلام ـ روشن می‌شود که آنان، وجوب امامت را امری مسلّم و تردیدناپذیر می‌دانستند، و حتی کسانی که در سقیفه حضور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نیاز جامعه اسلامی به امام را منکر نبودند</w:t>
      </w:r>
      <w:r>
        <w:rPr>
          <w:rFonts w:eastAsia="IRNazanin" w:cs="IRNazanin"/>
          <w:color w:val="111111"/>
          <w:sz w:val="28"/>
          <w:szCs w:val="28"/>
          <w:rtl w:val="true"/>
          <w:lang w:bidi="fa-IR"/>
        </w:rPr>
        <w:t>.</w:t>
      </w:r>
    </w:p>
    <w:p>
      <w:pPr>
        <w:pStyle w:val="Heading5"/>
        <w:numPr>
          <w:ilvl w:val="4"/>
          <w:numId w:val="1"/>
        </w:numPr>
        <w:rPr/>
      </w:pPr>
      <w:bookmarkStart w:id="65" w:name="__RefHeading___Toc5485235_211673320"/>
      <w:bookmarkStart w:id="66" w:name="_Toc24"/>
      <w:bookmarkEnd w:id="65"/>
      <w:r>
        <w:rPr>
          <w:rtl w:val="true"/>
        </w:rPr>
        <w:t>چهار</w:t>
      </w:r>
      <w:r>
        <w:rPr>
          <w:rtl w:val="true"/>
        </w:rPr>
        <w:t xml:space="preserve">. </w:t>
      </w:r>
      <w:r>
        <w:rPr>
          <w:rtl w:val="true"/>
        </w:rPr>
        <w:t>اجرای حدود و حفظ نظام اسلامی</w:t>
      </w:r>
      <w:bookmarkEnd w:id="66"/>
    </w:p>
    <w:p>
      <w:pPr>
        <w:pStyle w:val="BookText"/>
        <w:rPr/>
      </w:pPr>
      <w:r>
        <w:rPr>
          <w:rFonts w:ascii="IRNazanin" w:hAnsi="IRNazanin" w:eastAsia="IRNazanin"/>
          <w:color w:val="111111"/>
          <w:sz w:val="28"/>
          <w:sz w:val="28"/>
          <w:szCs w:val="28"/>
          <w:rtl w:val="true"/>
          <w:lang w:bidi="fa-IR"/>
        </w:rPr>
        <w:t>بدون تردید شارع مقدس، از مسلمانان خواسته است که حدود اسلامی را اجرا و مرزهای کشور اسلامی را از تجاوز دشمنان حفظ کنند و پاسدار کیان اسلام و امت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تحقّق این هدف، بدون وجود امام و پیشوایی با کفایت و مدبّر،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مقدمه واجب چون خود واجب، واجب است؛ پس نصب امام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تفتازانی به این دلیل در شرح مقاصد اشاره کرده است</w:t>
      </w:r>
      <w:r>
        <w:rPr>
          <w:rStyle w:val="FootnoteAnchor"/>
          <w:rtl w:val="true"/>
        </w:rPr>
        <w:footnoteReference w:id="29"/>
      </w:r>
    </w:p>
    <w:p>
      <w:pPr>
        <w:pStyle w:val="Heading5"/>
        <w:numPr>
          <w:ilvl w:val="4"/>
          <w:numId w:val="1"/>
        </w:numPr>
        <w:rPr/>
      </w:pPr>
      <w:bookmarkStart w:id="67" w:name="__RefHeading___Toc5485237_211673320"/>
      <w:bookmarkStart w:id="68" w:name="_Toc25"/>
      <w:bookmarkEnd w:id="67"/>
      <w:r>
        <w:rPr>
          <w:rtl w:val="true"/>
        </w:rPr>
        <w:t>پنجم</w:t>
      </w:r>
      <w:r>
        <w:rPr>
          <w:rtl w:val="true"/>
        </w:rPr>
        <w:t xml:space="preserve">. </w:t>
      </w:r>
      <w:r>
        <w:rPr>
          <w:rtl w:val="true"/>
        </w:rPr>
        <w:t>وجوب دفع ضررهای عظیم</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عده ای از متکلمان اسلامی، نظیر فخررازی </w:t>
      </w:r>
      <w:r>
        <w:rPr>
          <w:rStyle w:val="FootnoteAnchor"/>
          <w:rtl w:val="true"/>
        </w:rPr>
        <w:footnoteReference w:id="30"/>
      </w:r>
      <w:r>
        <w:rPr>
          <w:rFonts w:ascii="IRNazanin" w:hAnsi="IRNazanin" w:eastAsia="IRNazanin"/>
          <w:color w:val="111111"/>
          <w:sz w:val="28"/>
          <w:sz w:val="28"/>
          <w:szCs w:val="28"/>
          <w:rtl w:val="true"/>
          <w:lang w:bidi="fa-IR"/>
        </w:rPr>
        <w:t xml:space="preserve">و سعدالدین تفتازانی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 وجوب امامت اقامه کرده 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بردارنده منافع عظیم اجتماعی است که نادیده گرفتن آنها، فرد و جامعه را دچار زیان های بزرگی خواهد کرد و دفع چنین ضررهایی، عقلا و شرعاً واجب است</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مقدمه اول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متکلمان اسلامی ـ چه شیعی و چه سنی ـ بر ضرورت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bookmarkStart w:id="69" w:name="pg637_5909"/>
    </w:p>
    <w:p>
      <w:pPr>
        <w:pStyle w:val="Heading3"/>
        <w:numPr>
          <w:ilvl w:val="2"/>
          <w:numId w:val="1"/>
        </w:numPr>
        <w:rPr/>
      </w:pPr>
      <w:bookmarkStart w:id="70" w:name="__RefHeading___Toc5485239_211673320"/>
      <w:bookmarkStart w:id="71" w:name="_Toc26"/>
      <w:bookmarkEnd w:id="69"/>
      <w:bookmarkEnd w:id="70"/>
      <w:r>
        <w:rPr>
          <w:rtl w:val="true"/>
        </w:rPr>
        <w:t xml:space="preserve">مقدمه </w:t>
      </w:r>
      <w:r>
        <w:rPr/>
        <w:t>2</w:t>
      </w:r>
      <w:r>
        <w:rPr>
          <w:rtl w:val="true"/>
        </w:rPr>
        <w:t xml:space="preserve">. </w:t>
      </w:r>
      <w:r>
        <w:rPr>
          <w:rtl w:val="true"/>
        </w:rPr>
        <w:t>اوصاف امام</w:t>
      </w:r>
      <w:bookmarkEnd w:id="71"/>
    </w:p>
    <w:p>
      <w:pPr>
        <w:pStyle w:val="Heading4"/>
        <w:numPr>
          <w:ilvl w:val="3"/>
          <w:numId w:val="1"/>
        </w:numPr>
        <w:rPr/>
      </w:pPr>
      <w:bookmarkStart w:id="72" w:name="__RefHeading___Toc5485241_211673320"/>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اوصاف امام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اوصاف بین فریقین اتفاقی است؛ نظیر اینکه، امام باید مسلمان،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 و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اوصاف اختلافی است، مثل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 و حال آنکه اهل سنّت معتقد به عصمت امام و یا خلیفه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عصمت یا عدم آن، در امامت عامه بحث می‌شود؛ ولی در اینجا به طور اختصار و فشرده به آن اشاره می‌گردد</w:t>
      </w:r>
      <w:r>
        <w:rPr>
          <w:rFonts w:eastAsia="IRNazanin" w:cs="IRNazanin"/>
          <w:color w:val="111111"/>
          <w:sz w:val="28"/>
          <w:szCs w:val="28"/>
          <w:rtl w:val="true"/>
          <w:lang w:bidi="fa-IR"/>
        </w:rPr>
        <w:t>:</w:t>
      </w:r>
    </w:p>
    <w:p>
      <w:pPr>
        <w:pStyle w:val="Heading4"/>
        <w:numPr>
          <w:ilvl w:val="3"/>
          <w:numId w:val="1"/>
        </w:numPr>
        <w:rPr/>
      </w:pPr>
      <w:bookmarkStart w:id="74" w:name="__RefHeading___Toc5485243_211673320"/>
      <w:bookmarkStart w:id="75" w:name="_Toc28"/>
      <w:bookmarkEnd w:id="74"/>
      <w:r>
        <w:rPr>
          <w:rtl w:val="true"/>
        </w:rPr>
        <w:t>به چه دلیل امام باید معصوم باشد؟</w:t>
      </w:r>
      <w:bookmarkEnd w:id="75"/>
    </w:p>
    <w:p>
      <w:pPr>
        <w:pStyle w:val="Heading5"/>
        <w:numPr>
          <w:ilvl w:val="4"/>
          <w:numId w:val="1"/>
        </w:numPr>
        <w:rPr/>
      </w:pPr>
      <w:bookmarkStart w:id="76" w:name="__RefHeading___Toc5485245_211673320"/>
      <w:bookmarkStart w:id="77" w:name="_Toc29"/>
      <w:bookmarkEnd w:id="76"/>
      <w:r>
        <w:rPr>
          <w:rtl w:val="true"/>
        </w:rPr>
        <w:t>اشاره</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ادله، بایسته است چند نکته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لغوی به معنای امساک، حفظ و منع آمده است؛ همان طور که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ابن فارس </w:t>
      </w:r>
      <w:r>
        <w:rPr>
          <w:rStyle w:val="FootnoteAnchor"/>
          <w:rtl w:val="true"/>
        </w:rPr>
        <w:footnoteReference w:id="33"/>
      </w:r>
      <w:r>
        <w:rPr>
          <w:rFonts w:ascii="IRNazanin" w:hAnsi="IRNazanin" w:eastAsia="IRNazanin"/>
          <w:color w:val="111111"/>
          <w:sz w:val="28"/>
          <w:sz w:val="28"/>
          <w:szCs w:val="28"/>
          <w:rtl w:val="true"/>
          <w:lang w:bidi="fa-IR"/>
        </w:rPr>
        <w:t xml:space="preserve">و ابن منظور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امساک و نگه داری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متکلمان و حکمای اسلامی معنای لغوی منع و حفظ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معمولا عصمت را نسبت به گناه می‌سنجند؛ یعنی، معصوم کسی است که از ارتکاب گناه مصون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العصمة هی اللطف الّذی یفعله اللّه تعالی، فیختار العبد عنده الامتناع من فعل القبیح</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یعنی، بدان که عصمت عبارت است از لطفی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 و به واسطه آن انسان از فعل قبیح امتناع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متکلمان اسلامی، عصمت را</w:t>
      </w:r>
    </w:p>
    <w:p>
      <w:pPr>
        <w:pStyle w:val="BookText"/>
        <w:rPr/>
      </w:pPr>
      <w:r>
        <w:rPr>
          <w:rFonts w:ascii="IRNazanin" w:hAnsi="IRNazanin" w:eastAsia="IRNazanin"/>
          <w:color w:val="111111"/>
          <w:sz w:val="28"/>
          <w:sz w:val="28"/>
          <w:szCs w:val="28"/>
          <w:rtl w:val="true"/>
          <w:lang w:bidi="fa-IR"/>
        </w:rPr>
        <w:t>به عصمت عملی و ترک گناه معنا می‌کنند؛ در حالی که دایره عصمت وسیع‌تر است و عصمت علمی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علمی؛ یعنی، معصوم در حوزه علم و معرفت دچار خطا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علمی دارای مراتب و ابعادی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شناخت احکام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شناخت موضوعات احکام شرعی،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تشخیص مصالح و مفاسد امور مربوط به رهبری جامعه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امور مربوط به زندگی عادی، اعم از مسائل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اعتقاد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به هر دو قسمش ـ چه عصمت عملی و چه عصمت علمی ـ برای امام لازم است و این از کلمات علمای بزرگ شیعه امامیه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امامانی که در اجرای احکام و اقامه حدود الهی و حفظ شرایع و تربیت بشر جانشینان پیامبرانند، همچون پیامبران معصوم‌اند و صدور گناه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مسائل مربوط به دین و احکام الهی دچار نسیان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قبول</w:t>
      </w:r>
    </w:p>
    <w:p>
      <w:pPr>
        <w:pStyle w:val="BookText"/>
        <w:rPr/>
      </w:pPr>
      <w:r>
        <w:rPr>
          <w:rFonts w:ascii="IRNazanin" w:hAnsi="IRNazanin" w:eastAsia="IRNazanin"/>
          <w:color w:val="111111"/>
          <w:sz w:val="28"/>
          <w:sz w:val="28"/>
          <w:szCs w:val="28"/>
          <w:rtl w:val="true"/>
          <w:lang w:bidi="fa-IR"/>
        </w:rPr>
        <w:t>همه امامیه است؛ مگر افراد شاذی که با استناد به ظواهر پاره ای از روایات ـ که تأویلات درستی دارد ـ به اعتقادی نادرست گراییده 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البته اعتقاد به عصمت مختص شیعه امامیه اثنی عشری نیست و اسماعیلیه نیز قائل به عصمت امام می‌باشند</w:t>
      </w:r>
      <w:r>
        <w:rPr>
          <w:rStyle w:val="FootnoteAnchor"/>
          <w:rtl w:val="true"/>
        </w:rPr>
        <w:footnoteReference w:id="37"/>
      </w:r>
      <w:r>
        <w:rPr>
          <w:rFonts w:ascii="IRNazanin" w:hAnsi="IRNazanin" w:eastAsia="IRNazanin"/>
          <w:color w:val="111111"/>
          <w:sz w:val="28"/>
          <w:sz w:val="28"/>
          <w:szCs w:val="28"/>
          <w:rtl w:val="true"/>
          <w:lang w:bidi="fa-IR"/>
        </w:rPr>
        <w:t>شیعه زیدیه عصمت را از شرایط امام نمی دانند؛ ولی به عصمت سه امام نخست ـ امام علی علیه السلام ، امام حسن علیه السلام و امام حسین علیه السلام ـ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فرقه های اسلامی ـ مثل معتزله، اشاعره و ماتریدیه… ـ عصمت را برای امام شرط نمی دانند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نکته، وارد بحث ادله می‌شویم</w:t>
      </w:r>
      <w:r>
        <w:rPr>
          <w:rFonts w:eastAsia="IRNazanin" w:cs="IRNazanin"/>
          <w:color w:val="111111"/>
          <w:sz w:val="28"/>
          <w:szCs w:val="28"/>
          <w:rtl w:val="true"/>
          <w:lang w:bidi="fa-IR"/>
        </w:rPr>
        <w:t>:</w:t>
      </w:r>
      <w:bookmarkStart w:id="78" w:name="pg637_5913"/>
    </w:p>
    <w:p>
      <w:pPr>
        <w:pStyle w:val="Heading5"/>
        <w:numPr>
          <w:ilvl w:val="4"/>
          <w:numId w:val="1"/>
        </w:numPr>
        <w:rPr/>
      </w:pPr>
      <w:bookmarkStart w:id="79" w:name="__RefHeading___Toc5485247_211673320"/>
      <w:bookmarkStart w:id="80" w:name="_Toc30"/>
      <w:bookmarkEnd w:id="78"/>
      <w:bookmarkEnd w:id="79"/>
      <w:r>
        <w:rPr>
          <w:rtl w:val="true"/>
        </w:rPr>
        <w:t>ادلّه عصمت امام</w:t>
      </w:r>
      <w:bookmarkEnd w:id="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امتناع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دلایل عصمت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 امتناع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منطقی این برهان در قالب قیاس استثنایی بدین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معصوم نباشد، وجود امامان غیرمتناهی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حکم عقل، محال و باطل است؛ پس ملزوم نیز محال و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از آن جهت که معصوم نیستند، احتیاج به امام دارند؛ یعنی، چون معصوم نیستند و کاستی در علم و عمل دارند، شخصی را می‌خواهند که این کاستی آنان را جبران کند؛ مثلا حدود را اجرا کند و قطعاً حدود باید در حق غیرمعصوم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امامی که اجرای حدود می‌کند، خودش معصوم است یا نه؟ اگر معصوم است، مطلوب ما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 نباشد، خود احتیاج به امام بعدی دارد و او هم نیاز به امام دیگر و… لذا تسلسل پیش می‌آید و تسلسل محال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معصوم باشد تا گرفتار تسلسل نشویم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دیگری هم وجود دارد که</w:t>
      </w:r>
    </w:p>
    <w:p>
      <w:pPr>
        <w:pStyle w:val="BookText"/>
        <w:rPr/>
      </w:pPr>
      <w:r>
        <w:rPr>
          <w:rFonts w:ascii="IRNazanin" w:hAnsi="IRNazanin" w:eastAsia="IRNazanin"/>
          <w:color w:val="111111"/>
          <w:sz w:val="28"/>
          <w:sz w:val="28"/>
          <w:szCs w:val="28"/>
          <w:rtl w:val="true"/>
          <w:lang w:bidi="fa-IR"/>
        </w:rPr>
        <w:t>بعضی از آنها نقلی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ابتلای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خداوند در این آیه کسب مقام امامت را از ظالم نفی کرده و فقط غیر او را شایسته مقام امامت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مطلق آمده و شامل همه ظلم‌ها و تجاوزها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اولی الامر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اطاعت از رسول و اولی الامر به صورت مطلق و در کنار اطاعت از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رسول و امام باید معصوم باشند و مرتکب هیچ نوع خطایی نشوند تا اطاعت مطلق از آنان امکان پذیر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مقدمه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امام ضرورت دارد، باید معصوم هم باشد</w:t>
      </w:r>
      <w:r>
        <w:rPr>
          <w:rStyle w:val="FootnoteAnchor"/>
          <w:rtl w:val="true"/>
        </w:rPr>
        <w:footnoteReference w:id="40"/>
      </w:r>
      <w:bookmarkStart w:id="81" w:name="pg637_5915"/>
    </w:p>
    <w:p>
      <w:pPr>
        <w:pStyle w:val="Heading3"/>
        <w:numPr>
          <w:ilvl w:val="2"/>
          <w:numId w:val="1"/>
        </w:numPr>
        <w:rPr/>
      </w:pPr>
      <w:bookmarkStart w:id="82" w:name="__RefHeading___Toc5485249_211673320"/>
      <w:bookmarkStart w:id="83" w:name="_Toc31"/>
      <w:bookmarkEnd w:id="81"/>
      <w:bookmarkEnd w:id="82"/>
      <w:r>
        <w:rPr>
          <w:rtl w:val="true"/>
        </w:rPr>
        <w:t>مقدّمه</w:t>
      </w:r>
      <w:r>
        <w:rPr/>
        <w:t>3</w:t>
      </w:r>
      <w:r>
        <w:rPr>
          <w:rtl w:val="true"/>
        </w:rPr>
        <w:t xml:space="preserve">. </w:t>
      </w:r>
      <w:r>
        <w:rPr>
          <w:rtl w:val="true"/>
        </w:rPr>
        <w:t>مصداق یابی بهواسطه سبر و تقسیم</w:t>
      </w:r>
      <w:bookmarkEnd w:id="83"/>
    </w:p>
    <w:p>
      <w:pPr>
        <w:pStyle w:val="Heading4"/>
        <w:numPr>
          <w:ilvl w:val="3"/>
          <w:numId w:val="1"/>
        </w:numPr>
        <w:rPr/>
      </w:pPr>
      <w:bookmarkStart w:id="84" w:name="__RefHeading___Toc5485251_21167332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در این قسمت مصداق امام را به کمک دلیل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سبرو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امامیه از این روش در کتاب های کلامی خود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ابتدا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در آثارش استفاده کرد و بعد از ایشان، شاگردش مرحوم سید مرتضی در کتاب الذخیره و دیگر کتاب هایش بکار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شیخ طوسی در کتاب الغیبة برای اثبات وجود امامت حضرت ولی عصر عجل الله تعالی فرجه الشریف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آثار متأخرین مشاهده نمی‌شود</w:t>
      </w:r>
      <w:r>
        <w:rPr>
          <w:rFonts w:eastAsia="IRNazanin" w:cs="IRNazanin"/>
          <w:color w:val="111111"/>
          <w:sz w:val="28"/>
          <w:szCs w:val="28"/>
          <w:rtl w:val="true"/>
          <w:lang w:bidi="fa-IR"/>
        </w:rPr>
        <w:t>.</w:t>
      </w:r>
      <w:bookmarkStart w:id="86" w:name="pg637_5916"/>
    </w:p>
    <w:p>
      <w:pPr>
        <w:pStyle w:val="Heading4"/>
        <w:numPr>
          <w:ilvl w:val="3"/>
          <w:numId w:val="1"/>
        </w:numPr>
        <w:rPr/>
      </w:pPr>
      <w:bookmarkStart w:id="87" w:name="__RefHeading___Toc5485253_211673320"/>
      <w:bookmarkStart w:id="88" w:name="_Toc33"/>
      <w:bookmarkEnd w:id="86"/>
      <w:bookmarkEnd w:id="87"/>
      <w:r>
        <w:rPr>
          <w:rtl w:val="true"/>
        </w:rPr>
        <w:t>کیفیت استدلال</w:t>
      </w:r>
      <w:bookmarkEnd w:id="88"/>
    </w:p>
    <w:p>
      <w:pPr>
        <w:pStyle w:val="Heading5"/>
        <w:numPr>
          <w:ilvl w:val="4"/>
          <w:numId w:val="1"/>
        </w:numPr>
        <w:rPr/>
      </w:pPr>
      <w:bookmarkStart w:id="89" w:name="__RefHeading___Toc5485255_211673320"/>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در بخش های قبل گذشت که بعد از پیامبر صلی الله علیه و آله و سلم در هر زمان، باید امامی باشد و او نیز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چنین امامی در کدام فرقه از فرقه های اسلامی قرار دارد؟</w:t>
      </w:r>
    </w:p>
    <w:p>
      <w:pPr>
        <w:pStyle w:val="BookText"/>
        <w:rPr/>
      </w:pPr>
      <w:r>
        <w:rPr>
          <w:rFonts w:ascii="IRNazanin" w:hAnsi="IRNazanin" w:eastAsia="IRNazanin"/>
          <w:color w:val="111111"/>
          <w:sz w:val="28"/>
          <w:sz w:val="28"/>
          <w:szCs w:val="28"/>
          <w:rtl w:val="true"/>
          <w:lang w:bidi="fa-IR"/>
        </w:rPr>
        <w:t>البته باید دو پیش فرض را پذیرفت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حقیقت از امت اسلامی خارج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از امت اسلامی بیرون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امام در میان کدام یک از فرقه های موجود شیعه و سنی قرار دارد؟</w:t>
      </w:r>
    </w:p>
    <w:p>
      <w:pPr>
        <w:pStyle w:val="BookText"/>
        <w:rPr/>
      </w:pPr>
      <w:r>
        <w:rPr>
          <w:rFonts w:ascii="IRNazanin" w:hAnsi="IRNazanin" w:eastAsia="IRNazanin"/>
          <w:color w:val="111111"/>
          <w:sz w:val="28"/>
          <w:sz w:val="28"/>
          <w:szCs w:val="28"/>
          <w:rtl w:val="true"/>
          <w:lang w:bidi="fa-IR"/>
        </w:rPr>
        <w:t>برای پاسخ باید تک تک فرقه های اسلامی را مورد بررسی قرار داد تا بعد از خارج کردن آنها، یک فرقه بیشتر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مذاهب اهل سنّت می‌رویم و بعد فرقه های شیعه را ارزیابی می‌کنیم</w:t>
      </w:r>
      <w:r>
        <w:rPr>
          <w:rFonts w:eastAsia="IRNazanin" w:cs="IRNazanin"/>
          <w:color w:val="111111"/>
          <w:sz w:val="28"/>
          <w:szCs w:val="28"/>
          <w:rtl w:val="true"/>
          <w:lang w:bidi="fa-IR"/>
        </w:rPr>
        <w:t>.</w:t>
      </w:r>
    </w:p>
    <w:p>
      <w:pPr>
        <w:pStyle w:val="Heading5"/>
        <w:numPr>
          <w:ilvl w:val="4"/>
          <w:numId w:val="1"/>
        </w:numPr>
        <w:rPr/>
      </w:pPr>
      <w:bookmarkStart w:id="91" w:name="__RefHeading___Toc5485257_211673320"/>
      <w:bookmarkStart w:id="92" w:name="_Toc35"/>
      <w:bookmarkEnd w:id="91"/>
      <w:r>
        <w:rPr>
          <w:rtl w:val="true"/>
        </w:rPr>
        <w:t>الف</w:t>
      </w:r>
      <w:r>
        <w:rPr>
          <w:rtl w:val="true"/>
        </w:rPr>
        <w:t xml:space="preserve">. </w:t>
      </w:r>
      <w:r>
        <w:rPr>
          <w:rtl w:val="true"/>
        </w:rPr>
        <w:t>فرقه های اهل سنّت</w:t>
      </w:r>
      <w:bookmarkEnd w:id="9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اگرچه حکم به ضرورت امام می‌کنند؛ ولی هیچ یک از فرقه های آن قائل به امامت معصوم نمی باشند و برای امام یا خلیفه، جایگاه عصمت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اصل عصمت امام، آن اشخاص</w:t>
      </w:r>
      <w:bookmarkStart w:id="93" w:name="pg637_5917"/>
    </w:p>
    <w:p>
      <w:pPr>
        <w:pStyle w:val="BookText"/>
        <w:rPr/>
      </w:pPr>
      <w:bookmarkEnd w:id="93"/>
      <w:r>
        <w:rPr>
          <w:rFonts w:ascii="IRNazanin" w:hAnsi="IRNazanin" w:eastAsia="IRNazanin"/>
          <w:color w:val="111111"/>
          <w:sz w:val="28"/>
          <w:sz w:val="28"/>
          <w:szCs w:val="28"/>
          <w:rtl w:val="true"/>
          <w:lang w:bidi="fa-IR"/>
        </w:rPr>
        <w:t>نمی توانند مصداق امام باشند؛ پس امام معصوم در میان فرقه های اهل سنّت نیست</w:t>
      </w:r>
      <w:r>
        <w:rPr>
          <w:rFonts w:eastAsia="IRNazanin" w:cs="IRNazanin"/>
          <w:color w:val="111111"/>
          <w:sz w:val="28"/>
          <w:szCs w:val="28"/>
          <w:rtl w:val="true"/>
          <w:lang w:bidi="fa-IR"/>
        </w:rPr>
        <w:t>.</w:t>
      </w:r>
    </w:p>
    <w:p>
      <w:pPr>
        <w:pStyle w:val="Heading5"/>
        <w:numPr>
          <w:ilvl w:val="4"/>
          <w:numId w:val="1"/>
        </w:numPr>
        <w:rPr/>
      </w:pPr>
      <w:bookmarkStart w:id="94" w:name="__RefHeading___Toc5485259_211673320"/>
      <w:bookmarkStart w:id="95" w:name="_Toc36"/>
      <w:bookmarkEnd w:id="94"/>
      <w:r>
        <w:rPr>
          <w:rtl w:val="true"/>
        </w:rPr>
        <w:t>ب</w:t>
      </w:r>
      <w:r>
        <w:rPr>
          <w:rtl w:val="true"/>
        </w:rPr>
        <w:t xml:space="preserve">. </w:t>
      </w:r>
      <w:r>
        <w:rPr>
          <w:rtl w:val="true"/>
        </w:rPr>
        <w:t>فرقه های تشیع</w:t>
      </w:r>
      <w:bookmarkEnd w:id="95"/>
    </w:p>
    <w:p>
      <w:pPr>
        <w:pStyle w:val="Heading6"/>
        <w:numPr>
          <w:ilvl w:val="5"/>
          <w:numId w:val="1"/>
        </w:numPr>
        <w:rPr/>
      </w:pPr>
      <w:bookmarkStart w:id="96" w:name="__RefHeading___Toc5485261_211673320"/>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فرقه های اهل سنّت نبود، باید آن را در میان گروه های شیعه جستوجو کرد؛ و در این جهت باید مذاهب شیعه را بررسی کرد تا روشن شود امام معصوم در میان کدام فرقه شیعی است؟</w:t>
      </w:r>
    </w:p>
    <w:p>
      <w:pPr>
        <w:pStyle w:val="Heading6"/>
        <w:numPr>
          <w:ilvl w:val="5"/>
          <w:numId w:val="1"/>
        </w:numPr>
        <w:rPr/>
      </w:pPr>
      <w:bookmarkStart w:id="98" w:name="__RefHeading___Toc5485263_211673320"/>
      <w:bookmarkStart w:id="99" w:name="_Toc38"/>
      <w:bookmarkEnd w:id="98"/>
      <w:r>
        <w:rPr/>
        <w:t>1</w:t>
      </w:r>
      <w:r>
        <w:rPr>
          <w:rtl w:val="true"/>
        </w:rPr>
        <w:t xml:space="preserve">. </w:t>
      </w:r>
      <w:r>
        <w:rPr>
          <w:rtl w:val="true"/>
        </w:rPr>
        <w:t>فرقه کیسانیه</w:t>
      </w:r>
      <w:bookmarkEnd w:id="9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فرقه ای که در شیعه پدید آمد، فرقه کیسانیه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پیروان مختاربن ابن عبیده ثقفی‌اند و از آنجا که مختار در آغاز کیسان نام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محمدبن حنفیّه را امام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به امامت او پس از امام حسن و امام حسین علیهم السلام قائل بودند و برخی نیز به امامت وی پس از امیرالمؤمنین علیه السلام عقیده داشتند</w:t>
      </w:r>
      <w:r>
        <w:rPr>
          <w:rStyle w:val="FootnoteAnchor"/>
          <w:rtl w:val="true"/>
        </w:rPr>
        <w:footnoteReference w:id="41"/>
      </w:r>
      <w:r>
        <w:rPr>
          <w:rFonts w:ascii="IRNazanin" w:hAnsi="IRNazanin" w:eastAsia="IRNazanin"/>
          <w:color w:val="111111"/>
          <w:sz w:val="28"/>
          <w:sz w:val="28"/>
          <w:szCs w:val="28"/>
          <w:rtl w:val="true"/>
          <w:lang w:bidi="fa-IR"/>
        </w:rPr>
        <w:t>آنچه مسلم است، اینان امامت حضرت زین العابدین علیه السلام را بعد از شهادت امام حسین علیه السلام نپذیرفتند</w:t>
      </w:r>
      <w:r>
        <w:rPr>
          <w:rFonts w:eastAsia="IRNazanin" w:cs="IRNazanin"/>
          <w:color w:val="111111"/>
          <w:sz w:val="28"/>
          <w:szCs w:val="28"/>
          <w:rtl w:val="true"/>
          <w:lang w:bidi="fa-IR"/>
        </w:rPr>
        <w:t>.</w:t>
      </w:r>
      <w:bookmarkStart w:id="100" w:name="pg637_5918"/>
    </w:p>
    <w:p>
      <w:pPr>
        <w:pStyle w:val="BookText"/>
        <w:rPr/>
      </w:pPr>
      <w:bookmarkEnd w:id="100"/>
      <w:r>
        <w:rPr>
          <w:rFonts w:ascii="IRNazanin" w:hAnsi="IRNazanin" w:eastAsia="IRNazanin"/>
          <w:color w:val="111111"/>
          <w:sz w:val="28"/>
          <w:sz w:val="28"/>
          <w:szCs w:val="28"/>
          <w:rtl w:val="true"/>
          <w:lang w:bidi="fa-IR"/>
        </w:rPr>
        <w:t xml:space="preserve">کیسانیه بر این عقیده بودند که محمد حنفیّه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کوه رضوی در نزدیکی مدینه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باطل است؛ زیرا محمد حنفیه معصوم نیست؛ پس شرط امامت را ندارد و تخصّصاً از امامت خارج است و نیز خود او ادعای امامت نکرده است</w:t>
      </w:r>
      <w:r>
        <w:rPr>
          <w:rFonts w:eastAsia="IRNazanin" w:cs="IRNazanin"/>
          <w:color w:val="111111"/>
          <w:sz w:val="28"/>
          <w:szCs w:val="28"/>
          <w:rtl w:val="true"/>
          <w:lang w:bidi="fa-IR"/>
        </w:rPr>
        <w:t>.</w:t>
      </w:r>
    </w:p>
    <w:p>
      <w:pPr>
        <w:pStyle w:val="Heading6"/>
        <w:numPr>
          <w:ilvl w:val="5"/>
          <w:numId w:val="1"/>
        </w:numPr>
        <w:rPr/>
      </w:pPr>
      <w:bookmarkStart w:id="101" w:name="__RefHeading___Toc5485265_211673320"/>
      <w:bookmarkStart w:id="102" w:name="_Toc39"/>
      <w:bookmarkEnd w:id="101"/>
      <w:r>
        <w:rPr/>
        <w:t>2</w:t>
      </w:r>
      <w:r>
        <w:rPr>
          <w:rtl w:val="true"/>
        </w:rPr>
        <w:t xml:space="preserve">. </w:t>
      </w:r>
      <w:r>
        <w:rPr>
          <w:rtl w:val="true"/>
        </w:rPr>
        <w:t>فرقه زیدیه</w:t>
      </w:r>
      <w:bookmarkEnd w:id="102"/>
    </w:p>
    <w:p>
      <w:pPr>
        <w:pStyle w:val="BookText"/>
        <w:rPr/>
      </w:pPr>
      <w:r>
        <w:rPr>
          <w:rFonts w:ascii="IRNazanin" w:hAnsi="IRNazanin" w:eastAsia="IRNazanin"/>
          <w:color w:val="111111"/>
          <w:sz w:val="28"/>
          <w:sz w:val="28"/>
          <w:szCs w:val="28"/>
          <w:rtl w:val="true"/>
          <w:lang w:bidi="fa-IR"/>
        </w:rPr>
        <w:t>تاریخ پیدایش زیدیه، به قرن دوم هجری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شهادت امام حسین علیه السلام ، زید شهید، فرزند امام زین العابدین علیه السلام را امام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آنها اجمالا این است که امام باید زاهد، هاشمی، فاطمی، شجاع، عالم و مشهربالسیف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زین العابدین علیه السلام را امام علم و زهد می‌دانند، نه امام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امامت را به زیدبن علی علیه السلام نسبت دادند و امامت محمدبن علی علیه السلام را نپذیرفتند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هم باطل است، زیرا خود زیدبن علی علیه السلام ادّعای امامت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نظر ائمه علیهم السلام نیز مدح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زیدبن</w:t>
      </w:r>
      <w:bookmarkStart w:id="103" w:name="pg637_5919"/>
    </w:p>
    <w:p>
      <w:pPr>
        <w:pStyle w:val="BookText"/>
        <w:rPr/>
      </w:pPr>
      <w:bookmarkEnd w:id="103"/>
      <w:r>
        <w:rPr>
          <w:rFonts w:ascii="IRNazanin" w:hAnsi="IRNazanin" w:eastAsia="IRNazanin"/>
          <w:color w:val="111111"/>
          <w:sz w:val="28"/>
          <w:sz w:val="28"/>
          <w:szCs w:val="28"/>
          <w:rtl w:val="true"/>
          <w:lang w:bidi="fa-IR"/>
        </w:rPr>
        <w:t>علی علیه السلام معصوم نبود؛ در حالی که امام باید معصوم باشد</w:t>
      </w:r>
      <w:r>
        <w:rPr>
          <w:rFonts w:eastAsia="IRNazanin" w:cs="IRNazanin"/>
          <w:color w:val="111111"/>
          <w:sz w:val="28"/>
          <w:szCs w:val="28"/>
          <w:rtl w:val="true"/>
          <w:lang w:bidi="fa-IR"/>
        </w:rPr>
        <w:t>.</w:t>
      </w:r>
    </w:p>
    <w:p>
      <w:pPr>
        <w:pStyle w:val="Heading6"/>
        <w:numPr>
          <w:ilvl w:val="5"/>
          <w:numId w:val="1"/>
        </w:numPr>
        <w:rPr/>
      </w:pPr>
      <w:bookmarkStart w:id="104" w:name="__RefHeading___Toc5485267_211673320"/>
      <w:bookmarkStart w:id="105" w:name="_Toc40"/>
      <w:bookmarkEnd w:id="104"/>
      <w:r>
        <w:rPr/>
        <w:t>3</w:t>
      </w:r>
      <w:r>
        <w:rPr>
          <w:rtl w:val="true"/>
        </w:rPr>
        <w:t xml:space="preserve">. </w:t>
      </w:r>
      <w:r>
        <w:rPr>
          <w:rtl w:val="true"/>
        </w:rPr>
        <w:t>فرقه ناووسیه</w:t>
      </w:r>
      <w:bookmarkEnd w:id="105"/>
    </w:p>
    <w:p>
      <w:pPr>
        <w:pStyle w:val="BookText"/>
        <w:rPr/>
      </w:pPr>
      <w:r>
        <w:rPr>
          <w:rFonts w:ascii="IRNazanin" w:hAnsi="IRNazanin" w:eastAsia="IRNazanin"/>
          <w:color w:val="111111"/>
          <w:sz w:val="28"/>
          <w:sz w:val="28"/>
          <w:szCs w:val="28"/>
          <w:rtl w:val="true"/>
          <w:lang w:bidi="fa-IR"/>
        </w:rPr>
        <w:t>اینان، امام جعفر صادق علیه السلام را آخرین امام می‌دانستند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دنیا نرفته و زنده است و زمانی باز خواهد گشت و در واقع مهدی موعود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ناووسیه شهرت یافتند؛ چون رهبر آنان عبدالله بن ناووس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نظریه ناووسیه با فرقه های گذشته تفاوت دارد؛ زیرا اینان شخصی را امام موعود خود می‌دانند که معصوم و مدعی امامت است؛ از این رو در جواب ادعای ناووسیه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شواهد مربوط به شهادت امام صادق علیه السلام به قدری زیاد است که نمی توان منکر آن شد و این یک واقعیت مسلّم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ائمه دوازده گانه، خلاف دیدگاه ناووسیه را اثبات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امام صادق علیه السلام سؤال شد، آیا شما مهدی امّت هستید؟ حضرت با صراحت آن را</w:t>
      </w:r>
      <w:bookmarkStart w:id="106" w:name="pg637_5920"/>
    </w:p>
    <w:p>
      <w:pPr>
        <w:pStyle w:val="BookText"/>
        <w:rPr/>
      </w:pPr>
      <w:bookmarkEnd w:id="106"/>
      <w:r>
        <w:rPr>
          <w:rFonts w:ascii="IRNazanin" w:hAnsi="IRNazanin" w:eastAsia="IRNazanin"/>
          <w:color w:val="111111"/>
          <w:sz w:val="28"/>
          <w:sz w:val="28"/>
          <w:szCs w:val="28"/>
          <w:rtl w:val="true"/>
          <w:lang w:bidi="fa-IR"/>
        </w:rPr>
        <w:t>نفی کرد و مردم را متوجه امام دوازدهم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شاهدی بر مدعای ما است</w:t>
      </w:r>
      <w:r>
        <w:rPr>
          <w:rFonts w:eastAsia="IRNazanin" w:cs="IRNazanin"/>
          <w:color w:val="111111"/>
          <w:sz w:val="28"/>
          <w:szCs w:val="28"/>
          <w:rtl w:val="true"/>
          <w:lang w:bidi="fa-IR"/>
        </w:rPr>
        <w:t>.</w:t>
      </w:r>
    </w:p>
    <w:p>
      <w:pPr>
        <w:pStyle w:val="Heading6"/>
        <w:numPr>
          <w:ilvl w:val="5"/>
          <w:numId w:val="1"/>
        </w:numPr>
        <w:rPr/>
      </w:pPr>
      <w:bookmarkStart w:id="107" w:name="__RefHeading___Toc5485269_211673320"/>
      <w:bookmarkStart w:id="108" w:name="_Toc41"/>
      <w:bookmarkEnd w:id="107"/>
      <w:r>
        <w:rPr/>
        <w:t>4</w:t>
      </w:r>
      <w:r>
        <w:rPr>
          <w:rtl w:val="true"/>
        </w:rPr>
        <w:t xml:space="preserve">. </w:t>
      </w:r>
      <w:r>
        <w:rPr>
          <w:rtl w:val="true"/>
        </w:rPr>
        <w:t>واقفیه</w:t>
      </w:r>
      <w:bookmarkEnd w:id="108"/>
    </w:p>
    <w:p>
      <w:pPr>
        <w:pStyle w:val="BookText"/>
        <w:rPr/>
      </w:pPr>
      <w:r>
        <w:rPr>
          <w:rFonts w:ascii="IRNazanin" w:hAnsi="IRNazanin" w:eastAsia="IRNazanin"/>
          <w:color w:val="111111"/>
          <w:sz w:val="28"/>
          <w:sz w:val="28"/>
          <w:szCs w:val="28"/>
          <w:rtl w:val="true"/>
          <w:lang w:bidi="fa-IR"/>
        </w:rPr>
        <w:t>این فرقه بعد از شهادت امام کاظم علیه السلام در مقطع خاصی از تاریخ شیعه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امامت حضرت رضا علیه السلام را نپذیرفتند و در امام کاظم علیه السلام توقف کردند؛ لذا واقفیه نام گرفتند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در فرق الشیعه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موسی بن جعفرالکاظم امام هفتم شیعیان، برای بار دوم در زندان هارون الرشید، محبوس گردید؛ پیروانش دچار اختلاف شده و بر پنج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رحلت او را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و پس از او به امامت فرزندش علی بن موسی الرضا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گروه دیگر برخی قائل به مرگ و گروهی قائل به عدم مرگ شده و بالاخره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او همان قائم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 به راه امام دیگری باقی</w:t>
      </w:r>
      <w:bookmarkStart w:id="109" w:name="pg637_5921"/>
    </w:p>
    <w:p>
      <w:pPr>
        <w:pStyle w:val="BookText"/>
        <w:rPr/>
      </w:pPr>
      <w:bookmarkEnd w:id="109"/>
      <w:r>
        <w:rPr>
          <w:rFonts w:ascii="IRNazanin" w:hAnsi="IRNazanin" w:eastAsia="IRNazanin"/>
          <w:color w:val="111111"/>
          <w:sz w:val="28"/>
          <w:sz w:val="28"/>
          <w:szCs w:val="28"/>
          <w:rtl w:val="true"/>
          <w:lang w:bidi="fa-IR"/>
        </w:rPr>
        <w:t>نماندند و به امام کاظم علیه السلام توقّف کردند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هم مردود است؛ به همان دلایلی که در ناووسیه گفته شد</w:t>
      </w:r>
      <w:r>
        <w:rPr>
          <w:rFonts w:eastAsia="IRNazanin" w:cs="IRNazanin"/>
          <w:color w:val="111111"/>
          <w:sz w:val="28"/>
          <w:szCs w:val="28"/>
          <w:rtl w:val="true"/>
          <w:lang w:bidi="fa-IR"/>
        </w:rPr>
        <w:t>.</w:t>
      </w:r>
    </w:p>
    <w:p>
      <w:pPr>
        <w:pStyle w:val="Heading6"/>
        <w:numPr>
          <w:ilvl w:val="5"/>
          <w:numId w:val="1"/>
        </w:numPr>
        <w:rPr/>
      </w:pPr>
      <w:bookmarkStart w:id="110" w:name="__RefHeading___Toc5485271_211673320"/>
      <w:bookmarkStart w:id="111" w:name="_Toc42"/>
      <w:bookmarkEnd w:id="110"/>
      <w:r>
        <w:rPr/>
        <w:t>5</w:t>
      </w:r>
      <w:r>
        <w:rPr>
          <w:rtl w:val="true"/>
        </w:rPr>
        <w:t xml:space="preserve">. </w:t>
      </w:r>
      <w:r>
        <w:rPr>
          <w:rtl w:val="true"/>
        </w:rPr>
        <w:t>فرقه اسماعیلیه</w:t>
      </w:r>
      <w:bookmarkEnd w:id="1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اسماعیلیه</w:t>
      </w:r>
    </w:p>
    <w:p>
      <w:pPr>
        <w:pStyle w:val="BookText"/>
        <w:rPr/>
      </w:pP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فرقه های معروف شیعی فرقه اسماعیلیه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اسماعیل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فرزند امام صادق علیه السلام را ـ که در زمان حیات پدر در گذشت ـ امام می‌دانستند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تصور امامت اسماعیل، چند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دلیل بزرگ‌تر بودن او و دیگری تکریم ویژه ای که امام صادق علیه السلام نسبت به ایشان ابراز</w:t>
      </w:r>
    </w:p>
    <w:p>
      <w:pPr>
        <w:pStyle w:val="BookText"/>
        <w:rPr/>
      </w:pPr>
      <w:r>
        <w:rPr>
          <w:rFonts w:ascii="IRNazanin" w:hAnsi="IRNazanin" w:eastAsia="IRNazanin"/>
          <w:color w:val="111111"/>
          <w:sz w:val="28"/>
          <w:sz w:val="28"/>
          <w:szCs w:val="28"/>
          <w:rtl w:val="true"/>
          <w:lang w:bidi="fa-IR"/>
        </w:rPr>
        <w:t>می‌کرد</w:t>
      </w:r>
      <w:r>
        <w:rPr>
          <w:rStyle w:val="FootnoteAnchor"/>
          <w:rtl w:val="true"/>
        </w:rPr>
        <w:footnoteReference w:id="44"/>
      </w:r>
      <w:r>
        <w:rPr>
          <w:rFonts w:ascii="IRNazanin" w:hAnsi="IRNazanin" w:eastAsia="IRNazanin"/>
          <w:color w:val="111111"/>
          <w:sz w:val="28"/>
          <w:sz w:val="28"/>
          <w:szCs w:val="28"/>
          <w:rtl w:val="true"/>
          <w:lang w:bidi="fa-IR"/>
        </w:rPr>
        <w:t>همچنین ایشان فردی پرهیزگار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گروه امامت امام کاظم علیه السلام را نپذیرفتند و معتقد به امامت اسماعیل و فرزندش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معصوم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هیچ گاه ادعای امامت نکرد و اگر کسانی برای او ادعای امامت کرده‌اند دلایل مختلفی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زمان حیات امام صادق علیه السلام از دنیا رفت، و چطور ممکن است امامت از امام حی و زنده، به شخصی که جلوتر از امام زنده از دنیا رفته، منتقل شده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عقیده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یاد شده در جایی است که فرزند بزرگ امام پس از درگذشت امام زنده باشد، با آنکه اسماعیل قبل از درگذشت پدر از دنیا رفته و جنازه او در انظار همگان تشییع و تدفین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امام صادق علیه السلام دستور داد تا چند نوبت تابوت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بدن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w:t>
      </w:r>
      <w:bookmarkStart w:id="112" w:name="pg637_5923"/>
    </w:p>
    <w:p>
      <w:pPr>
        <w:pStyle w:val="BookText"/>
        <w:rPr/>
      </w:pPr>
      <w:bookmarkEnd w:id="112"/>
      <w:r>
        <w:rPr>
          <w:rFonts w:ascii="IRNazanin" w:hAnsi="IRNazanin" w:eastAsia="IRNazanin"/>
          <w:color w:val="111111"/>
          <w:sz w:val="28"/>
          <w:sz w:val="28"/>
          <w:szCs w:val="28"/>
          <w:rtl w:val="true"/>
          <w:lang w:bidi="fa-IR"/>
        </w:rPr>
        <w:t>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کفن از روی چهره اش برگرفته و به صورت او می‌نگریست تا کسی در مرگ او دچار شک و تردید نشود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نصب اسماعیل به عنوان امام از طرف حضرت صادق علیه السلام روایتی نقل نشده است</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بررسی این دیدگاه ها، روشن می‌شود که هیچ کدام نمی توانند مصداق آن امام موعود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فرقه‌ها نیز به نحوی برآمده از اینها</w:t>
      </w:r>
      <w:r>
        <w:rPr>
          <w:rFonts w:eastAsia="IRNazanin" w:cs="IRNazanin"/>
          <w:color w:val="111111"/>
          <w:sz w:val="28"/>
          <w:szCs w:val="28"/>
          <w:rtl w:val="true"/>
          <w:lang w:bidi="fa-IR"/>
        </w:rPr>
        <w:t>.</w:t>
      </w:r>
    </w:p>
    <w:p>
      <w:pPr>
        <w:pStyle w:val="Heading6"/>
        <w:numPr>
          <w:ilvl w:val="5"/>
          <w:numId w:val="1"/>
        </w:numPr>
        <w:rPr/>
      </w:pPr>
      <w:bookmarkStart w:id="113" w:name="__RefHeading___Toc5485273_211673320"/>
      <w:bookmarkStart w:id="114" w:name="_Toc43"/>
      <w:bookmarkEnd w:id="113"/>
      <w:r>
        <w:rPr/>
        <w:t>6</w:t>
      </w:r>
      <w:r>
        <w:rPr>
          <w:rtl w:val="true"/>
        </w:rPr>
        <w:t xml:space="preserve">. </w:t>
      </w:r>
      <w:r>
        <w:rPr>
          <w:rtl w:val="true"/>
        </w:rPr>
        <w:t>دوازده امامی</w:t>
      </w:r>
      <w:bookmarkEnd w:id="114"/>
    </w:p>
    <w:p>
      <w:pPr>
        <w:pStyle w:val="BookText"/>
        <w:rPr/>
      </w:pPr>
      <w:r>
        <w:rPr>
          <w:rFonts w:ascii="IRNazanin" w:hAnsi="IRNazanin" w:eastAsia="IRNazanin"/>
          <w:color w:val="111111"/>
          <w:sz w:val="28"/>
          <w:sz w:val="28"/>
          <w:szCs w:val="28"/>
          <w:rtl w:val="true"/>
          <w:lang w:bidi="fa-IR"/>
        </w:rPr>
        <w:t>با پژوهش های مختلف روشن می‌شود که هیچ فرقه ای غیر از اثنی عشری، این امام معصوم را در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ادله و شواهد، آن را فقط در شیعه اثنا عشری محدود می‌کند؛ زیرا این مکتب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به ضرورت وجود امام در هر عصری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 به عصمت امام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ولادت حضرت مهدی علیه السلام است</w:t>
      </w:r>
    </w:p>
    <w:p>
      <w:pPr>
        <w:pStyle w:val="BookText"/>
        <w:rPr/>
      </w:pPr>
      <w:r>
        <w:rPr>
          <w:rFonts w:ascii="IRNazanin" w:hAnsi="IRNazanin" w:eastAsia="IRNazanin"/>
          <w:color w:val="111111"/>
          <w:sz w:val="28"/>
          <w:sz w:val="28"/>
          <w:szCs w:val="28"/>
          <w:rtl w:val="true"/>
          <w:lang w:bidi="fa-IR"/>
        </w:rPr>
        <w:t>و او را امام زمان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Style w:val="FootnoteAnchor"/>
          <w:rtl w:val="true"/>
        </w:rPr>
        <w:footnoteReference w:id="47"/>
      </w:r>
      <w:r>
        <w:rPr>
          <w:rFonts w:ascii="IRNazanin" w:hAnsi="IRNazanin" w:eastAsia="IRNazanin"/>
          <w:color w:val="111111"/>
          <w:sz w:val="28"/>
          <w:sz w:val="28"/>
          <w:szCs w:val="28"/>
          <w:rtl w:val="true"/>
          <w:lang w:bidi="fa-IR"/>
        </w:rPr>
        <w:t>مصداق امام فقط در شیعه امامیه اثناعشری خواهد بود و او وجود حضرت حجت‌ابن الحسن العسکری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 شما باشد و نه حرف ما، در این صورت چه اتفاق خواهد افتاد؟</w:t>
      </w:r>
    </w:p>
    <w:p>
      <w:pPr>
        <w:pStyle w:val="BookText"/>
        <w:rPr/>
      </w:pPr>
      <w:r>
        <w:rPr>
          <w:rFonts w:ascii="IRNazanin" w:hAnsi="IRNazanin" w:eastAsia="IRNazanin"/>
          <w:color w:val="111111"/>
          <w:sz w:val="28"/>
          <w:sz w:val="28"/>
          <w:szCs w:val="28"/>
          <w:rtl w:val="true"/>
          <w:lang w:bidi="fa-IR"/>
        </w:rPr>
        <w:t xml:space="preserve">لازمه حرف یاد شده این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دایره اسلام باشد و حال آنکه این بر خلاف اجماع مسلمین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بیرون از دایره اسلام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نتیجه این روش منطقی گردن نهاد و چاره ای غیر از این نیست</w:t>
      </w:r>
      <w:r>
        <w:rPr>
          <w:rFonts w:eastAsia="IRNazanin" w:cs="IRNazanin"/>
          <w:color w:val="111111"/>
          <w:sz w:val="28"/>
          <w:szCs w:val="28"/>
          <w:rtl w:val="true"/>
          <w:lang w:bidi="fa-IR"/>
        </w:rPr>
        <w:t>.</w:t>
      </w:r>
      <w:bookmarkStart w:id="115" w:name="pg637_5925"/>
    </w:p>
    <w:p>
      <w:pPr>
        <w:pStyle w:val="Heading3"/>
        <w:numPr>
          <w:ilvl w:val="2"/>
          <w:numId w:val="1"/>
        </w:numPr>
        <w:rPr/>
      </w:pPr>
      <w:bookmarkStart w:id="116" w:name="__RefHeading___Toc5485275_211673320"/>
      <w:bookmarkStart w:id="117" w:name="_Toc44"/>
      <w:bookmarkEnd w:id="115"/>
      <w:bookmarkEnd w:id="116"/>
      <w:r>
        <w:rPr>
          <w:rtl w:val="true"/>
        </w:rPr>
        <w:t xml:space="preserve">مقدمه </w:t>
      </w:r>
      <w:r>
        <w:rPr/>
        <w:t>4</w:t>
      </w:r>
      <w:r>
        <w:rPr>
          <w:rtl w:val="true"/>
        </w:rPr>
        <w:t xml:space="preserve">. </w:t>
      </w:r>
      <w:r>
        <w:rPr>
          <w:rtl w:val="true"/>
        </w:rPr>
        <w:t>وجود حضرت مهدی علیه السلام</w:t>
      </w:r>
      <w:bookmarkEnd w:id="117"/>
    </w:p>
    <w:p>
      <w:pPr>
        <w:pStyle w:val="BookText"/>
        <w:rPr/>
      </w:pPr>
      <w:r>
        <w:rPr>
          <w:rFonts w:ascii="IRNazanin" w:hAnsi="IRNazanin" w:eastAsia="IRNazanin"/>
          <w:color w:val="111111"/>
          <w:sz w:val="28"/>
          <w:sz w:val="28"/>
          <w:szCs w:val="28"/>
          <w:rtl w:val="true"/>
          <w:lang w:bidi="fa-IR"/>
        </w:rPr>
        <w:t xml:space="preserve">این مقدمه عقلی نیست؛ زیرا مستند به گزارش های حسی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 بودن مقدمه خدشه ای به استدلال،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ولی عصر علیه السلام در نزد شیعه اثنی عشری اجماعی است و هیچ گونه تردیدی در آن نیست؛ زیرا بنابر قول مشهور، آن حضرت در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48"/>
      </w:r>
      <w:r>
        <w:rPr>
          <w:rFonts w:ascii="IRNazanin" w:hAnsi="IRNazanin" w:eastAsia="IRNazanin"/>
          <w:color w:val="111111"/>
          <w:sz w:val="28"/>
          <w:sz w:val="28"/>
          <w:szCs w:val="28"/>
          <w:rtl w:val="true"/>
          <w:lang w:bidi="fa-IR"/>
        </w:rPr>
        <w:t>متولد شده و پدرش امام حسن عسکری علیه السلام و مادرش نرجس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امامت رسید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بر این عقیده‌اند که مهدی موعود خواهد آمد و شکی در این زمینه نیست؛ ولی در ولادت ایشان با شیعه همراه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فرزندان پیامبر صلی الله علیه و آله و سلم و فرزند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ولادت او، بیشتر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به دنیا نیامده است؛ ولی برخی از علمای آنها معتقد به تولد او هستند و حتی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آن دسته از علمای اهل سنت که گرایش های عرفانی دارند، معتقد به ولادت حضرت شدند؛ البته به عنوان انسان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ادله ولادت حضرت مهدی اشاره می‌شود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امام حسن عسکری علیه السلام به ولادت فرزندش مهدی علیه السلام </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دادن حضرت حکیمه خاتون دختر امام جواد علیه السلام و عمه امام عسکری علیه السلام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افرادی که در عصر حیات امام عسکری علیه السلام خدمت حضرت مهدی علیه السلام رسیدند؛</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ادریس ابواحمد، ابراهیم بن عبده نیشابوری، احمدبن اسحاق قمی، سعدبن عبدالله اشعری و…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کسانی که در عصر غیبت صغری، خدمت آن حضرت رسیدند؛ اعم از وکلا و غیر وکلا</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کسانی که در خانه امام عسکری علیه السلام مشغول خدمت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غلامان و خادمان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ولی عصر عجل الله تعالی فرجه الشریف را رؤیت کردند؛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طریف خادم، ابوالادیان خادم، ابوغانم خادم و…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برخی از علمای اهل سنّت که نسابه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مثل نسابه شهیر ابونصر سهل بن عبدالله داود بن سلیمان بخاری، سید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 معروف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رازی شافعی، مروزی ازورقانی و…</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برخی از علمای اهل سنّت به</w:t>
      </w:r>
    </w:p>
    <w:p>
      <w:pPr>
        <w:pStyle w:val="BookText"/>
        <w:rPr/>
      </w:pPr>
      <w:r>
        <w:rPr>
          <w:rFonts w:ascii="IRNazanin" w:hAnsi="IRNazanin" w:eastAsia="IRNazanin"/>
          <w:color w:val="111111"/>
          <w:sz w:val="28"/>
          <w:sz w:val="28"/>
          <w:szCs w:val="28"/>
          <w:rtl w:val="true"/>
          <w:lang w:bidi="fa-IR"/>
        </w:rPr>
        <w:t>اینکه مهدی علیه السلام فرزند امام حسن عسکری علیه السلام است؛ مثل کمال الدین محمد بن طلحه شافعی، سبط بن جوزی، محمدبن یوسف ابوعبدالله گنجی شافعی، نورالدین علی بن محمدبن صباغ مالکی، فضل بن روزبهان و…</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الیواقیت والجواهر شعرانی،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مطالب السؤول، ابن طلحه شافعی،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تذکرة الخواص، ابن جوزی،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البیان فی اخبار صاحب الزمان، 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مطالب روایاتی از پیامبر صلی الله علیه و آله و سلم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من دوازده تن هستند، نخستین آنان علی و آخرین شان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دلایل و شواهد زیادی بر ولادت آن حضرت وجود دارد که انکار آن را محال می‌نماید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چهار مقدمه ـ به خصوص برهان سبر و تقسیم ـ می‌توان امامت امام زمان علیه السلام را اثبات کرد</w:t>
      </w:r>
      <w:r>
        <w:rPr>
          <w:rFonts w:eastAsia="IRNazanin" w:cs="IRNazanin"/>
          <w:color w:val="111111"/>
          <w:sz w:val="28"/>
          <w:szCs w:val="28"/>
          <w:rtl w:val="true"/>
          <w:lang w:bidi="fa-IR"/>
        </w:rPr>
        <w:t>.</w:t>
      </w:r>
      <w:bookmarkStart w:id="118" w:name="pg637_5929"/>
    </w:p>
    <w:p>
      <w:pPr>
        <w:pStyle w:val="Heading2"/>
        <w:numPr>
          <w:ilvl w:val="1"/>
          <w:numId w:val="1"/>
        </w:numPr>
        <w:rPr/>
      </w:pPr>
      <w:bookmarkStart w:id="119" w:name="__RefHeading___Toc5485277_211673320"/>
      <w:bookmarkStart w:id="120" w:name="_Toc45"/>
      <w:bookmarkEnd w:id="118"/>
      <w:bookmarkEnd w:id="119"/>
      <w:r>
        <w:rPr>
          <w:rtl w:val="true"/>
        </w:rPr>
        <w:t>منابع</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مواقف، میر سید شریف جرجانی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العقاید، خواجه نصیرالدین طوسی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تمهیدالاصول، شیخ محمدبن الحسن الطوسی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علامه حلی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باب حادی عشر، علامه فاضل مقداد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بدایة المعارف، آیة الله سید محسن خرازی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تخصصی انتظار، مرکز تخصصی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الالهیات، آیة الله سبحانی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و رهبری، استاد شهید مطهری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مراد، مرحوم علامه لاهیجی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مقاصد، سعدالدین تفتازانی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الموحدین، محمدمهدی نراقی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مرحوم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گفتمان مهدویت سوم، مؤسسه انتظار نور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و مذاهب اسلامی، استاد ربانی گلپایگانی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المختاره، مرحوم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مرحوم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منتظر در اندیشه اسلامی، ثامر العمیدی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ققنوس، مترجم و محقق مهدی علیزاده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استاد ربانی گلپایگانی در گفتمان مهدویت سوم حوزه علمیه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دارالشفاء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عقلی به دو دسته تقسیم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مستقلات عقلی و غیرمستقلات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ادلّه ای که همه مقدمات آن از روش عقلی تشکیل شود، مستقلات عقلی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ادلّه ای که برخی از مقدمات آن عقلی و برخی دیگر نقلی باشد، غیر مستقلات عقلی گویند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چهارم، ص </w:t>
      </w:r>
      <w:r>
        <w:rPr>
          <w:rFonts w:eastAsia="IRNazanin" w:cs="IRNazanin"/>
          <w:b w:val="false"/>
          <w:bCs w:val="false"/>
          <w:i w:val="false"/>
          <w:iCs w:val="false"/>
          <w:color w:val="333333"/>
          <w:sz w:val="20"/>
          <w:szCs w:val="20"/>
        </w:rPr>
        <w:t>60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227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 چهار، ص </w:t>
      </w:r>
      <w:r>
        <w:rPr>
          <w:rFonts w:eastAsia="IRNazanin" w:cs="IRNazanin"/>
          <w:b w:val="false"/>
          <w:bCs w:val="false"/>
          <w:i w:val="false"/>
          <w:iCs w:val="false"/>
          <w:color w:val="333333"/>
          <w:sz w:val="20"/>
          <w:szCs w:val="20"/>
        </w:rPr>
        <w:t>62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زیدیه، به وجود نصّ در امامت اعتقاد ندارند و عقیده آنان در این مسأله همانند عقیده معتزله و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این گروه، امامت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دانند، نه واجب برخدا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انتظار، ش چهارم،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فرق کلامی اهل سنت ماتریدیه است، مؤسس این مکتب کلامی ابومنصور ماتریدی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محمدبن محمدبن محمود ماتریدی سمرقندی منسوب به ماترید از روستاهای سمرقند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سال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آسیای مرکزی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الاعتقاد، شرح محمدبن صالح عثیمین،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الاصول، ترجمه مشکوة الدینی، انجمن اسلامی حکمت و فلسفه ایران،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باب حادی عشر،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مکتبة المعارف الاسلامیة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قواعد کلامیه، علی ربانی گلپایگانی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362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عقاید نسفیه، ص </w:t>
      </w:r>
      <w:r>
        <w:rPr>
          <w:rFonts w:eastAsia="IRNazanin" w:cs="IRNazanin"/>
          <w:b w:val="false"/>
          <w:bCs w:val="false"/>
          <w:i w:val="false"/>
          <w:iCs w:val="false"/>
          <w:color w:val="333333"/>
          <w:sz w:val="20"/>
          <w:szCs w:val="20"/>
        </w:rPr>
        <w:t>110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الاقدام، ص </w:t>
      </w:r>
      <w:r>
        <w:rPr>
          <w:rFonts w:eastAsia="IRNazanin" w:cs="IRNazanin"/>
          <w:b w:val="false"/>
          <w:bCs w:val="false"/>
          <w:i w:val="false"/>
          <w:iCs w:val="false"/>
          <w:color w:val="333333"/>
          <w:sz w:val="20"/>
          <w:szCs w:val="20"/>
        </w:rPr>
        <w:t>479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364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به دلایل نقلی بر ضرورت وجود امام استدلال کردند؛ مانند استدلال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الارض لاتخلو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امامت عامه کتب کلامی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فارس، معجم مقاییس اللغة، ص </w:t>
      </w:r>
      <w:r>
        <w:rPr>
          <w:rFonts w:eastAsia="IRNazanin" w:cs="IRNazanin"/>
          <w:b w:val="false"/>
          <w:bCs w:val="false"/>
          <w:i w:val="false"/>
          <w:iCs w:val="false"/>
          <w:color w:val="333333"/>
          <w:sz w:val="20"/>
          <w:szCs w:val="20"/>
        </w:rPr>
        <w:t>779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مصنفات شیخ مفید، ج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المراد،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قوشجی نیز به این مطلب تصریح کرده که اسماعیلیه معتقد به وجوب عصمت امام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عصمت امام از دیدگاه خِرد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و مذاهب کلامی، علی ربانی گلپایگانی، ص </w:t>
      </w:r>
      <w:r>
        <w:rPr>
          <w:rFonts w:eastAsia="IRNazanin" w:cs="IRNazanin"/>
          <w:b w:val="false"/>
          <w:bCs w:val="false"/>
          <w:i w:val="false"/>
          <w:iCs w:val="false"/>
          <w:color w:val="333333"/>
          <w:sz w:val="20"/>
          <w:szCs w:val="20"/>
        </w:rPr>
        <w:t>62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اشعری در، مقالات الاسلامیین و عبدالقاهر بغدادی در الفرق بین الفرق و شهرستانی در کتاب الملل والنحل همین نظر نوبختی را بیان کرده‌اند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به فرقه های اصلی و فرعی منشعب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های اصلی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اسماعیلیه خاص، مبارکیه، قرمطیه و فرقه های فرعی در آن پدید آمدند که برخی از آنها الان در زمان ما موجودند، مثل فرقه‌های بُهَرَه، مستعلیه، دروزیّه</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 کلامی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من العیون والمجالس،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 کلامی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من العیون والمجالس،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و مذاهب کلامی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المختاره من العیون والمجالس،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قاعده منطقی سبر و تقسیم</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سال ولادت را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گرایشهای حسی به اختصار خواهد بود زیرا این بحث بطور مفصل در جایگاه خود مطرح می شود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76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منتظر در اندیشه اسلامی، ثامرالعمیدی،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انتظار ققنوس،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7495</Words>
  <Characters>29597</Characters>
  <CharactersWithSpaces>36653</CharactersWithSpaces>
  <Paragraphs>542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2026-08-16T07:32:24Z</dcterms:created>
  <dc:creator>ghaemiyeh.com</dc:creator>
  <dc:description/>
  <dc:language>en-US</dc:language>
  <cp:lastModifiedBy/>
  <dcterms:modified xsi:type="dcterms:W3CDTF">2026-08-16T11:02:26Z</dcterms:modified>
  <cp:revision>1</cp:revision>
  <dc:subject/>
  <dc:title>انتظار 2 پژوهشی عقلی درباره حضرت مهدی علیه السلام</dc:title>
</cp:coreProperties>
</file>

<file path=docProps/custom.xml><?xml version="1.0" encoding="utf-8"?>
<Properties xmlns="http://schemas.openxmlformats.org/officeDocument/2006/custom-properties" xmlns:vt="http://schemas.openxmlformats.org/officeDocument/2006/docPropsVTypes"/>
</file>