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 الشیعه الامامیه فی عقائدهم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40353_2116733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440355_211673320">
            <w:r>
              <w:rPr>
                <w:webHidden/>
                <w:rStyle w:val="IndexLink"/>
                <w:rtl w:val="true"/>
              </w:rPr>
              <w:t>التقديم</w:t>
            </w:r>
            <w:r>
              <w:rPr>
                <w:rStyle w:val="IndexLink"/>
                <w:rtl w:val="true"/>
              </w:rPr>
              <w:t>:</w:t>
              <w:tab/>
            </w:r>
            <w:r>
              <w:rPr>
                <w:rStyle w:val="IndexLink"/>
              </w:rPr>
              <w:t>5</w:t>
            </w:r>
          </w:hyperlink>
        </w:p>
        <w:p>
          <w:pPr>
            <w:pStyle w:val="Contents2"/>
            <w:tabs>
              <w:tab w:val="clear" w:pos="8743"/>
              <w:tab w:val="right" w:pos="9026" w:leader="dot"/>
            </w:tabs>
            <w:rPr/>
          </w:pPr>
          <w:hyperlink w:anchor="__RefHeading___Toc4440357_211673320">
            <w:r>
              <w:rPr>
                <w:webHidden/>
                <w:rStyle w:val="IndexLink"/>
                <w:rtl w:val="true"/>
              </w:rPr>
              <w:t>رسائل بعض أعلام الشيعة</w:t>
            </w:r>
            <w:r>
              <w:rPr>
                <w:rStyle w:val="IndexLink"/>
                <w:rtl w:val="true"/>
              </w:rPr>
              <w:tab/>
            </w:r>
            <w:r>
              <w:rPr>
                <w:rStyle w:val="IndexLink"/>
              </w:rPr>
              <w:t>15</w:t>
            </w:r>
          </w:hyperlink>
        </w:p>
        <w:p>
          <w:pPr>
            <w:pStyle w:val="Contents3"/>
            <w:tabs>
              <w:tab w:val="clear" w:pos="8459"/>
              <w:tab w:val="right" w:pos="9026" w:leader="dot"/>
            </w:tabs>
            <w:rPr/>
          </w:pPr>
          <w:hyperlink w:anchor="__RefHeading___Toc4440359_21167332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4440361_211673320">
            <w:r>
              <w:rPr>
                <w:webHidden/>
                <w:rStyle w:val="IndexLink"/>
              </w:rPr>
              <w:t>1</w:t>
            </w:r>
            <w:r>
              <w:rPr>
                <w:rStyle w:val="IndexLink"/>
                <w:rtl w:val="true"/>
              </w:rPr>
              <w:t xml:space="preserve">- </w:t>
            </w:r>
            <w:r>
              <w:rPr>
                <w:rStyle w:val="IndexLink"/>
                <w:rtl w:val="true"/>
              </w:rPr>
              <w:t>ما كتبه الإمام الرضا</w:t>
            </w:r>
            <w:r>
              <w:rPr>
                <w:rStyle w:val="IndexLink"/>
                <w:rtl w:val="true"/>
              </w:rPr>
              <w:t xml:space="preserve">- </w:t>
            </w:r>
            <w:r>
              <w:rPr>
                <w:rStyle w:val="IndexLink"/>
                <w:rtl w:val="true"/>
              </w:rPr>
              <w:t>عليهالسّلام للمأمون عن محض الإسلام</w:t>
            </w:r>
            <w:r>
              <w:rPr>
                <w:rStyle w:val="IndexLink"/>
                <w:rtl w:val="true"/>
              </w:rPr>
              <w:t>:</w:t>
              <w:tab/>
            </w:r>
            <w:r>
              <w:rPr>
                <w:rStyle w:val="IndexLink"/>
              </w:rPr>
              <w:t>17</w:t>
            </w:r>
          </w:hyperlink>
        </w:p>
        <w:p>
          <w:pPr>
            <w:pStyle w:val="Contents3"/>
            <w:tabs>
              <w:tab w:val="clear" w:pos="8459"/>
              <w:tab w:val="right" w:pos="9026" w:leader="dot"/>
            </w:tabs>
            <w:rPr/>
          </w:pPr>
          <w:hyperlink w:anchor="__RefHeading___Toc4440363_211673320">
            <w:r>
              <w:rPr>
                <w:webHidden/>
                <w:rStyle w:val="IndexLink"/>
              </w:rPr>
              <w:t>2</w:t>
            </w:r>
            <w:r>
              <w:rPr>
                <w:rStyle w:val="IndexLink"/>
                <w:rtl w:val="true"/>
              </w:rPr>
              <w:t xml:space="preserve">- </w:t>
            </w:r>
            <w:r>
              <w:rPr>
                <w:rStyle w:val="IndexLink"/>
                <w:rtl w:val="true"/>
              </w:rPr>
              <w:t>عرض السيّد عبد العظيم الحسني عقائده على الإمام الهادي</w:t>
            </w:r>
            <w:r>
              <w:rPr>
                <w:rStyle w:val="IndexLink"/>
                <w:rtl w:val="true"/>
              </w:rPr>
              <w:t>:</w:t>
              <w:tab/>
            </w:r>
            <w:r>
              <w:rPr>
                <w:rStyle w:val="IndexLink"/>
              </w:rPr>
              <w:t>19</w:t>
            </w:r>
          </w:hyperlink>
        </w:p>
        <w:p>
          <w:pPr>
            <w:pStyle w:val="Contents3"/>
            <w:tabs>
              <w:tab w:val="clear" w:pos="8459"/>
              <w:tab w:val="right" w:pos="9026" w:leader="dot"/>
            </w:tabs>
            <w:rPr/>
          </w:pPr>
          <w:hyperlink w:anchor="__RefHeading___Toc4440365_211673320">
            <w:r>
              <w:rPr>
                <w:webHidden/>
                <w:rStyle w:val="IndexLink"/>
              </w:rPr>
              <w:t>3</w:t>
            </w:r>
            <w:r>
              <w:rPr>
                <w:rStyle w:val="IndexLink"/>
                <w:rtl w:val="true"/>
              </w:rPr>
              <w:t xml:space="preserve">- </w:t>
            </w:r>
            <w:r>
              <w:rPr>
                <w:rStyle w:val="IndexLink"/>
                <w:rtl w:val="true"/>
              </w:rPr>
              <w:t>رسالة الصدوق في عقائد الإمامية</w:t>
            </w:r>
            <w:r>
              <w:rPr>
                <w:rStyle w:val="IndexLink"/>
                <w:rtl w:val="true"/>
              </w:rPr>
              <w:t>:</w:t>
              <w:tab/>
            </w:r>
            <w:r>
              <w:rPr>
                <w:rStyle w:val="IndexLink"/>
              </w:rPr>
              <w:t>21</w:t>
            </w:r>
          </w:hyperlink>
        </w:p>
        <w:p>
          <w:pPr>
            <w:pStyle w:val="Contents3"/>
            <w:tabs>
              <w:tab w:val="clear" w:pos="8459"/>
              <w:tab w:val="right" w:pos="9026" w:leader="dot"/>
            </w:tabs>
            <w:rPr/>
          </w:pPr>
          <w:hyperlink w:anchor="__RefHeading___Toc4440367_211673320">
            <w:r>
              <w:rPr>
                <w:webHidden/>
                <w:rStyle w:val="IndexLink"/>
              </w:rPr>
              <w:t>4</w:t>
            </w:r>
            <w:r>
              <w:rPr>
                <w:rStyle w:val="IndexLink"/>
                <w:rtl w:val="true"/>
              </w:rPr>
              <w:t xml:space="preserve">- </w:t>
            </w:r>
            <w:r>
              <w:rPr>
                <w:rStyle w:val="IndexLink"/>
                <w:rtl w:val="true"/>
              </w:rPr>
              <w:t>ما أملاه الصدوق أيضاً</w:t>
            </w:r>
            <w:r>
              <w:rPr>
                <w:rStyle w:val="IndexLink"/>
                <w:rtl w:val="true"/>
              </w:rPr>
              <w:t xml:space="preserve">- </w:t>
            </w:r>
            <w:r>
              <w:rPr>
                <w:rStyle w:val="IndexLink"/>
                <w:rtl w:val="true"/>
              </w:rPr>
              <w:t>رحمه اللَّه</w:t>
            </w:r>
            <w:r>
              <w:rPr>
                <w:rStyle w:val="IndexLink"/>
                <w:rtl w:val="true"/>
              </w:rPr>
              <w:t>-:</w:t>
              <w:tab/>
            </w:r>
            <w:r>
              <w:rPr>
                <w:rStyle w:val="IndexLink"/>
              </w:rPr>
              <w:t>22</w:t>
            </w:r>
          </w:hyperlink>
        </w:p>
        <w:p>
          <w:pPr>
            <w:pStyle w:val="Contents3"/>
            <w:tabs>
              <w:tab w:val="clear" w:pos="8459"/>
              <w:tab w:val="right" w:pos="9026" w:leader="dot"/>
            </w:tabs>
            <w:rPr/>
          </w:pPr>
          <w:hyperlink w:anchor="__RefHeading___Toc4440369_211673320">
            <w:r>
              <w:rPr>
                <w:webHidden/>
                <w:rStyle w:val="IndexLink"/>
              </w:rPr>
              <w:t>5</w:t>
            </w:r>
            <w:r>
              <w:rPr>
                <w:rStyle w:val="IndexLink"/>
                <w:rtl w:val="true"/>
              </w:rPr>
              <w:t xml:space="preserve">- </w:t>
            </w:r>
            <w:r>
              <w:rPr>
                <w:rStyle w:val="IndexLink"/>
                <w:rtl w:val="true"/>
              </w:rPr>
              <w:t>جمل العلم والعمل للسيّد الشريف المرتضى</w:t>
            </w:r>
            <w:r>
              <w:rPr>
                <w:rStyle w:val="IndexLink"/>
                <w:rtl w:val="true"/>
              </w:rPr>
              <w:t>:</w:t>
              <w:tab/>
            </w:r>
            <w:r>
              <w:rPr>
                <w:rStyle w:val="IndexLink"/>
              </w:rPr>
              <w:t>23</w:t>
            </w:r>
          </w:hyperlink>
        </w:p>
        <w:p>
          <w:pPr>
            <w:pStyle w:val="Contents3"/>
            <w:tabs>
              <w:tab w:val="clear" w:pos="8459"/>
              <w:tab w:val="right" w:pos="9026" w:leader="dot"/>
            </w:tabs>
            <w:rPr/>
          </w:pPr>
          <w:hyperlink w:anchor="__RefHeading___Toc4440371_211673320">
            <w:r>
              <w:rPr>
                <w:webHidden/>
                <w:rStyle w:val="IndexLink"/>
              </w:rPr>
              <w:t>6</w:t>
            </w:r>
            <w:r>
              <w:rPr>
                <w:rStyle w:val="IndexLink"/>
                <w:rtl w:val="true"/>
              </w:rPr>
              <w:t xml:space="preserve">- </w:t>
            </w:r>
            <w:r>
              <w:rPr>
                <w:rStyle w:val="IndexLink"/>
                <w:rtl w:val="true"/>
              </w:rPr>
              <w:t>البيان عن جمل اعتقاد أهل الإيمان للكراجكي</w:t>
            </w:r>
            <w:r>
              <w:rPr>
                <w:rStyle w:val="IndexLink"/>
                <w:rtl w:val="true"/>
              </w:rPr>
              <w:t>:</w:t>
              <w:tab/>
            </w:r>
            <w:r>
              <w:rPr>
                <w:rStyle w:val="IndexLink"/>
              </w:rPr>
              <w:t>25</w:t>
            </w:r>
          </w:hyperlink>
        </w:p>
        <w:p>
          <w:pPr>
            <w:pStyle w:val="Contents4"/>
            <w:tabs>
              <w:tab w:val="clear" w:pos="8176"/>
              <w:tab w:val="right" w:pos="9026" w:leader="dot"/>
            </w:tabs>
            <w:rPr/>
          </w:pPr>
          <w:hyperlink w:anchor="__RefHeading___Toc4440373_211673320">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4440375_211673320">
            <w:r>
              <w:rPr>
                <w:webHidden/>
                <w:rStyle w:val="IndexLink"/>
                <w:rtl w:val="true"/>
              </w:rPr>
              <w:t>في توحيده سبحانه</w:t>
            </w:r>
            <w:r>
              <w:rPr>
                <w:rStyle w:val="IndexLink"/>
                <w:rtl w:val="true"/>
              </w:rPr>
              <w:t>:</w:t>
              <w:tab/>
            </w:r>
            <w:r>
              <w:rPr>
                <w:rStyle w:val="IndexLink"/>
              </w:rPr>
              <w:t>26</w:t>
            </w:r>
          </w:hyperlink>
        </w:p>
        <w:p>
          <w:pPr>
            <w:pStyle w:val="Contents4"/>
            <w:tabs>
              <w:tab w:val="clear" w:pos="8176"/>
              <w:tab w:val="right" w:pos="9026" w:leader="dot"/>
            </w:tabs>
            <w:rPr/>
          </w:pPr>
          <w:hyperlink w:anchor="__RefHeading___Toc4440377_211673320">
            <w:r>
              <w:rPr>
                <w:webHidden/>
                <w:rStyle w:val="IndexLink"/>
                <w:rtl w:val="true"/>
              </w:rPr>
              <w:t>في عدله سبحانه</w:t>
            </w:r>
            <w:r>
              <w:rPr>
                <w:rStyle w:val="IndexLink"/>
                <w:rtl w:val="true"/>
              </w:rPr>
              <w:t>:</w:t>
              <w:tab/>
            </w:r>
            <w:r>
              <w:rPr>
                <w:rStyle w:val="IndexLink"/>
              </w:rPr>
              <w:t>26</w:t>
            </w:r>
          </w:hyperlink>
        </w:p>
        <w:p>
          <w:pPr>
            <w:pStyle w:val="Contents4"/>
            <w:tabs>
              <w:tab w:val="clear" w:pos="8176"/>
              <w:tab w:val="right" w:pos="9026" w:leader="dot"/>
            </w:tabs>
            <w:rPr/>
          </w:pPr>
          <w:hyperlink w:anchor="__RefHeading___Toc4440379_211673320">
            <w:r>
              <w:rPr>
                <w:webHidden/>
                <w:rStyle w:val="IndexLink"/>
                <w:rtl w:val="true"/>
              </w:rPr>
              <w:t>في النبوّة العامّة والخاصّة</w:t>
            </w:r>
            <w:r>
              <w:rPr>
                <w:rStyle w:val="IndexLink"/>
                <w:rtl w:val="true"/>
              </w:rPr>
              <w:t>:</w:t>
              <w:tab/>
            </w:r>
            <w:r>
              <w:rPr>
                <w:rStyle w:val="IndexLink"/>
              </w:rPr>
              <w:t>28</w:t>
            </w:r>
          </w:hyperlink>
        </w:p>
        <w:p>
          <w:pPr>
            <w:pStyle w:val="Contents4"/>
            <w:tabs>
              <w:tab w:val="clear" w:pos="8176"/>
              <w:tab w:val="right" w:pos="9026" w:leader="dot"/>
            </w:tabs>
            <w:rPr/>
          </w:pPr>
          <w:hyperlink w:anchor="__RefHeading___Toc4440381_211673320">
            <w:r>
              <w:rPr>
                <w:webHidden/>
                <w:rStyle w:val="IndexLink"/>
                <w:rtl w:val="true"/>
              </w:rPr>
              <w:t>في الإمامة والخلافة</w:t>
            </w:r>
            <w:r>
              <w:rPr>
                <w:rStyle w:val="IndexLink"/>
                <w:rtl w:val="true"/>
              </w:rPr>
              <w:t>:</w:t>
              <w:tab/>
            </w:r>
            <w:r>
              <w:rPr>
                <w:rStyle w:val="IndexLink"/>
              </w:rPr>
              <w:t>30</w:t>
            </w:r>
          </w:hyperlink>
        </w:p>
        <w:p>
          <w:pPr>
            <w:pStyle w:val="Contents4"/>
            <w:tabs>
              <w:tab w:val="clear" w:pos="8176"/>
              <w:tab w:val="right" w:pos="9026" w:leader="dot"/>
            </w:tabs>
            <w:rPr/>
          </w:pPr>
          <w:hyperlink w:anchor="__RefHeading___Toc4440383_211673320">
            <w:r>
              <w:rPr>
                <w:webHidden/>
                <w:rStyle w:val="IndexLink"/>
                <w:rtl w:val="true"/>
              </w:rPr>
              <w:t>في التوبة والحشر والنشر</w:t>
            </w:r>
            <w:r>
              <w:rPr>
                <w:rStyle w:val="IndexLink"/>
                <w:rtl w:val="true"/>
              </w:rPr>
              <w:t>:</w:t>
              <w:tab/>
            </w:r>
            <w:r>
              <w:rPr>
                <w:rStyle w:val="IndexLink"/>
              </w:rPr>
              <w:t>33</w:t>
            </w:r>
          </w:hyperlink>
        </w:p>
        <w:p>
          <w:pPr>
            <w:pStyle w:val="Contents3"/>
            <w:tabs>
              <w:tab w:val="clear" w:pos="8459"/>
              <w:tab w:val="right" w:pos="9026" w:leader="dot"/>
            </w:tabs>
            <w:rPr/>
          </w:pPr>
          <w:hyperlink w:anchor="__RefHeading___Toc4440385_211673320">
            <w:r>
              <w:rPr>
                <w:webHidden/>
                <w:rStyle w:val="IndexLink"/>
              </w:rPr>
              <w:t>7</w:t>
            </w:r>
            <w:r>
              <w:rPr>
                <w:rStyle w:val="IndexLink"/>
                <w:rtl w:val="true"/>
              </w:rPr>
              <w:t xml:space="preserve">- </w:t>
            </w:r>
            <w:r>
              <w:rPr>
                <w:rStyle w:val="IndexLink"/>
                <w:rtl w:val="true"/>
              </w:rPr>
              <w:t>العقائد الجعفرية تأليف الشيخ الطوسي</w:t>
            </w:r>
            <w:r>
              <w:rPr>
                <w:rStyle w:val="IndexLink"/>
                <w:rtl w:val="true"/>
              </w:rPr>
              <w:t>:</w:t>
              <w:tab/>
            </w:r>
            <w:r>
              <w:rPr>
                <w:rStyle w:val="IndexLink"/>
              </w:rPr>
              <w:t>37</w:t>
            </w:r>
          </w:hyperlink>
        </w:p>
        <w:p>
          <w:pPr>
            <w:pStyle w:val="Contents4"/>
            <w:tabs>
              <w:tab w:val="clear" w:pos="8176"/>
              <w:tab w:val="right" w:pos="9026" w:leader="dot"/>
            </w:tabs>
            <w:rPr/>
          </w:pPr>
          <w:hyperlink w:anchor="__RefHeading___Toc4440387_211673320">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4440389_211673320">
            <w:r>
              <w:rPr>
                <w:webHidden/>
                <w:rStyle w:val="IndexLink"/>
                <w:rtl w:val="true"/>
              </w:rPr>
              <w:t>ما هو الهدف من نقل هذه الرسائل</w:t>
            </w:r>
            <w:r>
              <w:rPr>
                <w:rStyle w:val="IndexLink"/>
                <w:rtl w:val="true"/>
              </w:rPr>
              <w:t>:</w:t>
              <w:tab/>
            </w:r>
            <w:r>
              <w:rPr>
                <w:rStyle w:val="IndexLink"/>
              </w:rPr>
              <w:t>46</w:t>
            </w:r>
          </w:hyperlink>
        </w:p>
        <w:p>
          <w:pPr>
            <w:pStyle w:val="Contents4"/>
            <w:tabs>
              <w:tab w:val="clear" w:pos="8176"/>
              <w:tab w:val="right" w:pos="9026" w:leader="dot"/>
            </w:tabs>
            <w:rPr/>
          </w:pPr>
          <w:hyperlink w:anchor="__RefHeading___Toc4440391_211673320">
            <w:r>
              <w:rPr>
                <w:webHidden/>
                <w:rStyle w:val="IndexLink"/>
                <w:rtl w:val="true"/>
              </w:rPr>
              <w:t>الفرق بين الشيعة الإمامية والمعتزلة</w:t>
            </w:r>
            <w:r>
              <w:rPr>
                <w:rStyle w:val="IndexLink"/>
                <w:rtl w:val="true"/>
              </w:rPr>
              <w:t>:</w:t>
              <w:tab/>
            </w:r>
            <w:r>
              <w:rPr>
                <w:rStyle w:val="IndexLink"/>
              </w:rPr>
              <w:t>47</w:t>
            </w:r>
          </w:hyperlink>
        </w:p>
        <w:p>
          <w:pPr>
            <w:pStyle w:val="Contents4"/>
            <w:tabs>
              <w:tab w:val="clear" w:pos="8176"/>
              <w:tab w:val="right" w:pos="9026" w:leader="dot"/>
            </w:tabs>
            <w:rPr/>
          </w:pPr>
          <w:hyperlink w:anchor="__RefHeading___Toc4440393_211673320">
            <w:r>
              <w:rPr>
                <w:webHidden/>
                <w:rStyle w:val="IndexLink"/>
                <w:rtl w:val="true"/>
              </w:rPr>
              <w:t>الفرق بين الشيعة الإمامية والأشاعرة</w:t>
            </w:r>
            <w:r>
              <w:rPr>
                <w:rStyle w:val="IndexLink"/>
                <w:rtl w:val="true"/>
              </w:rPr>
              <w:t>:</w:t>
              <w:tab/>
            </w:r>
            <w:r>
              <w:rPr>
                <w:rStyle w:val="IndexLink"/>
              </w:rPr>
              <w:t>49</w:t>
            </w:r>
          </w:hyperlink>
        </w:p>
        <w:p>
          <w:pPr>
            <w:pStyle w:val="Contents4"/>
            <w:tabs>
              <w:tab w:val="clear" w:pos="8176"/>
              <w:tab w:val="right" w:pos="9026" w:leader="dot"/>
            </w:tabs>
            <w:rPr/>
          </w:pPr>
          <w:hyperlink w:anchor="__RefHeading___Toc4440395_211673320">
            <w:r>
              <w:rPr>
                <w:webHidden/>
                <w:rStyle w:val="IndexLink"/>
                <w:rtl w:val="true"/>
              </w:rPr>
              <w:t>الفرق بين الشيعة الإمامية وسائر الفرق</w:t>
            </w:r>
            <w:r>
              <w:rPr>
                <w:rStyle w:val="IndexLink"/>
                <w:rtl w:val="true"/>
              </w:rPr>
              <w:t>:</w:t>
              <w:tab/>
            </w:r>
            <w:r>
              <w:rPr>
                <w:rStyle w:val="IndexLink"/>
              </w:rPr>
              <w:t>53</w:t>
            </w:r>
          </w:hyperlink>
        </w:p>
        <w:p>
          <w:pPr>
            <w:pStyle w:val="Contents2"/>
            <w:tabs>
              <w:tab w:val="clear" w:pos="8743"/>
              <w:tab w:val="right" w:pos="9026" w:leader="dot"/>
            </w:tabs>
            <w:rPr/>
          </w:pPr>
          <w:hyperlink w:anchor="__RefHeading___Toc4440397_211673320">
            <w:r>
              <w:rPr>
                <w:webHidden/>
                <w:rStyle w:val="IndexLink"/>
                <w:rtl w:val="true"/>
              </w:rPr>
              <w:t>المسألة الا ولى</w:t>
            </w:r>
            <w:r>
              <w:rPr>
                <w:rStyle w:val="IndexLink"/>
                <w:rtl w:val="true"/>
              </w:rPr>
              <w:t xml:space="preserve">: </w:t>
            </w:r>
            <w:r>
              <w:rPr>
                <w:rStyle w:val="IndexLink"/>
                <w:rtl w:val="true"/>
              </w:rPr>
              <w:t>وجوب تنصيب الإمام على اللَّه سبحانه‌</w:t>
            </w:r>
            <w:r>
              <w:rPr>
                <w:rStyle w:val="IndexLink"/>
                <w:rtl w:val="true"/>
              </w:rPr>
              <w:tab/>
            </w:r>
            <w:r>
              <w:rPr>
                <w:rStyle w:val="IndexLink"/>
              </w:rPr>
              <w:t>54</w:t>
            </w:r>
          </w:hyperlink>
        </w:p>
        <w:p>
          <w:pPr>
            <w:pStyle w:val="Contents2"/>
            <w:tabs>
              <w:tab w:val="clear" w:pos="8743"/>
              <w:tab w:val="right" w:pos="9026" w:leader="dot"/>
            </w:tabs>
            <w:rPr/>
          </w:pPr>
          <w:hyperlink w:anchor="__RefHeading___Toc4440399_211673320">
            <w:r>
              <w:rPr>
                <w:webHidden/>
                <w:rStyle w:val="IndexLink"/>
                <w:rtl w:val="true"/>
              </w:rPr>
              <w:t>المسألة الثانية</w:t>
            </w:r>
            <w:r>
              <w:rPr>
                <w:rStyle w:val="IndexLink"/>
                <w:rtl w:val="true"/>
              </w:rPr>
              <w:t xml:space="preserve">: </w:t>
            </w:r>
            <w:r>
              <w:rPr>
                <w:rStyle w:val="IndexLink"/>
                <w:rtl w:val="true"/>
              </w:rPr>
              <w:t>عصمة الإمام‌</w:t>
            </w:r>
            <w:r>
              <w:rPr>
                <w:rStyle w:val="IndexLink"/>
                <w:rtl w:val="true"/>
              </w:rPr>
              <w:tab/>
            </w:r>
            <w:r>
              <w:rPr>
                <w:rStyle w:val="IndexLink"/>
              </w:rPr>
              <w:t>58</w:t>
            </w:r>
          </w:hyperlink>
        </w:p>
        <w:p>
          <w:pPr>
            <w:pStyle w:val="Contents3"/>
            <w:tabs>
              <w:tab w:val="clear" w:pos="8459"/>
              <w:tab w:val="right" w:pos="9026" w:leader="dot"/>
            </w:tabs>
            <w:rPr/>
          </w:pPr>
          <w:hyperlink w:anchor="__RefHeading___Toc4440401_211673320">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4440403_211673320">
            <w:r>
              <w:rPr>
                <w:webHidden/>
                <w:rStyle w:val="IndexLink"/>
                <w:rtl w:val="true"/>
              </w:rPr>
              <w:t>حقيقة العصمة</w:t>
            </w:r>
            <w:r>
              <w:rPr>
                <w:rStyle w:val="IndexLink"/>
                <w:rtl w:val="true"/>
              </w:rPr>
              <w:t>:</w:t>
              <w:tab/>
            </w:r>
            <w:r>
              <w:rPr>
                <w:rStyle w:val="IndexLink"/>
              </w:rPr>
              <w:t>58</w:t>
            </w:r>
          </w:hyperlink>
        </w:p>
        <w:p>
          <w:pPr>
            <w:pStyle w:val="Contents3"/>
            <w:tabs>
              <w:tab w:val="clear" w:pos="8459"/>
              <w:tab w:val="right" w:pos="9026" w:leader="dot"/>
            </w:tabs>
            <w:rPr/>
          </w:pPr>
          <w:hyperlink w:anchor="__RefHeading___Toc4440405_211673320">
            <w:r>
              <w:rPr>
                <w:webHidden/>
                <w:rStyle w:val="IndexLink"/>
                <w:rtl w:val="true"/>
              </w:rPr>
              <w:t>الدليل على لزوم عصمة الإمام بعد النبيّ صلَّى اللَّه عليه و آله و سلَّم</w:t>
            </w:r>
            <w:r>
              <w:rPr>
                <w:rStyle w:val="IndexLink"/>
                <w:rtl w:val="true"/>
              </w:rPr>
              <w:t>:</w:t>
              <w:tab/>
            </w:r>
            <w:r>
              <w:rPr>
                <w:rStyle w:val="IndexLink"/>
              </w:rPr>
              <w:t>61</w:t>
            </w:r>
          </w:hyperlink>
        </w:p>
        <w:p>
          <w:pPr>
            <w:pStyle w:val="Contents3"/>
            <w:tabs>
              <w:tab w:val="clear" w:pos="8459"/>
              <w:tab w:val="right" w:pos="9026" w:leader="dot"/>
            </w:tabs>
            <w:rPr/>
          </w:pPr>
          <w:hyperlink w:anchor="__RefHeading___Toc4440407_211673320">
            <w:r>
              <w:rPr>
                <w:webHidden/>
                <w:rStyle w:val="IndexLink"/>
                <w:rtl w:val="true"/>
              </w:rPr>
              <w:t>ما هو المراد من الظالم</w:t>
            </w:r>
            <w:r>
              <w:rPr>
                <w:rStyle w:val="IndexLink"/>
                <w:rtl w:val="true"/>
              </w:rPr>
              <w:t>:</w:t>
              <w:tab/>
            </w:r>
            <w:r>
              <w:rPr>
                <w:rStyle w:val="IndexLink"/>
              </w:rPr>
              <w:t>67</w:t>
            </w:r>
          </w:hyperlink>
        </w:p>
        <w:p>
          <w:pPr>
            <w:pStyle w:val="Contents3"/>
            <w:tabs>
              <w:tab w:val="clear" w:pos="8459"/>
              <w:tab w:val="right" w:pos="9026" w:leader="dot"/>
            </w:tabs>
            <w:rPr/>
          </w:pPr>
          <w:hyperlink w:anchor="__RefHeading___Toc4440409_211673320">
            <w:r>
              <w:rPr>
                <w:webHidden/>
                <w:rStyle w:val="IndexLink"/>
                <w:rtl w:val="true"/>
              </w:rPr>
              <w:t>العصمة في القول والرأي</w:t>
            </w:r>
            <w:r>
              <w:rPr>
                <w:rStyle w:val="IndexLink"/>
                <w:rtl w:val="true"/>
              </w:rPr>
              <w:t>:</w:t>
              <w:tab/>
            </w:r>
            <w:r>
              <w:rPr>
                <w:rStyle w:val="IndexLink"/>
              </w:rPr>
              <w:t>70</w:t>
            </w:r>
          </w:hyperlink>
        </w:p>
        <w:p>
          <w:pPr>
            <w:pStyle w:val="Contents2"/>
            <w:tabs>
              <w:tab w:val="clear" w:pos="8743"/>
              <w:tab w:val="right" w:pos="9026" w:leader="dot"/>
            </w:tabs>
            <w:rPr/>
          </w:pPr>
          <w:hyperlink w:anchor="__RefHeading___Toc4440411_211673320">
            <w:r>
              <w:rPr>
                <w:webHidden/>
                <w:rStyle w:val="IndexLink"/>
                <w:rtl w:val="true"/>
              </w:rPr>
              <w:t>المسألة الثالثة</w:t>
            </w:r>
            <w:r>
              <w:rPr>
                <w:rStyle w:val="IndexLink"/>
                <w:rtl w:val="true"/>
              </w:rPr>
              <w:t xml:space="preserve">: </w:t>
            </w:r>
            <w:r>
              <w:rPr>
                <w:rStyle w:val="IndexLink"/>
                <w:rtl w:val="true"/>
              </w:rPr>
              <w:t>الإمام المنتظر</w:t>
            </w:r>
            <w:r>
              <w:rPr>
                <w:rStyle w:val="IndexLink"/>
                <w:rtl w:val="true"/>
              </w:rPr>
              <w:tab/>
            </w:r>
            <w:r>
              <w:rPr>
                <w:rStyle w:val="IndexLink"/>
              </w:rPr>
              <w:t>72</w:t>
            </w:r>
          </w:hyperlink>
        </w:p>
        <w:p>
          <w:pPr>
            <w:pStyle w:val="Contents2"/>
            <w:tabs>
              <w:tab w:val="clear" w:pos="8743"/>
              <w:tab w:val="right" w:pos="9026" w:leader="dot"/>
            </w:tabs>
            <w:rPr/>
          </w:pPr>
          <w:hyperlink w:anchor="__RefHeading___Toc4440413_211673320">
            <w:r>
              <w:rPr>
                <w:webHidden/>
                <w:rStyle w:val="IndexLink"/>
                <w:rtl w:val="true"/>
              </w:rPr>
              <w:t>المسألة الرابعة</w:t>
            </w:r>
            <w:r>
              <w:rPr>
                <w:rStyle w:val="IndexLink"/>
                <w:rtl w:val="true"/>
              </w:rPr>
              <w:t xml:space="preserve">: </w:t>
            </w:r>
            <w:r>
              <w:rPr>
                <w:rStyle w:val="IndexLink"/>
                <w:rtl w:val="true"/>
              </w:rPr>
              <w:t>التقية</w:t>
            </w:r>
            <w:r>
              <w:rPr>
                <w:rStyle w:val="IndexLink"/>
                <w:rtl w:val="true"/>
              </w:rPr>
              <w:tab/>
            </w:r>
            <w:r>
              <w:rPr>
                <w:rStyle w:val="IndexLink"/>
              </w:rPr>
              <w:t>76</w:t>
            </w:r>
          </w:hyperlink>
        </w:p>
        <w:p>
          <w:pPr>
            <w:pStyle w:val="Contents3"/>
            <w:tabs>
              <w:tab w:val="clear" w:pos="8459"/>
              <w:tab w:val="right" w:pos="9026" w:leader="dot"/>
            </w:tabs>
            <w:rPr/>
          </w:pPr>
          <w:hyperlink w:anchor="__RefHeading___Toc4440415_211673320">
            <w:r>
              <w:rPr>
                <w:webHidden/>
                <w:rStyle w:val="IndexLink"/>
                <w:rtl w:val="true"/>
              </w:rPr>
              <w:t>مفهومها</w:t>
            </w:r>
            <w:r>
              <w:rPr>
                <w:rStyle w:val="IndexLink"/>
                <w:rtl w:val="true"/>
              </w:rPr>
              <w:tab/>
            </w:r>
            <w:r>
              <w:rPr>
                <w:rStyle w:val="IndexLink"/>
              </w:rPr>
              <w:t>76</w:t>
            </w:r>
          </w:hyperlink>
        </w:p>
        <w:p>
          <w:pPr>
            <w:pStyle w:val="Contents3"/>
            <w:tabs>
              <w:tab w:val="clear" w:pos="8459"/>
              <w:tab w:val="right" w:pos="9026" w:leader="dot"/>
            </w:tabs>
            <w:rPr/>
          </w:pPr>
          <w:hyperlink w:anchor="__RefHeading___Toc4440417_211673320">
            <w:r>
              <w:rPr>
                <w:webHidden/>
                <w:rStyle w:val="IndexLink"/>
                <w:rtl w:val="true"/>
              </w:rPr>
              <w:t>غايتها</w:t>
            </w:r>
            <w:r>
              <w:rPr>
                <w:rStyle w:val="IndexLink"/>
                <w:rtl w:val="true"/>
              </w:rPr>
              <w:t>:</w:t>
              <w:tab/>
            </w:r>
            <w:r>
              <w:rPr>
                <w:rStyle w:val="IndexLink"/>
              </w:rPr>
              <w:t>78</w:t>
            </w:r>
          </w:hyperlink>
        </w:p>
        <w:p>
          <w:pPr>
            <w:pStyle w:val="Contents3"/>
            <w:tabs>
              <w:tab w:val="clear" w:pos="8459"/>
              <w:tab w:val="right" w:pos="9026" w:leader="dot"/>
            </w:tabs>
            <w:rPr/>
          </w:pPr>
          <w:hyperlink w:anchor="__RefHeading___Toc4440419_211673320">
            <w:r>
              <w:rPr>
                <w:webHidden/>
                <w:rStyle w:val="IndexLink"/>
                <w:rtl w:val="true"/>
              </w:rPr>
              <w:t>دليلها في القرآن والسنّة</w:t>
            </w:r>
            <w:r>
              <w:rPr>
                <w:rStyle w:val="IndexLink"/>
                <w:rtl w:val="true"/>
              </w:rPr>
              <w:t>:</w:t>
              <w:tab/>
            </w:r>
            <w:r>
              <w:rPr>
                <w:rStyle w:val="IndexLink"/>
              </w:rPr>
              <w:t>80</w:t>
            </w:r>
          </w:hyperlink>
        </w:p>
        <w:p>
          <w:pPr>
            <w:pStyle w:val="Contents3"/>
            <w:tabs>
              <w:tab w:val="clear" w:pos="8459"/>
              <w:tab w:val="right" w:pos="9026" w:leader="dot"/>
            </w:tabs>
            <w:rPr/>
          </w:pPr>
          <w:hyperlink w:anchor="__RefHeading___Toc4440421_211673320">
            <w:r>
              <w:rPr>
                <w:webHidden/>
                <w:rStyle w:val="IndexLink"/>
                <w:rtl w:val="true"/>
              </w:rPr>
              <w:t>اتّقاء المسلم من المسلم في ظروف خاصة</w:t>
            </w:r>
            <w:r>
              <w:rPr>
                <w:rStyle w:val="IndexLink"/>
                <w:rtl w:val="true"/>
              </w:rPr>
              <w:t>:</w:t>
              <w:tab/>
            </w:r>
            <w:r>
              <w:rPr>
                <w:rStyle w:val="IndexLink"/>
              </w:rPr>
              <w:t>86</w:t>
            </w:r>
          </w:hyperlink>
        </w:p>
        <w:p>
          <w:pPr>
            <w:pStyle w:val="Contents3"/>
            <w:tabs>
              <w:tab w:val="clear" w:pos="8459"/>
              <w:tab w:val="right" w:pos="9026" w:leader="dot"/>
            </w:tabs>
            <w:rPr/>
          </w:pPr>
          <w:hyperlink w:anchor="__RefHeading___Toc4440423_211673320">
            <w:r>
              <w:rPr>
                <w:webHidden/>
                <w:rStyle w:val="IndexLink"/>
                <w:rtl w:val="true"/>
              </w:rPr>
              <w:t>الظروف العصيبة التي مرت بها الشيعة</w:t>
            </w:r>
            <w:r>
              <w:rPr>
                <w:rStyle w:val="IndexLink"/>
                <w:rtl w:val="true"/>
              </w:rPr>
              <w:t>:</w:t>
              <w:tab/>
            </w:r>
            <w:r>
              <w:rPr>
                <w:rStyle w:val="IndexLink"/>
              </w:rPr>
              <w:t>89</w:t>
            </w:r>
          </w:hyperlink>
        </w:p>
        <w:p>
          <w:pPr>
            <w:pStyle w:val="Contents3"/>
            <w:tabs>
              <w:tab w:val="clear" w:pos="8459"/>
              <w:tab w:val="right" w:pos="9026" w:leader="dot"/>
            </w:tabs>
            <w:rPr/>
          </w:pPr>
          <w:hyperlink w:anchor="__RefHeading___Toc4440425_211673320">
            <w:r>
              <w:rPr>
                <w:webHidden/>
                <w:rStyle w:val="IndexLink"/>
                <w:rtl w:val="true"/>
              </w:rPr>
              <w:t>بيان معاوية إلى عماله</w:t>
            </w:r>
            <w:r>
              <w:rPr>
                <w:rStyle w:val="IndexLink"/>
                <w:rtl w:val="true"/>
              </w:rPr>
              <w:t>:</w:t>
              <w:tab/>
            </w:r>
            <w:r>
              <w:rPr>
                <w:rStyle w:val="IndexLink"/>
              </w:rPr>
              <w:t>90</w:t>
            </w:r>
          </w:hyperlink>
        </w:p>
        <w:p>
          <w:pPr>
            <w:pStyle w:val="Contents3"/>
            <w:tabs>
              <w:tab w:val="clear" w:pos="8459"/>
              <w:tab w:val="right" w:pos="9026" w:leader="dot"/>
            </w:tabs>
            <w:rPr/>
          </w:pPr>
          <w:hyperlink w:anchor="__RefHeading___Toc4440427_211673320">
            <w:r>
              <w:rPr>
                <w:webHidden/>
                <w:rStyle w:val="IndexLink"/>
                <w:rtl w:val="true"/>
              </w:rPr>
              <w:t>حدّها</w:t>
            </w:r>
            <w:r>
              <w:rPr>
                <w:rStyle w:val="IndexLink"/>
                <w:rtl w:val="true"/>
              </w:rPr>
              <w:t>:</w:t>
              <w:tab/>
            </w:r>
            <w:r>
              <w:rPr>
                <w:rStyle w:val="IndexLink"/>
              </w:rPr>
              <w:t>95</w:t>
            </w:r>
          </w:hyperlink>
        </w:p>
        <w:p>
          <w:pPr>
            <w:pStyle w:val="Contents3"/>
            <w:tabs>
              <w:tab w:val="clear" w:pos="8459"/>
              <w:tab w:val="right" w:pos="9026" w:leader="dot"/>
            </w:tabs>
            <w:rPr/>
          </w:pPr>
          <w:hyperlink w:anchor="__RefHeading___Toc4440429_211673320">
            <w:r>
              <w:rPr>
                <w:webHidden/>
                <w:rStyle w:val="IndexLink"/>
                <w:rtl w:val="true"/>
              </w:rPr>
              <w:t>التقية المحرّمة</w:t>
            </w:r>
            <w:r>
              <w:rPr>
                <w:rStyle w:val="IndexLink"/>
                <w:rtl w:val="true"/>
              </w:rPr>
              <w:t>:</w:t>
              <w:tab/>
            </w:r>
            <w:r>
              <w:rPr>
                <w:rStyle w:val="IndexLink"/>
              </w:rPr>
              <w:t>97</w:t>
            </w:r>
          </w:hyperlink>
        </w:p>
        <w:p>
          <w:pPr>
            <w:pStyle w:val="Contents2"/>
            <w:tabs>
              <w:tab w:val="clear" w:pos="8743"/>
              <w:tab w:val="right" w:pos="9026" w:leader="dot"/>
            </w:tabs>
            <w:rPr/>
          </w:pPr>
          <w:hyperlink w:anchor="__RefHeading___Toc4440431_211673320">
            <w:r>
              <w:rPr>
                <w:webHidden/>
                <w:rStyle w:val="IndexLink"/>
                <w:rtl w:val="true"/>
              </w:rPr>
              <w:t>المسألة الخامسة</w:t>
            </w:r>
            <w:r>
              <w:rPr>
                <w:rStyle w:val="IndexLink"/>
                <w:rtl w:val="true"/>
              </w:rPr>
              <w:t xml:space="preserve">: </w:t>
            </w:r>
            <w:r>
              <w:rPr>
                <w:rStyle w:val="IndexLink"/>
                <w:rtl w:val="true"/>
              </w:rPr>
              <w:t>فى البداء</w:t>
            </w:r>
            <w:r>
              <w:rPr>
                <w:rStyle w:val="IndexLink"/>
                <w:rtl w:val="true"/>
              </w:rPr>
              <w:tab/>
            </w:r>
            <w:r>
              <w:rPr>
                <w:rStyle w:val="IndexLink"/>
              </w:rPr>
              <w:t>101</w:t>
            </w:r>
          </w:hyperlink>
        </w:p>
        <w:p>
          <w:pPr>
            <w:pStyle w:val="Contents3"/>
            <w:tabs>
              <w:tab w:val="clear" w:pos="8459"/>
              <w:tab w:val="right" w:pos="9026" w:leader="dot"/>
            </w:tabs>
            <w:rPr/>
          </w:pPr>
          <w:hyperlink w:anchor="__RefHeading___Toc4440433_211673320">
            <w:r>
              <w:rPr>
                <w:webHidden/>
                <w:rStyle w:val="IndexLink"/>
                <w:rtl w:val="true"/>
              </w:rPr>
              <w:t>اشارة</w:t>
            </w:r>
            <w:r>
              <w:rPr>
                <w:rStyle w:val="IndexLink"/>
                <w:rtl w:val="true"/>
              </w:rPr>
              <w:tab/>
            </w:r>
            <w:r>
              <w:rPr>
                <w:rStyle w:val="IndexLink"/>
              </w:rPr>
              <w:t>101</w:t>
            </w:r>
          </w:hyperlink>
        </w:p>
        <w:p>
          <w:pPr>
            <w:pStyle w:val="Contents3"/>
            <w:tabs>
              <w:tab w:val="clear" w:pos="8459"/>
              <w:tab w:val="right" w:pos="9026" w:leader="dot"/>
            </w:tabs>
            <w:rPr/>
          </w:pPr>
          <w:hyperlink w:anchor="__RefHeading___Toc4440435_211673320">
            <w:r>
              <w:rPr>
                <w:webHidden/>
                <w:rStyle w:val="IndexLink"/>
                <w:rtl w:val="true"/>
              </w:rPr>
              <w:t>ألف</w:t>
            </w:r>
            <w:r>
              <w:rPr>
                <w:rStyle w:val="IndexLink"/>
                <w:rtl w:val="true"/>
              </w:rPr>
              <w:t xml:space="preserve">- </w:t>
            </w:r>
            <w:r>
              <w:rPr>
                <w:rStyle w:val="IndexLink"/>
                <w:rtl w:val="true"/>
              </w:rPr>
              <w:t>الصدقة وأثرها في دفع البلاء</w:t>
            </w:r>
            <w:r>
              <w:rPr>
                <w:rStyle w:val="IndexLink"/>
                <w:rtl w:val="true"/>
              </w:rPr>
              <w:t>:</w:t>
              <w:tab/>
            </w:r>
            <w:r>
              <w:rPr>
                <w:rStyle w:val="IndexLink"/>
              </w:rPr>
              <w:t>108</w:t>
            </w:r>
          </w:hyperlink>
        </w:p>
        <w:p>
          <w:pPr>
            <w:pStyle w:val="Contents3"/>
            <w:tabs>
              <w:tab w:val="clear" w:pos="8459"/>
              <w:tab w:val="right" w:pos="9026" w:leader="dot"/>
            </w:tabs>
            <w:rPr/>
          </w:pPr>
          <w:hyperlink w:anchor="__RefHeading___Toc4440437_211673320">
            <w:r>
              <w:rPr>
                <w:webHidden/>
                <w:rStyle w:val="IndexLink"/>
                <w:rtl w:val="true"/>
              </w:rPr>
              <w:t>ج</w:t>
            </w:r>
            <w:r>
              <w:rPr>
                <w:rStyle w:val="IndexLink"/>
                <w:rtl w:val="true"/>
              </w:rPr>
              <w:t xml:space="preserve">- </w:t>
            </w:r>
            <w:r>
              <w:rPr>
                <w:rStyle w:val="IndexLink"/>
                <w:rtl w:val="true"/>
              </w:rPr>
              <w:t>الدعاء وآثاره</w:t>
            </w:r>
            <w:r>
              <w:rPr>
                <w:rStyle w:val="IndexLink"/>
                <w:rtl w:val="true"/>
              </w:rPr>
              <w:t>:</w:t>
              <w:tab/>
            </w:r>
            <w:r>
              <w:rPr>
                <w:rStyle w:val="IndexLink"/>
              </w:rPr>
              <w:t>109</w:t>
            </w:r>
          </w:hyperlink>
        </w:p>
        <w:p>
          <w:pPr>
            <w:pStyle w:val="Contents3"/>
            <w:tabs>
              <w:tab w:val="clear" w:pos="8459"/>
              <w:tab w:val="right" w:pos="9026" w:leader="dot"/>
            </w:tabs>
            <w:rPr/>
          </w:pPr>
          <w:hyperlink w:anchor="__RefHeading___Toc4440439_211673320">
            <w:r>
              <w:rPr>
                <w:webHidden/>
                <w:rStyle w:val="IndexLink"/>
                <w:rtl w:val="true"/>
              </w:rPr>
              <w:t>د</w:t>
            </w:r>
            <w:r>
              <w:rPr>
                <w:rStyle w:val="IndexLink"/>
                <w:rtl w:val="true"/>
              </w:rPr>
              <w:t xml:space="preserve">- </w:t>
            </w:r>
            <w:r>
              <w:rPr>
                <w:rStyle w:val="IndexLink"/>
                <w:rtl w:val="true"/>
              </w:rPr>
              <w:t>أثر صلة الرحم</w:t>
            </w:r>
            <w:r>
              <w:rPr>
                <w:rStyle w:val="IndexLink"/>
                <w:rtl w:val="true"/>
              </w:rPr>
              <w:t>:</w:t>
              <w:tab/>
            </w:r>
            <w:r>
              <w:rPr>
                <w:rStyle w:val="IndexLink"/>
              </w:rPr>
              <w:t>111</w:t>
            </w:r>
          </w:hyperlink>
        </w:p>
        <w:p>
          <w:pPr>
            <w:pStyle w:val="Contents3"/>
            <w:tabs>
              <w:tab w:val="clear" w:pos="8459"/>
              <w:tab w:val="right" w:pos="9026" w:leader="dot"/>
            </w:tabs>
            <w:rPr/>
          </w:pPr>
          <w:hyperlink w:anchor="__RefHeading___Toc4440441_211673320">
            <w:r>
              <w:rPr>
                <w:webHidden/>
                <w:rStyle w:val="IndexLink"/>
                <w:rtl w:val="true"/>
              </w:rPr>
              <w:t>البداء في مقام الثبوت‌</w:t>
            </w:r>
            <w:r>
              <w:rPr>
                <w:rStyle w:val="IndexLink"/>
                <w:rtl w:val="true"/>
              </w:rPr>
              <w:tab/>
            </w:r>
            <w:r>
              <w:rPr>
                <w:rStyle w:val="IndexLink"/>
              </w:rPr>
              <w:t>114</w:t>
            </w:r>
          </w:hyperlink>
        </w:p>
        <w:p>
          <w:pPr>
            <w:pStyle w:val="Contents3"/>
            <w:tabs>
              <w:tab w:val="clear" w:pos="8459"/>
              <w:tab w:val="right" w:pos="9026" w:leader="dot"/>
            </w:tabs>
            <w:rPr/>
          </w:pPr>
          <w:hyperlink w:anchor="__RefHeading___Toc4440443_211673320">
            <w:r>
              <w:rPr>
                <w:webHidden/>
                <w:rStyle w:val="IndexLink"/>
                <w:rtl w:val="true"/>
              </w:rPr>
              <w:t>البداء في الذكر الحكيم</w:t>
            </w:r>
            <w:r>
              <w:rPr>
                <w:rStyle w:val="IndexLink"/>
                <w:rtl w:val="true"/>
              </w:rPr>
              <w:t>:</w:t>
              <w:tab/>
            </w:r>
            <w:r>
              <w:rPr>
                <w:rStyle w:val="IndexLink"/>
              </w:rPr>
              <w:t>115</w:t>
            </w:r>
          </w:hyperlink>
        </w:p>
        <w:p>
          <w:pPr>
            <w:pStyle w:val="Contents3"/>
            <w:tabs>
              <w:tab w:val="clear" w:pos="8459"/>
              <w:tab w:val="right" w:pos="9026" w:leader="dot"/>
            </w:tabs>
            <w:rPr/>
          </w:pPr>
          <w:hyperlink w:anchor="__RefHeading___Toc4440445_211673320">
            <w:r>
              <w:rPr>
                <w:webHidden/>
                <w:rStyle w:val="IndexLink"/>
                <w:rtl w:val="true"/>
              </w:rPr>
              <w:t>الأثر التربوي للاعتقاد في البداء</w:t>
            </w:r>
            <w:r>
              <w:rPr>
                <w:rStyle w:val="IndexLink"/>
                <w:rtl w:val="true"/>
              </w:rPr>
              <w:t>:</w:t>
              <w:tab/>
            </w:r>
            <w:r>
              <w:rPr>
                <w:rStyle w:val="IndexLink"/>
              </w:rPr>
              <w:t>121</w:t>
            </w:r>
          </w:hyperlink>
        </w:p>
        <w:p>
          <w:pPr>
            <w:pStyle w:val="Contents3"/>
            <w:tabs>
              <w:tab w:val="clear" w:pos="8459"/>
              <w:tab w:val="right" w:pos="9026" w:leader="dot"/>
            </w:tabs>
            <w:rPr/>
          </w:pPr>
          <w:hyperlink w:anchor="__RefHeading___Toc4440447_211673320">
            <w:r>
              <w:rPr>
                <w:webHidden/>
                <w:rStyle w:val="IndexLink"/>
                <w:rtl w:val="true"/>
              </w:rPr>
              <w:t>البداء في مقام الإثبات</w:t>
            </w:r>
            <w:r>
              <w:rPr>
                <w:rStyle w:val="IndexLink"/>
                <w:rtl w:val="true"/>
              </w:rPr>
              <w:t>:</w:t>
              <w:tab/>
            </w:r>
            <w:r>
              <w:rPr>
                <w:rStyle w:val="IndexLink"/>
              </w:rPr>
              <w:t>123</w:t>
            </w:r>
          </w:hyperlink>
        </w:p>
        <w:p>
          <w:pPr>
            <w:pStyle w:val="Contents3"/>
            <w:tabs>
              <w:tab w:val="clear" w:pos="8459"/>
              <w:tab w:val="right" w:pos="9026" w:leader="dot"/>
            </w:tabs>
            <w:rPr/>
          </w:pPr>
          <w:hyperlink w:anchor="__RefHeading___Toc4440449_211673320">
            <w:r>
              <w:rPr>
                <w:webHidden/>
                <w:rStyle w:val="IndexLink"/>
                <w:rtl w:val="true"/>
              </w:rPr>
              <w:t>تلميحات للبداء في الذكر الحكيم</w:t>
            </w:r>
            <w:r>
              <w:rPr>
                <w:rStyle w:val="IndexLink"/>
                <w:rtl w:val="true"/>
              </w:rPr>
              <w:t>:</w:t>
              <w:tab/>
            </w:r>
            <w:r>
              <w:rPr>
                <w:rStyle w:val="IndexLink"/>
              </w:rPr>
              <w:t>125</w:t>
            </w:r>
          </w:hyperlink>
        </w:p>
        <w:p>
          <w:pPr>
            <w:pStyle w:val="Contents3"/>
            <w:tabs>
              <w:tab w:val="clear" w:pos="8459"/>
              <w:tab w:val="right" w:pos="9026" w:leader="dot"/>
            </w:tabs>
            <w:rPr/>
          </w:pPr>
          <w:hyperlink w:anchor="__RefHeading___Toc4440451_211673320">
            <w:r>
              <w:rPr>
                <w:webHidden/>
                <w:rStyle w:val="IndexLink"/>
                <w:rtl w:val="true"/>
              </w:rPr>
              <w:t>اكمال البحث يتوقّف على ذكر أُمور</w:t>
            </w:r>
            <w:r>
              <w:rPr>
                <w:rStyle w:val="IndexLink"/>
                <w:rtl w:val="true"/>
              </w:rPr>
              <w:t xml:space="preserve">: </w:t>
            </w:r>
            <w:r>
              <w:rPr>
                <w:rStyle w:val="IndexLink"/>
                <w:rtl w:val="true"/>
              </w:rPr>
              <w:t>الأمر الأوّل</w:t>
            </w:r>
            <w:r>
              <w:rPr>
                <w:rStyle w:val="IndexLink"/>
                <w:rtl w:val="true"/>
              </w:rPr>
              <w:t>:</w:t>
              <w:tab/>
            </w:r>
            <w:r>
              <w:rPr>
                <w:rStyle w:val="IndexLink"/>
              </w:rPr>
              <w:t>130</w:t>
            </w:r>
          </w:hyperlink>
        </w:p>
        <w:p>
          <w:pPr>
            <w:pStyle w:val="Contents3"/>
            <w:tabs>
              <w:tab w:val="clear" w:pos="8459"/>
              <w:tab w:val="right" w:pos="9026" w:leader="dot"/>
            </w:tabs>
            <w:rPr/>
          </w:pPr>
          <w:hyperlink w:anchor="__RefHeading___Toc4440453_211673320">
            <w:r>
              <w:rPr>
                <w:webHidden/>
                <w:rStyle w:val="IndexLink"/>
                <w:rtl w:val="true"/>
              </w:rPr>
              <w:t>الأمر الثاني</w:t>
            </w:r>
            <w:r>
              <w:rPr>
                <w:rStyle w:val="IndexLink"/>
                <w:rtl w:val="true"/>
              </w:rPr>
              <w:t>:</w:t>
              <w:tab/>
            </w:r>
            <w:r>
              <w:rPr>
                <w:rStyle w:val="IndexLink"/>
              </w:rPr>
              <w:t>131</w:t>
            </w:r>
          </w:hyperlink>
        </w:p>
        <w:p>
          <w:pPr>
            <w:pStyle w:val="Contents3"/>
            <w:tabs>
              <w:tab w:val="clear" w:pos="8459"/>
              <w:tab w:val="right" w:pos="9026" w:leader="dot"/>
            </w:tabs>
            <w:rPr/>
          </w:pPr>
          <w:hyperlink w:anchor="__RefHeading___Toc4440455_211673320">
            <w:r>
              <w:rPr>
                <w:webHidden/>
                <w:rStyle w:val="IndexLink"/>
                <w:rtl w:val="true"/>
              </w:rPr>
              <w:t>الأمر الثالث</w:t>
            </w:r>
            <w:r>
              <w:rPr>
                <w:rStyle w:val="IndexLink"/>
                <w:rtl w:val="true"/>
              </w:rPr>
              <w:t>:</w:t>
              <w:tab/>
            </w:r>
            <w:r>
              <w:rPr>
                <w:rStyle w:val="IndexLink"/>
              </w:rPr>
              <w:t>132</w:t>
            </w:r>
          </w:hyperlink>
        </w:p>
        <w:p>
          <w:pPr>
            <w:pStyle w:val="Contents2"/>
            <w:tabs>
              <w:tab w:val="clear" w:pos="8743"/>
              <w:tab w:val="right" w:pos="9026" w:leader="dot"/>
            </w:tabs>
            <w:rPr/>
          </w:pPr>
          <w:hyperlink w:anchor="__RefHeading___Toc4440457_211673320">
            <w:r>
              <w:rPr>
                <w:webHidden/>
                <w:rStyle w:val="IndexLink"/>
                <w:rtl w:val="true"/>
              </w:rPr>
              <w:t>المسألة السادسة</w:t>
            </w:r>
            <w:r>
              <w:rPr>
                <w:rStyle w:val="IndexLink"/>
                <w:rtl w:val="true"/>
              </w:rPr>
              <w:t xml:space="preserve">: </w:t>
            </w:r>
            <w:r>
              <w:rPr>
                <w:rStyle w:val="IndexLink"/>
                <w:rtl w:val="true"/>
              </w:rPr>
              <w:t>الرجعة في الكتاب والسنّة</w:t>
            </w:r>
            <w:r>
              <w:rPr>
                <w:rStyle w:val="IndexLink"/>
                <w:rtl w:val="true"/>
              </w:rPr>
              <w:tab/>
            </w:r>
            <w:r>
              <w:rPr>
                <w:rStyle w:val="IndexLink"/>
              </w:rPr>
              <w:t>134</w:t>
            </w:r>
          </w:hyperlink>
        </w:p>
        <w:p>
          <w:pPr>
            <w:pStyle w:val="Contents3"/>
            <w:tabs>
              <w:tab w:val="clear" w:pos="8459"/>
              <w:tab w:val="right" w:pos="9026" w:leader="dot"/>
            </w:tabs>
            <w:rPr/>
          </w:pPr>
          <w:hyperlink w:anchor="__RefHeading___Toc4440459_211673320">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4440461_211673320">
            <w:r>
              <w:rPr>
                <w:webHidden/>
                <w:rStyle w:val="IndexLink"/>
                <w:rtl w:val="true"/>
              </w:rPr>
              <w:t>ملاحظات جديرة بالانتباه</w:t>
            </w:r>
            <w:r>
              <w:rPr>
                <w:rStyle w:val="IndexLink"/>
                <w:rtl w:val="true"/>
              </w:rPr>
              <w:t>:</w:t>
              <w:tab/>
            </w:r>
            <w:r>
              <w:rPr>
                <w:rStyle w:val="IndexLink"/>
              </w:rPr>
              <w:t>138</w:t>
            </w:r>
          </w:hyperlink>
        </w:p>
        <w:p>
          <w:pPr>
            <w:pStyle w:val="Contents2"/>
            <w:tabs>
              <w:tab w:val="clear" w:pos="8743"/>
              <w:tab w:val="right" w:pos="9026" w:leader="dot"/>
            </w:tabs>
            <w:rPr/>
          </w:pPr>
          <w:hyperlink w:anchor="__RefHeading___Toc4440463_211673320">
            <w:r>
              <w:rPr>
                <w:webHidden/>
                <w:rStyle w:val="IndexLink"/>
                <w:rtl w:val="true"/>
              </w:rPr>
              <w:t>المسألة السابعة</w:t>
            </w:r>
            <w:r>
              <w:rPr>
                <w:rStyle w:val="IndexLink"/>
                <w:rtl w:val="true"/>
              </w:rPr>
              <w:t xml:space="preserve">: </w:t>
            </w:r>
            <w:r>
              <w:rPr>
                <w:rStyle w:val="IndexLink"/>
                <w:rtl w:val="true"/>
              </w:rPr>
              <w:t>زواج المتعة</w:t>
            </w:r>
            <w:r>
              <w:rPr>
                <w:rStyle w:val="IndexLink"/>
                <w:rtl w:val="true"/>
              </w:rPr>
              <w:tab/>
            </w:r>
            <w:r>
              <w:rPr>
                <w:rStyle w:val="IndexLink"/>
              </w:rPr>
              <w:t>140</w:t>
            </w:r>
          </w:hyperlink>
        </w:p>
        <w:p>
          <w:pPr>
            <w:pStyle w:val="Contents3"/>
            <w:tabs>
              <w:tab w:val="clear" w:pos="8459"/>
              <w:tab w:val="right" w:pos="9026" w:leader="dot"/>
            </w:tabs>
            <w:rPr/>
          </w:pPr>
          <w:hyperlink w:anchor="__RefHeading___Toc4440465_211673320">
            <w:r>
              <w:rPr>
                <w:webHidden/>
                <w:rStyle w:val="IndexLink"/>
                <w:rtl w:val="true"/>
              </w:rPr>
              <w:t>اشارة</w:t>
            </w:r>
            <w:r>
              <w:rPr>
                <w:rStyle w:val="IndexLink"/>
                <w:rtl w:val="true"/>
              </w:rPr>
              <w:tab/>
            </w:r>
            <w:r>
              <w:rPr>
                <w:rStyle w:val="IndexLink"/>
              </w:rPr>
              <w:t>140</w:t>
            </w:r>
          </w:hyperlink>
        </w:p>
        <w:p>
          <w:pPr>
            <w:pStyle w:val="Contents3"/>
            <w:tabs>
              <w:tab w:val="clear" w:pos="8459"/>
              <w:tab w:val="right" w:pos="9026" w:leader="dot"/>
            </w:tabs>
            <w:rPr/>
          </w:pPr>
          <w:hyperlink w:anchor="__RefHeading___Toc4440467_211673320">
            <w:r>
              <w:rPr>
                <w:webHidden/>
                <w:rStyle w:val="IndexLink"/>
                <w:rtl w:val="true"/>
              </w:rPr>
              <w:t>والآية ناظرة إلى نكاح المتعة وذلك لوجوه</w:t>
            </w:r>
            <w:r>
              <w:rPr>
                <w:rStyle w:val="IndexLink"/>
                <w:rtl w:val="true"/>
              </w:rPr>
              <w:t>:</w:t>
              <w:tab/>
            </w:r>
            <w:r>
              <w:rPr>
                <w:rStyle w:val="IndexLink"/>
              </w:rPr>
              <w:t>141</w:t>
            </w:r>
          </w:hyperlink>
        </w:p>
        <w:p>
          <w:pPr>
            <w:pStyle w:val="Contents4"/>
            <w:tabs>
              <w:tab w:val="clear" w:pos="8176"/>
              <w:tab w:val="right" w:pos="9026" w:leader="dot"/>
            </w:tabs>
            <w:rPr/>
          </w:pPr>
          <w:hyperlink w:anchor="__RefHeading___Toc4440469_211673320">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4440471_211673320">
            <w:r>
              <w:rPr>
                <w:webHidden/>
                <w:rStyle w:val="IndexLink"/>
              </w:rPr>
              <w:t>1</w:t>
            </w:r>
            <w:r>
              <w:rPr>
                <w:rStyle w:val="IndexLink"/>
                <w:rtl w:val="true"/>
              </w:rPr>
              <w:t xml:space="preserve">- </w:t>
            </w:r>
            <w:r>
              <w:rPr>
                <w:rStyle w:val="IndexLink"/>
                <w:rtl w:val="true"/>
              </w:rPr>
              <w:t>الحمل على النكاح الدائم يستلزم التكرار بلا وجه</w:t>
            </w:r>
            <w:r>
              <w:rPr>
                <w:rStyle w:val="IndexLink"/>
                <w:rtl w:val="true"/>
              </w:rPr>
              <w:t>:</w:t>
              <w:tab/>
            </w:r>
            <w:r>
              <w:rPr>
                <w:rStyle w:val="IndexLink"/>
              </w:rPr>
              <w:t>143</w:t>
            </w:r>
          </w:hyperlink>
        </w:p>
        <w:p>
          <w:pPr>
            <w:pStyle w:val="Contents4"/>
            <w:tabs>
              <w:tab w:val="clear" w:pos="8176"/>
              <w:tab w:val="right" w:pos="9026" w:leader="dot"/>
            </w:tabs>
            <w:rPr/>
          </w:pPr>
          <w:hyperlink w:anchor="__RefHeading___Toc4440473_211673320">
            <w:r>
              <w:rPr>
                <w:webHidden/>
                <w:rStyle w:val="IndexLink"/>
              </w:rPr>
              <w:t>2</w:t>
            </w:r>
            <w:r>
              <w:rPr>
                <w:rStyle w:val="IndexLink"/>
                <w:rtl w:val="true"/>
              </w:rPr>
              <w:t xml:space="preserve">- </w:t>
            </w:r>
            <w:r>
              <w:rPr>
                <w:rStyle w:val="IndexLink"/>
                <w:rtl w:val="true"/>
              </w:rPr>
              <w:t>تعليق دفع الأُجرة على الاستمتاع</w:t>
            </w:r>
            <w:r>
              <w:rPr>
                <w:rStyle w:val="IndexLink"/>
                <w:rtl w:val="true"/>
              </w:rPr>
              <w:t>:</w:t>
              <w:tab/>
            </w:r>
            <w:r>
              <w:rPr>
                <w:rStyle w:val="IndexLink"/>
              </w:rPr>
              <w:t>144</w:t>
            </w:r>
          </w:hyperlink>
        </w:p>
        <w:p>
          <w:pPr>
            <w:pStyle w:val="Contents4"/>
            <w:tabs>
              <w:tab w:val="clear" w:pos="8176"/>
              <w:tab w:val="right" w:pos="9026" w:leader="dot"/>
            </w:tabs>
            <w:rPr/>
          </w:pPr>
          <w:hyperlink w:anchor="__RefHeading___Toc4440475_211673320">
            <w:r>
              <w:rPr>
                <w:webHidden/>
                <w:rStyle w:val="IndexLink"/>
              </w:rPr>
              <w:t>3</w:t>
            </w:r>
            <w:r>
              <w:rPr>
                <w:rStyle w:val="IndexLink"/>
                <w:rtl w:val="true"/>
              </w:rPr>
              <w:t xml:space="preserve">- </w:t>
            </w:r>
            <w:r>
              <w:rPr>
                <w:rStyle w:val="IndexLink"/>
                <w:rtl w:val="true"/>
              </w:rPr>
              <w:t>تصريح جماعة من الصحابة على شأن نزولها</w:t>
            </w:r>
            <w:r>
              <w:rPr>
                <w:rStyle w:val="IndexLink"/>
                <w:rtl w:val="true"/>
              </w:rPr>
              <w:t>:</w:t>
              <w:tab/>
            </w:r>
            <w:r>
              <w:rPr>
                <w:rStyle w:val="IndexLink"/>
              </w:rPr>
              <w:t>144</w:t>
            </w:r>
          </w:hyperlink>
        </w:p>
        <w:p>
          <w:pPr>
            <w:pStyle w:val="Contents3"/>
            <w:tabs>
              <w:tab w:val="clear" w:pos="8459"/>
              <w:tab w:val="right" w:pos="9026" w:leader="dot"/>
            </w:tabs>
            <w:rPr/>
          </w:pPr>
          <w:hyperlink w:anchor="__RefHeading___Toc4440477_211673320">
            <w:r>
              <w:rPr>
                <w:webHidden/>
                <w:rStyle w:val="IndexLink"/>
                <w:rtl w:val="true"/>
              </w:rPr>
              <w:t>شبهات ضعيفة لا تصمد أمام النقاش نجملها بما يلي</w:t>
            </w:r>
            <w:r>
              <w:rPr>
                <w:rStyle w:val="IndexLink"/>
                <w:rtl w:val="true"/>
              </w:rPr>
              <w:t>:</w:t>
              <w:tab/>
            </w:r>
            <w:r>
              <w:rPr>
                <w:rStyle w:val="IndexLink"/>
              </w:rPr>
              <w:t>146</w:t>
            </w:r>
          </w:hyperlink>
        </w:p>
        <w:p>
          <w:pPr>
            <w:pStyle w:val="Contents3"/>
            <w:tabs>
              <w:tab w:val="clear" w:pos="8459"/>
              <w:tab w:val="right" w:pos="9026" w:leader="dot"/>
            </w:tabs>
            <w:rPr/>
          </w:pPr>
          <w:hyperlink w:anchor="__RefHeading___Toc4440479_211673320">
            <w:r>
              <w:rPr>
                <w:webHidden/>
                <w:rStyle w:val="IndexLink"/>
                <w:rtl w:val="true"/>
              </w:rPr>
              <w:t>المنكرون للتحريم</w:t>
            </w:r>
            <w:r>
              <w:rPr>
                <w:rStyle w:val="IndexLink"/>
                <w:rtl w:val="true"/>
              </w:rPr>
              <w:t>:</w:t>
              <w:tab/>
            </w:r>
            <w:r>
              <w:rPr>
                <w:rStyle w:val="IndexLink"/>
              </w:rPr>
              <w:t>151</w:t>
            </w:r>
          </w:hyperlink>
        </w:p>
        <w:p>
          <w:pPr>
            <w:pStyle w:val="Contents3"/>
            <w:tabs>
              <w:tab w:val="clear" w:pos="8459"/>
              <w:tab w:val="right" w:pos="9026" w:leader="dot"/>
            </w:tabs>
            <w:rPr/>
          </w:pPr>
          <w:hyperlink w:anchor="__RefHeading___Toc4440481_211673320">
            <w:r>
              <w:rPr>
                <w:webHidden/>
                <w:rStyle w:val="IndexLink"/>
                <w:rtl w:val="true"/>
              </w:rPr>
              <w:t>كبرت كلمة تخرج من أفواههم</w:t>
            </w:r>
            <w:r>
              <w:rPr>
                <w:rStyle w:val="IndexLink"/>
                <w:rtl w:val="true"/>
              </w:rPr>
              <w:t>:</w:t>
              <w:tab/>
            </w:r>
            <w:r>
              <w:rPr>
                <w:rStyle w:val="IndexLink"/>
              </w:rPr>
              <w:t>154</w:t>
            </w:r>
          </w:hyperlink>
        </w:p>
        <w:p>
          <w:pPr>
            <w:pStyle w:val="Contents2"/>
            <w:tabs>
              <w:tab w:val="clear" w:pos="8743"/>
              <w:tab w:val="right" w:pos="9026" w:leader="dot"/>
            </w:tabs>
            <w:rPr/>
          </w:pPr>
          <w:hyperlink w:anchor="__RefHeading___Toc4440483_211673320">
            <w:r>
              <w:rPr>
                <w:webHidden/>
                <w:rStyle w:val="IndexLink"/>
                <w:rtl w:val="true"/>
              </w:rPr>
              <w:t>المسألة الثامنة</w:t>
            </w:r>
            <w:r>
              <w:rPr>
                <w:rStyle w:val="IndexLink"/>
                <w:rtl w:val="true"/>
              </w:rPr>
              <w:t xml:space="preserve">: </w:t>
            </w:r>
            <w:r>
              <w:rPr>
                <w:rStyle w:val="IndexLink"/>
                <w:rtl w:val="true"/>
              </w:rPr>
              <w:t>مسح الأرجل في الوضوء</w:t>
            </w:r>
            <w:r>
              <w:rPr>
                <w:rStyle w:val="IndexLink"/>
                <w:rtl w:val="true"/>
              </w:rPr>
              <w:tab/>
            </w:r>
            <w:r>
              <w:rPr>
                <w:rStyle w:val="IndexLink"/>
              </w:rPr>
              <w:t>156</w:t>
            </w:r>
          </w:hyperlink>
        </w:p>
        <w:p>
          <w:pPr>
            <w:pStyle w:val="Contents2"/>
            <w:tabs>
              <w:tab w:val="clear" w:pos="8743"/>
              <w:tab w:val="right" w:pos="9026" w:leader="dot"/>
            </w:tabs>
            <w:rPr/>
          </w:pPr>
          <w:hyperlink w:anchor="__RefHeading___Toc4440485_211673320">
            <w:r>
              <w:rPr>
                <w:webHidden/>
                <w:rStyle w:val="IndexLink"/>
                <w:rtl w:val="true"/>
              </w:rPr>
              <w:t>المسألة التاسعة</w:t>
            </w:r>
            <w:r>
              <w:rPr>
                <w:rStyle w:val="IndexLink"/>
                <w:rtl w:val="true"/>
              </w:rPr>
              <w:t xml:space="preserve">: </w:t>
            </w:r>
            <w:r>
              <w:rPr>
                <w:rStyle w:val="IndexLink"/>
                <w:rtl w:val="true"/>
              </w:rPr>
              <w:t>الشيعة الإمامية و الصحابة</w:t>
            </w:r>
            <w:r>
              <w:rPr>
                <w:rStyle w:val="IndexLink"/>
                <w:rtl w:val="true"/>
              </w:rPr>
              <w:tab/>
            </w:r>
            <w:r>
              <w:rPr>
                <w:rStyle w:val="IndexLink"/>
              </w:rPr>
              <w:t>166</w:t>
            </w:r>
          </w:hyperlink>
        </w:p>
        <w:p>
          <w:pPr>
            <w:pStyle w:val="Contents3"/>
            <w:tabs>
              <w:tab w:val="clear" w:pos="8459"/>
              <w:tab w:val="right" w:pos="9026" w:leader="dot"/>
            </w:tabs>
            <w:rPr/>
          </w:pPr>
          <w:hyperlink w:anchor="__RefHeading___Toc4440487_211673320">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4440489_211673320">
            <w:r>
              <w:rPr>
                <w:webHidden/>
                <w:rStyle w:val="IndexLink"/>
                <w:rtl w:val="true"/>
              </w:rPr>
              <w:t>الصحابة في القرآن الكريم</w:t>
            </w:r>
            <w:r>
              <w:rPr>
                <w:rStyle w:val="IndexLink"/>
                <w:rtl w:val="true"/>
              </w:rPr>
              <w:t>:</w:t>
              <w:tab/>
            </w:r>
            <w:r>
              <w:rPr>
                <w:rStyle w:val="IndexLink"/>
              </w:rPr>
              <w:t>172</w:t>
            </w:r>
          </w:hyperlink>
        </w:p>
        <w:p>
          <w:pPr>
            <w:pStyle w:val="Contents3"/>
            <w:tabs>
              <w:tab w:val="clear" w:pos="8459"/>
              <w:tab w:val="right" w:pos="9026" w:leader="dot"/>
            </w:tabs>
            <w:rPr/>
          </w:pPr>
          <w:hyperlink w:anchor="__RefHeading___Toc4440491_211673320">
            <w:r>
              <w:rPr>
                <w:webHidden/>
                <w:rStyle w:val="IndexLink"/>
                <w:rtl w:val="true"/>
              </w:rPr>
              <w:t>الردّة بعد وفاة الرسول صلَّى اللَّه عليه و آله و سلَّم</w:t>
            </w:r>
            <w:r>
              <w:rPr>
                <w:rStyle w:val="IndexLink"/>
                <w:rtl w:val="true"/>
              </w:rPr>
              <w:t>:</w:t>
              <w:tab/>
            </w:r>
            <w:r>
              <w:rPr>
                <w:rStyle w:val="IndexLink"/>
              </w:rPr>
              <w:t>176</w:t>
            </w:r>
          </w:hyperlink>
        </w:p>
        <w:p>
          <w:pPr>
            <w:pStyle w:val="Contents2"/>
            <w:tabs>
              <w:tab w:val="clear" w:pos="8743"/>
              <w:tab w:val="right" w:pos="9026" w:leader="dot"/>
            </w:tabs>
            <w:rPr/>
          </w:pPr>
          <w:hyperlink w:anchor="__RefHeading___Toc4440493_211673320">
            <w:r>
              <w:rPr>
                <w:webHidden/>
                <w:rStyle w:val="IndexLink"/>
                <w:rtl w:val="true"/>
              </w:rPr>
              <w:t>المسألة العاشرة</w:t>
            </w:r>
            <w:r>
              <w:rPr>
                <w:rStyle w:val="IndexLink"/>
                <w:rtl w:val="true"/>
              </w:rPr>
              <w:t xml:space="preserve">: </w:t>
            </w:r>
            <w:r>
              <w:rPr>
                <w:rStyle w:val="IndexLink"/>
                <w:rtl w:val="true"/>
              </w:rPr>
              <w:t>السجود على الأرض‌</w:t>
            </w:r>
            <w:r>
              <w:rPr>
                <w:rStyle w:val="IndexLink"/>
                <w:rtl w:val="true"/>
              </w:rPr>
              <w:tab/>
            </w:r>
            <w:r>
              <w:rPr>
                <w:rStyle w:val="IndexLink"/>
              </w:rPr>
              <w:t>186</w:t>
            </w:r>
          </w:hyperlink>
        </w:p>
        <w:p>
          <w:pPr>
            <w:pStyle w:val="Contents3"/>
            <w:tabs>
              <w:tab w:val="clear" w:pos="8459"/>
              <w:tab w:val="right" w:pos="9026" w:leader="dot"/>
            </w:tabs>
            <w:rPr/>
          </w:pPr>
          <w:hyperlink w:anchor="__RefHeading___Toc4440495_211673320">
            <w:r>
              <w:rPr>
                <w:webHidden/>
                <w:rStyle w:val="IndexLink"/>
                <w:rtl w:val="true"/>
              </w:rPr>
              <w:t>اشارة</w:t>
            </w:r>
            <w:r>
              <w:rPr>
                <w:rStyle w:val="IndexLink"/>
                <w:rtl w:val="true"/>
              </w:rPr>
              <w:tab/>
            </w:r>
            <w:r>
              <w:rPr>
                <w:rStyle w:val="IndexLink"/>
              </w:rPr>
              <w:t>186</w:t>
            </w:r>
          </w:hyperlink>
        </w:p>
        <w:p>
          <w:pPr>
            <w:pStyle w:val="Contents3"/>
            <w:tabs>
              <w:tab w:val="clear" w:pos="8459"/>
              <w:tab w:val="right" w:pos="9026" w:leader="dot"/>
            </w:tabs>
            <w:rPr/>
          </w:pPr>
          <w:hyperlink w:anchor="__RefHeading___Toc4440497_211673320">
            <w:r>
              <w:rPr>
                <w:webHidden/>
                <w:rStyle w:val="IndexLink"/>
              </w:rPr>
              <w:t>1</w:t>
            </w:r>
            <w:r>
              <w:rPr>
                <w:rStyle w:val="IndexLink"/>
                <w:rtl w:val="true"/>
              </w:rPr>
              <w:t xml:space="preserve">- </w:t>
            </w:r>
            <w:r>
              <w:rPr>
                <w:rStyle w:val="IndexLink"/>
                <w:rtl w:val="true"/>
              </w:rPr>
              <w:t>اختلاف الفقهاء في شرائط المسجود عليه</w:t>
            </w:r>
            <w:r>
              <w:rPr>
                <w:rStyle w:val="IndexLink"/>
                <w:rtl w:val="true"/>
              </w:rPr>
              <w:t>:</w:t>
              <w:tab/>
            </w:r>
            <w:r>
              <w:rPr>
                <w:rStyle w:val="IndexLink"/>
              </w:rPr>
              <w:t>187</w:t>
            </w:r>
          </w:hyperlink>
        </w:p>
        <w:p>
          <w:pPr>
            <w:pStyle w:val="Contents3"/>
            <w:tabs>
              <w:tab w:val="clear" w:pos="8459"/>
              <w:tab w:val="right" w:pos="9026" w:leader="dot"/>
            </w:tabs>
            <w:rPr/>
          </w:pPr>
          <w:hyperlink w:anchor="__RefHeading___Toc4440499_211673320">
            <w:r>
              <w:rPr>
                <w:webHidden/>
                <w:rStyle w:val="IndexLink"/>
              </w:rPr>
              <w:t>2</w:t>
            </w:r>
            <w:r>
              <w:rPr>
                <w:rStyle w:val="IndexLink"/>
                <w:rtl w:val="true"/>
              </w:rPr>
              <w:t xml:space="preserve">- </w:t>
            </w:r>
            <w:r>
              <w:rPr>
                <w:rStyle w:val="IndexLink"/>
                <w:rtl w:val="true"/>
              </w:rPr>
              <w:t>الفرق بين المسجود له والمسجود عليه</w:t>
            </w:r>
            <w:r>
              <w:rPr>
                <w:rStyle w:val="IndexLink"/>
                <w:rtl w:val="true"/>
              </w:rPr>
              <w:t>:</w:t>
              <w:tab/>
            </w:r>
            <w:r>
              <w:rPr>
                <w:rStyle w:val="IndexLink"/>
              </w:rPr>
              <w:t>189</w:t>
            </w:r>
          </w:hyperlink>
        </w:p>
        <w:p>
          <w:pPr>
            <w:pStyle w:val="Contents3"/>
            <w:tabs>
              <w:tab w:val="clear" w:pos="8459"/>
              <w:tab w:val="right" w:pos="9026" w:leader="dot"/>
            </w:tabs>
            <w:rPr/>
          </w:pPr>
          <w:hyperlink w:anchor="__RefHeading___Toc4440501_211673320">
            <w:r>
              <w:rPr>
                <w:webHidden/>
                <w:rStyle w:val="IndexLink"/>
              </w:rPr>
              <w:t>3</w:t>
            </w:r>
            <w:r>
              <w:rPr>
                <w:rStyle w:val="IndexLink"/>
                <w:rtl w:val="true"/>
              </w:rPr>
              <w:t xml:space="preserve">- </w:t>
            </w:r>
            <w:r>
              <w:rPr>
                <w:rStyle w:val="IndexLink"/>
                <w:rtl w:val="true"/>
              </w:rPr>
              <w:t xml:space="preserve">السنّة في السجود في عصر الرسول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وبعده</w:t>
            </w:r>
            <w:r>
              <w:rPr>
                <w:rStyle w:val="IndexLink"/>
                <w:rtl w:val="true"/>
              </w:rPr>
              <w:t>:</w:t>
              <w:tab/>
            </w:r>
            <w:r>
              <w:rPr>
                <w:rStyle w:val="IndexLink"/>
              </w:rPr>
              <w:t>190</w:t>
            </w:r>
          </w:hyperlink>
        </w:p>
        <w:p>
          <w:pPr>
            <w:pStyle w:val="Contents3"/>
            <w:tabs>
              <w:tab w:val="clear" w:pos="8459"/>
              <w:tab w:val="right" w:pos="9026" w:leader="dot"/>
            </w:tabs>
            <w:rPr/>
          </w:pPr>
          <w:hyperlink w:anchor="__RefHeading___Toc4440503_211673320">
            <w:r>
              <w:rPr>
                <w:webHidden/>
                <w:rStyle w:val="IndexLink"/>
                <w:rtl w:val="true"/>
              </w:rPr>
              <w:t>المرحلة الأُولى</w:t>
            </w:r>
            <w:r>
              <w:rPr>
                <w:rStyle w:val="IndexLink"/>
                <w:rtl w:val="true"/>
              </w:rPr>
              <w:t xml:space="preserve">: </w:t>
            </w:r>
            <w:r>
              <w:rPr>
                <w:rStyle w:val="IndexLink"/>
                <w:rtl w:val="true"/>
              </w:rPr>
              <w:t>السجود على الأرض</w:t>
            </w:r>
            <w:r>
              <w:rPr>
                <w:rStyle w:val="IndexLink"/>
                <w:rtl w:val="true"/>
              </w:rPr>
              <w:t>:</w:t>
              <w:tab/>
            </w:r>
            <w:r>
              <w:rPr>
                <w:rStyle w:val="IndexLink"/>
              </w:rPr>
              <w:t>191</w:t>
            </w:r>
          </w:hyperlink>
        </w:p>
        <w:p>
          <w:pPr>
            <w:pStyle w:val="Contents4"/>
            <w:tabs>
              <w:tab w:val="clear" w:pos="8176"/>
              <w:tab w:val="right" w:pos="9026" w:leader="dot"/>
            </w:tabs>
            <w:rPr/>
          </w:pPr>
          <w:hyperlink w:anchor="__RefHeading___Toc4440505_211673320">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4440507_211673320">
            <w:r>
              <w:rPr>
                <w:webHidden/>
                <w:rStyle w:val="IndexLink"/>
                <w:rtl w:val="true"/>
              </w:rPr>
              <w:t>تبريد الحصى للسجود عليها</w:t>
            </w:r>
            <w:r>
              <w:rPr>
                <w:rStyle w:val="IndexLink"/>
                <w:rtl w:val="true"/>
              </w:rPr>
              <w:t>:</w:t>
              <w:tab/>
            </w:r>
            <w:r>
              <w:rPr>
                <w:rStyle w:val="IndexLink"/>
              </w:rPr>
              <w:t>191</w:t>
            </w:r>
          </w:hyperlink>
        </w:p>
        <w:p>
          <w:pPr>
            <w:pStyle w:val="Contents4"/>
            <w:tabs>
              <w:tab w:val="clear" w:pos="8176"/>
              <w:tab w:val="right" w:pos="9026" w:leader="dot"/>
            </w:tabs>
            <w:rPr/>
          </w:pPr>
          <w:hyperlink w:anchor="__RefHeading___Toc4440509_211673320">
            <w:r>
              <w:rPr>
                <w:webHidden/>
                <w:rStyle w:val="IndexLink"/>
                <w:rtl w:val="true"/>
              </w:rPr>
              <w:t>الأمر بالتتريب</w:t>
            </w:r>
            <w:r>
              <w:rPr>
                <w:rStyle w:val="IndexLink"/>
                <w:rtl w:val="true"/>
              </w:rPr>
              <w:t>:</w:t>
              <w:tab/>
            </w:r>
            <w:r>
              <w:rPr>
                <w:rStyle w:val="IndexLink"/>
              </w:rPr>
              <w:t>193</w:t>
            </w:r>
          </w:hyperlink>
        </w:p>
        <w:p>
          <w:pPr>
            <w:pStyle w:val="Contents4"/>
            <w:tabs>
              <w:tab w:val="clear" w:pos="8176"/>
              <w:tab w:val="right" w:pos="9026" w:leader="dot"/>
            </w:tabs>
            <w:rPr/>
          </w:pPr>
          <w:hyperlink w:anchor="__RefHeading___Toc4440511_211673320">
            <w:r>
              <w:rPr>
                <w:webHidden/>
                <w:rStyle w:val="IndexLink"/>
                <w:rtl w:val="true"/>
              </w:rPr>
              <w:t>الأمر بحسر العمامة عن الجبهة</w:t>
            </w:r>
            <w:r>
              <w:rPr>
                <w:rStyle w:val="IndexLink"/>
                <w:rtl w:val="true"/>
              </w:rPr>
              <w:t>:</w:t>
              <w:tab/>
            </w:r>
            <w:r>
              <w:rPr>
                <w:rStyle w:val="IndexLink"/>
              </w:rPr>
              <w:t>194</w:t>
            </w:r>
          </w:hyperlink>
        </w:p>
        <w:p>
          <w:pPr>
            <w:pStyle w:val="Contents3"/>
            <w:tabs>
              <w:tab w:val="clear" w:pos="8459"/>
              <w:tab w:val="right" w:pos="9026" w:leader="dot"/>
            </w:tabs>
            <w:rPr/>
          </w:pPr>
          <w:hyperlink w:anchor="__RefHeading___Toc4440513_211673320">
            <w:r>
              <w:rPr>
                <w:webHidden/>
                <w:rStyle w:val="IndexLink"/>
                <w:rtl w:val="true"/>
              </w:rPr>
              <w:t>المرحلة الثانى</w:t>
            </w:r>
            <w:r>
              <w:rPr>
                <w:rStyle w:val="IndexLink"/>
                <w:rtl w:val="true"/>
              </w:rPr>
              <w:t xml:space="preserve">: </w:t>
            </w:r>
            <w:r>
              <w:rPr>
                <w:rStyle w:val="IndexLink"/>
                <w:rtl w:val="true"/>
              </w:rPr>
              <w:t>الترخيص في السجود على الخمر والحصر</w:t>
            </w:r>
            <w:r>
              <w:rPr>
                <w:rStyle w:val="IndexLink"/>
                <w:rtl w:val="true"/>
              </w:rPr>
              <w:t>:</w:t>
              <w:tab/>
            </w:r>
            <w:r>
              <w:rPr>
                <w:rStyle w:val="IndexLink"/>
              </w:rPr>
              <w:t>195</w:t>
            </w:r>
          </w:hyperlink>
        </w:p>
        <w:p>
          <w:pPr>
            <w:pStyle w:val="Contents4"/>
            <w:tabs>
              <w:tab w:val="clear" w:pos="8176"/>
              <w:tab w:val="right" w:pos="9026" w:leader="dot"/>
            </w:tabs>
            <w:rPr/>
          </w:pPr>
          <w:hyperlink w:anchor="__RefHeading___Toc4440515_211673320">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4440517_211673320">
            <w:r>
              <w:rPr>
                <w:webHidden/>
                <w:rStyle w:val="IndexLink"/>
                <w:rtl w:val="true"/>
              </w:rPr>
              <w:t>السجود على الثياب لعذر</w:t>
            </w:r>
            <w:r>
              <w:rPr>
                <w:rStyle w:val="IndexLink"/>
                <w:rtl w:val="true"/>
              </w:rPr>
              <w:t>:</w:t>
              <w:tab/>
            </w:r>
            <w:r>
              <w:rPr>
                <w:rStyle w:val="IndexLink"/>
              </w:rPr>
              <w:t>196</w:t>
            </w:r>
          </w:hyperlink>
        </w:p>
        <w:p>
          <w:pPr>
            <w:pStyle w:val="Contents4"/>
            <w:tabs>
              <w:tab w:val="clear" w:pos="8176"/>
              <w:tab w:val="right" w:pos="9026" w:leader="dot"/>
            </w:tabs>
            <w:rPr/>
          </w:pPr>
          <w:hyperlink w:anchor="__RefHeading___Toc4440519_211673320">
            <w:r>
              <w:rPr>
                <w:webHidden/>
                <w:rStyle w:val="IndexLink"/>
                <w:rtl w:val="true"/>
              </w:rPr>
              <w:t>حصيلة البحث</w:t>
            </w:r>
            <w:r>
              <w:rPr>
                <w:rStyle w:val="IndexLink"/>
                <w:rtl w:val="true"/>
              </w:rPr>
              <w:t>:</w:t>
              <w:tab/>
            </w:r>
            <w:r>
              <w:rPr>
                <w:rStyle w:val="IndexLink"/>
              </w:rPr>
              <w:t>198</w:t>
            </w:r>
          </w:hyperlink>
        </w:p>
        <w:p>
          <w:pPr>
            <w:pStyle w:val="Contents4"/>
            <w:tabs>
              <w:tab w:val="clear" w:pos="8176"/>
              <w:tab w:val="right" w:pos="9026" w:leader="dot"/>
            </w:tabs>
            <w:rPr/>
          </w:pPr>
          <w:hyperlink w:anchor="__RefHeading___Toc4440521_211673320">
            <w:r>
              <w:rPr>
                <w:webHidden/>
                <w:rStyle w:val="IndexLink"/>
                <w:rtl w:val="true"/>
              </w:rPr>
              <w:t>ما هو السرّ في اتّخاذ تربة طاهرة؟</w:t>
            </w:r>
            <w:r>
              <w:rPr>
                <w:rStyle w:val="IndexLink"/>
                <w:rtl w:val="true"/>
              </w:rPr>
              <w:tab/>
            </w:r>
            <w:r>
              <w:rPr>
                <w:rStyle w:val="IndexLink"/>
              </w:rPr>
              <w:t>198</w:t>
            </w:r>
          </w:hyperlink>
        </w:p>
        <w:p>
          <w:pPr>
            <w:pStyle w:val="Contents2"/>
            <w:tabs>
              <w:tab w:val="clear" w:pos="8743"/>
              <w:tab w:val="right" w:pos="9026" w:leader="dot"/>
            </w:tabs>
            <w:rPr/>
          </w:pPr>
          <w:hyperlink w:anchor="__RefHeading___Toc4440523_211673320">
            <w:r>
              <w:rPr>
                <w:webHidden/>
                <w:rStyle w:val="IndexLink"/>
                <w:rtl w:val="true"/>
              </w:rPr>
              <w:t>فهرس مصادر الكتاب‌</w:t>
            </w:r>
            <w:r>
              <w:rPr>
                <w:rStyle w:val="IndexLink"/>
                <w:rtl w:val="true"/>
              </w:rPr>
              <w:tab/>
            </w:r>
            <w:r>
              <w:rPr>
                <w:rStyle w:val="IndexLink"/>
              </w:rPr>
              <w:t>207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7_2700"/>
      <w:bookmarkStart w:id="1" w:name="pg507_2700"/>
      <w:bookmarkEnd w:id="1"/>
    </w:p>
    <w:p>
      <w:pPr>
        <w:pStyle w:val="Heading2"/>
        <w:numPr>
          <w:ilvl w:val="1"/>
          <w:numId w:val="1"/>
        </w:numPr>
        <w:rPr/>
      </w:pPr>
      <w:bookmarkStart w:id="2" w:name="pg507_2700"/>
      <w:bookmarkStart w:id="3" w:name="__RefHeading___Toc4440353_21167332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سبحاني تبريزي،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۱۳۰۸</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الشيعه الاماميه في عقائدهم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السبحاني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۲۱۶</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۲۰۹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۲۱۶</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اماميه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۱۳۷۲</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40355_211673320"/>
      <w:bookmarkStart w:id="6" w:name="_Toc2"/>
      <w:bookmarkEnd w:id="5"/>
      <w:r>
        <w:rPr>
          <w:rtl w:val="true"/>
        </w:rPr>
        <w:t>التقديم</w:t>
      </w:r>
      <w:r>
        <w:rPr>
          <w:rtl w:val="true"/>
        </w:rPr>
        <w:t>:</w:t>
      </w:r>
      <w:bookmarkEnd w:id="6"/>
    </w:p>
    <w:p>
      <w:pPr>
        <w:pStyle w:val="BookText"/>
        <w:rPr/>
      </w:pPr>
      <w:r>
        <w:rPr>
          <w:rFonts w:ascii="Amiri" w:hAnsi="Amiri" w:eastAsia="Amiri" w:cs="Amiri"/>
          <w:color w:val="111111"/>
          <w:sz w:val="28"/>
          <w:sz w:val="28"/>
          <w:szCs w:val="28"/>
          <w:rtl w:val="true"/>
          <w:lang w:bidi="ar-SA"/>
        </w:rPr>
        <w:t xml:space="preserve">لا يأتي المرء بجديد إذا ذهب إلى القول بأنّ الحقبة الزمنية التي شهدت البعثة المباركة لخاتم الأنبياء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وسنوات عمره المعطاءة القصيرة كانت تشكل بحد ذاتها انعطافاً رهيباً وتحولًا كبيراً في حياة البشرية، في وقت شهد فيه الخط البياني الدال على مدى الابتعاد المتسارع عن المنهج السماوي وشرائعه المقدسة انحداراً عميقاً وتردياً ملحوظاً أصبح من العسير على أحد تحديد مدى انتهائه وحدود أبعاده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انّ مجرد الاستقراء المتعجّل لأبعاد التحول الفكري والعقائدي في حياة البشرية عقيب قيام هذه الدعوة السماوية في أرض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المسترخية على رمال الوهم والخداع وسيل الدم المتدافع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وبلا تطرّف ومحاباة عظم ذلك التأثير الإيجابي الذي يمكن تحديد مساره من خلال رؤية التحول المعاكس في كيفية التعامل اليومي مع أحداث الحياة وتطوراتها، وبالتالي في فهم الصورة الحقيقية لغاية خلق الإنسان ودوره في بناء الحياة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هذه الحقائق المجسّدة تكشف بالتالي عن عظم الجهد الذي بذه صاحب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هذا الأمر وتثبيت أركانه، في وقت</w:t>
      </w:r>
    </w:p>
    <w:p>
      <w:pPr>
        <w:pStyle w:val="BookText"/>
        <w:rPr/>
      </w:pPr>
      <w:r>
        <w:rPr>
          <w:rFonts w:ascii="Amiri" w:hAnsi="Amiri" w:eastAsia="Amiri" w:cs="Amiri"/>
          <w:color w:val="111111"/>
          <w:sz w:val="28"/>
          <w:sz w:val="28"/>
          <w:szCs w:val="28"/>
          <w:rtl w:val="true"/>
          <w:lang w:bidi="ar-SA"/>
        </w:rPr>
        <w:t>شهدت فيه البشرية جمعاء ضياعاً ملحوظاً في جميع قيمها ومعتقداتها، وخلطاً و تزييفاً مدروساً في مجمل عقائدها ومرتكزات أفكارها، كرس بالتالي مسارها المبتعد عن الخط السماوي ومناهجه السوية، وأنّ أي استعراض لمجمل القيم السائدة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كانت تشكل المعيار الأساسي والمفصل المهم الذي تستند إليه مجموع السلوكيات الفردية والجماعية وتشذَّب من 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عمق المأساة التي كانت تعيشها تلك الأُمم في تلك الأزمنة الغابرة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فمراكز التشريع الحاكمة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تعتبر في تصور العوام وفهمهم مصدر القرار العرفي والشرعي المدير لشؤون الناس والمتحكم بمصائرهم ومسار تفكيرهم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تنحصر في ثلاث مراكز معلومة أركانها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بما يمتلكونه من طرح عقائدي وفكري يستند إلى ثروات طائلة كبيرة، والصليبيون بما يشكلونه من قوة مادية ضخمة تمتد مفاصلها ومراكزها إلى أبعد النقاط والحدود، وأصحاب الثورة والجاه من المتنفِّذين والمتحمين في مصائر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كل الضوابط الأخلاقية والمبادى‌ء العرفية والعلاقات الروحية والاجتماعية كانت تخضع لتشذيب تلك المراكز وتوجيهها بما يتلائم وتوجهاتها التي لاتحدها أي حدود</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المراكز الفاسدة كانت تعمل جاهدة لأنَّ تسلخ الإنسان من كيانه العظيم الذي أراده اللَّه تعالى له، ودفعه عن دوره الكبير الذي خلق من أجله عندما قال تعالى للملائكة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تعمل جاهدة لأن تحجب تماماً رؤية هذه الحقيقة العظيمة عن ناظر الإنسان</w:t>
      </w:r>
    </w:p>
    <w:p>
      <w:pPr>
        <w:pStyle w:val="BookText"/>
        <w:rPr/>
      </w:pPr>
      <w:r>
        <w:rPr>
          <w:rFonts w:ascii="Amiri" w:hAnsi="Amiri" w:eastAsia="Amiri" w:cs="Amiri"/>
          <w:color w:val="111111"/>
          <w:sz w:val="28"/>
          <w:sz w:val="28"/>
          <w:szCs w:val="28"/>
          <w:rtl w:val="true"/>
          <w:lang w:bidi="ar-SA"/>
        </w:rPr>
        <w:t>ليبقى دائماً بيدقاً أعمى تجول به أصابعهم الشيطانية لتنفيذ أفكارهم المنبعثة من شهواتهم المنحرفة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يمكن الاعتقاد به من بقايا آثار الرسالات السابقة، فلا تعدو كونها ذبلات محتضرة لم تستطع الصمود أمام تيارات التزييف والكذب والخداع التي مسخت صورتها إلى أبعد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بُعث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قوم خير تعبير عنهم قول جعفر بن أبي‌طالب للنجاشي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كنّا أهل الجاهلية نعبد الأصنام، ونأكل الميتة، ونأتي الفواحش، ونقطع الأرحام، ونسي‌ء الجوار، ويأكل القوي منا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الوقت الذي كانت فيه مراكز القوى تلك تتضخّم وتتعاظم على حساب ضياع البشرية وموت مبادئها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فقد كانت الدعوة الإسلامية الفتيّة وصاحبها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مواجهة هذه المراكز بامتدادتها الرهيبة وقدراتها العظيمة، والتي شكلت أعنف مواجهة شرسة وقتال ليس له مثيل صبغ أرض الجريرة ورملها الصفراء، بلون أحمر قاني لسنوات لم يعرف فيها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وخيرة أصحابه للراحة طعماً وللسكون مسكناً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تلك الحصون المليئة بالشر والخراب لم‌تتهاوى إلّا بعد جهد جهيد وسيل جارف من الدماء الطاهرة التي لاتوزن بها الجبال، من رجال أوقفوا أنفسهم وأرواحهم من أجل هذا الدين وصاحبه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إستطاع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يقيم حكومة اللَّه تعالى في الأرض وأن يثبِّت فيها الأركان على أساس الواقع والوجود، فلم‌تجد آنذاك كل قوى الشرّ بدّاً</w:t>
      </w:r>
    </w:p>
    <w:p>
      <w:pPr>
        <w:pStyle w:val="BookText"/>
        <w:rPr/>
      </w:pPr>
      <w:r>
        <w:rPr>
          <w:rFonts w:ascii="Amiri" w:hAnsi="Amiri" w:eastAsia="Amiri" w:cs="Amiri"/>
          <w:color w:val="111111"/>
          <w:sz w:val="28"/>
          <w:sz w:val="28"/>
          <w:szCs w:val="28"/>
          <w:rtl w:val="true"/>
          <w:lang w:bidi="ar-SA"/>
        </w:rPr>
        <w:t>من الإختباء في زوايا العتمة والظلام تتحيّن الفرص السانحة والظروف الملائمة للانقضاض على هذا البنيان الذي بدا يزداد شموخاً وعلوّاً مع تقادم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 عياناً أنّ نقطة ضعف هذه الأُمّة يمكن في تفرّقها وفي تبعثر جهودها ممّا سيمكن من ظهور منافذ مشرعة في هذا البنيان الكبير لاتتردد أركان الكفر وأعداء الدين المتلوّنين والمتسترين من النفوذ خلالها والتسلل بين أهلها، وفي ذلك الخطر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فإنّ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يصرّح ويحذِّر من افتراق أُمّته، ويلوح للمفترقين بالنار والجحيم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 ما حذِّر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يخشاه، بدت أوّل معالمه الخطرة تتوضح في اللحظات الأُلى لرحيله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وانتقاله إلى عالم الخلود، وعندها وجد أعداء هذا الدين الفرصة مؤاتية للولوج إلى داخل هذا البناء والعمل على هدمه بمعاول أهله لا بمعاولهم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فتفرقت هذه الأمّة فرقاً فرقاً وجماعات جماعات، لا تتردد كل واحدة من أن تكفّر الأُخرى وتكيل لها التهم الباطلة والافتراءات الظالمة، وانشغل المسلمون عن أعدائهم بقتال إخوانهم والتمثيل بأجسادهم، وحل بالأُمّة وباء وبيل بدا يستشري في جسدها الغض بهدوء دون أن تنشغل بعلاجه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بعد هذه السنين المرة من الفرقة والتشتّت بدأ المسلمون في أُخريات المطاف يلعقون جراح خلّفتها سيوف إخوانهم لا سيوف أعدائهم في حين ينظر إليهم أعداؤهم بتشفّ وشماتة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حلَّ بالمسلمين من مصائب وتخلّف في كافة المستويات أوقعتهتم في براثن المستعمرين أعداء اللَّه ورسله يعود إلى تفرق كلمتهم وتبعثر جهودهم وتمزّق وحدتهم، ولعل نظرة عاجلة لما يجري في بقاع المعمورة المختلفة يوضّح لنا هذه الصورة المؤلمة والمفجعة، فمن فلسطين مروراً بلبنان وأفغانستان، والبوسنة والهرسك، والصومال وغيرها وغيرها مشاهد مؤلمة لنتائج هذا التمزّق والتبعثر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كلمة تقال فإنّ للجهود المخلصة الداعية إلى الالتفات إلى مصدر الداء لا أعراضه فقط الثقل الأكبر في توقي غيرها من المضاعفات الخطيرة التي تتولد كل يوم في بلد من بلاد المسلمين لا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نغالي إذ قلنا بأنّ للجمهورية الإسلامية في إيران ومؤسّها الإمام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الأكبر في تشخيص موضع الداء وتحديد موطنه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الإستقراء المختصر لجمل توجيهات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حياته ولسنين طويلة يدلّنا بوضوح على قدرته التشخيصية في وضع يده على موضع الداء، ودعوته إلى الالتفات إلى ذلك، لا إلى الإنشغال بما عداه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نداء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حجاج بيت اللَّه الحرام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واجبات هذا التجمع العظيم دعوة الناس والمجتمعات الإسلامية إلى وحدة الكلمة وإزالة الخلافات بين فئات المسلمين، و على الخطباء والوعّاظ والكتّاب أن يهتمّوا بهذا الأمر الحياتي ويسعوا إلى إيجاد</w:t>
      </w:r>
    </w:p>
    <w:p>
      <w:pPr>
        <w:pStyle w:val="BookText"/>
        <w:rPr/>
      </w:pPr>
      <w:r>
        <w:rPr>
          <w:rFonts w:ascii="Amiri" w:hAnsi="Amiri" w:eastAsia="Amiri" w:cs="Amiri"/>
          <w:color w:val="111111"/>
          <w:sz w:val="28"/>
          <w:sz w:val="28"/>
          <w:szCs w:val="28"/>
          <w:rtl w:val="true"/>
          <w:lang w:bidi="ar-SA"/>
        </w:rPr>
        <w:t xml:space="preserve">جبهة للمستضعفين لتحرر بوحدة الجبهة ووحدة الكلمة وشعار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 القوى الأجنبية الشيطانية والمستعمرة والمستغلة، وللتغلب بالاخوة الإسلامية على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مسلمي العالم، و يا أتباع مدرسة التوحيد رمز كل مصائب البلدان الإسلامية هو اختلاف الكلمة وعدم الإنسجام، ورمز الانتصار وحدة الكلمة والإنسجام، وقد بيّن اللَّه تعالى ذلك في جملة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والاعتصام بحبل اللَّه تبيان لتنسيق جميع المسلمين من أجل الإسلام وفي اتجاه الإسلام ولمصالح المسلمين، والأبتعاد عن التفرقة والإنفصال والفئوية التي هي أساس كل مصيبة وتخلّف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كلمة له مع وفد من كبار علماء الحرمين الشريفين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انتصار المسلمين في صدر الإسلام كان وحدة الكلمة وقوة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ثمة وحدة كلمة إسلامية، ولوكانت الحكومات والشعوب الإسلامية متلاحمة فلا معنى لأن يبقى ما يقارب مليارد إنسان مسلم تحت سيطرة القوى الأنجنبية، لو أنّ القدرة الألهية الكبرى تقترن بقوة الإيمان ويسيروا جميعاً متآخين على طريق الإسلام فلا تستطيع أية قوة أن تتغلب عليهم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مغزى سر انتصار المسلمين في صدر الإسلام الأوّل رغم قلّة عددهم و تراضع امكانياتهم، وانكسارهم في الوقت الحاضر مع عظم امكانياتهم وكثرة عددهم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مسلمي العالم ماذا دهاكم فقد دحرتم في صدر الإسلام بعدة قليلة جداً القوى العظمى وأوجدتهم الأمّة</w:t>
      </w:r>
    </w:p>
    <w:p>
      <w:pPr>
        <w:pStyle w:val="BookText"/>
        <w:rPr/>
      </w:pPr>
      <w:r>
        <w:rPr>
          <w:rFonts w:ascii="Amiri" w:hAnsi="Amiri" w:eastAsia="Amiri" w:cs="Amiri"/>
          <w:color w:val="111111"/>
          <w:sz w:val="28"/>
          <w:sz w:val="28"/>
          <w:szCs w:val="28"/>
          <w:rtl w:val="true"/>
          <w:lang w:bidi="ar-SA"/>
        </w:rPr>
        <w:t>الكبرى الإسلامية الإنسانية، واليوم وأنتم تقربون من مليارد إنسان وتملكون مخازن الخيرات الكبرى التي هي أكبر حربة تقفون أمام العدو بمثل هذا الضعف والأنهيار، أتعلمون أنّ كلّ مآسيكم تكمن في التفرقة والاختلاف بين زعماء بلدانكم وبالتالي بينكم أنتم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إثارة الاختلافات بين المذاهب الإسلامية من الخطط الإجرامية التي تدبرّها القوى المستفيدة من الخلافات بين المسلمين، بالتعاون مع عملائها الضالّين بمن فيهم وعاظ السلاطين المسودة وجوههم أكثر من سلاطين الجور أنفسهم، وهؤلاء يؤججون نيران هذه الاختلافات باستمرار، وكلّ يوم يرفعون عقيرتهم بنعرة جديدة، وفي كلّ مرحلة ينفذون خطة لأثارة الخلافات، آمين بذلك هدم صرح الوحدة بين المسلمين من 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وهذكا فإنّ الصورة تبدو أكثر وضوحاً عند قراءة سلسلة خطب الإمام الخميني وتوصياته المستمرة إلى عموم المسلمين وخصوصاً في مواسم الحج التي تشكّل أفضل تجمّع إسلامي تشارك فيه أعداد ضخمة من المسلمين ومن شتّى بقاع المعمورة في مؤتمر ضخم لا بد من أن يكرِّسه المسلمون لتدارس أُمورهم وعلاج مشاكلهم ومناقشة معتقداتهم، حيث أنّ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يواظب على إثارة هذه الأُمور الحساسة والمهمة في حياة الإسلام والمسلمين، ولم يدخر في ذلك جهداً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الإطلاع على فتاوى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بوضوح عمق توجهه إلى هذا الأمر الحيوي والدقيق، وتأكيده عليه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توجيهاته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الحجاج نورد هذه الملاحظات المختصرة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الإخوة الإيرانيين والشيعة في سائر البلدان الإسلامية أن يتجنّبوا الأعمال السقيمة المؤدّية إلى تفرقة صفوف المسلمين، ويلزم الحضور في جماعات أهل السنّة، والأبتعاد بشدة عن تشكيل صلاة الجماعة في المنازل ووضع مكبّرات الصوت بِشَكلٍ غير مألوف و عن إلقاء النفس على القبور المطهّرة و عن الأعمال التي قد تكون مخالفة للشرع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يلزم ويجزي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الوقوفين متابعة حكم القاضي من أهل السنّة، وإن حصل لكم القطع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عامّة الإخوة والأخوات في الدين أن يلتفتوا إلى أنّ واحداً من أهم أركان فلسفة الحج إيجاد التفاهم وترسيخ الإخوّة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الفتاوى المهمّة التي ندعو جميع المسلمين إلى مطالعتها والتأمّل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الخط المبارك واصلت الجمهوريّة الإسلامية مسارها في الدعوة إلى وحدة كلمة المسلمين بعد رحيل الإمام الخمينى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تؤكد عليه في كل مناسبة ومكان على لسان قائدها سماحة آية اللَّه السيد علي الخامنئي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مسؤوليتها، ولم تدّخر جهداً في العمل على اقامة هذا الأمر الشرعي المهم والدفاع عنه، من خلال توجيهاتها المستمرة في هذا المنحى أو دعمها غير المحدود لكل الجهود المخلصة في هذا الميدان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الكتاب الماثل بين يدي القارى‌ء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بقلم الباحث القدير الشيخ جعفر السبحاني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للتأمّل ضمن الحدود</w:t>
      </w:r>
    </w:p>
    <w:p>
      <w:pPr>
        <w:pStyle w:val="BookText"/>
        <w:rPr/>
      </w:pPr>
      <w:r>
        <w:rPr>
          <w:rFonts w:ascii="Amiri" w:hAnsi="Amiri" w:eastAsia="Amiri" w:cs="Amiri"/>
          <w:color w:val="111111"/>
          <w:sz w:val="28"/>
          <w:sz w:val="28"/>
          <w:szCs w:val="28"/>
          <w:rtl w:val="true"/>
          <w:lang w:bidi="ar-SA"/>
        </w:rPr>
        <w:t>التي أشرنا إليها في حديثنا، وهي بالتالي تعكس صورة صادقة عن حجم الهجمة الكافرة التي أرادت تمزيق الأُمّة ودفعها إلى التشتت، وبيان ما أخذت من مساحة واسعة في فكر هذه الأُمّة ومعتقداتها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لسنا في معرض الدفاع عن الوجود المقدس لهذه الشريعة السماوية فحسب، بل ابتغينا إزاحة اللثام وإماطة الخبث عن الدسائس الخبيثة التي تريد بالأُمّة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قامت معاونية شؤون التعليم والبحوث بنشره، حتى لعم نفعه ويتعرف المسلمون على الشيعة عن 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تعالى من وراء القصد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معاونية شؤون التعليم</w:t>
      </w:r>
    </w:p>
    <w:p>
      <w:pPr>
        <w:pStyle w:val="BookText"/>
        <w:rPr/>
      </w:pPr>
      <w:r>
        <w:rPr>
          <w:rFonts w:ascii="IRNazanin" w:hAnsi="IRNazanin" w:eastAsia="IRNazanin"/>
          <w:color w:val="111111"/>
          <w:sz w:val="28"/>
          <w:sz w:val="28"/>
          <w:szCs w:val="28"/>
          <w:rtl w:val="true"/>
          <w:lang w:bidi="fa-IR"/>
        </w:rPr>
        <w:t>و</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البحوث الإسلامية</w:t>
      </w:r>
      <w:bookmarkStart w:id="7" w:name="pg507_2712"/>
    </w:p>
    <w:p>
      <w:pPr>
        <w:pStyle w:val="Heading2"/>
        <w:numPr>
          <w:ilvl w:val="1"/>
          <w:numId w:val="1"/>
        </w:numPr>
        <w:rPr/>
      </w:pPr>
      <w:bookmarkStart w:id="8" w:name="__RefHeading___Toc4440357_211673320"/>
      <w:bookmarkStart w:id="9" w:name="_Toc3"/>
      <w:bookmarkEnd w:id="7"/>
      <w:bookmarkEnd w:id="8"/>
      <w:r>
        <w:rPr>
          <w:rtl w:val="true"/>
        </w:rPr>
        <w:t>رسائل بعض أعلام الشيعة</w:t>
      </w:r>
      <w:bookmarkEnd w:id="9"/>
    </w:p>
    <w:p>
      <w:pPr>
        <w:pStyle w:val="Heading3"/>
        <w:numPr>
          <w:ilvl w:val="2"/>
          <w:numId w:val="1"/>
        </w:numPr>
        <w:rPr/>
      </w:pPr>
      <w:bookmarkStart w:id="10" w:name="__RefHeading___Toc4440359_211673320"/>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إنّ المناهج الكلامية التي فرّقت المسلمين إلى مذاهب حدثت في أواخر القرن الأوّل الهجري، واستمرّت في القرون التالية، فنجمت عنها فرق إسلامية مختلفة كالمرجئة، والجهمية، والمعتزلة، والحشوية، والأشعرية، والكرامية بفرقهم المتشعّبة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الفرق بمجموعها تشكل نتاجاً حقيقياً لمخاض البحث والمذاكرة، وكنتيجة منطقية للتوسع الا فقي في الرقعة الإسلامية التي شملت العديد من الا مّم والقوميات المختلفة، وما يشكله ذلك من احتكاك وجدل فكري وتأثر وتأثير في تلك التيارات الفكرية وتداخل غير محسوس في أحيان كثيرة أُوجد و دون وعي من الكثيرين، ركائز وجود هذه التصورات التي تبلورت فيما بعد في ما يسمّى بالفرق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المرء لا يجد لها تاريخاً متّصلًا بزمن النبيّ الأكرم صلَّى اللَّه عليه و آله و سلَّم، ويقف على صدق ما ذكرنا من سبر أجزاء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فالخوارج مثلًا كانوا فرقة سياسية نشأت في عام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أثناء حرب صفّين ثمّ تبدّلت إلى فرقة دينيّة في أواخر القرن الأوّل وأوائل القرن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والمرجئة ظهرت في الأوساط الإسلاميّة عند اختلاف الناس في الخليفة عثمان والإمام وعلي، ثمّ تطورت إلى معنى آخر وكان من حصيلة التطوّر هو تقديم الإيمان وتأخير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والجهمية نتيجة 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جهم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والمعتزلة تستمد من واصل بن عطاء تلميذ الحسن البصري المتوفّى</w:t>
      </w:r>
    </w:p>
    <w:p>
      <w:pPr>
        <w:pStyle w:val="BookText"/>
        <w:rPr/>
      </w:pP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وهكذا القدريّة والكرّاميّة والظاهريّة والأشعريّة فجميعها فرق نتجت عن البحث الكلامي وصقلها الجدل عبر القرون، فلا تجد لهذه الفرق سنداً متّصلًا بالنبيّ الأكرم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عقائد الشيعة الإمامية فعلى النقيض من ذلك، ولا صلة في نشأتها بينها وبين تلك الفرق، لأنّها أُخذت أساساً من مصادر التشريع الحقيقية للإسلام،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الحكيم أوّلًا، والسنّة النبويّة ثانياً، وخطب الإمام علي وكلمات العترة الطاهرة الصادرة من النبيّ الأكرم صلَّى اللَّه عليه و آله و سلَّم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ذلك يحدّد تاريخ عقائدهم بتاريخ الإسلام وحياة أئمّتهم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يعني أنّ الشيعة تتعبّد بالنصوص في أُصولها المذكورة من دون تحليل وتفكير، بل أنّ أُصول العقائد الواردة في المصادر المذكورة أخذها علماؤهم منها وحرّروها بأوضح الوجوه، ودعموها بالبراهين الواضحة، كما أنّهم لا يعتدّون في بناء معتقداتهم ومتبنياتهم على رواية الآحاد بل يشترطوا فيها أن تكون متواترة، أو محفوفة بالقرائن المفيدة للعلم واليقين، إذ ليس المطلوب في باب الاعتقاد مجرّد العمل، بل المطلوب هو الإذعان والإيمان وهذا لا يحصل برواية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الأمر الجدير بالذكر هو أنّ المرتكز الأساسي لبناء العقيدة الخاصة بالشيعة الإمامية هو الاعتقاد بأنّ الإمام عليّاً منصوص عليه بالوصاية على لسان النبيّ الأكرم صلَّى اللَّه عليه و آله و سلَّم، وأنّه وعترته الطاهرة هم المرجع الأعلى بعد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العنصر المقوّم للتشيّع، وأمّا سائر الأُصول فإنّها عقائد إسلامية لا تختص بالشيعة الإمامية وحدها</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وسنحاول أن نستعرض في الصفحات اللاحقة بعضاً من جوانب عقائد الشيعة الإمامية، الواردة في أحاديث أئمّتهم تارة، وكلمات علمائهم</w:t>
      </w:r>
      <w:bookmarkStart w:id="12" w:name="pg507_2714"/>
    </w:p>
    <w:p>
      <w:pPr>
        <w:pStyle w:val="BookText"/>
        <w:rPr/>
      </w:pPr>
      <w:bookmarkEnd w:id="12"/>
      <w:r>
        <w:rPr>
          <w:rFonts w:ascii="Amiri" w:hAnsi="Amiri" w:eastAsia="Amiri" w:cs="Amiri"/>
          <w:color w:val="111111"/>
          <w:sz w:val="28"/>
          <w:sz w:val="28"/>
          <w:szCs w:val="28"/>
          <w:rtl w:val="true"/>
          <w:lang w:bidi="ar-SA"/>
        </w:rPr>
        <w:t>الأقدمين ثانياً، حتى يقف القارئ على جذور تلك العقائد وتتوضح له الصورة الحقيقية عن ركائز هذه المعتقدات، والتي تستمد كيانها من الأخبار والروايات الواردة من أئمّتهم الطاهرين والتي تشكل كلمات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وخطبه البعد الأكبر فيها، أو من الآراء الكلامية لعلمائهم، والتي تتفق كثيراً مع جمهور المسلمين في أبعادها المختلفة</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4440361_211673320"/>
      <w:bookmarkStart w:id="14" w:name="_Toc5"/>
      <w:bookmarkEnd w:id="13"/>
      <w:r>
        <w:rPr/>
        <w:t>1</w:t>
      </w:r>
      <w:r>
        <w:rPr>
          <w:rtl w:val="true"/>
        </w:rPr>
        <w:t xml:space="preserve">- </w:t>
      </w:r>
      <w:r>
        <w:rPr>
          <w:rtl w:val="true"/>
        </w:rPr>
        <w:t>ما كتبه الإمام الرضا</w:t>
      </w:r>
      <w:r>
        <w:rPr>
          <w:rtl w:val="true"/>
        </w:rPr>
        <w:t xml:space="preserve">- </w:t>
      </w:r>
      <w:r>
        <w:rPr>
          <w:rtl w:val="true"/>
        </w:rPr>
        <w:t>عليهالسّلام للمأمون عن محض الإسلام</w:t>
      </w:r>
      <w:r>
        <w:rPr>
          <w:rtl w:val="true"/>
        </w:rPr>
        <w:t>:</w:t>
      </w:r>
      <w:bookmarkEnd w:id="14"/>
    </w:p>
    <w:p>
      <w:pPr>
        <w:pStyle w:val="BookText"/>
        <w:rPr/>
      </w:pPr>
      <w:r>
        <w:rPr>
          <w:rFonts w:ascii="Amiri" w:hAnsi="Amiri" w:eastAsia="Amiri" w:cs="Amiri"/>
          <w:color w:val="111111"/>
          <w:sz w:val="28"/>
          <w:sz w:val="28"/>
          <w:szCs w:val="28"/>
          <w:rtl w:val="true"/>
          <w:lang w:bidi="ar-SA"/>
        </w:rPr>
        <w:t>روى الصدوق بسنده عن الفضل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المأمون علي ابن موسى الرضا أن يكتب له محض الإسلام على سبيل الإيجاز والاختصار،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محض الإسلام شهادة أن لا إله إلّا اللَّه وحده لا شريك له إلهاً واحداً أحداً، فرداً صمداً، قيّوماً، سميعاً، بصيراً، قديراً، قديماً، قائماً، باقياً، عالماً لا يجهل، قادراً لا يعجز، غنيّاً لا يحتاج، عدلًا لا يجور، وأنّه خالق كلّ شي‌ء، ليس كمثله شي‌ء، لا شبه له ولا ضدّ له ولا ندّ له ولا كفو له، وانّه المقصود بالعبادة والدعاء والرغبة والرهبة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محمّداً عبده ورسوله وأمينه وصفيّه وصفوته من خلقه، وسيّد المرسلين وخاتم النبيين وأفضل العالمين، لا نبيّ بعده ولا تبديل لملّته ولا تغيير لشريعته، وانّ جميع ما جاء به محمّد بن عبد اللَّه هو الحقّ المبين، والتصديق به وبجميع من مضى قبله من رسل اللَّه، وأنبيائه، وحججه، والتصديق بكتابه، الصادق العزيز الذي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وانّه المهيمن على الكتب كلّها، وانّه حقّ من فاتحته إلى خاتمته، نؤمن بمحكمه ومتشابهه، وخاصّه وعامّه، ووعده ووعيده، وناسخه ومنسوخه، وقصصه واخباره، لا يقدر أحد من المخلوقين</w:t>
      </w:r>
    </w:p>
    <w:p>
      <w:pPr>
        <w:pStyle w:val="BookText"/>
        <w:rPr/>
      </w:pPr>
      <w:r>
        <w:rPr>
          <w:rFonts w:ascii="Amiri" w:hAnsi="Amiri" w:eastAsia="Amiri" w:cs="Amiri"/>
          <w:color w:val="111111"/>
          <w:sz w:val="28"/>
          <w:sz w:val="28"/>
          <w:szCs w:val="28"/>
          <w:rtl w:val="true"/>
          <w:lang w:bidi="ar-SA"/>
        </w:rPr>
        <w:t>أن يأتي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الدليل بعده والحجّة على المؤمنين والقائم بأمر المسلمين، والناطق عن القرآن، والعالم بأحكامه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وخليفته ووصيّه ووليّه، والذي كان منه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أمير المؤمنين، وإمام المتّقين، وقائد الغرِّ المحجّلين، وأفضل الوصيّين، ووارث علم النبيّين، والمرسلين، وبعده الحسن والحسين سيدا شباب أهل الجنّة، ثمّ علي بن الحسين زين العابدين، ثمّ محمّد بن علي باقر علم النبيّين، ثمّ جعفر بن محمّد الصادق وارث علم الوصيّين، ثمّ موسى بن جعفر الكاظم، ثمّ علي ابن موسى الرضا، ثمّ محمّد بن علي، ثمّ علي بن محمّد، ثمّ الحسن بن علي، ثمّ الحجّة القائم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لهم بالوصية والإمامة، وأنّ الأرض لا تخلو من حجّة للَّه تعالى على خلقه في كلّ عصر وأوان، وأنّهم العروة الوثقى، وأئمّة الهدى والحجّة على أهل الدنيا، إلى أن يرث اللَّه الأرض ومن عليها، وأنّ كل من خالفهم ضال مضل باطل، تارك للحقّ والهدى، وأنّهم المعبّرون عن القرآن، والناطقون عن الرسول صلَّى اللَّه عليه و آله و سلَّم بالبيان، ومن مات ولم يعرفهم مات ميتة جاهلية، وأنّ من دينهم الورع والفقه والصدق والصلاة والاستقامة والاجتهاد، وأداء الأمانة إلى البرّ والفاجر، وطول السجود، وصيام النهار وقيام الليل، واجتناب المحارم، وانتظار الفرج بالصبر، وحسن العزاء وكرم الصحبة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الإمام فروعاً شتّى من مختلف أبواب الفقه وأشار إلى بعض الفوارق بين مذهب أهل البيت وغيرهم لا يهمّنا في المقام ذكرها ومن أراد الوقوف عليها فليرجع إلى المصدر</w:t>
      </w:r>
      <w:r>
        <w:rPr>
          <w:rFonts w:eastAsia="Amiri" w:cs="Amiri" w:ascii="Amiri" w:hAnsi="Amiri"/>
          <w:color w:val="111111"/>
          <w:sz w:val="28"/>
          <w:szCs w:val="28"/>
          <w:rtl w:val="true"/>
          <w:lang w:bidi="ar-SA"/>
        </w:rPr>
        <w:t>.</w:t>
      </w:r>
      <w:bookmarkStart w:id="15" w:name="pg507_2716"/>
    </w:p>
    <w:p>
      <w:pPr>
        <w:pStyle w:val="Heading3"/>
        <w:numPr>
          <w:ilvl w:val="2"/>
          <w:numId w:val="1"/>
        </w:numPr>
        <w:rPr/>
      </w:pPr>
      <w:bookmarkStart w:id="16" w:name="__RefHeading___Toc4440363_211673320"/>
      <w:bookmarkStart w:id="17" w:name="_Toc6"/>
      <w:bookmarkEnd w:id="15"/>
      <w:bookmarkEnd w:id="16"/>
      <w:r>
        <w:rPr/>
        <w:t>2</w:t>
      </w:r>
      <w:r>
        <w:rPr>
          <w:rtl w:val="true"/>
        </w:rPr>
        <w:t xml:space="preserve">- </w:t>
      </w:r>
      <w:r>
        <w:rPr>
          <w:rtl w:val="true"/>
        </w:rPr>
        <w:t>عرض السيّد عبد العظيم الحسني عقائده على الإمام الهادي</w:t>
      </w:r>
      <w:r>
        <w:rPr>
          <w:rtl w:val="true"/>
        </w:rPr>
        <w:t>:</w:t>
      </w:r>
      <w:bookmarkEnd w:id="17"/>
    </w:p>
    <w:p>
      <w:pPr>
        <w:pStyle w:val="BookText"/>
        <w:rPr/>
      </w:pPr>
      <w:r>
        <w:rPr>
          <w:rFonts w:ascii="Amiri" w:hAnsi="Amiri" w:eastAsia="Amiri" w:cs="Amiri"/>
          <w:color w:val="111111"/>
          <w:sz w:val="28"/>
          <w:sz w:val="28"/>
          <w:szCs w:val="28"/>
          <w:rtl w:val="true"/>
          <w:lang w:bidi="ar-SA"/>
        </w:rPr>
        <w:t xml:space="preserve">روى الصدوق عن عبد العظيم الحسني </w:t>
      </w:r>
      <w:r>
        <w:rPr>
          <w:rStyle w:val="FootnoteAnchor"/>
          <w:rtl w:val="true"/>
        </w:rPr>
        <w:footnoteReference w:id="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علي بن محمّد بن علي بن موسى بن جعفر بن محمّد بن علي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 بي،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بك يا أبا القاسم أنت وليّنا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أُريد أن أعرض عليك ديني، فإنّ كان مرضيّاً أثبت عليه حتى ألقى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هاتها أبا القاسم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واحد ليس كمثله شي‌ء، خارج من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الابطال، وحدّ التشبيه، وأنّه ليس بجسم ولا صورة ولا عرض ولا جوهر، بل هو مجسِّم الأجسام ومصوِّر الصور، وخالق الأعراض والجواهر، وربَّ كلّ شي‌ء ومالكه وجاعله ومحدثه، وإنّ محمّداً عبده ورسوله،</w:t>
      </w:r>
    </w:p>
    <w:p>
      <w:pPr>
        <w:pStyle w:val="BookText"/>
        <w:rPr/>
      </w:pPr>
      <w:r>
        <w:rPr>
          <w:rFonts w:ascii="Amiri" w:hAnsi="Amiri" w:eastAsia="Amiri" w:cs="Amiri"/>
          <w:color w:val="111111"/>
          <w:sz w:val="28"/>
          <w:sz w:val="28"/>
          <w:szCs w:val="28"/>
          <w:rtl w:val="true"/>
          <w:lang w:bidi="ar-SA"/>
        </w:rPr>
        <w:t>خاتم النبيّيين فلا نبيّ بعده إلى يوم القيامة،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والخليفة ووليّ الأمر بعده أمير المؤمنين علي بن أبي طالب، ثمّ الحسن، ثمّ الحسين، ثمّ علي ابن الحسين، ثمّ محمّد بن علي، ثمّ جعفر بن محمّد، ثمّ موسى بن جعفر، ثمّ علي بن موسى، ثمّ محمّد بن علي، ثمّ أنت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بعدي الحسن ابني، فكيف للناس بالخلف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 مولاي؟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يرى شخصه ولا يحل ذكره باسمه حتى يخرج فيملأ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وليّهم وليّ اللَّه، وعدوّهم عدوّ اللَّه، وطاعتهم طاعة اللَّه ومعصيتهم معصية اللَّه،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المعراج حقّ والمساءلة في القبر حقّ، وإنّ الجنّة حقّ، والنار حقّ، والميزان حقّ، وانّ الساعة آتية لا ريب فيها وانّ اللَّه يبعث من في القبور،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الواجبة بعد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والصوم، والحج، والجهاد، والأمر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واللَّه دين اللَّه الذي ارتضاه لعباده، فاثبت عليه ثبّتك اللَّه بالقول الثابت في الحياة الدنيا وفي الآخرة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اكتفينا بهذين النصّين من الإمامين الطاهرين، أحدهما قولي، والآخر امضائي، وقد أخذوا عقائدهم عن آبائهم الطاهرين</w:t>
      </w:r>
      <w:r>
        <w:rPr>
          <w:rFonts w:eastAsia="Amiri" w:cs="Amiri" w:ascii="Amiri" w:hAnsi="Amiri"/>
          <w:color w:val="111111"/>
          <w:sz w:val="28"/>
          <w:szCs w:val="28"/>
          <w:rtl w:val="true"/>
          <w:lang w:bidi="ar-SA"/>
        </w:rPr>
        <w:t>.</w:t>
      </w:r>
      <w:bookmarkStart w:id="18" w:name="pg507_2718"/>
    </w:p>
    <w:p>
      <w:pPr>
        <w:pStyle w:val="Heading3"/>
        <w:numPr>
          <w:ilvl w:val="2"/>
          <w:numId w:val="1"/>
        </w:numPr>
        <w:rPr/>
      </w:pPr>
      <w:bookmarkStart w:id="19" w:name="__RefHeading___Toc4440365_211673320"/>
      <w:bookmarkStart w:id="20" w:name="_Toc7"/>
      <w:bookmarkEnd w:id="18"/>
      <w:bookmarkEnd w:id="19"/>
      <w:r>
        <w:rPr/>
        <w:t>3</w:t>
      </w:r>
      <w:r>
        <w:rPr>
          <w:rtl w:val="true"/>
        </w:rPr>
        <w:t xml:space="preserve">- </w:t>
      </w:r>
      <w:r>
        <w:rPr>
          <w:rtl w:val="true"/>
        </w:rPr>
        <w:t>رسالة الصدوق في عقائد الإمامية</w:t>
      </w:r>
      <w:r>
        <w:rPr>
          <w:rtl w:val="true"/>
        </w:rPr>
        <w:t>:</w:t>
      </w:r>
      <w:bookmarkEnd w:id="20"/>
    </w:p>
    <w:p>
      <w:pPr>
        <w:pStyle w:val="BookText"/>
        <w:rPr/>
      </w:pPr>
      <w:r>
        <w:rPr>
          <w:rFonts w:ascii="Amiri" w:hAnsi="Amiri" w:eastAsia="Amiri" w:cs="Amiri"/>
          <w:color w:val="111111"/>
          <w:sz w:val="28"/>
          <w:sz w:val="28"/>
          <w:szCs w:val="28"/>
          <w:rtl w:val="true"/>
          <w:lang w:bidi="ar-SA"/>
        </w:rPr>
        <w:t>إنّ لمشايخنا الإمامية مؤلفات شهيرة في بيان عقائد الشيعة ومعارفهم، ونختار في المقام رسائل موجزة من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صنّف الشيخ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موجزة في عقائد الإمامية،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 اعتقادنا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واحد أحد، ليس كمثله شي‌ء، قديم لم يزل ولا يزال، سميعاً بصيراً، عليماً حكيماً، حيّاً قيّوماً، عزيزاً قدّوساً، عالماً قادراً، غنيّاً، لا يوصف بجوهر ولا جسم ولا صورة ولا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تعالى متعال عن جميع صفات خلقه، خارج عن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الإبطال، وحدّ التشبيه، وأنّه تعالى شي‌ء لا كالأشياء، أحد صمد لم يلد فيورث، ولم يولد فيشارك، ولم يكن له كفواً أحد، ولا ند ولا ضد، ولا شبه ولا صاحبة، ولا مثل ولا نظير، ولا شريك له، لا تدركه الأبصار وهو يدرك الأبصار، ولا الأوهام وهو يدركها، لا تأخذه سنة ولا نوم وهو اللطيف الخبير، خالق كلّ شي‌ء لا إله إلّا هو، له الخلق والأمر تبارك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قال بالتشبيه فهو مشرك، ومن نسب إلى الإمامية غير ما وصف في التوحيد فهو كاذب، وكل خبر يخالف ما ذكرت في التوحيد فهو موضوع مخترع، وكل حديث لا يوافق كتاب اللَّه فهو باطل، وإن وجد في كتب علمائنا فهو مدلس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قدّس اللَّه سرّه ذكر الصفات الخبرية في الكتاب العزيز وفسّرها، وبيّن حدّاً خاصّاً لصفات الذات وصفات الأفعال، وما هو معتقد الإماميّة في أفعال العباد، وأنّه بين الجبر والتفويض، كما ذكر عقائدهم في القضاء والقدر، والفطرة، والاستطاعة، إلى غير ذلك من المباحث المهمّة التي تشكّل العمود الفقري للمعارف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اعتقادنا أنّ القرآن الذي أنزله اللَّه تعالى على نبيّه محمّد هو ما بين</w:t>
      </w:r>
      <w:bookmarkStart w:id="21" w:name="pg507_2719"/>
    </w:p>
    <w:p>
      <w:pPr>
        <w:pStyle w:val="BookText"/>
        <w:rPr/>
      </w:pPr>
      <w:bookmarkEnd w:id="21"/>
      <w:r>
        <w:rPr>
          <w:rFonts w:ascii="Amiri" w:hAnsi="Amiri" w:eastAsia="Amiri" w:cs="Amiri"/>
          <w:color w:val="111111"/>
          <w:sz w:val="28"/>
          <w:sz w:val="28"/>
          <w:szCs w:val="28"/>
          <w:rtl w:val="true"/>
          <w:lang w:bidi="ar-SA"/>
        </w:rPr>
        <w:t xml:space="preserve">الدفّتين، وهو ما في أيدي الناس ليس بأكثر من ذلك، ومبلغ سوره عند الناس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وعندنا أنّ الضحى والانشراح سورة واحدة، كما أنّ الإيلاف والفيل سورة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نسب إلينا أنّا نقول إنّه أكثر من ذلك فهو 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الرسالة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ثمّ إنّ 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شرح تلك الرسالة بكتاب أسماه شرح عقائد الصدوق، أو تصحيح الاعتقاد ناقش فيها استاذه الصدوق في بعض المواضع التي استند فيها الصدوق على روايات غير جامعة للشرائط في باب العقائد </w:t>
      </w:r>
      <w:r>
        <w:rPr>
          <w:rFonts w:eastAsia="Amiri" w:cs="Amiri" w:ascii="Amiri" w:hAnsi="Amiri"/>
          <w:color w:val="111111"/>
          <w:sz w:val="28"/>
          <w:szCs w:val="28"/>
          <w:rtl w:val="true"/>
          <w:lang w:bidi="ar-SA"/>
        </w:rPr>
        <w:t>.</w:t>
      </w:r>
      <w:r>
        <w:rPr>
          <w:rStyle w:val="FootnoteAnchor"/>
          <w:rtl w:val="true"/>
        </w:rPr>
        <w:footnoteReference w:id="5"/>
      </w:r>
    </w:p>
    <w:p>
      <w:pPr>
        <w:pStyle w:val="Heading3"/>
        <w:numPr>
          <w:ilvl w:val="2"/>
          <w:numId w:val="1"/>
        </w:numPr>
        <w:rPr/>
      </w:pPr>
      <w:bookmarkStart w:id="22" w:name="__RefHeading___Toc4440367_211673320"/>
      <w:bookmarkStart w:id="23" w:name="_Toc8"/>
      <w:bookmarkEnd w:id="22"/>
      <w:r>
        <w:rPr/>
        <w:t>4</w:t>
      </w:r>
      <w:r>
        <w:rPr>
          <w:rtl w:val="true"/>
        </w:rPr>
        <w:t xml:space="preserve">- </w:t>
      </w:r>
      <w:r>
        <w:rPr>
          <w:rtl w:val="true"/>
        </w:rPr>
        <w:t>ما أملاه الصدوق أيضاً</w:t>
      </w:r>
      <w:r>
        <w:rPr>
          <w:rtl w:val="true"/>
        </w:rPr>
        <w:t xml:space="preserve">- </w:t>
      </w:r>
      <w:r>
        <w:rPr>
          <w:rtl w:val="true"/>
        </w:rPr>
        <w:t>رحمه اللَّه</w:t>
      </w:r>
      <w:r>
        <w:rPr>
          <w:rtl w:val="true"/>
        </w:rPr>
        <w:t>-:</w:t>
      </w:r>
      <w:bookmarkEnd w:id="23"/>
    </w:p>
    <w:p>
      <w:pPr>
        <w:pStyle w:val="BookText"/>
        <w:rPr/>
      </w:pPr>
      <w:r>
        <w:rPr>
          <w:rFonts w:ascii="Amiri" w:hAnsi="Amiri" w:eastAsia="Amiri" w:cs="Amiri"/>
          <w:color w:val="111111"/>
          <w:sz w:val="28"/>
          <w:sz w:val="28"/>
          <w:szCs w:val="28"/>
          <w:rtl w:val="true"/>
          <w:lang w:bidi="ar-SA"/>
        </w:rPr>
        <w:t>على جماعة في المجلس الثالث والتسعين، وجاء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 في هذا اليوم إلى الشيخ الفقيه أبي جعفر محمّد بن علي بن الحسين بن موسى بن بابويه أهل مجلسه والمشايخ، فسألوه أن يملي عليهم وصف دين الإماميّة على الإيجاز والاختصار،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الإماميّة هو الإقرار بتوحيد اللَّه تعالى ذكره، ونفي التشبيه عنه، وتنزيهه عمّا لا يليق، والإقرار بأنبياء اللَّه ورسله وحججه وملائكته وكتبه، والإقرار بأنّ محمّداً هو سيّد الأنبياء والمرسلين، وأنّه أفضل منهم ومن جميع</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الملائكة المقرّبين، وأنّه خاتم النبيّين فلا نبيّ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 </w:t>
      </w:r>
      <w:r>
        <w:rPr>
          <w:rFonts w:eastAsia="Amiri" w:cs="Amiri" w:ascii="Amiri" w:hAnsi="Amiri"/>
          <w:color w:val="111111"/>
          <w:sz w:val="28"/>
          <w:szCs w:val="28"/>
          <w:rtl w:val="true"/>
          <w:lang w:bidi="ar-SA"/>
        </w:rPr>
        <w:t>.</w:t>
      </w:r>
      <w:r>
        <w:rPr>
          <w:rStyle w:val="FootnoteAnchor"/>
          <w:rtl w:val="true"/>
        </w:rPr>
        <w:footnoteReference w:id="6"/>
      </w:r>
      <w:bookmarkStart w:id="24" w:name="pg507_2720"/>
    </w:p>
    <w:p>
      <w:pPr>
        <w:pStyle w:val="Heading3"/>
        <w:numPr>
          <w:ilvl w:val="2"/>
          <w:numId w:val="1"/>
        </w:numPr>
        <w:rPr/>
      </w:pPr>
      <w:bookmarkStart w:id="25" w:name="__RefHeading___Toc4440369_211673320"/>
      <w:bookmarkStart w:id="26" w:name="_Toc9"/>
      <w:bookmarkEnd w:id="24"/>
      <w:bookmarkEnd w:id="25"/>
      <w:r>
        <w:rPr/>
        <w:t>5</w:t>
      </w:r>
      <w:r>
        <w:rPr>
          <w:rtl w:val="true"/>
        </w:rPr>
        <w:t xml:space="preserve">- </w:t>
      </w:r>
      <w:r>
        <w:rPr>
          <w:rtl w:val="true"/>
        </w:rPr>
        <w:t>جمل العلم والعمل للسيّد الشريف المرتضى</w:t>
      </w:r>
      <w:r>
        <w:rPr>
          <w:rtl w:val="true"/>
        </w:rPr>
        <w:t>:</w:t>
      </w:r>
      <w:bookmarkEnd w:id="26"/>
    </w:p>
    <w:p>
      <w:pPr>
        <w:pStyle w:val="BookText"/>
        <w:rPr/>
      </w:pPr>
      <w:r>
        <w:rPr>
          <w:rFonts w:ascii="Amiri" w:hAnsi="Amiri" w:eastAsia="Amiri" w:cs="Amiri"/>
          <w:color w:val="111111"/>
          <w:sz w:val="28"/>
          <w:sz w:val="28"/>
          <w:szCs w:val="28"/>
          <w:rtl w:val="true"/>
          <w:lang w:bidi="ar-SA"/>
        </w:rPr>
        <w:t>ألّف السيّد الشريف المرتضى رسالة موجزة في العقائد أسماها جمل العلم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عقائد الشيعة على وجه الايجاز، نذكر ما يرتبط بالتوحيد، وندعو القارئ الكريم إلى مطالعة الرسالة لما فيها من العرض الدقيق لهذه الجوانب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ما يجب اعتقاده في أبواب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الأجسام محدثَة لأنّها لم تسبق الحوادث، فلها حكمها في الحدوث، ولابدّ لها من محدِث، لحاجة كلّ محدَث في حدوثه إلى محدِث كالصناعة والكتابة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من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قادراً لتعذّر الفعل على من لم يكن قادراً، وتيسّره على من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كون محدِثها عالماً لأنّ الاحكام ظاهر في كثير من العالم، والمحكم لا يقع إلّا من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كونه موجوداً، لأنّ له تعلّقاً من حيث كان قادراً عالماً، وهذا الضرب من التعلّق لا يصح إلّا مع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كونه قديماً، لانتهاء الحوادث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كونه حيّاً، وإلّا لم يصح كونه قادراً، عالماً، فضلًا عن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يكون مدركاً إذا وجدت المدركات، لاقتضاء كونه حيّاً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وواجب كونه سميعاً بصيراً، لأنّه ممّن يجب أن يدرك المدركات إذا وجدت، وهذه فائدة قولنا سميع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كانتا عن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تعالى مريداً وكارهاً، لأنّه تعالى قد أمر وأخبر ونهى، ولايكون الأمر والخبر أمراً ولا خبراً إلّا بالإرادة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والنهي لا يكون نهياً إلّا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يستحق هاتين الصفتين لنفسه، لوجوب كونه مريداً كارهاً للشي‌ء الواحد، على الوجه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لعلّة قديمة، لما سنبطل به الصفات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لعلّة محدثة في غير حي لافتقار الإرادة إلى 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لعلّة موجودة في حي، لوجوب رجوع حكمها إلى ذلك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أن توجد لا في 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يكون له في نفسه صفة زائدة على ما ذكرناه لأنّه لا حكم لها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وإثبات ما لا حكم له معقول من الصفات، يفضي إلى الجهالات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يكون قادراً فيما لم يزل، لأنّه لو تجدّد له ذلك لم يكن إلّا لقدرة محدثة، ولا يمكن اسناد احداثها إلّا إليه، فيؤدّي إلى تعلّق كونه قادراً بكونه محدثاً، وكونه محدثاً بكونه قادراً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كونه قادراً فيما لم يزل يقتضي أن يكون فيما لم يزل حيّاً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يكون عالماً فيما لم يزل، لأنّ تجدّد كونه عالماً يقتضي أن يكون بحدوث علم، والعلم لا يقع إلّا ممّن هو عالم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ووجوب هذه الصفات لم تدل على أنّها نفسيّة، وادّعاء وجوبها لمعان قديمة تبطل صفات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الاشتراك في القدم يوجب التماثل والمشاركة في سائر الصفات ولا يجوز خروجه تعالى عن هذه الصفات لاسنادها إلى النفس</w:t>
      </w:r>
      <w:r>
        <w:rPr>
          <w:rFonts w:eastAsia="Amiri" w:cs="Amiri" w:ascii="Amiri" w:hAnsi="Amiri"/>
          <w:color w:val="111111"/>
          <w:sz w:val="28"/>
          <w:szCs w:val="28"/>
          <w:rtl w:val="true"/>
          <w:lang w:bidi="ar-SA"/>
        </w:rPr>
        <w:t>.</w:t>
      </w:r>
      <w:bookmarkStart w:id="27" w:name="pg507_2722"/>
    </w:p>
    <w:p>
      <w:pPr>
        <w:pStyle w:val="BookText"/>
        <w:rPr/>
      </w:pPr>
      <w:bookmarkEnd w:id="27"/>
      <w:r>
        <w:rPr>
          <w:rFonts w:ascii="Amiri" w:hAnsi="Amiri" w:eastAsia="Amiri" w:cs="Amiri"/>
          <w:color w:val="111111"/>
          <w:sz w:val="28"/>
          <w:sz w:val="28"/>
          <w:szCs w:val="28"/>
          <w:rtl w:val="true"/>
          <w:lang w:bidi="ar-SA"/>
        </w:rPr>
        <w:t>ويجب كونه تعالى غنيّاً غير محتاج، لأنّ الحاجة تقتضي أن يكون ممّن ينتفع ويستضر، وتؤدّي إلى كونه جسماً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كونه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بصفة الجواهر والأجسام والاعراض لقدمه وحدوث هذه أجمع، ولأنّه فاعل الأجسام، والجسم يتعذر عليه فعل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عليه تعالى الرؤية، لأنّه كان يجب مع ارتفاع الموانع وصحّة ابصارنا أن نراه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ولمثل ذلك يعلم أنّه لا يُدرك بسائر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يكون تعالى واحداً لا ثاني له في القدم، لأنّ إثبات ثان يؤدّي إلى إثبات ذاتين لا حكم لهما يزيد على حكم الذات الواحدة، ويؤدّي أيضاً إلى تعذّر الفعل على القادر من غير جهة منع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بطل قديم ثان بطل قول الثنوية والنصارى والمجوس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r>
        <w:rPr>
          <w:rFonts w:eastAsia="Amiri" w:cs="Amiri" w:ascii="Amiri" w:hAnsi="Amiri"/>
          <w:color w:val="111111"/>
          <w:sz w:val="28"/>
          <w:szCs w:val="28"/>
          <w:rtl w:val="true"/>
          <w:lang w:bidi="ar-SA"/>
        </w:rPr>
        <w:t>.</w:t>
      </w:r>
      <w:r>
        <w:rPr>
          <w:rStyle w:val="FootnoteAnchor"/>
          <w:rtl w:val="true"/>
        </w:rPr>
        <w:footnoteReference w:id="7"/>
      </w:r>
    </w:p>
    <w:p>
      <w:pPr>
        <w:pStyle w:val="Heading3"/>
        <w:numPr>
          <w:ilvl w:val="2"/>
          <w:numId w:val="1"/>
        </w:numPr>
        <w:rPr/>
      </w:pPr>
      <w:bookmarkStart w:id="28" w:name="__RefHeading___Toc4440371_211673320"/>
      <w:bookmarkStart w:id="29" w:name="_Toc10"/>
      <w:bookmarkEnd w:id="28"/>
      <w:r>
        <w:rPr/>
        <w:t>6</w:t>
      </w:r>
      <w:r>
        <w:rPr>
          <w:rtl w:val="true"/>
        </w:rPr>
        <w:t xml:space="preserve">- </w:t>
      </w:r>
      <w:r>
        <w:rPr>
          <w:rtl w:val="true"/>
        </w:rPr>
        <w:t>البيان عن جمل اعتقاد أهل الإيمان للكراجكي</w:t>
      </w:r>
      <w:r>
        <w:rPr>
          <w:rtl w:val="true"/>
        </w:rPr>
        <w:t>:</w:t>
      </w:r>
      <w:bookmarkEnd w:id="29"/>
    </w:p>
    <w:p>
      <w:pPr>
        <w:pStyle w:val="Heading4"/>
        <w:numPr>
          <w:ilvl w:val="3"/>
          <w:numId w:val="1"/>
        </w:numPr>
        <w:rPr/>
      </w:pPr>
      <w:bookmarkStart w:id="30" w:name="__RefHeading___Toc4440373_211673320"/>
      <w:bookmarkStart w:id="31" w:name="_Toc11"/>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 xml:space="preserve">كتب الإمام أبو الفتح الشيخ محمّد بن علي الكراجكي الطرابلسي رسالة موجزة في عقائد الإمامية وأسماها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عن جمل اعتقاد أهل الإيمان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يا أخي أسعدك اللَّه بألطافه، وأيّدك باحسانه واسعافه، أن أثبت لك جملًا من اعتقادات الشيعة المؤمنين، وفصولًا في المذهب يكون</w:t>
      </w:r>
      <w:bookmarkStart w:id="32" w:name="pg507_2723"/>
    </w:p>
    <w:p>
      <w:pPr>
        <w:pStyle w:val="BookText"/>
        <w:rPr/>
      </w:pPr>
      <w:bookmarkEnd w:id="32"/>
      <w:r>
        <w:rPr>
          <w:rFonts w:ascii="Amiri" w:hAnsi="Amiri" w:eastAsia="Amiri" w:cs="Amiri"/>
          <w:color w:val="111111"/>
          <w:sz w:val="28"/>
          <w:sz w:val="28"/>
          <w:szCs w:val="28"/>
          <w:rtl w:val="true"/>
          <w:lang w:bidi="ar-SA"/>
        </w:rPr>
        <w:t>عليها بناء المسترشدين، لتذاكر نفسك بها، وتجعلها عدّة لطالبها، وأنا أختصر لك القول وأُجمله، وأُقرّب الذكر وأُسهّله وأورده على سنن الفتيا في المقالة، من غير حجّة ولا دلالة، وما توفيقي إلّا باللَّه</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4440375_211673320"/>
      <w:bookmarkStart w:id="34" w:name="_Toc12"/>
      <w:bookmarkEnd w:id="33"/>
      <w:r>
        <w:rPr>
          <w:rtl w:val="true"/>
        </w:rPr>
        <w:t>في توحيده سبحانه</w:t>
      </w:r>
      <w:r>
        <w:rPr>
          <w:rtl w:val="true"/>
        </w:rPr>
        <w:t>:</w:t>
      </w:r>
      <w:bookmarkEnd w:id="34"/>
    </w:p>
    <w:p>
      <w:pPr>
        <w:pStyle w:val="BookText"/>
        <w:rPr/>
      </w:pPr>
      <w:r>
        <w:rPr>
          <w:rFonts w:ascii="Amiri" w:hAnsi="Amiri" w:eastAsia="Amiri" w:cs="Amiri"/>
          <w:color w:val="111111"/>
          <w:sz w:val="28"/>
          <w:sz w:val="28"/>
          <w:szCs w:val="28"/>
          <w:rtl w:val="true"/>
          <w:lang w:bidi="ar-SA"/>
        </w:rPr>
        <w:t>إعلم أنّ الواجب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يعتقد حدوث العالم بأسره، وانّه لم يكن شيئاً قبل وجوده، ويعتقد أنّ اللَّه تعالى هو محدِث جميعه، من أجسامه، واعراضه، إلّا أفعال العباد الواقعة منهم، فإنّهم محدثوها دونه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ويعتقد أنّ اللَّه قديم وحده، لا قديم سواه، وأنّه موجود لم يزل، وباق لا يزال، وأنّه شي‌ء لا كالأشياء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شبيه الموجودات، ولا يجوز عليه ما يجوز على المحدثات، وأنّ له صفات يستحقّها لنفسه لا لمعان غيره، وهي كونه حيّاً، عالماً، قديماً باقياً، لا يجوز خروجه عن هذه الصفات إلى ضدّها، يعلم الكائنات قبل كونها، ولا يخفى عليه شي‌ء منها</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4440377_211673320"/>
      <w:bookmarkStart w:id="36" w:name="_Toc13"/>
      <w:bookmarkEnd w:id="35"/>
      <w:r>
        <w:rPr>
          <w:rtl w:val="true"/>
        </w:rPr>
        <w:t>في عدله سبحانه</w:t>
      </w:r>
      <w:r>
        <w:rPr>
          <w:rtl w:val="true"/>
        </w:rPr>
        <w:t>:</w:t>
      </w:r>
      <w:bookmarkEnd w:id="36"/>
    </w:p>
    <w:p>
      <w:pPr>
        <w:pStyle w:val="BookText"/>
        <w:rPr/>
      </w:pPr>
      <w:r>
        <w:rPr>
          <w:rFonts w:ascii="Amiri" w:hAnsi="Amiri" w:eastAsia="Amiri" w:cs="Amiri"/>
          <w:color w:val="111111"/>
          <w:sz w:val="28"/>
          <w:sz w:val="28"/>
          <w:szCs w:val="28"/>
          <w:rtl w:val="true"/>
          <w:lang w:bidi="ar-SA"/>
        </w:rPr>
        <w:t>وأنّ له صفات أفعال، لا يصح اضافتها إليه في الحقيقة إلّا بعد فعله، وهي ما وصف به نفسه من أنّه خالق، ورازق، ومعط، وراحم، ومالك، ومتكلّم،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له صفات مجازات وهي ما وصف به نفسه، من أنّه يريد ويكره، ويرضى ويغضب</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فارادته لفعل هي الفعل المراد بعينه، وإرادته لفعل غيره هي الأمر</w:t>
      </w:r>
    </w:p>
    <w:p>
      <w:pPr>
        <w:pStyle w:val="BookText"/>
        <w:rPr/>
      </w:pPr>
      <w:r>
        <w:rPr>
          <w:rFonts w:ascii="Amiri" w:hAnsi="Amiri" w:eastAsia="Amiri" w:cs="Amiri"/>
          <w:color w:val="111111"/>
          <w:sz w:val="28"/>
          <w:sz w:val="28"/>
          <w:szCs w:val="28"/>
          <w:rtl w:val="true"/>
          <w:lang w:bidi="ar-SA"/>
        </w:rPr>
        <w:t>بذلك الفعل، وليس تسميتها بالإرادة حقيقة، وإنّما هو على مجاز اللغة، وغضبه هو وجود عقابه، ورضاه هو وجود ثوابه، وأنّه لا يفتقر إلى مكان، ولا يدرك بشي‌ء من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منزّه من القبائح، لا يظلم الناس وإن كان قادراً على الظلم، لأنّه عالم بقبحه، غني عن فعله، قوله صدق، ووعده حقّ، لا يكلّف خلقه على ما لا يستطاع، ولا يحرمهم صلاحاً لهم فيه الانتفاع، ولا يأمر بما لا يريد، ولا ينهي عمّا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خلق الخلق لمصلحتهم، وكلّفهم لأجل منازل منفعتهم، وأزاح في التكليف عللهم، وفعل أصلح الأشياء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أقدرهم قبل التكليف، وأوجد لهم العقل والتمييز</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القدرة تصلح أن يفعل بها وضده بدلًا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الحق الذي تجب معرفته، يدرك بشيئين، وهما العقل والسمع، وأنّ التكليف العقلي لا ينفك عن التكليف السمعي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اللَّه تعالى قد أوجد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زمان مسمعاً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أنبيائه وحججه بينه وبين الخلق، ينبّههم على طريق الاستدلال في العقليات، ويفقّههم على ما لا يعلمونه إلّا به من السمعيات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جميع حجج اللَّه تعالى محيطون علماً بجميع ما يفتقر إليهم فيه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معصومون من الخطأ والزلل عصمة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فضلهم على خلقه، وجعلهم خلفاءه القائمين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أظهر على أيديهم المعجزات، تصديقاً لهم فيما ادّعوه من الأنباء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بأجمعهم عباد مخلوقون، بشر مكلّفون يأكلون ويشربون، ويتناسلون، ويحيون بإحيائه، ويموتون بإماتته، تجوز عليهم الآلام المعترضات، فمنهم من قتل، ومنهم من مات، لا يقدرون على خلق، ولا رزق، ولا يعلمون الغيب إلّا ما أعلمهم إله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أقوالهم صدق، وجميع ما أتوا به حق</w:t>
      </w:r>
      <w:r>
        <w:rPr>
          <w:rFonts w:eastAsia="Amiri" w:cs="Amiri" w:ascii="Amiri" w:hAnsi="Amiri"/>
          <w:color w:val="111111"/>
          <w:sz w:val="28"/>
          <w:szCs w:val="28"/>
          <w:rtl w:val="true"/>
          <w:lang w:bidi="ar-SA"/>
        </w:rPr>
        <w:t>.</w:t>
      </w:r>
      <w:bookmarkStart w:id="37" w:name="pg507_2725"/>
    </w:p>
    <w:p>
      <w:pPr>
        <w:pStyle w:val="Heading4"/>
        <w:numPr>
          <w:ilvl w:val="3"/>
          <w:numId w:val="1"/>
        </w:numPr>
        <w:rPr/>
      </w:pPr>
      <w:bookmarkStart w:id="38" w:name="__RefHeading___Toc4440379_211673320"/>
      <w:bookmarkStart w:id="39" w:name="_Toc14"/>
      <w:bookmarkEnd w:id="37"/>
      <w:bookmarkEnd w:id="38"/>
      <w:r>
        <w:rPr>
          <w:rtl w:val="true"/>
        </w:rPr>
        <w:t>في النبوّة العامّة والخاصّة</w:t>
      </w:r>
      <w:r>
        <w:rPr>
          <w:rtl w:val="true"/>
        </w:rPr>
        <w:t>:</w:t>
      </w:r>
      <w:bookmarkEnd w:id="39"/>
    </w:p>
    <w:p>
      <w:pPr>
        <w:pStyle w:val="BookText"/>
        <w:rPr/>
      </w:pPr>
      <w:r>
        <w:rPr>
          <w:rFonts w:ascii="Amiri" w:hAnsi="Amiri" w:eastAsia="Amiri" w:cs="Amiri"/>
          <w:color w:val="111111"/>
          <w:sz w:val="28"/>
          <w:sz w:val="28"/>
          <w:szCs w:val="28"/>
          <w:rtl w:val="true"/>
          <w:lang w:bidi="ar-SA"/>
        </w:rPr>
        <w:t>وأنّ أفضل الأنبياء أُولو العزم، وهم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وإبراهيم، وموسى، وعيسى، ومحمّد صلَّى اللَّه عليه و آله و سلَّم وعليهم، وانّ محمّد بن عبد اللَّه صلَّى اللَّه عليه و آله و سلَّم أفضل الأنبياء أجمعين، وخير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خاتم النبيين، وانّ آباءه من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إلى عبد اللَّه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جميعاً مؤمنين، وموحّدين للَّه تعالى عارفين، وكذلك أبو طالب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ويعتقد أنّ اللَّه سبحانه شرّف نبيّنا صلَّى اللَّه عليه و آله و سلَّم بباهر الآيات، وقاهر المعجزات، فسبّح في كفّه الحصاء، ونبع من بين أصابعه الماء، وغير ذلك ممّا قد تضمّنته الأنباء، وأجمع على صحّته العلماء، وأتى بالقرآن المبين، الذي بهر به السامعين، وعجز من الاتيان بمثله سائر الملحدين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القرآن كلام ربّ العالمين، وانّه محدث ليس بقديم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يعتقد أنّ جميع ما فيه من الآيات الذي يتضمّن ظاهرها تشبيه اللَّه تعالى بخلقه، وانّه يجبرهم على طاعته أو معصيته، أو يضل بعضهم عن طريق هدايته، فإنّ ذلك كلّه لا يجوز حمله على ظاهرها، وانّ له تأويلًا يلائم ما تشهد به العقول ممّا قدّمنا ذكره في صفات اللَّه تعالى، وصفات أنبيائه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عرف المكلّف تأويل هذه الآيات فحسن، وإلّا أجزأ أن يعتقد في الجملة أنّها متشابهات، وأنّ لها تأويلًا ملائماً، يشهد بما تشهد به العقول والآيات المحكمات، وفي القرآن المحكم، والمتشابه، والحقيقة، والمجاز، والناسخ، والمنسوخ، والخاص، والعام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عليه أن يقرّ بملائكة اللَّه أجمعين، وأنّ منهم جبرئيل وميكائيل،</w:t>
      </w:r>
    </w:p>
    <w:p>
      <w:pPr>
        <w:pStyle w:val="BookText"/>
        <w:rPr/>
      </w:pPr>
      <w:r>
        <w:rPr>
          <w:rFonts w:ascii="Amiri" w:hAnsi="Amiri" w:eastAsia="Amiri" w:cs="Amiri"/>
          <w:color w:val="111111"/>
          <w:sz w:val="28"/>
          <w:sz w:val="28"/>
          <w:szCs w:val="28"/>
          <w:rtl w:val="true"/>
          <w:lang w:bidi="ar-SA"/>
        </w:rPr>
        <w:t>وأنّهما من الملائكة الكرام، كالأنبياء بين الأنام، وأنّ جبرئيل هو الروح الأمين الذي نزل بالقرآن على قلب محمّد خاتم النبيّين، وهو الذي كان يأتيه بالوحي من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الإقرار بأنّ شريعة الإسلام التي أتى بها محمّد صلَّى اللَّه عليه و آله و سلَّم ناسخة لما خالفها من شرائع الأنبياء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يجب التمسّك بها والعمل بما تضمّنته من فرائضها، وأنّ ذلك دين اللَّه الثابت الباقي إلى أن يرث اللَّه الأرض ومن عليها، لا حلال إلّا ما أحلّت ولا حرام إلّا ما حرّمت، ولا فرض إلّا ما فرضت، ولا عبادة إلّا ما أُوجبت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انصرف عن الإسم، وتمسّك بغيره، كافر ضالّ، مخلّد في النار، ولو بذل من الاجتهاد في العبادة غاية المستطاع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أظهر الإقرار بالشهادتين كان مسلماً، ومن صدّق بقلبه ولم يشك في فرض أتى به محمّد صلَّى اللَّه عليه و آله و سلَّم كان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الشرائط الواجبة للإيمان، العمل بالفرائض اللازمة، فكل مؤمن مسلم، وليس كل مسلم 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w:t>
      </w:r>
      <w:r>
        <w:rPr>
          <w:rStyle w:val="FootnoteAnchor"/>
          <w:rtl w:val="true"/>
        </w:rPr>
        <w:footnoteReference w:id="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أراد به الإسلام الصحيح التام، الذي يكون المسلم فيه عارفاً، مؤمناً، عالماً بالواجبات طائعاً</w:t>
      </w:r>
      <w:r>
        <w:rPr>
          <w:rFonts w:eastAsia="Amiri" w:cs="Amiri" w:ascii="Amiri" w:hAnsi="Amiri"/>
          <w:color w:val="111111"/>
          <w:sz w:val="28"/>
          <w:szCs w:val="28"/>
          <w:rtl w:val="true"/>
          <w:lang w:bidi="ar-SA"/>
        </w:rPr>
        <w:t>.</w:t>
      </w:r>
      <w:bookmarkStart w:id="40" w:name="pg507_2727"/>
    </w:p>
    <w:p>
      <w:pPr>
        <w:pStyle w:val="Heading4"/>
        <w:numPr>
          <w:ilvl w:val="3"/>
          <w:numId w:val="1"/>
        </w:numPr>
        <w:rPr/>
      </w:pPr>
      <w:bookmarkStart w:id="41" w:name="__RefHeading___Toc4440381_211673320"/>
      <w:bookmarkStart w:id="42" w:name="_Toc15"/>
      <w:bookmarkEnd w:id="40"/>
      <w:bookmarkEnd w:id="41"/>
      <w:r>
        <w:rPr>
          <w:rtl w:val="true"/>
        </w:rPr>
        <w:t>في الإمامة والخلافة</w:t>
      </w:r>
      <w:r>
        <w:rPr>
          <w:rtl w:val="true"/>
        </w:rPr>
        <w:t>:</w:t>
      </w:r>
      <w:bookmarkEnd w:id="42"/>
    </w:p>
    <w:p>
      <w:pPr>
        <w:pStyle w:val="BookText"/>
        <w:rPr/>
      </w:pPr>
      <w:r>
        <w:rPr>
          <w:rFonts w:ascii="Amiri" w:hAnsi="Amiri" w:eastAsia="Amiri" w:cs="Amiri"/>
          <w:color w:val="111111"/>
          <w:sz w:val="28"/>
          <w:sz w:val="28"/>
          <w:szCs w:val="28"/>
          <w:rtl w:val="true"/>
          <w:lang w:bidi="ar-SA"/>
        </w:rPr>
        <w:t>ويجب أن يعتقد أنّ حجج اللَّه تعالى بعد رسوله الذين هم خلفاؤه، وحفظة شرعه، وأئمّة أُمّته، اثنا عشر أهل بيته، أوّلهم أخوه وابن عمّه، وصهره بعل فاطمة الزهراء ابنته، ووصيّه على أُمّته علي بن أبي طالب أمير المؤمنين، ثمّ الحسن بن علي الزكي، ثمّ الحسين بن علي الشهيد، ثمّ علي بن الحسين زين العابدين، ثمّ محمّد بن علي باقر العلوم، ثمّ جعفر بن محمّد الصادق، ثمّ موسى بن جعفر الكاظم، ثمّ علي بن موسى الرضا، ثمّ محمّد بن علي التقي، ثمّ علي بن محمّد المنتجب، ثمّ الحسن بن علي الهادي، ثمّ الخلف الصالح بن الحسن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إمامة بعد رسول اللَّه صلَّى اللَّه عليه و آله و سلَّم إلّا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الاقتداء في الدين إلّا بهم، ولا أخذ معالم الدين إلّا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وأنّهم في كمال العلم والعصمة من الآثام نظير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وأنّهم أفضل الخلق بعد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إمامتهم منصوص عليها من قبل اللَّه على اليقين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سبحانه أظهر على أيديهم الآيات، وأعلمهم كثيراً من الغائبات، والا مور المستقبلات، ولم يعطهم من ذلك إلّا ما قارن وجهاً يعلمه من اللطف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وليسوا عارفين بجميع الضمائر والغائبات على الدوام، ولا يحيطون بالعلم بكل ما علمه اللَّه تعالى</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والآيات التي تظهر على أيديهم هي فعل اللَّه دونهم، أكرمهم بها، ولا</w:t>
      </w:r>
    </w:p>
    <w:p>
      <w:pPr>
        <w:pStyle w:val="BookText"/>
        <w:rPr/>
      </w:pPr>
      <w:r>
        <w:rPr>
          <w:rFonts w:ascii="Amiri" w:hAnsi="Amiri" w:eastAsia="Amiri" w:cs="Amiri"/>
          <w:color w:val="111111"/>
          <w:sz w:val="28"/>
          <w:sz w:val="28"/>
          <w:szCs w:val="28"/>
          <w:rtl w:val="true"/>
          <w:lang w:bidi="ar-SA"/>
        </w:rPr>
        <w:t>صنع لهم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وأنّهم بشر محدثون، وعباد مصنوعون، لا يخلقون، ولا يرزقون، ويأكلون ويشربون، وتكون لهم الأزواج، وتنالهم الآلام والاعلال، ويستضامون، ويخافون فيتقون، وأنّ منهم من قتل، ومنهم من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إمام هذا الزمان هو المهدي بن الحسن الهادي، وأنّه الحجّة على العالمين، وخاتم الأئمّة الطاهرين، لا إمامة لأحد بعد إمامته، ولا دولة بعد دولته، وأنّه غائب عن رعيته، غيبة اضطرار وخوف من أهل الضلال، وللمعلوم عند اللَّه تعالى في ذلك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يعرّف نفسه في زمن الغيبة لبعض الناس، وأنّ اللَّه عزّ وجلّ سيظهره وقت مشيئته، ويجعل له الأعوان والأصحاب، فيمهّد الدين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 الأرض على يديه، ويهلك أهل الضلال، ويقيم عمود الإسلام، ويصير الدين كلّه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اللَّه عزّ وجلّ يظهر على يديه عند ظهوره الاعلام، وتأتيه المعجزات بخرق العادات، ويحيي له بعض الأموات، فإذا قام في الناس المدة المعلومة عند اللَّه سبحانه قبضه إليه، ثمّ لا يمتد بعده الزمان، ولا تتّصل الأيام حتى تكون شرائط الساعة، وإماتة من بقي من الناس، ثمّ يكون المعاد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ويعتقد أنّ أفضل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 وأنّه لا يجوز أن يسمّى بأمير المؤمنين أحد سواه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بقيّة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لهم الأئمّة، والخلفاء، والأوصياء، والحجج، وإن كانوا في الحقيقة أُمراء المؤمنين، فإنّهم لم يمنعوا</w:t>
      </w:r>
    </w:p>
    <w:p>
      <w:pPr>
        <w:pStyle w:val="BookText"/>
        <w:rPr/>
      </w:pPr>
      <w:r>
        <w:rPr>
          <w:rFonts w:ascii="Amiri" w:hAnsi="Amiri" w:eastAsia="Amiri" w:cs="Amiri"/>
          <w:color w:val="111111"/>
          <w:sz w:val="28"/>
          <w:sz w:val="28"/>
          <w:szCs w:val="28"/>
          <w:rtl w:val="true"/>
          <w:lang w:bidi="ar-SA"/>
        </w:rPr>
        <w:t>من هذا الاسم لأجل معناه، لأنّه حاصل لهم على الاستحقاق، وإنّما منعوا من لفظه حشمة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أفضل الأئمّة بعد أمير المؤمنين، ولده الحسن، ثمّ الحسين، وأفضل الباقين بعد الحسين، إمام الزمان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بقية الأئمّة بعده على ما جاء به الأثر وثبت في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هو الذي قال فيه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 اللَّه تعالى ذلك اليوم حتى يظهر فيه رجل من ولدي يواطئ اسمه اسمي، يملأها عدلًا وقسطاً كما ملئت ظلماً وجوراً</w:t>
      </w:r>
      <w:r>
        <w:rPr>
          <w:rFonts w:eastAsia="Amiri" w:cs="Amiri" w:ascii="Amiri" w:hAnsi="Amiri"/>
          <w:color w:val="111111"/>
          <w:sz w:val="28"/>
          <w:szCs w:val="28"/>
          <w:rtl w:val="true"/>
          <w:lang w:bidi="ar-SA"/>
        </w:rPr>
        <w:t>»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فاسمه يواطئ اسم رسول اللَّه صلَّى اللَّه عليه و آله و سلَّم وكنيته تواطئ كنيته، غير أنّ النهي قد ورد عن اللفظ، فلا يجوز أن يتجاوز في القول أنّه المهدي، والمنتظر، والقائم بالحق، والخلف الصالح، وإمام الزمان، وحجّة اللَّه على الخلق</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أن يعتقد أنّ اللَّه فرض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بأجمعهم، وطاعتهم، وموالاتهم، والاقتداء بهم، والبراءة من أعدائهم وظالميهم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يتم الإيمان إلّا بموالاة أولياء اللَّه، ومعاداة أعدائه</w:t>
      </w:r>
      <w:r>
        <w:rPr>
          <w:rFonts w:eastAsia="Amiri" w:cs="Amiri" w:ascii="Amiri" w:hAnsi="Amiri"/>
          <w:color w:val="111111"/>
          <w:sz w:val="28"/>
          <w:szCs w:val="28"/>
          <w:rtl w:val="true"/>
          <w:lang w:bidi="ar-SA"/>
        </w:rPr>
        <w:t>.</w:t>
      </w:r>
      <w:bookmarkStart w:id="43" w:name="pg507_2730"/>
    </w:p>
    <w:p>
      <w:pPr>
        <w:pStyle w:val="Heading4"/>
        <w:numPr>
          <w:ilvl w:val="3"/>
          <w:numId w:val="1"/>
        </w:numPr>
        <w:rPr/>
      </w:pPr>
      <w:bookmarkStart w:id="44" w:name="__RefHeading___Toc4440383_211673320"/>
      <w:bookmarkStart w:id="45" w:name="_Toc16"/>
      <w:bookmarkEnd w:id="43"/>
      <w:bookmarkEnd w:id="44"/>
      <w:r>
        <w:rPr>
          <w:rtl w:val="true"/>
        </w:rPr>
        <w:t>في التوبة والحشر والنشر</w:t>
      </w:r>
      <w:r>
        <w:rPr>
          <w:rtl w:val="true"/>
        </w:rPr>
        <w:t>:</w:t>
      </w:r>
      <w:bookmarkEnd w:id="45"/>
    </w:p>
    <w:p>
      <w:pPr>
        <w:pStyle w:val="BookText"/>
        <w:rPr/>
      </w:pPr>
      <w:r>
        <w:rPr>
          <w:rFonts w:ascii="Amiri" w:hAnsi="Amiri" w:eastAsia="Amiri" w:cs="Amiri"/>
          <w:color w:val="111111"/>
          <w:sz w:val="28"/>
          <w:sz w:val="28"/>
          <w:szCs w:val="28"/>
          <w:rtl w:val="true"/>
          <w:lang w:bidi="ar-SA"/>
        </w:rPr>
        <w:t>ويعتقد أنّ اللَّه يزيد وينقص إذا شاء في الأرزاق والآجال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لم يرزق العبد إلّا ما كان حلالًا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ويعتقد أنّ باب التوبة مفتوح لمن طلبها، وهي الندم على ما مضى من المعصية، والعزم على ترك المعاودة إلى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التوبة ماحية لما قبلها من المعصية التي تاب العبد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وتجوز التوبة من زلّة إذا كان التائب منها مقيماً على زلّةغيرها لا تشبهها، ويكون له الأجر على التوبة، وعليه وزر ما هو مقيم عليه من الزلّة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اللَّه يقبل التوبة بفضله وكرمه، وليس ذلك لوجوب قبولها في العقل قبل الوعد، وإنّما علم بالسمع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يعتقد أنّ اللَّه سبحانه، يميت العباد ويحييهم بعد الممات ليوم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المحاسبة حق والقصاص، وكذلك الجنّة والنار والعقاب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مرتكبي المعاصي من العارفين باللَّه ورسوله، والأئمّة الطاهرين، المعتقدين لتحريمها مع ارتكابها، المسوّفين التوبة منها، عصاة فسّاق، وأنّ ذلك لا يسلبهم اسم الإيمان كما لم يسلبهم اسم الإسلام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وأنّهم يستحقّون العقاب على معاصيهم، والثواب على معرفتهم باللَّه تعالى، ورسوله، والأئمّة من بعده صلَّى اللَّه عليه و آله و سلَّم، وما بعد ذلك من طاعتهم، وأمرهم مردود إلى خالقهم، وإن عفا عنهم فبفضله ورحمته، وإن عاقبهم فبعدله وحكمته، قال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مُرْجَوْنَ لأمْرِ اللَّهِ إمّا يُعَذِّبَهُمْ وَإمّا يَتُوب عَلَيْهِمْ</w:t>
      </w:r>
      <w:r>
        <w:rPr>
          <w:rFonts w:eastAsia="Amiri" w:cs="Amiri" w:ascii="Amiri" w:hAnsi="Amiri"/>
          <w:color w:val="111111"/>
          <w:sz w:val="28"/>
          <w:szCs w:val="28"/>
          <w:rtl w:val="true"/>
          <w:lang w:bidi="ar-SA"/>
        </w:rPr>
        <w:t>)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وأنّ عقوبة هؤلاء العصاة إذا شاءها اللَّه تعالى لا تكون مؤبّدة، ولها آخر، يكون بعده دخولهم الجنّة، وليس من جملة من توجّه إليهم الوعيد بالتخليد، والعفو من اللَّه تعالى يرجى للعصاة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غلطت المعتزلة فسمّت من يرجو العفو مرجئاً، وانّما يجب أن يسمّى راجياً، ولا طريق إلى القطع على العفو، وإنّما هو الرجاء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ويعتقد أنّ لرسول اللَّه صلَّى اللَّه عليه و آله و سلَّم والأئمّة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مقبولة يوم القيامة، ترجى للمؤمنين من مرتكبي 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أن يقطع الانسان على أنّه مشفوع فيه على كل حال، ولا سبيل له إلى العلم بحقيقة هذه الحال، وإنّما يجب أن يكون المؤمن واقفاً بين الخوف والرجاء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ويعتقد أنّ المؤمنين الذين مضوا من الدنيا وهم غير عاصين، يؤمر بهم يوم القيامة إلى الجنّة بغير حساب</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جميع الكفّار والمشركين، ومن لم تصح له الا صول من المؤمنين يؤمر بهم يوم القيامة إلى الجحيم بغير حساب، وإنّما يحاسب من خلط عملًا</w:t>
      </w:r>
    </w:p>
    <w:p>
      <w:pPr>
        <w:pStyle w:val="BookText"/>
        <w:rPr/>
      </w:pPr>
      <w:r>
        <w:rPr>
          <w:rFonts w:ascii="Amiri" w:hAnsi="Amiri" w:eastAsia="Amiri" w:cs="Amiri"/>
          <w:color w:val="111111"/>
          <w:sz w:val="28"/>
          <w:sz w:val="28"/>
          <w:szCs w:val="28"/>
          <w:rtl w:val="true"/>
          <w:lang w:bidi="ar-SA"/>
        </w:rPr>
        <w:t>صالحاً وآخر سيّئاً، وهم العارفون العصاة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أنبياء اللَّه تعالى وحججه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في القيامة المسؤولون للحساب باذن اللَّه تعالى، وأنّ حجّة أهل كل زمان يتولّى أمر رعيّته الذين كانوا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سيّدنا رسول اللَّه صلَّى اللَّه عليه و آله و سلَّم والأئمّة الاثنا عشر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 الأعراف الذين هم لا يدخل الجنّة إلّا من عرفهم وعرفوه، ولا يدخل النار إلّا من أنكرهم وأنكروه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رسول اللَّه صلَّى اللَّه عليه و آله و سلَّم يحاسب أهل وقته وعصره، وكذلك كل إمام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هو المواقف لأهل زمانه، والمسائل للذين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الموازين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توضع في القيامة، هي اقامة العدل في الحساب، والانصاف في الحكم والمجازاة، وليست في الحقيقة موازين بكفّات وخيوط كما يظن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الصراط المستقيم في الدنيا دين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الآخرة طريق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الأطفال والمجانين والبله من الناس، يتفضّل عليهم في القيامة بأن تكمل عقولهم، ويدخلون الجنان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نعيم أهل الجنّة متصل أبداً بغير نفاد، وأنّ عذاب المشركين والكفّار متّصل في النار بغير نفاد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تؤخذ معالم الدين في الغيبة من أدلّة العقل، وكتاب اللَّه عزّ وجلّ، والأخبار المتواترة عن رسول اللَّه صلَّى اللَّه عليه و آله و سلَّم وعن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أمّا المشهور بين الإمامية بل المجمع عليه بين المتأخّرين منهم فاعتبار الخبر الواحد لقيام الدليل على حجيّته، ولكل من الفريقين أدلّة على دعواه مذكورة في كتب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أجمعت عليه الطائفة الإمامية، واجماعها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عند ظهور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فإنّه المفزع عند المشكلات، وهو المنبّه على العقليات، والمعرّف بالسمعيات، كما كان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استخراج الأحكام في السمعيات بقياس ولا اجتهاد </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العقليات فيدخلها القياس والاجتهاد، ويجب على العاقل مع هذا كلّه ألا يقنع بالتقليد في الاعتقاد، وأن يسلك طريق التأمّل والاعتبار، ولا يكون نظره لنفسه في دينه أقل من نظره لنفسه في دنياه، فإنّه في أُمور الدنيا يحتاط ويحترز، ويفكّر ويتأمّل، ويعتبر بذهنه، ويستدل بعقله، فيجب أن يكون في أمر دينه على أضعاف هذه الحال، فالغرر في أمر الدين أعظم</w:t>
      </w:r>
      <w:bookmarkStart w:id="46" w:name="pg507_2734"/>
    </w:p>
    <w:p>
      <w:pPr>
        <w:pStyle w:val="BookText"/>
        <w:rPr/>
      </w:pPr>
      <w:bookmarkEnd w:id="46"/>
      <w:r>
        <w:rPr>
          <w:rFonts w:ascii="Amiri" w:hAnsi="Amiri" w:eastAsia="Amiri" w:cs="Amiri"/>
          <w:color w:val="111111"/>
          <w:sz w:val="28"/>
          <w:sz w:val="28"/>
          <w:szCs w:val="28"/>
          <w:rtl w:val="true"/>
          <w:lang w:bidi="ar-SA"/>
        </w:rPr>
        <w:t>من الغرر في أمر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أن لا يعتقد في العقليات إلّا ما صحّ عنده حقّه، ولا يسلم في السمعيات إلّا لمن ثبت له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حسن التوفيق برحمته، وألّا يحرمنا ثواب المجتهدين في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أثبتُّ لك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 اقتصرت وما أطلت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ذكرت أصل لما تركت، والحمد للَّه وصلواته على سيّدنا محمّد وآله وسلّم </w:t>
      </w:r>
      <w:r>
        <w:rPr>
          <w:rFonts w:eastAsia="Amiri" w:cs="Amiri" w:ascii="Amiri" w:hAnsi="Amiri"/>
          <w:color w:val="111111"/>
          <w:sz w:val="28"/>
          <w:szCs w:val="28"/>
          <w:rtl w:val="true"/>
          <w:lang w:bidi="ar-SA"/>
        </w:rPr>
        <w:t>.</w:t>
      </w:r>
      <w:r>
        <w:rPr>
          <w:rStyle w:val="FootnoteAnchor"/>
          <w:rtl w:val="true"/>
        </w:rPr>
        <w:footnoteReference w:id="14"/>
      </w:r>
    </w:p>
    <w:p>
      <w:pPr>
        <w:pStyle w:val="Heading3"/>
        <w:numPr>
          <w:ilvl w:val="2"/>
          <w:numId w:val="1"/>
        </w:numPr>
        <w:rPr/>
      </w:pPr>
      <w:bookmarkStart w:id="47" w:name="__RefHeading___Toc4440385_211673320"/>
      <w:bookmarkStart w:id="48" w:name="_Toc17"/>
      <w:bookmarkEnd w:id="47"/>
      <w:r>
        <w:rPr/>
        <w:t>7</w:t>
      </w:r>
      <w:r>
        <w:rPr>
          <w:rtl w:val="true"/>
        </w:rPr>
        <w:t xml:space="preserve">- </w:t>
      </w:r>
      <w:r>
        <w:rPr>
          <w:rtl w:val="true"/>
        </w:rPr>
        <w:t>العقائد الجعفرية تأليف الشيخ الطوسي</w:t>
      </w:r>
      <w:r>
        <w:rPr>
          <w:rtl w:val="true"/>
        </w:rPr>
        <w:t>:</w:t>
      </w:r>
      <w:bookmarkEnd w:id="48"/>
    </w:p>
    <w:p>
      <w:pPr>
        <w:pStyle w:val="Heading4"/>
        <w:numPr>
          <w:ilvl w:val="3"/>
          <w:numId w:val="1"/>
        </w:numPr>
        <w:rPr/>
      </w:pPr>
      <w:bookmarkStart w:id="49" w:name="__RefHeading___Toc4440387_211673320"/>
      <w:bookmarkStart w:id="50" w:name="_Toc18"/>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عن التعريف، فهو شيخ الطائفة عل الاطلاق وكان قد أخذ على يد المفيد والمرتضى، وقد ورد بغداد عام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وحضر في أندية دروس أُستاذه المفيد، فلمّا لبّى الا ستاذ دعوة ربّه حضر لدى المرتضى إلى أن اشتغل بالتدريس والافتاء في عصره وبعده، وله رسائل وكتب كلامية قيمة مفعمة بالتحقيق، ونحن نورد هنا جانباً مختصراً عمّا دوّنه في عقائد الشيعة في المسائل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واجبة على كلّ مكلّف، بدليل أنّه منعم فيجب معرفته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موجود، بدليل أنّه صنع العالم، وأعطاه الوجود، وكلّ من كان كذلك فهو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واجب الوجود لذاته، بمعنى أنّه لا يفتقر في وجوده إلى غيره، ولا يجوز عليه العدم، بدليل أنّه لو كان ممكناً لافتقر إلى صانع، كافتقار هذا العالم، وذلك محال على المنعم المعبود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قديم أزلي، بمعنى أنّ وجوده لم يسبقه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باقٍ أبدي، بمعنى أنّ وجوده لن يلحقه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قادر مختار، بمعنى أنّه إن شاء أن يفعل فعل، وإن شاء أن يترك ترك، بدليل أنّه صنع العالم في وقت دون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قادر على كل مقدور، وعالم بكل معلوم، بدليل أنّ نسبة جميع المقدورات والمعلومات إلى ذاته المقدسة المنزّهة على السوية، فاختصاص قدرته تعالى وعلمه ببعض دون بعض ترجيح بلا مرجّح، وهو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عالم، بمعنى أنّ الأشياء منكشفة واضحة له، حاضرة عنده غير غائبة عنه، بدليل أنّه تعالى فعل الأفعال المحكمة المتقنة، وكلّ من فعل ذلك فهو عالم بالضرورة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يدرك لا بجارحة، بل بمعنى أنّه يعلم ما يُدرَك بالحواس، لأنّه منزّه عن الجسم ولوازمه،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فمعنى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السَّميعُ البَصير</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انّه عالم بالمسموعات لا باذن، وبالمبصرات لا بعين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حي، بمعنى أنّه يصح منه أن يقدر ويعلم،</w:t>
      </w:r>
    </w:p>
    <w:p>
      <w:pPr>
        <w:pStyle w:val="BookText"/>
        <w:rPr/>
      </w:pPr>
      <w:r>
        <w:rPr>
          <w:rFonts w:ascii="Amiri" w:hAnsi="Amiri" w:eastAsia="Amiri" w:cs="Amiri"/>
          <w:color w:val="111111"/>
          <w:sz w:val="28"/>
          <w:sz w:val="28"/>
          <w:szCs w:val="28"/>
          <w:rtl w:val="true"/>
          <w:lang w:bidi="ar-SA"/>
        </w:rPr>
        <w:t>بدليل أنّه ثبتت له القدرة والعلم وكل من ثبتت له ذلك فهو حي بالضرورة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متكلّم لا بجارحة، بل بمعنى أنّه أوجد الكلام في جرم من الأجرام، أو جسم من الأجسام، لإيصال عظمته إلى الخلق،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وَكَلَّمَ اللَّهُ مُوسى تَكْلِيماً</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ولأنّه قادر، فالكلام 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صادق، بمعنى أنّه لا يقول إلّا الحق الواقع، بدليل أنّ كل كذب قبيح، واللَّه تعالى منزّه عن القبيح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مريد، بمعنى أنّه رجح الفعل إذا علم 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غير مضطر وأنّ ارادته غير واقعة تحت ارادة اخرى، بل هي الإرادة العليا التي إن رأى صلاحاً فعل، وإن رأى فساداً لم يفعل، باختيار منه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أنّه ترك ايجاد بعض الموجودات في وقت دون وقت، مع علمه وقدرته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نهى وهو يدل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واحد، بمعنى أنّه لا شريك له في الإلوهية، بدليل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ولأنّه لو كان له شريك لوقع التمانع، ففسد النظام،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غير مركَّب من شي‌ء، بدليل أنّه لو كان مركّباً لكان مفتقراً إلى الأجزاء، والمفتقر ممكن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ليس بجسم، ولا عرض، ولا جوهر، بدليل</w:t>
      </w:r>
    </w:p>
    <w:p>
      <w:pPr>
        <w:pStyle w:val="BookText"/>
        <w:rPr/>
      </w:pPr>
      <w:r>
        <w:rPr>
          <w:rFonts w:ascii="Amiri" w:hAnsi="Amiri" w:eastAsia="Amiri" w:cs="Amiri"/>
          <w:color w:val="111111"/>
          <w:sz w:val="28"/>
          <w:sz w:val="28"/>
          <w:szCs w:val="28"/>
          <w:rtl w:val="true"/>
          <w:lang w:bidi="ar-SA"/>
        </w:rPr>
        <w:t>أنّه لو كان أحد هذه الأشياء لكان ممكناً مفتقراً إلى صانع، وهو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ليس بمرئي بحاسة البصر في الدنيا والآخرة، بدليل أنّه تعالى مجرّد، ولأنّ كل مرئي لابدّ أن يكون له الجسم والجهة، واللَّه تعالى منزّه عنهما ولأنّه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تَرَانِى</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ليس محلّا للحوادث، وإلّا لكان حادثاً، وحدوثه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لا يتّصف بالحلول، بدليل أنّه يلزم قيام الواجب بالممكن وذلك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لا يتّحد بغيره، لأنّ الاتحاد صيرورة الشي‌ء واحداً من غير زيادة ونقصان، وذلك محال، واللَّه لا يتّصف بالمحال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منفي عنه المعاني والصفات الزائدة، بمعنى أنّه ليس عالماً بالعلم، ولا قادراً بالقدرة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علم كلّه، وقدرة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بدليل أنّه لو كان كذلك لزم كونه محلّا للحوادث لو كانت حادثة، وتعدّد القدماء لو كانت قديمة، وهما محالان، وأيضاً لزم افتقار الواجب إلى صفاته المغايرة له، فيصير ممكناً وهو ممتنع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غني، بمعنى أنّه غير محتاج إلى ما عداه، والدليل عليه أنّه واجب الوجود لذاته، فلا يكون مفتقراً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ليس في جهة، ولا مكان، بدليل أنّ كلّ ما في الجهة والمكان مفتقر إليهما، وأيضاً قد ثبت أنّه تعالى ليس بجسم ولا جوهر</w:t>
      </w:r>
    </w:p>
    <w:p>
      <w:pPr>
        <w:pStyle w:val="BookText"/>
        <w:rPr/>
      </w:pPr>
      <w:r>
        <w:rPr>
          <w:rFonts w:ascii="Amiri" w:hAnsi="Amiri" w:eastAsia="Amiri" w:cs="Amiri"/>
          <w:color w:val="111111"/>
          <w:sz w:val="28"/>
          <w:sz w:val="28"/>
          <w:szCs w:val="28"/>
          <w:rtl w:val="true"/>
          <w:lang w:bidi="ar-SA"/>
        </w:rPr>
        <w:t>ولا عرض، فلا يكون في المكان والجهة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ليس له ولد ولا صاحبة، بدليل أنّه قد ثبت عدم افتقاره إلى غيره، ولأنّ كل ما سواه تعالى ممكن، فكيف يصير الممكن واجباً بالذات،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عِيسى عِندَ اللَّهِ كَمَثَلِ آدَمَ خَلَقَهُ مِن تُرَابٍ</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عدل حكيم، بمعنى أنّه لا يفعل قبيحاً ولا يخل بالواجب بدليل أنّ فعل القبيح، والإخلال بالواجب نقص عليه، فاللَّه تعالى منزّه عن كل قبيح واخلال بالواجب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بالقضاء والقدر واجب، وكل ما كان أو يكون فهو بالقضاء والقدر ولا يلزم بهما الجبر والظلم، لأنّ القدر والقضاء هاهنا بمعنى العلم والبيان، والمعنى أنّه تعالى يعلم كل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 أو يكون</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فعله اللَّه تعالى فهو أصلح، وإلّا لزم العبث، وليس تعالى بعابث،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خَلَقْنَاكُمْ عَبَثاً</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اللّطف على اللَّه واجب، لأنّه خَلَق الخلق، وجَعَل فيهم الشهوة، فلو لم يفعل اللطف لزم الاغراء، وذلك قبيح،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يفعل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فاللطف هو نصب الأدلّة، وإكمال العقل، وارسال الرسل في زمانهم، وبعد انقطاعهم إبقاء الإمام، لئلّا ينقطع خيط غرضه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عبد المطلب بن هاشم بن</w:t>
      </w:r>
    </w:p>
    <w:p>
      <w:pPr>
        <w:pStyle w:val="BookText"/>
        <w:rPr/>
      </w:pPr>
      <w:r>
        <w:rPr>
          <w:rFonts w:ascii="Amiri" w:hAnsi="Amiri" w:eastAsia="Amiri" w:cs="Amiri"/>
          <w:color w:val="111111"/>
          <w:sz w:val="28"/>
          <w:sz w:val="28"/>
          <w:szCs w:val="28"/>
          <w:rtl w:val="true"/>
          <w:lang w:bidi="ar-SA"/>
        </w:rPr>
        <w:t>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 حقاً 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أنّه ادّعى النبوّة وأظهر المعجزات على يده، فثبت أنّه رسول حقّاً، وأكبر المعجزات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والفرقان المجيد الفارق بين الحق والباطل، باق إلى يوم القيامة، حجّة على كافّة النسمة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كونه معجزاً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 فصاحته وبلاغته، بحيث ما تمكّن أحد من أهل الفصاحة والبلاغة حيث تُحُدّوا به، أن يأتوا ولو بسورة مصغرة، أو آية تامّة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نبياً على نفسه قبل البعثة، وبعده رسولًا إلى كافة النسمة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نبيّاً وآدم بين الماء والطين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تفضيل المفضول وهو 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الأنبياء كانوا معصومين، مطهّرين عن العيوب والذنوب كلّها، وعن السهو والنسيان في الأفعال والأقوال، من أوّل الأعمار إلى اللحد، بدليل أنّهم لو فعلوا المعصية أو يطرأ عليهم السهو لسقط محلُّهم من القلوب، فارتفع الوثوق والاعتماد على أقوالهم وأفعالهم، فتبطل فائدة النبوّة، فما ورد في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فهو واجب التأويل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الأنبياء أعلم وأفضل أهل زمانهم، لأنّ تفضيل المفضول 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 خاتم النبيين والمرسلين، بمعنى أنّه لا نبي بعده إلى يوم القيامة،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مُحَمَّداً أَبَا أَحَدٍ مِن رِجَالِكُمُ وَلكِن رَسُولَ اللَّهِ وَخَاتَمَ النَّبِيِّينَ</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 أشرف الأنبياء والمرسلين، لأنّه ثبتت نبوّته، وأخبر</w:t>
      </w:r>
    </w:p>
    <w:p>
      <w:pPr>
        <w:pStyle w:val="BookText"/>
        <w:rPr/>
      </w:pPr>
      <w:r>
        <w:rPr>
          <w:rFonts w:ascii="Amiri" w:hAnsi="Amiri" w:eastAsia="Amiri" w:cs="Amiri"/>
          <w:color w:val="111111"/>
          <w:sz w:val="28"/>
          <w:sz w:val="28"/>
          <w:szCs w:val="28"/>
          <w:rtl w:val="true"/>
          <w:lang w:bidi="ar-SA"/>
        </w:rPr>
        <w:t>بأفضليته فهو أفضل، لمّا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أبوك خير الأنبياء وبعلك خير الأوصياء، وأنت سيدة نساء العالمين، وولدك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 شباب أهل الجنّة، وأبوهما خير منهما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معراج الرسول بالجسم العنصري علانية، غير منام، حق، والأخبار عليه بالتواتر ناطقة، صريحة، فمنكره خارج عن الإسلام، وأنّه مر بالأفلاك من أبوابها من دون حاجة إلى الخرق والالتيام، وهذه الشبهة الواهية مدفوعة مسطورة بمحالها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نبيّنا ناسخ للأديان السابقة، لأنّ المصالح تتبدل حسب الزمان والأشخاص كما تتبدّل المعالجات لمريض بحسب تبدل المزاج والمرض</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بعد نبيّنا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بدليل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أخي ووارث علمي وأنت الخليفة من بعدي، وأنت قاضي ديني، وأنت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سلّموا على علي بإمرة المؤمنين، واسمعوا له وأطيعوا له، وتَعَلّموا منه ولا تُعَلّموه</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 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أحد عشر من ذرّيته الأوّل منهم ولده الحسن، ثمّ الحسين، ثمّ علي بن الحسين، ثمّ محمّد بن علي، ثمّ جعفر بن محمّد الصادق، ثمّ موسى بن جعفر، ثمّ علي بن موسى، ثمّ محمّد ابن علي، ثمّ علي بن محمّد، ثمّ الحسن بن علي، ثمّ الخلف الحجّة القائم المهدي الهادي بن الحسن صاحب الزمان، فكلّهم أئمّة الناس واحد بعد واحد، حقاً، بدليل أنّ كل إمام منهم نصّ على من بعده نصّاً متواتراً بالخلافة،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إمام، ابن إمام، أخو إمام، أبو الأئمّة التسعة، تاسعهم قائمهم، 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الأئمّة معصومين مطهّرين من الذنوب كلّها، صغيرة وكبيرة عمداً وسهواً، ومن السهو في الأفعال والأقوال، بدليل أنّه لو فعلوا المعصية لسقط محلهم من القلوب، وارتفع الوثوق، وكيف يهدون بالضالّين المضلّين، ولا معصوم غير الأئمّة الاثني عشر اجماعاً، فثبت إمامتهم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الأئمّة أفضل وأعلم، ولو لم يكونوا كذلك للزم تفضيل المفضول، أو الترجيح بلا مرجّح، ولا يحصل الانقياد به، وذلك قبيح عقلًا ونقلًا، وفضل أئمّتنا وعلمهم مشهور، بل أفضليتهم أظهر من الشمس وأبين من الأمس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نعتقد أنّ آباء نبيّنا وأئمّتنا مسلمون أبداً، بل أكثرهم كانوا أوصياء، فالأخبار عند أهل البيت على إسلام أبي طالب مقطوعة وسيرته تدل عليه، ومثله مثل مؤمن آل فرعون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 المنتظر محمّد بن الحسن قد تولّد في زمان أبيه، وهو غائب حي باق إلى بقاء الدنيا، لأنّ كلّ زمان لابدّ فيه من إمام معصوم لمّا انعقد عليه اجماع الا مّة على أنّه لا يخلو زمان من حجّة ظاهرة</w:t>
      </w:r>
    </w:p>
    <w:p>
      <w:pPr>
        <w:pStyle w:val="BookText"/>
        <w:rPr/>
      </w:pPr>
      <w:r>
        <w:rPr>
          <w:rFonts w:ascii="Amiri" w:hAnsi="Amiri" w:eastAsia="Amiri" w:cs="Amiri"/>
          <w:color w:val="111111"/>
          <w:sz w:val="28"/>
          <w:sz w:val="28"/>
          <w:szCs w:val="28"/>
          <w:rtl w:val="true"/>
          <w:lang w:bidi="ar-SA"/>
        </w:rPr>
        <w:t>مشهورة أو خافية مستورة، ولأنّ اللطف في كل زمان واجب، والإمام لطف، فوجوده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استبعاد في طول عمره، لأنّ غيره من الا مّم السابقة قد عاش ثلاثة آلاف سنة فصاعداً، كشعيب ونوح ولقمان وخضر وعيسى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وابليس والدجّال، ولأنّ الأمر ممكن، واللَّه قادر على جميع الممكنات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المهدي لا تكون من قبل نفسه، لأنّه معصوم فلا يخل بواجب، ولا من قبل اللَّه تعالى، لأنّه عدل حكيم، فلا يفعل القبيح، لأنّ الاخفاء عن الأنظار وحرمان العباد عن الافادات قبيحان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فغيبته لكثرة العدو والكافر، ولقلّة الناصر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ظهور المهدي، بدليل 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ساعة واحدة لطوّل اللَّه تلك الساعة حتى يخرج رجل من ذرّيتي، اسمه اسمي وكنيته كنيتي يملأ الأرض قسطاً وعدلًا كما ملأت ظلماً وجوراً</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ويجب على كل مخلوق متابعته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غيبة الإمام فائدة، كما تنير الشمس تحت السحاب، والمشكاة من وراء الحجاب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يعيد الأجسام الفانية كما هي في الدنيا، ليوصل كلّ حق إلى المستحقين، وذلك أمر ممكن، والأنبياء أخبروا به، لا سيّما القرآن المجيد مشحون به ولا مجال للتأويل، فالاعتقاد بالمعاد الجسماني واجب</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أخبر به النبيّ أو الإمام فاعتقاده واجب،</w:t>
      </w:r>
      <w:bookmarkStart w:id="51" w:name="pg507_2743"/>
    </w:p>
    <w:p>
      <w:pPr>
        <w:pStyle w:val="BookText"/>
        <w:rPr/>
      </w:pPr>
      <w:bookmarkEnd w:id="51"/>
      <w:r>
        <w:rPr>
          <w:rFonts w:ascii="Amiri" w:hAnsi="Amiri" w:eastAsia="Amiri" w:cs="Amiri"/>
          <w:color w:val="111111"/>
          <w:sz w:val="28"/>
          <w:sz w:val="28"/>
          <w:szCs w:val="28"/>
          <w:rtl w:val="true"/>
          <w:lang w:bidi="ar-SA"/>
        </w:rPr>
        <w:t>كاخبارهم عن نبوّة الأنبياء السابقين، والكتب المنزلة، ووجود الملائكة، وأحوال القبر وعذابه وثوابه، وسؤال منكر ونكير، والاحياء فيه، وأحوال القيامة وأهوالها، والنشور، والحساب والميزان، والصراط، وانطاق الجوارح، ووجود الجنّة والنار، والحوض الذي يسقي منه أمير المؤمنين العطاشى يوم القيامة، وشفاعة النبي والأئمّة لأهل الكبائر من محبّيه، إلى غير ذلك، بدليل أنّه أخبر بذلك المعصومون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الندم على القبيح في الماضي، والترك في الحال، والعزم على عدم المعاودة إليه في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لدلالة السمع على وجوبها، ولأنّ دفع الضرر واجب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 واجبان، بشرط تجويز التأثير والأمن من الضرر</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4440389_211673320"/>
      <w:bookmarkStart w:id="53" w:name="_Toc19"/>
      <w:bookmarkEnd w:id="52"/>
      <w:r>
        <w:rPr>
          <w:rtl w:val="true"/>
        </w:rPr>
        <w:t>ما هو الهدف من نقل هذه الرسائل</w:t>
      </w:r>
      <w:r>
        <w:rPr>
          <w:rtl w:val="true"/>
        </w:rPr>
        <w:t>:</w:t>
      </w:r>
      <w:bookmarkEnd w:id="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الرسائل تدل بوضوح لا يقبل الشكّ أنّ جلّ عقائد الشيعةتمتد جذورها الحقيقية في كتاب اللَّه المنزل وسنّة رسول اللَّهصلَّى اللَّه عليه و آله و سلَّم وما جاء عن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 صورة هذه العقائد كانت تبدو واضحة المعالم ومستوعبة لجميع الجوانب المرتبطة بالمعارف الإلهية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تنبث في ثنايا هذه الرسائل آراء خاصّة لمؤلّفيها، ربّما يقع فيها النقاش والجدال والخلاف مع غيرهم من علماء الشيعة، فليس كل ما جاء فيها عقيدة لجميع علماء الشيعة ومؤلّفيهم، إلّا أنّ ما يهمّنا من الإشارة إليه</w:t>
      </w:r>
      <w:bookmarkStart w:id="54" w:name="pg507_2744"/>
    </w:p>
    <w:p>
      <w:pPr>
        <w:pStyle w:val="BookText"/>
        <w:rPr/>
      </w:pPr>
      <w:bookmarkEnd w:id="54"/>
      <w:r>
        <w:rPr>
          <w:rFonts w:ascii="Amiri" w:hAnsi="Amiri" w:eastAsia="Amiri" w:cs="Amiri"/>
          <w:color w:val="111111"/>
          <w:sz w:val="28"/>
          <w:sz w:val="28"/>
          <w:szCs w:val="28"/>
          <w:rtl w:val="true"/>
          <w:lang w:bidi="ar-SA"/>
        </w:rPr>
        <w:t>هو أنّ هذه الرسائل تمثّل عقائد الشيعة في مجال صفات اللَّه سبحانه وأفعاله، وما يرجع إلى النبوّة والإمامة، والحياة الا خروية، خصوصاً فيما يرجع إلى الاعتقاد بمقامات الأئمّة وصفاتهم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يريد أن يتعرّف بوضوح على عقائد الشيعة فليرجع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الإمعان في الا صول التي جاءت في هذه الكتب والرسائل يعرب عن اتفاق الشيعة في أكثر مسائلهم العقائدية مع عموم عقائد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يختلفون عنهم في أُصول تختص بمجال الإمامة والقيادة بعد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وسنحاول في الصفحات اللاحقة أن نستعرض أهم الفوارق الجوهرية بين الشيعة وغيرهم من الفرق الإسلامية، والتي لا يمكن أن تشكل حداً فاصلًا دون التقارب بين هذه المذاهب ونبذ الاختلاف بينها، والذي لن يفيد إلّا أعداء هذا الدين والمتربّصين به، وسنشرع في أوّل بحثنا المقتضب هذا في تحديد الاختلافات التي أشرنا إليها بين الشيعة والمعتزلة، وبين الشيعة والأشاعرة، وذلك لما كانت تشكله هاتان الفرقتان من جبهة واسعة من جمهور المسلمين إبان تلك العصور السالفة</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4440391_211673320"/>
      <w:bookmarkStart w:id="56" w:name="_Toc20"/>
      <w:bookmarkEnd w:id="55"/>
      <w:r>
        <w:rPr>
          <w:rtl w:val="true"/>
        </w:rPr>
        <w:t>الفرق بين الشيعة الإمامية والمعتزلة</w:t>
      </w:r>
      <w:r>
        <w:rPr>
          <w:rtl w:val="true"/>
        </w:rPr>
        <w:t>:</w:t>
      </w:r>
      <w:bookmarkEnd w:id="5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المتأمل في مجمل عقائد هاتين الفرقتين يمكنه أن يتبين بوضوح جوانب الاتفاق والاختلاف فيما بينهما، وهو ما سنحاول أن نشير إليه اختصاراً في نقاط محددة واضحة، وإذا كان البعض قد اعتقد جهلًا بأنّ الشيعة قد أخذت عقائدها عن المعتزلة فإنّه يرد بأكثر من دليل، وبحثنا هذا وإن كان في غنى عن إيرادها الآن إلّا أنّه يرد عليه بوضوح ودون لبس، إلّا أنّه لا ينفي على أنّ بين هاتين الطائفتين أُصول مشتركة نذكرها في حينها،</w:t>
      </w:r>
    </w:p>
    <w:p>
      <w:pPr>
        <w:pStyle w:val="BookText"/>
        <w:rPr/>
      </w:pPr>
      <w:r>
        <w:rPr>
          <w:rFonts w:ascii="Amiri" w:hAnsi="Amiri" w:eastAsia="Amiri" w:cs="Amiri"/>
          <w:color w:val="111111"/>
          <w:sz w:val="28"/>
          <w:sz w:val="28"/>
          <w:szCs w:val="28"/>
          <w:rtl w:val="true"/>
          <w:lang w:bidi="ar-SA"/>
        </w:rPr>
        <w:t>وهو ما قد يتفق مع غير ذلك من فرق المسلمين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المسلمون كافّة على ثبوت أصل الشفاعة وأنّها تقبل من الرسول الأكرم صلَّى اللَّه عليه و آله و سلَّم، إلّا أنّهم اختلفوا في تعيين المشفَّع، فقالت الإمامية والأشاعرة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يشفع لأهل الكبائر باسقاط العقاب عنهم أو بإخراجهم من النار، وقالت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يشفع إلّا للمطيعين، المستحقّين للثواب، وتكون نتيجة الشفاعة ترفيع الدرجة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مرتكب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 الإمامية والأشاعرة مؤمن فاسق، وقالت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منزلته بين المنزلتين، أي‌بين الكفر والإيمان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الإمامية والأشاعرة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مخلوقتان الآن بدلالة الشرع على ذلك، وأكثر المعتزلة يذهب إلى أنّهما غير موجودتين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المسلمون على وجوبهما، فقالت الإمامية والأشاعرة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يجبان سمعاً، ولولا النص لم يكن دليل على الوجوب، خلافاً للمعتزلة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بوجوبهما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الإمامية والأشاعرة على بطلان الاحباط، وقالوا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عمل حسابه الخاص، ولا ترتبط الطاعات بالمعاصي ولا المعاصي بالطاعات، والاحباط يختص بذنوب خاصة كالشرك وما يتلوه، بخلاف المعتزلة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المعصية المتأخّرة تسقط الثواب المتقدم، فمن عَبَدَ اللَّه طول عمره ثمّ كذب فهو كمن لم يعبد اللَّه أبداً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تشددت المعتزلة في تمسّكهم بالعقل، وتشدد أهل الظاهر في تمسكهم بظاهر النص، وخالفهما الإمامية والأشاعرة، فأعطوا للعقل سهماً فيما له مجال القضاء، نعم أعطت الإمامية للعقل مجالًا أوسع ممّا أعطته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تفصيله عند ذكر اختلاف الإمامية مع</w:t>
      </w:r>
      <w:bookmarkStart w:id="57" w:name="pg507_2746"/>
    </w:p>
    <w:p>
      <w:pPr>
        <w:pStyle w:val="BookText"/>
        <w:rPr/>
      </w:pPr>
      <w:bookmarkEnd w:id="57"/>
      <w:r>
        <w:rPr>
          <w:rFonts w:ascii="Amiri" w:hAnsi="Amiri" w:eastAsia="Amiri" w:cs="Amiri"/>
          <w:color w:val="111111"/>
          <w:sz w:val="28"/>
          <w:sz w:val="28"/>
          <w:szCs w:val="28"/>
          <w:rtl w:val="true"/>
          <w:lang w:bidi="ar-SA"/>
        </w:rPr>
        <w:t>الأشاعرة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الإمامية والأشاعرة على أنّ قبول التوبة بفضل من اللَّه ولا يجب عقلًا اسقاطها للعقاب، وقالت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التوبة مسقطة للعقاب على وجه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الإمامية على أنّ الأنبياء أفضل من الملائكة، وأجمعت المعتزلة على خلاف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الإمامية على أنّ الانسان غير مسيّر ولا مفوّض إليه، بل هو في ذلك المجال بين أمرين، بين الجبر والتفويض، وأجمعت المعتزلة على التفويض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الإمامية والأشاعرة على أنّه لابد في أوّل التكليف وابتدائه من رسول، وخالفت المعتزلة وزعموا أنّ العقول تعمل بمجردها عن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الا صول التي خالفت الإمامية فيها المعتزلة ووافقت فيها الأشاعرة، وهناك أُصول أُخرى تجد فيها موافقة الإمامية للمعتزلة ومخالفتها للأشاعرة، وإليك بعضها</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4440393_211673320"/>
      <w:bookmarkStart w:id="59" w:name="_Toc21"/>
      <w:bookmarkEnd w:id="58"/>
      <w:r>
        <w:rPr>
          <w:rtl w:val="true"/>
        </w:rPr>
        <w:t>الفرق بين الشيعة الإمامية والأشاعرة</w:t>
      </w:r>
      <w:r>
        <w:rPr>
          <w:rtl w:val="true"/>
        </w:rPr>
        <w:t>:</w:t>
      </w:r>
      <w:bookmarkEnd w:id="59"/>
    </w:p>
    <w:p>
      <w:pPr>
        <w:pStyle w:val="BookText"/>
        <w:rPr/>
      </w:pPr>
      <w:r>
        <w:rPr>
          <w:rFonts w:ascii="Amiri" w:hAnsi="Amiri" w:eastAsia="Amiri" w:cs="Amiri"/>
          <w:color w:val="111111"/>
          <w:sz w:val="28"/>
          <w:sz w:val="28"/>
          <w:szCs w:val="28"/>
          <w:rtl w:val="true"/>
          <w:lang w:bidi="ar-SA"/>
        </w:rPr>
        <w:t>هناك أُصول خالفت الإمامية فيها الأشاعرة، مخالفة بالدليل والبرهان وتبعاً لأئمّتهم، ونذكر المهم منها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الصفات الذاتية مع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سبحانه صفاتاً ذاتية كالعلم والقدرة، فهي عند الأشاعرة صفات قديمة مغايرة للذات زائدة عليها، وهي عند الإمامية والمعتزلة متّحدة مع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الخبرية الواردة في الكتاب والسنّة، كالوجه والأيدي والاستواء وأمثالها، فالشيعة الإمامية يؤوّلونها تأويلًا مقبولًا لا تأويلًا مرفوضاً، أي‌أنّها تأخذ بالمفهوم التصديقي للجملة لا بالمفهوم التصوّري للمفردات، فيقولون إنّ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 يُنْفِقُ كَيْفَ يَشَاء</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بري‌ء من البخل، بل هو باذل وسخي، وقادر على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الأشاعرة فهم يفسّرونها بالمفهوم التصوّري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سبحانه يدين، إلّا أنّهم يتهرّبون عن التجسيم والتشبيه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العباد عند الإمامية صادرة من نفس العباد، صدوراً حقيقياً بلا مجاز أو توسّع، فالإنسان هو الضارب، هو الآكل، هو القاتل، هو المصلّي، هو القارئ وهكذا، 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أفعال الإنسان استعمال غير صحيح،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الأكل والضرب والصوم والصلاة، وإنّما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فعلتها، فالصحيح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هو الفاعل لأفعاله بقدرة مكتسبة من اللَّه، وانّ قدرته المكتسبة هي المؤثّرة باذن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الأشاعرة فذهبوا إلى أنّ أفعال العباد مخلوقة للَّه سبحانه، فليس للإنسان فيها صنع ولا دور، وليس لقدرته أي‌تأثير في تحقّق الفعل، وأقصى ما عندهم انّ إرادة الإنسان للعقل تقارن ايجاد اللَّه سبحانه فعله في عالم التكوين والوجود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أنّهم وتحاشياً من الذهاب إلى الجبر في تلك الأفعال وبالتالي اقصاء الانسان عن أفعاله، ومن ثمّ براءته من مسؤوليتها عمدوا إلى ابتداع نظرية الكسب المعقدة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الخالق والانسان هو الكاسب، إلّا</w:t>
      </w:r>
    </w:p>
    <w:p>
      <w:pPr>
        <w:pStyle w:val="BookText"/>
        <w:rPr/>
      </w:pPr>
      <w:r>
        <w:rPr>
          <w:rFonts w:ascii="Amiri" w:hAnsi="Amiri" w:eastAsia="Amiri" w:cs="Amiri"/>
          <w:color w:val="111111"/>
          <w:sz w:val="28"/>
          <w:sz w:val="28"/>
          <w:szCs w:val="28"/>
          <w:rtl w:val="true"/>
          <w:lang w:bidi="ar-SA"/>
        </w:rPr>
        <w:t>أنّها نظرية غريبة غير مفهومة، ومليئة بالألغاز التي عجز عن فهمها وايضاحها حتى مبتدعوها 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الاستطاعة في الانسان على فعل من الأفعال تقارنه تارة، وتتقدّم عليه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أُريد من القدرة العلّة التامّة فهي مقارنة، ولو أُريد العلّة الناقصة فهي متقدّمة، خلافاً للأشاعرة فقد قالوا بالتقارن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اللَّه بالأبصار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مستحيلة عند الإمامية والمعتزلة، ممكنة عند الأشاعرة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سبحانه عند الإمامية هو فعله، فهو حادث لا قديم، وهذا خلافاً للأشاعرة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فكلامه عبارة عن الكلام النفسي القائم بذاته، فهو قديم كقدم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التحسين والتقبيح العقليان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إلى أنّ العقل يدرك حسن بعض الأفعال أو قبحها، بمعنى أنّ نفس الفعل من أي‌فاعل صدر، سواء أكان الفاعل قديماً أو حادثاً، واجباً أو ممكناً، يتّصف باحدهما، فيرى مقابلة الإحسان بالإحسان أمراً حسناً، ومقابلته بالإساءة أمراً قبيحاً، ويتلقّاه حكماً مطلقاً سائداً على مرّ الحقب، والأزمان، لا يغيّره شي‌ء، وهذا خلافاً للأشاعرة، فقد عزلوا العقل عن إدراك الحسن والقبيح، وبذلك خالفوا الإمامية والمعتزلة في الفروع المترتّبة عليه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الا صول التي تخالف فيها الإمامية الأشاعرة، وربّما توافقهم المعتزلة في جميعها أو أكثرها، كلّ ذلك يثبت أنّ للشيعة الإمامية منهجاً كلامياً خاصّاً نابعاً من الكتاب والسنّة، وكلمات العترة الطاهرة والعقل فيما له مجال القضاء، وليست الشيعة متطفّلة في منهجها الكلامي على أيّة من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إذا وقفت على الكتب الكلامية المؤلّفة في العصور المتقدّمة</w:t>
      </w:r>
    </w:p>
    <w:p>
      <w:pPr>
        <w:pStyle w:val="BookText"/>
        <w:rPr/>
      </w:pPr>
      <w:r>
        <w:rPr>
          <w:rFonts w:ascii="Amiri" w:hAnsi="Amiri" w:eastAsia="Amiri" w:cs="Amiri"/>
          <w:color w:val="111111"/>
          <w:sz w:val="28"/>
          <w:sz w:val="28"/>
          <w:szCs w:val="28"/>
          <w:rtl w:val="true"/>
          <w:lang w:bidi="ar-SA"/>
        </w:rPr>
        <w:t xml:space="preserve">من عصر 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عصر شيخنا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بقليل، تجد منهجاً كلامياً مبرهناً متّزناً واضحاً لا تعقيد فيه ولا غموض، وعلى تلك الا صول وذلك المنهج درج علماؤهم المتأخّرون في الأجيال التالية، فألّف الشيخ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سديد الدين الحمصي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 من التقليد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وتوالى بعدهم التأليف على يد الفيلسوف الكبير نصير الدين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وتلميذه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المؤلفات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ذلك يكشف عن أنّ الأئمّة طرحوا أُصول العقائد، وغذّوا أصحابهم وتلاميذهم بمعارف سامية، أُعتبر الحجر الأساس للمنهج الكلامي الشيعي، وتكامل المنهج من خلال الجدل الكلامي والنقاش العلمي في الظروف المتأخّرة فوصل إلى الذروة والقمّة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فالناظر في الكتب الكلامية للسيّد الشريف المرتضى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يجد منبعاً غنيّاً بالبحوث الكلامية، كما أنّ الناظر في كتب العلّامة الحلّي المختلفة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المراد</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وغيرهما يقف على أفكار سامية أنضجها البحث والنقاش عبر القرون، فبلغت غايتها القصوى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توالى التأليف في عقائد الشيعة وأُصولهم من العصور الا ولى إلى يومنا هذا، بشكل واسع لا يحصيه إلّا محصي قطرات المطر وحبّات الرمال</w:t>
      </w:r>
      <w:r>
        <w:rPr>
          <w:rFonts w:eastAsia="Amiri" w:cs="Amiri" w:ascii="Amiri" w:hAnsi="Amiri"/>
          <w:color w:val="111111"/>
          <w:sz w:val="28"/>
          <w:szCs w:val="28"/>
          <w:rtl w:val="true"/>
          <w:lang w:bidi="ar-SA"/>
        </w:rPr>
        <w:t>.</w:t>
      </w:r>
      <w:bookmarkStart w:id="60" w:name="pg507_2750"/>
    </w:p>
    <w:p>
      <w:pPr>
        <w:pStyle w:val="BookText"/>
        <w:rPr/>
      </w:pPr>
      <w:bookmarkEnd w:id="60"/>
      <w:r>
        <w:rPr>
          <w:rFonts w:ascii="Amiri" w:hAnsi="Amiri" w:eastAsia="Amiri" w:cs="Amiri"/>
          <w:color w:val="111111"/>
          <w:sz w:val="28"/>
          <w:sz w:val="28"/>
          <w:szCs w:val="28"/>
          <w:rtl w:val="true"/>
          <w:lang w:bidi="ar-SA"/>
        </w:rPr>
        <w:t>هذا وإنّ الشيعة وإن خالفوا في هذه الا صول طائفة من الطوائف الإسلامية ووافقوا طوائف أُخرى، ولكن هناك أُصول اتّفق الجميع فيها دون استثناء، وهو ظاهر لمن قرأ ما أثبتناه من الرسائل والكتيبات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أفما آن للمسلمين أن يتّحدوا في ظلال هذه الا صول المؤلّفة لقلوبهم، ويتظلّلوا بظلالها، ويتمسّكوا بالعروة الوثقى، ويكون شعارهم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يصغوا إلى النعرات المفرقة، المفترية على الشيعة وأئمّتهم، وليكن شعارنا في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والتأكّد من عقائد الآخرين، ثمّ التدوين</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4440395_211673320"/>
      <w:bookmarkStart w:id="62" w:name="_Toc22"/>
      <w:bookmarkEnd w:id="61"/>
      <w:r>
        <w:rPr>
          <w:rtl w:val="true"/>
        </w:rPr>
        <w:t>الفرق بين الشيعة الإمامية وسائر الفرق</w:t>
      </w:r>
      <w:r>
        <w:rPr>
          <w:rtl w:val="true"/>
        </w:rPr>
        <w:t>:</w:t>
      </w:r>
      <w:bookmarkEnd w:id="6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تعرّفت على الفوارق بين الموجودة بين الشيعة وبعض طوائف المسلمين، فهلمّ معي إلى الفوارق الجوهرية بينهم وبين سائر الطوائف التي صيّرتهم إلى فرقتين متمايزتين، وأكثرها يرجع إلى مسألة القيادة والخلافة بعد الرسول الأكرم صلَّى اللَّه عليه و آله و سلَّم، فنأخذ بالبحث عنها على وجه الإجمال</w:t>
      </w:r>
      <w:r>
        <w:rPr>
          <w:rFonts w:eastAsia="Amiri" w:cs="Amiri" w:ascii="Amiri" w:hAnsi="Amiri"/>
          <w:color w:val="111111"/>
          <w:sz w:val="28"/>
          <w:szCs w:val="28"/>
          <w:rtl w:val="true"/>
          <w:lang w:bidi="ar-SA"/>
        </w:rPr>
        <w:t>:</w:t>
      </w:r>
      <w:bookmarkStart w:id="63" w:name="pg507_2752"/>
    </w:p>
    <w:p>
      <w:pPr>
        <w:pStyle w:val="Heading2"/>
        <w:numPr>
          <w:ilvl w:val="1"/>
          <w:numId w:val="1"/>
        </w:numPr>
        <w:rPr/>
      </w:pPr>
      <w:bookmarkStart w:id="64" w:name="__RefHeading___Toc4440397_211673320"/>
      <w:bookmarkStart w:id="65" w:name="_Toc23"/>
      <w:bookmarkEnd w:id="63"/>
      <w:bookmarkEnd w:id="64"/>
      <w:r>
        <w:rPr>
          <w:rtl w:val="true"/>
        </w:rPr>
        <w:t>المسألة الا ولى</w:t>
      </w:r>
      <w:r>
        <w:rPr>
          <w:rtl w:val="true"/>
        </w:rPr>
        <w:t xml:space="preserve">: </w:t>
      </w:r>
      <w:r>
        <w:rPr>
          <w:rtl w:val="true"/>
        </w:rPr>
        <w:t>وجوب تنصيب الإمام على اللَّه سبحانه‌</w:t>
      </w:r>
      <w:bookmarkEnd w:id="65"/>
    </w:p>
    <w:p>
      <w:pPr>
        <w:pStyle w:val="BookText"/>
        <w:rPr/>
      </w:pPr>
      <w:r>
        <w:rPr>
          <w:rFonts w:ascii="Amiri" w:hAnsi="Amiri" w:eastAsia="Amiri" w:cs="Amiri"/>
          <w:color w:val="111111"/>
          <w:sz w:val="28"/>
          <w:sz w:val="28"/>
          <w:szCs w:val="28"/>
          <w:rtl w:val="true"/>
          <w:lang w:bidi="ar-SA"/>
        </w:rPr>
        <w:t xml:space="preserve">تتّفق جميع الفرق الإسلامية على وجوب نصب الإمام، سوى العجاردة من الخوارج، ومنهم حاتم الأصمّ أحد شيوخ 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قد شذّوا عن ذلك، واعتقاد المسلمين بذلك يفترق إلى مذهبين اثنين في ماهية هذا الوجوب، فالشيعة يذهبون إلى وجوبه على اللَّه تعالى، وباقي الفرق على الا مّة، فوجوب نصب الإمام لا خلاف فيه بين المسلمين، وإنّما الكلام في تعيين من يجب عليه ذلك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المراد من وجوبه على اللَّه سبحانه، هو إصدار الحكم من العباد على اللَّه سبحانه، حتى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بل المراد كما ذكرنا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التعرّف على صفاته سبحانه، من كونه حكيماً غير عابث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كون مقتضى الحكمة هو لزوم النصب أو عدمه، وإلّا فالعباد أقصر من أن يكونوا حاكمين على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اختلاف المسلمين في كون النصب فرضاً على اللَّه أو على الا مّة ينجم عن اختلافهم في حقيقة الخلافة والإمامة 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ينظر إلى الإمام كرئيس دولة ليس له وظيفة إلّا تأمين الطرق والسبل، وتوفير الأرزاق، وإجراء الحدود، والجهاد في سبيل اللَّه، إلى غير ذلك ممّا يقوم به رؤساء الدول بأشكالها المختلفة، فقد قال بوجوب نصبه على الا مّة، إذ لا يشترط فيه من المواصفات إلّا الكفاءة والمقدرة على تدبير الا مور، وهذا ما يمكن أن تقوم به الا 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القول بأنّ الإمامة استمرار لوظائف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لنفس الرسالة فإنّ الرسالة والنبوّة مختومتان بالتحاق النبيّ الأكرم صلَّى اللَّه عليه و آله و سلَّم بالرفيق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المتفق عليه أنّ تعهد هذا الأمر يتوقّف على توفّر صلاحيات عالية لا ينالها الفرد إلّا إذا حظي بعناية إلهية خاصة فيخلف النبيّ في علمه بالا صول والفروع، وفي سد جميع الفراغات الحاصلة بموته، ومن المعلوم أنّ هذا الأمر لا تتعرّف عليه الا مّة إلّا عن طريق الرسول، ولا يتوفّر وجوده إلّا بتربية غيبيَّة وعناية سماوية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فلا يخفى أنّ كون القيادة الإسلامية بعد النبيّ‌صلَّى اللَّه عليه و آله و سلَّم بيد اللَّه أو بيد الا مّة، أو أنّ التعيين هل هو واجب عليه سبحانه أو عليهم، ينجم عن الاختلاف في تفسير ماهية الخلافة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جعلها سياسة زمنية وقتية يشغلها فرد من الا مّة بأحد الطرق، قال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ينخلع الإمام بفسقه وظلمه بغصب الأموال وضرب الابشار، وتناول النفوس المحرمة، وتضييع الحقوق، وتعطيل الحدود، ولا يجب الخروج عليه، بل يجب وعظه وتخويفه، وترك طاعته في شي‌ء ممّا يدعوا إليه من معاصي اللَّه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الإمام بعد الرسول أشبه برئيس الدولة أو أحد الحكام، وتنتخبه الا مّة الإسلامية، قال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نرى الخروج عن أئمتنا وولاة أُمورنا وإن جاروا، ولا ندعوا عليهم، ولا ننزع يداً من طاعتهم، ونرى طاعتهم من طاعة اللَّه فريضة ما لم يأمروا بمعصية، وندعوا لهم بالصلاح والمعافاة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والجهاد ماضيان مع أُولي الأمر من المسلمين، برّهم وفاجرهم، إلى قيام الساعة، ولا يبطلهما شي‌ء، ولا ينقضهما</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درج على هذه الفكرة متكلّموا السنّة ومحدّثوهم، حتى قال التفتازاني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ينعزل الإمام بالفسق، أو بالخروج عن طاعة اللَّه تعالى، والجور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على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ظهر الفسق وانتشر الجور من الأئمّة والا مراء بعد الخلفاء الراشدين، والسلف كانوا ينقادون لهم، ويقيمون الجمع والأعياد بإذنهم، ولا يرون الخروج عليهم، ونقل عن كتب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القاضي ينعزل بالفسق بخلاف الإمام، والفرق انّ في انعزاله ووجوب نصب غيره اثارة الفتنة، لما له من الشوكة، بخلاف القاضي</w:t>
      </w:r>
      <w:r>
        <w:rPr>
          <w:rFonts w:eastAsia="Amiri" w:cs="Amiri" w:ascii="Amiri" w:hAnsi="Amiri"/>
          <w:color w:val="111111"/>
          <w:sz w:val="28"/>
          <w:szCs w:val="28"/>
          <w:rtl w:val="true"/>
          <w:lang w:bidi="ar-SA"/>
        </w:rPr>
        <w:t>»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أمّا من فسّر الإمامة بأنّها عبارة عن إمرة إلهية واستمرار لوظائف النبوّة كلّها سوى تحمّل الوحي الإلهي، فلا مناص له عن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نصبه على اللَّه سبحانه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استدلّت الإمامية على وجوب نصب الإمام على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وجود الإمام الذي اختاره اللَّه سبحانه، مقرّب من الطاعات، ومبعد عن</w:t>
      </w:r>
    </w:p>
    <w:p>
      <w:pPr>
        <w:pStyle w:val="BookText"/>
        <w:rPr/>
      </w:pPr>
      <w:r>
        <w:rPr>
          <w:rFonts w:ascii="Amiri" w:hAnsi="Amiri" w:eastAsia="Amiri" w:cs="Amiri"/>
          <w:color w:val="111111"/>
          <w:sz w:val="28"/>
          <w:sz w:val="28"/>
          <w:szCs w:val="28"/>
          <w:rtl w:val="true"/>
          <w:lang w:bidi="ar-SA"/>
        </w:rPr>
        <w:t>المعاصي، وقد أوضحوه في كتبهم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اللطف المقرّب هنا ما عرفت من أنّ رحلة النبي الأكرم تترك فراغات هائلة بين الا مّة في مجالي العقيدة والشريعة، كما تترك جدالًا ونزاعاً عنيفاً بين الا مّة في تعيين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على اللَّه سبحانه من باب اللطف هو سدّ هذه الفراغات بنصب من هو صنو النبي الأكرم صلَّى اللَّه عليه و آله و سلَّم في علمه بالعقيدة والشريعة، وفي العدالة والعصمة، والتدبير والحنكة، وحسم مادة النزاع المشتعل برحلة الرسولصلَّى اللَّه عليه و آله و سلَّم، ولمّ شعث الا مّة، وجمعهم على خط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أنّ المعتزلة الذين يذهبون إلى وجوب اللطف والأصلح على اللَّه سبحانه، يشذّون في هذا المقام عن معتقدهم هذا، مع العلم بأنّ هذا المورد من جزئياته، والذي منعهم عن الالتزام بالقاعدة في المقام بأنّهم لو قالوا بها في هذه المسألة لزمهم أن يقولوا بعدم صحّة خلافة الخلفاء المتقدمين على عليّ، لأنّ قاعدة اللطف تقتضي أن يكون الخليفة منصوصاً عليه من اللَّه سبحانه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إنّك قد تعرّفت على أنّ الرسول الأكرم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بوحي من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بتطيبق القاعدة، ونصب إماماً للا مّة، ليقود أمرهم ويسد جميع الفراغات الحاصلة بلحوقه بالرفيق الأعلى، وبذلك حسم مادة النزاع، وقطع الطريق على المشاغبين، ولكنّه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تناست الا مّة وصية الرسولصلَّى اللَّه عليه و آله و سلَّم وأمره، فانقسموا إلى طوائف وأحزاب وقامت بينهم المعارك والحروب التي أُريقت فيها الدماء، واستبيحت بسببها الأعراض، وتبدّلت نتيجة لذلك المفاهيم، واختلفت القيم، واستثمر أعداء الدين هذه الاختلافات بين المسلمين فعمدوا إلى زيادة الهوة بينهم وكرسوا لذلك أقصى جهودهم حتى أصبح التقريب فضلًا عن الوحدة أمراً متعسّراً على المفكّرين، نسأل اللَّه سبحانه أن يسد تلك الفجوة العميقة بايقاظ شعور علماء الأُمّة ومصلحيهم في المستقبل القريب إن شاء اللَّه تعالى</w:t>
      </w:r>
      <w:r>
        <w:rPr>
          <w:rFonts w:eastAsia="Amiri" w:cs="Amiri" w:ascii="Amiri" w:hAnsi="Amiri"/>
          <w:color w:val="111111"/>
          <w:sz w:val="28"/>
          <w:szCs w:val="28"/>
          <w:rtl w:val="true"/>
          <w:lang w:bidi="ar-SA"/>
        </w:rPr>
        <w:t>.</w:t>
      </w:r>
      <w:bookmarkStart w:id="66" w:name="pg507_2756"/>
    </w:p>
    <w:p>
      <w:pPr>
        <w:pStyle w:val="Heading2"/>
        <w:numPr>
          <w:ilvl w:val="1"/>
          <w:numId w:val="1"/>
        </w:numPr>
        <w:rPr/>
      </w:pPr>
      <w:bookmarkStart w:id="67" w:name="__RefHeading___Toc4440399_211673320"/>
      <w:bookmarkStart w:id="68" w:name="_Toc24"/>
      <w:bookmarkEnd w:id="66"/>
      <w:bookmarkEnd w:id="67"/>
      <w:r>
        <w:rPr>
          <w:rtl w:val="true"/>
        </w:rPr>
        <w:t>المسألة الثانية</w:t>
      </w:r>
      <w:r>
        <w:rPr>
          <w:rtl w:val="true"/>
        </w:rPr>
        <w:t xml:space="preserve">: </w:t>
      </w:r>
      <w:r>
        <w:rPr>
          <w:rtl w:val="true"/>
        </w:rPr>
        <w:t>عصمة الإمام‌</w:t>
      </w:r>
      <w:bookmarkEnd w:id="68"/>
    </w:p>
    <w:p>
      <w:pPr>
        <w:pStyle w:val="Heading3"/>
        <w:numPr>
          <w:ilvl w:val="2"/>
          <w:numId w:val="1"/>
        </w:numPr>
        <w:rPr/>
      </w:pPr>
      <w:bookmarkStart w:id="69" w:name="__RefHeading___Toc4440401_211673320"/>
      <w:bookmarkStart w:id="70" w:name="_Toc25"/>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تفرّدت الإمامية من بين الفرق الإسلامية بإيجابها عصمة الإمام من الذنب والخطأ، مع اتّفاق غيرهم على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معصومون كعصمة الأنبياء، ولا تجوز عليهم صغيرة إلّا ما قدم ذكر جوازه على الأنبياء، ولا ينسون شيئاً من الأحكام، ولا يدخل في مفهوم العصمة سلب القدرة عن المعاصي، ولا كون المعصوم مضطرّاً إلى فعل الطاعات، فإنّ ذلك يستدعي بطلان 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عقيدة الإمامية في الإمامة، وقد استدلّوا عليه بوجوه من العقل والسمع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العقل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منفذ لما جاء به الرسول، وحافظ للشرع، وقائم بمهام الرسول كلّها، فلو جاز عليه الخطأ والكذب، لا يحصل الغرض من إمامته</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4440403_211673320"/>
      <w:bookmarkStart w:id="72" w:name="_Toc26"/>
      <w:bookmarkEnd w:id="71"/>
      <w:r>
        <w:rPr>
          <w:rtl w:val="true"/>
        </w:rPr>
        <w:t>حقيقة العصمة</w:t>
      </w:r>
      <w:r>
        <w:rPr>
          <w:rtl w:val="true"/>
        </w:rPr>
        <w:t>:</w:t>
      </w:r>
      <w:bookmarkEnd w:id="7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العصمة قوّة تمنع صاحبها من الوقوع في المعصية والخطأ، حيث لا يترك واجباً، ولا يفعل محرّماً، مع قدرته على الترك والفعل، وإلّا لم يستحق مدحاً ولا ثواباً،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المعصوم قد بلغ من التقوى حدّاً لا تتغلّب عليه الشهوات والأهواء، وبلغ من العلم في الشريعة وأحكامها</w:t>
      </w:r>
    </w:p>
    <w:p>
      <w:pPr>
        <w:pStyle w:val="BookText"/>
        <w:rPr/>
      </w:pPr>
      <w:r>
        <w:rPr>
          <w:rFonts w:ascii="Amiri" w:hAnsi="Amiri" w:eastAsia="Amiri" w:cs="Amiri"/>
          <w:color w:val="111111"/>
          <w:sz w:val="28"/>
          <w:sz w:val="28"/>
          <w:szCs w:val="28"/>
          <w:rtl w:val="true"/>
          <w:lang w:bidi="ar-SA"/>
        </w:rPr>
        <w:t>مرتبة لا يخطأ معها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العصمة فكرة ابتدعتها الشيعة، وإنّما دلّهم عليها في حق العترة الطاهرة كتاب اللَّه وسنّة رسوله،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وليس المراد من الرجس إلّا الرجس المعنوي وأظهره هو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 يدور معه كيفما دار</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ومن دار معه الحق كيفما دار محال أن يعصي أو أن يخطأ، وقوله صلَّى اللَّه عليه و آله و سلَّم في حق العترة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 ما إن تمسّكتم بهما لن تضلّوا أبداً</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فإذا كانت العترة عدل القرآن والقرآن هو كلام اللَّه تعالى، فمن المنطقي أن تكون معصومة كالكتاب، لا يخالف أحدهما الآخر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توضحت الصورة الحقيقية لتبلور عقيدة العصمة عند الشيعة، وإنّ منشأها هو الكتاب والسنّة، فإنّ هذا الوضوح لم يتحسسه البعض بل ولم يكلّف نفسه عناء التثبت من حقيقة مدعياته وتصوراته،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عقيدة العصمة تسرّبت إلى الشيعة من الفرس الذين نشأوا على تقديس الحاكم، لهذا أطلق عليها العرب النزعة الكسروية، ولا أعرف أحداً من العرب قال ذلك في حدود اطلاعي، ولعلّ غالبية الشيعة كانت ترمي من وراء هذه الفكرة إلى تنزيه علي من الخطأ حتى يتضح للملأ عدوان بني أُمية</w:t>
      </w:r>
    </w:p>
    <w:p>
      <w:pPr>
        <w:pStyle w:val="BookText"/>
        <w:rPr/>
      </w:pPr>
      <w:r>
        <w:rPr>
          <w:rFonts w:ascii="Amiri" w:hAnsi="Amiri" w:eastAsia="Amiri" w:cs="Amiri"/>
          <w:color w:val="111111"/>
          <w:sz w:val="28"/>
          <w:sz w:val="28"/>
          <w:szCs w:val="28"/>
          <w:rtl w:val="true"/>
          <w:lang w:bidi="ar-SA"/>
        </w:rPr>
        <w:t>في اغتصاب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وفي اليهودية كثير من المذاهب التي تسرَّبت إلى الشيعة </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هكذا ودون أي‌دليل وبيّنة متناسياً أنّ جميع المسلمين يذهبون إلى عصمة النبي صلَّى اللَّه عليه و آله و سلَّم ولا يختلف في ذلك أحد فهل هذه الفكرة تسرّبت إلى أهل السنّة من اليهود؟ أو أنّ المسلمين أرادوا بذلك إيضاح عداوة قريش للنبيّ صلَّى اللَّه عليه و آله و سلَّم؟ أو غير ذلك من التخرصات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واللَّه إنّها عقيدة إسلامية واقتبسها القوم من الكتاب والسنّة من دون أخذ من اليهود والفرس، فما ذكره الكاتب تخرُّص على الغيب، بل فرية واضحة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الاختلاف في لزوم توصيف الإمام وعدمه، ينشأ من الاختلاف في تفسير الإمامة بعد الرسول وماهيتها وحقيقتها كما أشرنا إلى ذلك سابقاً، فمن تلقّى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مقام عرفي لتأمين السبل، وتعمير البلاد، واجراء الحدود، فشأنه شأن سائر الحكام العرفيّين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رأى الإمامة بأنّها استمرار لتحقيق وظيفة الرسالة وأنّ الإمام ليس نبيّاً ولا يوحى إليه، لكنّه مكلّف بمل‌ء الفراغات الحاصلة برحلة النبيّ صلَّى اللَّه عليه و آله و سلَّم، فلا محيص له عن الالتزام بها، لأنّ الغاية المنشودة لا تحصل بلا تسديد إلهي كما سيوافيك، نعم إنّ أهل السنّة يتحرَّجون من توصيف الإمام بالعصمة ويتصوّرون أنّ ذلك يلازم النبوّة، وما هذا إلّا أنّهم لا يفرّقون بين الإمامتين وأنّ لكلٍ معطياته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موكول إلى محلّه</w:t>
      </w:r>
      <w:r>
        <w:rPr>
          <w:rFonts w:eastAsia="Amiri" w:cs="Amiri" w:ascii="Amiri" w:hAnsi="Amiri"/>
          <w:color w:val="111111"/>
          <w:sz w:val="28"/>
          <w:szCs w:val="28"/>
          <w:rtl w:val="true"/>
          <w:lang w:bidi="ar-SA"/>
        </w:rPr>
        <w:t>.</w:t>
      </w:r>
      <w:bookmarkStart w:id="73" w:name="pg507_2759"/>
    </w:p>
    <w:p>
      <w:pPr>
        <w:pStyle w:val="Heading3"/>
        <w:numPr>
          <w:ilvl w:val="2"/>
          <w:numId w:val="1"/>
        </w:numPr>
        <w:rPr/>
      </w:pPr>
      <w:bookmarkStart w:id="74" w:name="__RefHeading___Toc4440405_211673320"/>
      <w:bookmarkStart w:id="75" w:name="_Toc27"/>
      <w:bookmarkEnd w:id="73"/>
      <w:bookmarkEnd w:id="74"/>
      <w:r>
        <w:rPr>
          <w:rtl w:val="true"/>
        </w:rPr>
        <w:t>الدليل على لزوم عصمة الإمام بعد النبيّ صلَّى اللَّه عليه و آله و سلَّم</w:t>
      </w:r>
      <w:r>
        <w:rPr>
          <w:rtl w:val="true"/>
        </w:rPr>
        <w:t>:</w:t>
      </w:r>
      <w:bookmarkEnd w:id="75"/>
    </w:p>
    <w:p>
      <w:pPr>
        <w:pStyle w:val="BookText"/>
        <w:rPr/>
      </w:pPr>
      <w:r>
        <w:rPr>
          <w:rFonts w:ascii="Amiri" w:hAnsi="Amiri" w:eastAsia="Amiri" w:cs="Amiri"/>
          <w:color w:val="111111"/>
          <w:sz w:val="28"/>
          <w:sz w:val="28"/>
          <w:szCs w:val="28"/>
          <w:rtl w:val="true"/>
          <w:lang w:bidi="ar-SA"/>
        </w:rPr>
        <w:t>يمكن الاستدلال على لزوم العصمة في الإمام بوجوه متعددة نورد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إذا كانت استمراراً لوظيفة النبوّة والرسالة، وكان الإمام يملأ جميع الفراغات الحاصلة جرّاء رحلة النبيّ الأكرم صلَّى اللَّه عليه و آله و سلَّم، فلا مناص من لزوم عصمته، وذلك لأنّ تجويز المعصية يتنافى مع الغاية التي لأجلها نصبه اللَّه سبحانه إماماً للا مّة، فإنّ الغاية هي هداية الا مّة إلى الطريق المهيع، ولا يحصل ذلك إلّا بالوثوق بقوله، والاطمئنان بصحّة كلامه، فإذا جاز على الإمام الخطأ والنسيان، والمعصية والخلاف، لم يحصل الوثوق بأفعاله وأقواله، وضعفت ثقة الناس به، فتنتفي الغاية من نصبه، وهذا نفس الدليل الذي استدلّ به المتكلّمون على عصمة الأنبياء، والإمام وإن لم يكن رسولًا ولا نبيّاً ولكنّه قائم بوظائفهما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وظيفة الإمام مقتصرة بتأمين السبل وغزو العدو والانتصاف للمظلوم وما أشبه ذلك، لكفى فيه كونه رجلًا عادلًا قائماً بالوظائف الدينية، وأمّا إذا كانت وظيفته أوسع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مورد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الإمام عادلًا قائماً بالوظائف الدينية، غير كاف في تحقيق الهدف المنشود من نصب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النبي الأكرم صلَّى اللَّه عليه و آله و سلَّم يفسّر القرآن الكريم ويشرح مقاصده وأهدافه ويبيّن أسراره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يجيب على الأسئلة في مجال الموضوعات المستحدثة وكان يردّ على الشبهات والتشكيكات التي كان يلقيها أعداء الإسلام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يصون الدين من محاولات التحريف والتغيير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يربّي المسلمين ويهذبهم ويدفعهم نحو التكامل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فالفراغات الحاصلة برحلة النبي الأكرم صلَّى اللَّه عليه و آله و سلَّم لا تسدّ إلّا بوجود إنسان مثالي يقوم بتلك الواجبات وهو فرع كونه معصوماً عن الخطأ والعصيان‌</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والاستدلال مبني على دعامتين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أمر بطاعة أُولى الأمر على وجه الاطلاق، أي‌في جميع الأزمنة والأمكنة، وفي جميع الحالات والخصوصيات، ولم يقيّد وجوب امتثال أوامرهم ونواهيهم بشي‌ء كما هو مقتضى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الأمر البديهي كونه سبحانه لا يرضى لعباده الكفر والعصيان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يَرْضى لِعِبادِهِ الكُفْر</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من غير فرق بين أن يقوم به العباد ابتداءً من دون تدخّل أمر آمر أو نهي ناهٍ، أو يقومون به بعد صدور أمر ونهي من أُولي الأمر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فمقتضى الجمع بين هذين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اطاعة أُولي الأمر على وجه الاطلاق، وحرمة طاعتهم إذا أمروا بالعصيان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يتّصف أُولو الأمر الذين وجبت اطاعتهم على وجه الاطلاق، بخصوصية ذاتية وعناية إلهية ربّانية، تصدّهم عن الأمر بالمعصية والنهي عن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إلّا عبارة أُخرى عن كونهم معصومين، وإلّا فلو كانوا غير واقعين تحت تلك العناية، لما صحّ الأمر بإطاعتهم على وجه الاطلاق، ولما صحّ الأمر بالطاعة بلا قيد</w:t>
      </w:r>
    </w:p>
    <w:p>
      <w:pPr>
        <w:pStyle w:val="BookText"/>
        <w:rPr/>
      </w:pPr>
      <w:r>
        <w:rPr>
          <w:rFonts w:ascii="Amiri" w:hAnsi="Amiri" w:eastAsia="Amiri" w:cs="Amiri"/>
          <w:color w:val="111111"/>
          <w:sz w:val="28"/>
          <w:sz w:val="28"/>
          <w:szCs w:val="28"/>
          <w:rtl w:val="true"/>
          <w:lang w:bidi="ar-SA"/>
        </w:rPr>
        <w:t>وشرط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فتستكشف من إطلاق الأمر بالطاعة اشتمال المتعلّق على خصوصية تصدّه عن الأمر بغير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صرّح بدلالة الآية على العصمة الإمام الرازي في تفسيره، ويطيب لي أن أذكر نصّه حتى يمعن فيه أبناء جلدته وأتباع طريقته،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تعالى أمر بطاعة أُولي الأمر على سبيل الجزم في هذه الآية، ومن أمر اللَّه بطاعته على سبيل الجزم والقطع، لابد وأن يكون معصوماً عن الخطأ، إذ لو لم يكن معصوماً عن الخطأ كان بتقدير اقدامه على الخطأ يكون قد أمر اللَّه بمتابعته، فيكون ذلك أمراً بفعل ذلك الخطأ، والخطأ لكونه خطأ منهى عنه، فهذا يقضي إلى اجتماع الأمر والنهي في الفعل الواحد بالاعتبار الواحد، وأنّه محال، فثبت أنّ اللَّه تعالى أمر بطاعة أُولي الأمر على سبيل الجزم، وثبت أنّ كل من أمر اللَّه بطاعته على سبيل الجزم وجب أن يكون معصوماً عن الخطأ، فثبت قطعاً أنّ أُولي الأمر المذكور في هذه الآية لابد وأن يكون معصوماً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الرازي، وبعد أن قادته استدلالته المنطقية إلى هذه الفكرة الثابتة المؤكدة لوجوب العصمة بدا يتهرّب من تبعة هذا الأمر، ولم يستثمر نتائج أفكاره، لا لسبب إلّا لأنّها لا توافق مذهبه في تحديد الإمامة، فأخذ يؤوّل الآية ويحملها على غير ما ابتداه وعمد إلى اثباته، حيث استدرك قائلًا بأنّا عاجزون عن معرفة الإمام المعصوم، عاجزون عن الوصول إليه، عاجزون عن استفادة الدين والعلم منه، فإذا كان الأمر كذلك، فالمراد ليس بعضاً من أبعاض الا مّة، بل المراد هو أهل الحل والعقد من الا مّة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ادّعائه هذا لا يصمد أمام الحقيقة القوية التي لا خفاء عليها، وفي دفعه ذلك الأمر مغالطة لا يمكن أن يرتضيها هو نفسه، فإنّه إذا دلّت</w:t>
      </w:r>
    </w:p>
    <w:p>
      <w:pPr>
        <w:pStyle w:val="BookText"/>
        <w:rPr/>
      </w:pPr>
      <w:r>
        <w:rPr>
          <w:rFonts w:ascii="Amiri" w:hAnsi="Amiri" w:eastAsia="Amiri" w:cs="Amiri"/>
          <w:color w:val="111111"/>
          <w:sz w:val="28"/>
          <w:sz w:val="28"/>
          <w:szCs w:val="28"/>
          <w:rtl w:val="true"/>
          <w:lang w:bidi="ar-SA"/>
        </w:rPr>
        <w:t>الآية على عصمة أُولي الأمر فيجب علينا التعرّف عليهم، وادّعاء العجز هروب من الحقيقة، فهل العجز يختص بزمانه أو كان يشمل زمان نزول الآية، لا أظن أن يقول الرازي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 يتعرّف على المعصوم في زمان النبيّ صلَّى اللَّه عليه و آله و سلَّم وعصر نزول الآية، وبالتعرّف عليه يعرف معصوم زمانه، حلقة بعد أُخرى، ولا يعقل أن يأمر الوحي الإلهي باطاعة المعصوم ثم لا يقوم بتعريفه حين النزول، فلو آمن الرازي بدلالة الآية على عصمة أُولي الأمر فإنّه من المنطقي والمعقول له أن يؤمن بقيام الوحي الإلهي بتعريفهم بواسطة النبيّ الأكرم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معنى أن يأمر اللَّه سبحانه باطاعة المعصوم، ولا يقوم بتعريفه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الحل والعقد، تفسير للغامض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نظر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أشد غموضاً، إذ هو ليس بأوضح من الأوّل، فهل المراد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العساكر، والضباط، أو العلماء، والمحدّثون، أو الحكام والسياسيون، أو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اتّفق اجماعهم على شي‌ء، ولم يخالفهم لفيف من المسلمين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العصمة ثابتة للا مة عند الرازي كما علمت، فهناك من يرى العصمة لجماعة من الا مّة كالقرّاء والفقهاء والمحدّثين، هذا هو ابن تيمية يقول في ردّه على الشيعة عند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الإمام المعصوم لا بدّ منه بعد موت النبيّ يكون حافظاً للشريعة ومبيّناً أحكامها خصوصاً أحكام الموضوعات المتجددة،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السنّة لا يسلمون أن يكون الإمام حافظاً للشرع بعد انقطاع الوحي، وذلك لأنّه حاصل للمجموع، والشرع إذا نقله أهل التواتر كان ذلك خيراً من نقل الواحد، فالقرّاء معصومون في حفظ القرآن وتبليغه، والمحدّثون معصومون في حفظ</w:t>
      </w:r>
    </w:p>
    <w:p>
      <w:pPr>
        <w:pStyle w:val="BookText"/>
        <w:rPr/>
      </w:pPr>
      <w:r>
        <w:rPr>
          <w:rFonts w:ascii="Amiri" w:hAnsi="Amiri" w:eastAsia="Amiri" w:cs="Amiri"/>
          <w:color w:val="111111"/>
          <w:sz w:val="28"/>
          <w:sz w:val="28"/>
          <w:szCs w:val="28"/>
          <w:rtl w:val="true"/>
          <w:lang w:bidi="ar-SA"/>
        </w:rPr>
        <w:t>الأحاديث وتبليغها، والفقهاء معصومون في الكلام والاستدلال</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الرأي أغرب من سابقه وأضعف حجّة، فكيف يدّعي العصمة لهذه الطوائف مع أنّهم غارقين في الاختلاف في القراءة والتفسير، والحديث والأثر، والحكم والفتوى، والعقيدة والنظر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أغمضنا عن ذلك فما الدليل على عصمة تلكم الطوائف خصوصاً على قول البعض بأنّ القول بالعصمة تسرّب من اليهود إلى الأوساط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والاستدلال بالآية على عصمة الإمام يتوقّف على تحديد مفهوم الإمامة الواردة في الآية وإنّ المقصود منها غير النبوّة وغير الرسالة، فأمّا الأوّل فهو عبارة عن منصب تحمّل الوحي، وأمّا الثاني فهو عبارة عن منصب ابلاغة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والإمامة المعطاة للخليل في أُخريات عمره غير هذه وتلك، لأنّه كان نبيّاً ورسولًا وقائماً بوظائفهما طيلة سنين حتى خُطب بهذه الآية، فالمراد من الإمامة في المقام هو منصب القيادة، وتنفيذ الشريعة في المجتمع بقوة وقدرة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وبعرب عن كون المراد من الإمامة في المقام هو المعنى الثالث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فالإمامة التي أنعم بها اللَّه سبحانه على الخليل وبعض ذرّيته هي الملك العظيم الوارد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وعلينا الفحص عن المراد بالملك العظيم، إذ عند ذلك يتّضح أنّ مقام الإمامة يلي النبوّة والرسالة، وانّما هو</w:t>
      </w:r>
    </w:p>
    <w:p>
      <w:pPr>
        <w:pStyle w:val="BookText"/>
        <w:rPr/>
      </w:pPr>
      <w:r>
        <w:rPr>
          <w:rFonts w:ascii="Amiri" w:hAnsi="Amiri" w:eastAsia="Amiri" w:cs="Amiri"/>
          <w:color w:val="111111"/>
          <w:sz w:val="28"/>
          <w:sz w:val="28"/>
          <w:szCs w:val="28"/>
          <w:rtl w:val="true"/>
          <w:lang w:bidi="ar-SA"/>
        </w:rPr>
        <w:t>قيادة حكيمة، وحكومة إلهية، يبلغ المجتمع بها إلى السعادة، واللَّه سبحانه يوضح حقيقة هذا الملك في الآيات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قول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قَدْ آتَيْتَنِي مِنَ المُلْكِ وَعَلَّمْتَنِي مِنْ تَأويلِ الأحاديثِ</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ومن المعلوم أنّ الملك الذي منّ به سبحانه على عبده يوسف ليس هو النبوّة، بل الحاكمية حيث صار أميناً مكيناً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وَعَلَّمْتَنِي مِنْ تَأويلِ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نبوّته، والملك إشارة إلى سلطته وقدرته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سبحانه في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وَآتاهُ اللَّهُ المُلْكَ وَالحِكْمَةَ وَعَلَّمَهُ مِمّا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وَشَدَدْنَا مُلْكَهُ وَآتَيْنَاهُ الحِكْمَةَ وَفَصْلَ الخِطَابِ</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ويحكي اللَّه تعالى عن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 لِي مُلْكَاً لا يَنْبَغِي لأِحَدٍ مِنْ بَعْدِي إِنَّكَ أنْتَ الوَهَّابُ</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والتأمل في هذه الآيات الكريمة يفسر لنا حقيقة الإمامة باعتبار الملاحظات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طلب الإمامة لذرّيته وقد أجاب سبحانه دعوته في بعضهم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مجموعة من ذرّيته، كيوسف وداود وسليمان، نالوا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النبوّة والرسالة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 الحكومة والقيادة</w:t>
      </w:r>
      <w:r>
        <w:rPr>
          <w:rFonts w:eastAsia="Amiri" w:cs="Amiri" w:ascii="Amiri" w:hAnsi="Amiri"/>
          <w:color w:val="111111"/>
          <w:sz w:val="28"/>
          <w:szCs w:val="28"/>
          <w:rtl w:val="true"/>
          <w:lang w:bidi="ar-SA"/>
        </w:rPr>
        <w:t>.</w:t>
      </w:r>
      <w:bookmarkStart w:id="76" w:name="pg507_2765"/>
    </w:p>
    <w:p>
      <w:pPr>
        <w:pStyle w:val="BookText"/>
        <w:rPr/>
      </w:pPr>
      <w:bookmarkEnd w:id="76"/>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أعطى آل إبراهيم الكتاب، والحكمة، والملك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ضم هذه الا مور بعضها إلى بعض، يخرج بهذه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ملاك الإمامة في ذرّية إبراهيم هو قيادتهم وحكمهم في المجتمع، وهذه هي حقيقة الإمامة، غير أنّها ربّما تجتمع مع المقامين الآخرين، كما في الخليل، ويوسف، وداود، وسليمان، وغيرهم، وربّما تنفصل عنهما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لَهُمْ نَبِيُّهُمْ إنَّ اللَّهَ قَدْ بَعَثَ لَكُمْ طَالُوتَ مَلِكاً قَالُوا أنّى يَكُونُ لَهُ المُلْكُ عَلَيْنَا وَنَحْنُ أحَقُ بِالمُلكِ مِنْهُ وَلَمْ يُؤْتَ سَعَةً مِنَ المَالِ قَالَ إنَّ اللَّهَ اصْطَفاهُ عَلَيْكُمْ وَزَادَهُ بَسَطَةً فِي العِلْمِ وَاللَّهُ يُؤْتي مُلْكَهُ مَنْ يَشاءُ وَاللَّهُ واسِعٌ عَليمٌ</w:t>
      </w:r>
      <w:r>
        <w:rPr>
          <w:rFonts w:eastAsia="Amiri" w:cs="Amiri" w:ascii="Amiri" w:hAnsi="Amiri"/>
          <w:color w:val="111111"/>
          <w:sz w:val="28"/>
          <w:szCs w:val="28"/>
          <w:rtl w:val="true"/>
          <w:lang w:bidi="ar-SA"/>
        </w:rPr>
        <w:t>)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والإمامة التي يتبنّاها المسلمون بعد رحلة النبيّ الأكرم صلَّى اللَّه عليه و آله و سلَّم تتّحد واقعيتها مع هذه الإمامة</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4440407_211673320"/>
      <w:bookmarkStart w:id="78" w:name="_Toc28"/>
      <w:bookmarkEnd w:id="77"/>
      <w:r>
        <w:rPr>
          <w:rtl w:val="true"/>
        </w:rPr>
        <w:t>ما هو المراد من الظالم</w:t>
      </w:r>
      <w:r>
        <w:rPr>
          <w:rtl w:val="true"/>
        </w:rPr>
        <w:t>:</w:t>
      </w:r>
      <w:bookmarkEnd w:id="78"/>
    </w:p>
    <w:p>
      <w:pPr>
        <w:pStyle w:val="BookText"/>
        <w:rPr/>
      </w:pPr>
      <w:r>
        <w:rPr>
          <w:rFonts w:ascii="Amiri" w:hAnsi="Amiri" w:eastAsia="Amiri" w:cs="Amiri"/>
          <w:color w:val="111111"/>
          <w:sz w:val="28"/>
          <w:sz w:val="28"/>
          <w:szCs w:val="28"/>
          <w:rtl w:val="true"/>
          <w:lang w:bidi="ar-SA"/>
        </w:rPr>
        <w:t>قد تعرّفت على المقصود من جعل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إماماً للناس، وإنّ المراد هو القيادة الإلهية وسوق الناس إلى السعادة بقوّة وقدرة ومنعة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تفسير الظالم الذي ليس له من الإمامة سهم، فنقول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خلع سبحانه ثوب الإمامة على خليله، ونصبه إماماً للناس، ودعا إبراهيم أن يجعل من ذرّيته إماماً، أُجيب بأنّ الإمامة منصب إلهيّ لا يناله الظالمون، لأنّ الإمام هو المطاع بين الناس، المتصرّف في الأموال والنفوس، فيجب أن يكون على الصراط 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والظالم المتجاوز عن الحد لا يصلح لهذا المنصب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الظالم الناكث لعهد اللَّه، والناقض لقوانينه وحدوده، على شفا جرف هار، لا يؤتمن عليه ولا تلقى إليه مقاليد الخلافة، لأنّه على مقربة من الخيانة والتعدي، وعلى استعداد لأن يقع أداة للجائرين، فكيف يصح في منطق العقل أن يكون إماماً مطاعاً، نافذ القول، مشروع التصرّف، وعلى ذلك، فكل من ارتكب ظلماً وتجاوز حداً في يوم من أيام عمره، أو عبد صنماً، أو لاذ إلى 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ارتكب ما هو حرام فضلًا عمّا هو شرك وكفر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ينادى من فوق العرش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صلاح حالهم بعد تلك الفترة، أو البقاء على ما كانوا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اعترض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الاستدلال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الآية إنّما تشمل من كان مقيماً على الظلم وأمّا التائب منه فلا يتعلّق به الحكم، لأنّ الحكم إذا كان معلّقاً على صفة، وزالت تلك الصفة، زال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إنّما ينهى عن الركون إليهم ما أقاموا على الظلم،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 به العهد عمّن تاب عن ظلمه، لأنّه في هذه الحالة لا يسمّى ظالماً، كما لا يسمّى من تاب من الكفر كافراً</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يدور مدار وجود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ضابطاً كلياً، بل الأحكام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كذلك، وآخر يكفي فيه اتّصاف الموضوع بالوصف والعنوان آناً ما، ولحظة خاصة، وإن انتفى بعد الاتّصاف،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سائمة الغنم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القسم الأوّل،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 يحد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منه انّ الانسان المتلبّس بالزنا أو السرقة يكون محكوماً بهما وإن زال العنوان وتاب</w:t>
      </w:r>
    </w:p>
    <w:p>
      <w:pPr>
        <w:pStyle w:val="BookText"/>
        <w:rPr/>
      </w:pPr>
      <w:r>
        <w:rPr>
          <w:rFonts w:ascii="Amiri" w:hAnsi="Amiri" w:eastAsia="Amiri" w:cs="Amiri"/>
          <w:color w:val="111111"/>
          <w:sz w:val="28"/>
          <w:sz w:val="28"/>
          <w:szCs w:val="28"/>
          <w:rtl w:val="true"/>
          <w:lang w:bidi="ar-SA"/>
        </w:rPr>
        <w:t>السارق والزاني، ومثله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المستطيع يجب عليه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ثابت، وإن زالت عنه الاستطالة عن تقصير لا عن 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فالمدعى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المباركة كالسارق والسارقة والزاني والزانية وغيرها من الموارد المشابهة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المهم في المقام، اثبات أنّ الموضوع في الآية من قبيل الثاني، وأنّ التلبس بالظلم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يسلب عن الانسان صلاحية الإمامة، وإن تاب من ذنبه، فإنّ الناس بالنسبة إلى الظلم على أقسام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طيلة عمره ظالماً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طاهراً ونقياً في جميع فترات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ظالماً في بداية عمره، وتائباً في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طاهراً في بداية عمره، وظالماً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ذلك يجب أن نقف على أنّ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الذي سأل الإمامة لبعض ذرّيته، أيَّ قسم منها أراد؟</w:t>
      </w:r>
    </w:p>
    <w:p>
      <w:pPr>
        <w:pStyle w:val="BookText"/>
        <w:rPr/>
      </w:pPr>
      <w:r>
        <w:rPr>
          <w:rFonts w:ascii="Amiri" w:hAnsi="Amiri" w:eastAsia="Amiri" w:cs="Amiri"/>
          <w:color w:val="111111"/>
          <w:sz w:val="28"/>
          <w:sz w:val="28"/>
          <w:szCs w:val="28"/>
          <w:rtl w:val="true"/>
          <w:lang w:bidi="ar-SA"/>
        </w:rPr>
        <w:t>إنّ من غير المعقول والبديهي أن يسأل خليل اللَّه تعالى الإمامة لأصحاب القسمي الأوّل والرابع من ذرّيته، لوضوح أنّ الغارق في الظلم من بداية عمره إلى آخره، أو المتّصف به أيام تصدّيه للإمامة، لا يصلح لأن يؤتمن عليها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اللَّه تعالى قد نفى امتلاك الإمامة من قبل الظالم وهو ما سبق أن وقع في تسميته أصحاب القسم الثالث، في حين يقابله في القسم الثاني من هو بري‌ء عن الظلم مطلقاً طيلة عمره، وتتمثل فيه جميع الصفات المطلوبة والمحددة في الآية الكريمة، فلا مناص من الجزم بتعلقها بالقسم الثاني وحده دون باقي الأقسام</w:t>
      </w:r>
      <w:r>
        <w:rPr>
          <w:rFonts w:eastAsia="Amiri" w:cs="Amiri" w:ascii="Amiri" w:hAnsi="Amiri"/>
          <w:color w:val="111111"/>
          <w:sz w:val="28"/>
          <w:szCs w:val="28"/>
          <w:rtl w:val="true"/>
          <w:lang w:bidi="ar-SA"/>
        </w:rPr>
        <w:t>.</w:t>
      </w:r>
      <w:bookmarkStart w:id="79" w:name="pg507_2768"/>
    </w:p>
    <w:p>
      <w:pPr>
        <w:pStyle w:val="Heading3"/>
        <w:numPr>
          <w:ilvl w:val="2"/>
          <w:numId w:val="1"/>
        </w:numPr>
        <w:rPr/>
      </w:pPr>
      <w:bookmarkStart w:id="80" w:name="__RefHeading___Toc4440409_211673320"/>
      <w:bookmarkStart w:id="81" w:name="_Toc29"/>
      <w:bookmarkEnd w:id="79"/>
      <w:bookmarkEnd w:id="80"/>
      <w:r>
        <w:rPr>
          <w:rtl w:val="true"/>
        </w:rPr>
        <w:t>العصمة في القول والرأي</w:t>
      </w:r>
      <w:r>
        <w:rPr>
          <w:rtl w:val="true"/>
        </w:rPr>
        <w:t>:</w:t>
      </w:r>
      <w:bookmarkEnd w:id="81"/>
    </w:p>
    <w:p>
      <w:pPr>
        <w:pStyle w:val="BookText"/>
        <w:rPr/>
      </w:pPr>
      <w:r>
        <w:rPr>
          <w:rFonts w:ascii="Amiri" w:hAnsi="Amiri" w:eastAsia="Amiri" w:cs="Amiri"/>
          <w:color w:val="111111"/>
          <w:sz w:val="28"/>
          <w:sz w:val="28"/>
          <w:szCs w:val="28"/>
          <w:rtl w:val="true"/>
          <w:lang w:bidi="ar-SA"/>
        </w:rPr>
        <w:t>إنّ الأئمّة معصومون عن العصيان والمخالفة أوّلًا، وعن الخطأ والزلّة في القول ثانياً، وما ذلك إلّا لأنّ كل إمام من الأوّل إلى الثاني عشر، قد أحاط إحاطة شاملة كاملة بكل ما في هذين الأصلين، بحيث لا يشذ عن علمهم معنى آية من آي الذكر الحكيم تنزيلًا وتأويلًا، ولا شي‌ء من سنّة رسول اللَّه قولًا وفعلًا وتقريراً، وكفى بمن أحاط بعلوم الكتاب والسنّة فضلًا وعلماً، ومن هنا كانوا قدوة الناس جميعاً بعد جدّهم الرسول صلَّى اللَّه عليه و آله و سلَّم باتفاق الجميع المطلق دليلًا واضحاً على أنّهم هم الأئمّة المعصومون وقادة المسلمين بعد غياب رسول اللَّه صلَّى اللَّه عليه و آله و سلَّم وحتى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أخذ أهل البيت علوم الكتاب والسنّة وفهموها عن رسول اللَّه صلَّى اللَّه عليه و آله و سلَّم تماماً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مناقب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أخذها ووعاها رسول اللَّه صلَّى اللَّه عليه و آله و سلَّم عن جبرئيل، وكما وعاها جبرئيل عن اللَّه، ولا فرق أبداً في شي‌ء إلّا بالواسطة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أخذ علي عن النبيّ صلَّى اللَّه عليه و آله و سلَّم، وأخذ الحسن عن أبيه، وهكذا كل إمام يأخذ عن أبيه، علم يتناقل ضمن هذهِ السلسلة الطاهرة المعروفة، لم يأخذ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صحابي ولا تابعي أبداً، بل أخذ الجميع عنهم ومنهم انتقلت العلوم إلى الآخرين كما تلقّاها رسول اللَّه صلَّى اللَّه عليه و آله و سلَّم من لدن حكيم خبير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كنّا نحدّث الناس برأينا وهوانا لهلكنا ولكن نحدّثهم بأحاديث نكنزها عن رسول اللَّه صلَّى اللَّه عليه و آله و سلَّم كما يكنز هؤلاء ذهبهم وفضتهم</w:t>
      </w:r>
      <w:r>
        <w:rPr>
          <w:rFonts w:eastAsia="Amiri" w:cs="Amiri" w:ascii="Amiri" w:hAnsi="Amiri"/>
          <w:color w:val="111111"/>
          <w:sz w:val="28"/>
          <w:szCs w:val="28"/>
          <w:rtl w:val="true"/>
          <w:lang w:bidi="ar-SA"/>
        </w:rPr>
        <w:t>» .</w:t>
      </w:r>
      <w:r>
        <w:rPr>
          <w:rStyle w:val="FootnoteAnchor"/>
          <w:rtl w:val="true"/>
        </w:rPr>
        <w:footnoteReference w:id="59"/>
      </w:r>
      <w:bookmarkStart w:id="82" w:name="pg507_2770"/>
    </w:p>
    <w:p>
      <w:pPr>
        <w:pStyle w:val="Heading2"/>
        <w:numPr>
          <w:ilvl w:val="1"/>
          <w:numId w:val="1"/>
        </w:numPr>
        <w:rPr/>
      </w:pPr>
      <w:bookmarkStart w:id="83" w:name="__RefHeading___Toc4440411_211673320"/>
      <w:bookmarkStart w:id="84" w:name="_Toc30"/>
      <w:bookmarkEnd w:id="82"/>
      <w:bookmarkEnd w:id="83"/>
      <w:r>
        <w:rPr>
          <w:rtl w:val="true"/>
        </w:rPr>
        <w:t>المسألة الثالثة</w:t>
      </w:r>
      <w:r>
        <w:rPr>
          <w:rtl w:val="true"/>
        </w:rPr>
        <w:t xml:space="preserve">: </w:t>
      </w:r>
      <w:r>
        <w:rPr>
          <w:rtl w:val="true"/>
        </w:rPr>
        <w:t>الإمام المنتظر</w:t>
      </w:r>
      <w:bookmarkEnd w:id="84"/>
    </w:p>
    <w:p>
      <w:pPr>
        <w:pStyle w:val="BookText"/>
        <w:rPr/>
      </w:pPr>
      <w:r>
        <w:rPr>
          <w:rFonts w:ascii="Amiri" w:hAnsi="Amiri" w:eastAsia="Amiri" w:cs="Amiri"/>
          <w:color w:val="111111"/>
          <w:sz w:val="28"/>
          <w:sz w:val="28"/>
          <w:szCs w:val="28"/>
          <w:rtl w:val="true"/>
          <w:lang w:bidi="ar-SA"/>
        </w:rPr>
        <w:t>إنّ الاعتقاد بالإمام المهدي المنتظر عقيدة مشتركة بين جميع المسلمين، إلّا من أصمّه اللَّه، فكل من كان له إلمام بالحديث يقف على تواتر البشارة عن النبي وآله وأصحابه، بظهور المهدي في آخر الزمان لإزالة الجهل والظلم، ونشر اعلام العلم والعدل، وإعلاء كلمة الحقّ، وإظهار الدين كلّه، ولو كره المشركون، وهو باذن اللَّه ينجي العالم من ذُلِّ العبودية لغير اللَّه، ويبطل القوانين الكافرة التي سنّتها الأهواء، ويقطع أواصر التعصبات القومية والعنصرية، ويميت أسباب العداء والبغضاء التي صارت سبباً لاختلاف الأُمّة واضطراب الكلمة، ومصدراً خطيراً لايقاد نيران الفتن والمنازعات، ويحقق اللَّه بظهوره وعده الذي وعد به المؤمنين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w:t>
      </w:r>
    </w:p>
    <w:p>
      <w:pPr>
        <w:pStyle w:val="BookText"/>
        <w:rPr/>
      </w:pPr>
      <w:r>
        <w:rPr>
          <w:rFonts w:ascii="Amiri" w:hAnsi="Amiri" w:eastAsia="Amiri" w:cs="Amiri"/>
          <w:color w:val="111111"/>
          <w:sz w:val="28"/>
          <w:sz w:val="28"/>
          <w:szCs w:val="28"/>
          <w:rtl w:val="true"/>
          <w:lang w:bidi="ar-SA"/>
        </w:rPr>
        <w:t>يَرِثُهَا عِبادِيَ الصَّالِحُونَ</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اتّفق عليه المسلمون في الصدر الأوّل والأزمنة اللاحقة، وقد تظافر مضمون قول الرسول الأكرم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الدنيا إلّا يوم واحد، لطوّل اللَّه ذلك اليوم حتى يخرج رجل من ولدي، فيملأها عدلًا وقسطاً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إنّ جميع المسلمين يتفقون أساساً على فكره قيام المهدي وما سيعم الأرض في عهده من العدل والأمن والخير العميم، وإن كان هناك من اختلاف يذكر في مضمون هذا الأمر العظيم، والحلم المنشود، فإنّه قد لا يتجاوز في أهم نقاطه الحدود الأساسية المرتكز عليها، والتي تتمحور أهمها في تحديد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فانّ الأكثرية من أهل السنّة يقولون بأنّه سيولد في آخر الزمان، وأمّا الشيعة ولاستنادهم على جملة واسعة من الروايات والأدلّة الصحيحة يذهبون إلى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ولد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وغاب بأمر اللَّه سبحانه سنة وفاة والده الإمام الحسن بن علي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عام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وهو يحيى حياة طبيعية كسائر الناس، غير أنّ الناس يرونه ولا يعرفونه، وسوف يظهره اللَّه سبحانه ليحقق 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المقدار من الاختلاف لا يجعل العقيدة بالمهدي عقيدة خلافية، ومن أراد أن يقف على عقيدة السنّة والشيعة في مسألة المهدي فعليه أن يرجع إلى الكتب التالية لمحقّقي السنّة ومحدّثيهم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أبي نعيم الاصفهاني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للكنجي الشافعي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البرهان في علامات مهدي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لملّا علي المتقي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العرف الوردي في أخبار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المختصر في علامات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 الدرر في أخبار الإمام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جمال الدين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أراد التفصيل فليرجع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الأثر في الإمام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 وإلى كتاب المهدي عند أهل السنّة صدر في مجلّدين وطبع في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الروايات والأخبار المستفيضة المؤكدة على قضية الإمام المهدي من الوفرة وقوّة الحجية بحيث لا يرقى إليها الشك والنقاش سواء في متونها أو في أسانيدها، وعلى ذلك دأب الماضون وتبعهم اللاحقون، إلّا ما أورده ابن خلدون في مقدمته من تضعيفه لهذه الأخبار والتشكيك في أصحيتها، وفي مدى حجيتها، وقد فنّد مقالته محمّد صديق برسالة 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إبراز الوهم المكنون من كلام ابن خلدون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 أخيراً الدكتور عبد الباقي كتاباً قيّماً في الموضوع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فيه إلى تظافر الأخبار الواردة في حق المهدي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المشكلة ليست في حديث أو حديثين أو راو أو راويين، إنّها مجموعة من الأحاديث والأخبار تبلغ الثمانين تقريباً، اجتمع على تناقلها مئات الرواة، وأكثر من صاحب كتاب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نردّ كل هذه الكمّية؟ أكلّها فاسدة؟ لو صحّ هذا الحكم لانهار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تطرق الشك والظن الفاسد إلى ما عداها من سنّة رسول اللَّه صلَّى اللَّه عليه و آله و سلَّم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إنّي لا أجد خلافاً حول ظهور المهدي، أو حول حاجة العالم إليه، وإنّما الخلاف حول من هو، حسني أو حسيني؟ سيكون في آخر الزمان، أو</w:t>
      </w:r>
    </w:p>
    <w:p>
      <w:pPr>
        <w:pStyle w:val="BookText"/>
        <w:rPr/>
      </w:pPr>
      <w:r>
        <w:rPr>
          <w:rFonts w:ascii="Amiri" w:hAnsi="Amiri" w:eastAsia="Amiri" w:cs="Amiri"/>
          <w:color w:val="111111"/>
          <w:sz w:val="28"/>
          <w:sz w:val="28"/>
          <w:szCs w:val="28"/>
          <w:rtl w:val="true"/>
          <w:lang w:bidi="ar-SA"/>
        </w:rPr>
        <w:t>موجود الآن، خفي وسيظهر؟ ظهر أو سيظهر؟ ولا عبرة بالمدّعين الكاذبين، فليس لهم 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لا أجد مناقشة موضوعية في متن الأحاديث، والذي أجده إنّما هو مناقشة وخلاف حول السند، واتّصاله وعدم اتّصاله، ودرجة رواته، ومن خرّجوه، ومن قالوا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نظرنا إلى ظهور المهدي نظرة مجرّدة فإنّنا لا نجد حرجاً من قبولها وتصديقها، أو على الأقل عدم رفضها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تؤيّد ذلك بالأدلّة الكثيرة، والأحاديث المتعددة، ورواتها مسلمون مؤتمنون، والكتب التي نقلتها إلينا كتب قيمة، والترمذي من رجال التخريج والحكم، بالاضافة إلى أنّ أحاديث المهدي لها ما يصح أن يكون سنداً لها في البخاري ومسلم، كحديث جابر في مسلم الذي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فيقول أميرهم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صلّ بنا</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وحديث أبي هريرة في البخاري،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إذا نزل فيكم المسيح ابن مريم وإمامكم منكم</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فلا مانع من أن يكون هذا الأمير، وهذا الإمام هو المهدي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هذا انّ كثيراً من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يعارضوا هذا القول، بل جاءت شروحهم وتقريراتهم موافقة لإثبات هذه العقيدة عند المسلمين</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bookmarkStart w:id="85" w:name="pg507_2774"/>
    </w:p>
    <w:p>
      <w:pPr>
        <w:pStyle w:val="Heading2"/>
        <w:numPr>
          <w:ilvl w:val="1"/>
          <w:numId w:val="1"/>
        </w:numPr>
        <w:rPr/>
      </w:pPr>
      <w:bookmarkStart w:id="86" w:name="__RefHeading___Toc4440413_211673320"/>
      <w:bookmarkStart w:id="87" w:name="_Toc31"/>
      <w:bookmarkEnd w:id="85"/>
      <w:bookmarkEnd w:id="86"/>
      <w:r>
        <w:rPr>
          <w:rtl w:val="true"/>
        </w:rPr>
        <w:t>المسألة الرابعة</w:t>
      </w:r>
      <w:r>
        <w:rPr>
          <w:rtl w:val="true"/>
        </w:rPr>
        <w:t xml:space="preserve">: </w:t>
      </w:r>
      <w:r>
        <w:rPr>
          <w:rtl w:val="true"/>
        </w:rPr>
        <w:t>التقية</w:t>
      </w:r>
      <w:bookmarkEnd w:id="87"/>
    </w:p>
    <w:p>
      <w:pPr>
        <w:pStyle w:val="Heading3"/>
        <w:numPr>
          <w:ilvl w:val="2"/>
          <w:numId w:val="1"/>
        </w:numPr>
        <w:rPr/>
      </w:pPr>
      <w:bookmarkStart w:id="88" w:name="__RefHeading___Toc4440415_211673320"/>
      <w:bookmarkStart w:id="89" w:name="_Toc32"/>
      <w:bookmarkEnd w:id="88"/>
      <w:r>
        <w:rPr>
          <w:rtl w:val="true"/>
        </w:rPr>
        <w:t>مفهومها</w:t>
      </w:r>
      <w:bookmarkEnd w:id="89"/>
    </w:p>
    <w:p>
      <w:pPr>
        <w:pStyle w:val="BookText"/>
        <w:rPr/>
      </w:pPr>
      <w:r>
        <w:rPr>
          <w:rFonts w:ascii="Amiri" w:hAnsi="Amiri" w:eastAsia="Amiri" w:cs="Amiri"/>
          <w:color w:val="111111"/>
          <w:sz w:val="28"/>
          <w:sz w:val="28"/>
          <w:szCs w:val="28"/>
          <w:rtl w:val="true"/>
          <w:lang w:bidi="ar-SA"/>
        </w:rPr>
        <w:t>غايتها، دليلها، حدّها</w:t>
      </w:r>
    </w:p>
    <w:p>
      <w:pPr>
        <w:pStyle w:val="BookText"/>
        <w:rPr/>
      </w:pPr>
      <w:r>
        <w:rPr>
          <w:rFonts w:ascii="Amiri" w:hAnsi="Amiri" w:eastAsia="Amiri" w:cs="Amiri"/>
          <w:color w:val="111111"/>
          <w:sz w:val="28"/>
          <w:sz w:val="28"/>
          <w:szCs w:val="28"/>
          <w:rtl w:val="true"/>
          <w:lang w:bidi="ar-SA"/>
        </w:rPr>
        <w:t>في ضوء الكتاب والسنّة</w:t>
      </w:r>
    </w:p>
    <w:p>
      <w:pPr>
        <w:pStyle w:val="BookText"/>
        <w:rPr/>
      </w:pPr>
      <w:r>
        <w:rPr>
          <w:rFonts w:ascii="Amiri" w:hAnsi="Amiri" w:eastAsia="Amiri" w:cs="Amiri"/>
          <w:color w:val="111111"/>
          <w:sz w:val="28"/>
          <w:sz w:val="28"/>
          <w:szCs w:val="28"/>
          <w:rtl w:val="true"/>
          <w:lang w:bidi="ar-SA"/>
        </w:rPr>
        <w:t xml:space="preserve">التقية من المفاهيم القرآنية التي وردت في أكثر من موضع في القرآن الكريم، وفي تلك الآيات إشارات واضحة إلى الموارد التي يلجأ فيها المؤمن إلى استخدام هذا المسلك الشرعي خلال حياته أثناء الظروف العصيبة، ليصون بها نفسه وعرضه وماله، أو نفس من يمتُ إليه بصلة وعرضَه ومالَه، كما استعملها مؤمن آل فرعون لصيانة الكليم عن القتل والتنكيل </w:t>
      </w:r>
      <w:r>
        <w:rPr>
          <w:rStyle w:val="FootnoteAnchor"/>
          <w:rtl w:val="true"/>
        </w:rPr>
        <w:footnoteReference w:id="65"/>
      </w:r>
      <w:r>
        <w:rPr>
          <w:rFonts w:ascii="Amiri" w:hAnsi="Amiri" w:eastAsia="Amiri" w:cs="Amiri"/>
          <w:color w:val="111111"/>
          <w:sz w:val="28"/>
          <w:sz w:val="28"/>
          <w:szCs w:val="28"/>
          <w:rtl w:val="true"/>
          <w:lang w:bidi="ar-SA"/>
        </w:rPr>
        <w:t xml:space="preserve">ولاذ بها عمّار عندما أُخذ وأُسِر و هُدِّد بالقتل </w:t>
      </w:r>
      <w:r>
        <w:rPr>
          <w:rStyle w:val="FootnoteAnchor"/>
          <w:rtl w:val="true"/>
        </w:rPr>
        <w:footnoteReference w:id="66"/>
      </w:r>
      <w:r>
        <w:rPr>
          <w:rFonts w:ascii="Amiri" w:hAnsi="Amiri" w:eastAsia="Amiri" w:cs="Amiri"/>
          <w:color w:val="111111"/>
          <w:sz w:val="28"/>
          <w:sz w:val="28"/>
          <w:szCs w:val="28"/>
          <w:rtl w:val="true"/>
          <w:lang w:bidi="ar-SA"/>
        </w:rPr>
        <w:t>إلى غير ذلك من الموارد الواردة في الكتاب والسنّة، فمن المحتّم علينا أن نتعرف عليها، مفهوماً وغايةً ودليلًا وحدّاً، حتى نتجنَّب الافراط والتفريط في مقام القضاء والتطبيق</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التقية، إسم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إتّقى يتّقي</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الوقاية، ومن ذلك اطلاق التقوى على اطاعة اللَّه، لأنّ المطيع يتخذها وقاية من النار والعذاب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هو التحفظ عن ضرر الغير بموافقته في قول أو فعل مخالف للحقّ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مفهومها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كانت التقية هي اتخاذ الوقاية من الشرِّ، فمفهومها في الكتاب والسنّة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الكفر وإبطان الإيمان، أو التظاهر بالباطل وإخفاء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هذا مفهومها، فهي تُقابل النفاق، تَقابُل الإيمان والكفر، فإنّ النفاق ضدها وخلافها، فهو عبارة عن إظهار الإيمان وابطان الكفر، والتظاهر بالحقّ واخفاء الباطل، ومع وجود هذا التباين بينهما فلا يصح عدها من فروع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فسر النفاق بمطلق مخالفة الظاهر للباطن، وبه صوَّر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الكتاب والسنّة من فروعه، فقد فسره بمفهوم أوسع ممّا هو عليه في القرآن، فإنّه يُعرِّف المنافقين بالمتظاهرين بالإيمان والمبطنين للكفر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المنَافِقُونَ قَالُواْ نَشْهَدُ إِنَّكَ لَرَسُولُ اللَّهِ وَاللَّهُ يَعْلَمُ إِنَّكَ لَرَسُولُهُ وَاللَّهُ يَشْهَدُ إِنَّ المنَافِقِينَ لَكَاذِبُونَ</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فإذا كان هذا حدُّ المنافق فكيف يعمُ من يستعمل التقية تجاه الكفار والعصاة فيخفي إيمانه ويظهر الموافقة لغاية صيانة النفس والنفيس، والعرض والمال من التعرض؟</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صدق ذلك إذا وقفنا على ورودها في التشريع الإسلامي، ولو كانت من قسم النفاق، لكان ذلك أمراً بالقبح ويستحيل على الحكيم أن يأمر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اللَّهَ لا يَأْمُرُ بِالْفَحْشَاءِ أَتَقُولُونَ عَلَى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bookmarkStart w:id="90" w:name="pg507_2776"/>
    </w:p>
    <w:p>
      <w:pPr>
        <w:pStyle w:val="Heading3"/>
        <w:numPr>
          <w:ilvl w:val="2"/>
          <w:numId w:val="1"/>
        </w:numPr>
        <w:rPr/>
      </w:pPr>
      <w:bookmarkStart w:id="91" w:name="__RefHeading___Toc4440417_211673320"/>
      <w:bookmarkStart w:id="92" w:name="_Toc33"/>
      <w:bookmarkEnd w:id="90"/>
      <w:bookmarkEnd w:id="91"/>
      <w:r>
        <w:rPr>
          <w:rtl w:val="true"/>
        </w:rPr>
        <w:t>غايتها</w:t>
      </w:r>
      <w:r>
        <w:rPr>
          <w:rtl w:val="true"/>
        </w:rPr>
        <w:t>:</w:t>
      </w:r>
      <w:bookmarkEnd w:id="92"/>
    </w:p>
    <w:p>
      <w:pPr>
        <w:pStyle w:val="BookText"/>
        <w:rPr/>
      </w:pPr>
      <w:r>
        <w:rPr>
          <w:rFonts w:ascii="Amiri" w:hAnsi="Amiri" w:eastAsia="Amiri" w:cs="Amiri"/>
          <w:color w:val="111111"/>
          <w:sz w:val="28"/>
          <w:sz w:val="28"/>
          <w:szCs w:val="28"/>
          <w:rtl w:val="true"/>
          <w:lang w:bidi="ar-SA"/>
        </w:rPr>
        <w:t>الغاية من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صيانة النفس والعرض والمال، وذلك في ظروف قاهرة لا يستطيع فيها المؤمن أن يعلن عن موقفه الحق صريحاً خوفاً من أن يترتّب على ذلك مضار وتهلكة من قوى ظالمة غاشمة كلجوء الحكومات الظالمة إلى الارهاب، والتشريد والنفي، والقتل والتنكيل، ومصادرة الأموال، وسلب الحقوق الحقة، فلا يكون لصاحب العقيدة الذي يرى نفسه محقاً محيص عن إبطانها، والتظاهر بما يوافق هوى الحاكم وتوجهاته حتى يسلم من الاضطهاد والتنكيل والقتل، إلى أن يُحدِث اللَّه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التقية سلاح الضعيف في مقابل القوي الغاشم، سلاح من يبتلى بمن لا يحترم دمه وعرضه وماله، لا لشي‌ء إلّا لأنّه لا يتفق معه في بعض المبادئ والأفكار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يمارس التقية من يعيش في بيئة صودرت فيها الحرية في القول والعمل، والرأي والعقيدة فلا ينجو المخالف إلّا بالصمت والسكوت مرغماً أو بالتظاهر بما يوافق هوى السلطة وأفكارها، أو قد يلجأ إليها البعض كوسيلة لابد منها من أجل اغاثة الملهوف المضطهد والمستضعف الذي لا حول له ولا قوة، فيتظاهر بالعمل إلى جانب الحكومة الظالمة وصولًا إلى ذلك كما كان عليه مؤمن آل فرعون الذي حكاه سبحانه في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أكثر من يَعيبُ التقية على مستعملها، يتصور أو يصوِّر أنّ الغاية منها هو تشكيل جماعات سرية هدفها الهدم والتخريب، كما هو المعروف من الباطنيين والأحزاب الإلحادية السرية، وهو تصور خاطئ ذهب إليه أُولئك جهلًا أو عمداً دون أن يركزّوا في رأيهم هذا على دليل ما أو حجة مقنعة،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الشيعة الإمامية في عقائدهم ؛ ؛</w:t>
      </w:r>
    </w:p>
    <w:p>
      <w:pPr>
        <w:pStyle w:val="BookText"/>
        <w:rPr/>
      </w:pPr>
      <w:r>
        <w:rPr>
          <w:rFonts w:ascii="Amiri" w:hAnsi="Amiri" w:eastAsia="Amiri" w:cs="Amiri"/>
          <w:color w:val="111111"/>
          <w:sz w:val="28"/>
          <w:sz w:val="28"/>
          <w:szCs w:val="28"/>
          <w:rtl w:val="true"/>
          <w:lang w:bidi="ar-SA"/>
        </w:rPr>
        <w:t>فأين ما ذكرناه من هذا الذي يذكره، ولو لم تُلجئ الظروف القاهرة والأحكام المتعسفة هذه الجموع المستضعفة من المؤمنين لما كانوا عمدوا إلى التقية، ولما تحمّلوا عب‌ء اخفاء معتقداتهم ولدعوا الناس إليها علناً ودون تردّد، إلّا أنّ السيف والنطع سلاح لا تتردد كل الحكومات الفاسدة من التلويح بها أمام من يخالفها في معتقداتها وعقائدها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العمل الدفاعي من الأعمال البدائية التي يرتكبها أصحاب الجماعات السرية للإطاحة بالسلطة وامتطاء ناصية الحكم، فأعمالهم كلها تخطيطات مدبرة لغايات ساقطة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هم الذين يحملون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الغايات تبرر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قبيح عقلي أو ممنوع شرعي يستباح عندهم لغاية الوصول إلى المقاصد المشؤومة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القول بالتشابه بين هؤلاء وبين من يتخذ التقية غطاءً، وسلاحاً دفاعياً ليسلم من شر الغير، حتى لا يُقْتَل ولا يُستأصل، ولا تُنهب داره وماله، إلى أن يُحدث اللَّه أمراً، من قبيل عطف المبائن على مثله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المسلمين القاطنين في الاتحاد السوفيتي السابق قد لاقوا من المصائب والمحن ما لا يمكن للعقول أن تحتملها ولاأن تتصورها، فإنّ الشيوعيّين وطيلة تسلطهم على المناطق الإسلامية قلبوا لهم ظهر المِجَنّ، فصادروا أموالهم وأراضيهم، ومساكنهم، ومساجدهم، ومدارسهم، وأحرقوا مكتباتهم، وقتلوا كثيراً منهم قتلًا ذريعاً ووحشياً، فلم ينج منهم إلّا من اتقاهم بشي‌ء من التظاهر بالمرونة، واخفاء المراسم الدينية، والعمل على اقامة الصلاة في البيوت إلى أن نجّاهم اللَّه سبحانه بانحلال تلك القوة الكافرة، فبرز المسلمون إلى الساحة من جديد، فملكوا أرضهم وديارهم، وأخذوا يستعيدون مجدهم وكرامتهم شيئاً فشيئاً، وما هذا إلّا ثمرة من ثمار</w:t>
      </w:r>
      <w:bookmarkStart w:id="93" w:name="pg507_2778"/>
    </w:p>
    <w:p>
      <w:pPr>
        <w:pStyle w:val="BookText"/>
        <w:rPr/>
      </w:pPr>
      <w:bookmarkEnd w:id="93"/>
      <w:r>
        <w:rPr>
          <w:rFonts w:ascii="Amiri" w:hAnsi="Amiri" w:eastAsia="Amiri" w:cs="Amiri"/>
          <w:color w:val="111111"/>
          <w:sz w:val="28"/>
          <w:sz w:val="28"/>
          <w:szCs w:val="28"/>
          <w:rtl w:val="true"/>
          <w:lang w:bidi="ar-SA"/>
        </w:rPr>
        <w:t>التقية المشروعة التي أباحها اللَّه تعالى لعباده بفضله وكرمه سبحانه على المستضعفين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معنى التقية ومفهومها، وكانت هذه غايتها وهدفها، فهو أمر فطري يسوق الانسان إليه قبل كل شي‌ء عقلُه ولبُّه، وتدعوه إليه فطرته، ولأجل ذلك يستعملها كل من ابتُلي بالملوك والساسة الذين لا يحترمون شيئاً سوى رأيهم وفكرتهم ومطامعهم وسلطتهم ولا يترددون عن التنكيل بكل من يعارضهم في ذلك، من غير فرق بين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 كان أم سنيّاً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ومن هنا تظهر جدوى التقية وعمق فائدتها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دعم هذا الأصل الحيويّ ندرس دليله من القرآن والسنّة</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4440419_211673320"/>
      <w:bookmarkStart w:id="95" w:name="_Toc34"/>
      <w:bookmarkEnd w:id="94"/>
      <w:r>
        <w:rPr>
          <w:rtl w:val="true"/>
        </w:rPr>
        <w:t>دليلها في القرآن والسنّة</w:t>
      </w:r>
      <w:r>
        <w:rPr>
          <w:rtl w:val="true"/>
        </w:rPr>
        <w:t>:</w:t>
      </w:r>
      <w:bookmarkEnd w:id="95"/>
    </w:p>
    <w:p>
      <w:pPr>
        <w:pStyle w:val="BookText"/>
        <w:rPr/>
      </w:pPr>
      <w:r>
        <w:rPr>
          <w:rFonts w:ascii="Amiri" w:hAnsi="Amiri" w:eastAsia="Amiri" w:cs="Amiri"/>
          <w:color w:val="111111"/>
          <w:sz w:val="28"/>
          <w:sz w:val="28"/>
          <w:szCs w:val="28"/>
          <w:rtl w:val="true"/>
          <w:lang w:bidi="ar-SA"/>
        </w:rPr>
        <w:t>شرّعت التقية بنص القرآن الكريم حيث وردت جملة من الآيات الكريمة</w:t>
      </w:r>
      <w:r>
        <w:rPr>
          <w:rStyle w:val="FootnoteAnchor"/>
          <w:rtl w:val="true"/>
        </w:rPr>
        <w:footnoteReference w:id="70"/>
      </w:r>
      <w:r>
        <w:rPr>
          <w:rFonts w:ascii="Amiri" w:hAnsi="Amiri" w:eastAsia="Amiri" w:cs="Amiri"/>
          <w:color w:val="111111"/>
          <w:sz w:val="28"/>
          <w:sz w:val="28"/>
          <w:szCs w:val="28"/>
          <w:rtl w:val="true"/>
          <w:lang w:bidi="ar-SA"/>
        </w:rPr>
        <w:t>سنحاول استعراضها في الصفحات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 إلَّا مَنْ أُكْرِهَ وَقَلْبُهُ مُطْمَئِنٌّ بِالإيمَانِ وَلكِن مَنْ شَرَحَ بِالْكُفْرِ صَدْرَاً فَعَلَيْهِمْ غَضَبٌ مِنَ اللَّهِ وَلَهُمْ عَذَابٌ عَظِيمٌ</w:t>
      </w:r>
      <w:r>
        <w:rPr>
          <w:rFonts w:eastAsia="Amiri" w:cs="Amiri" w:ascii="Amiri" w:hAnsi="Amiri"/>
          <w:color w:val="111111"/>
          <w:sz w:val="28"/>
          <w:szCs w:val="28"/>
          <w:rtl w:val="true"/>
          <w:lang w:bidi="ar-SA"/>
        </w:rPr>
        <w:t>) .</w:t>
      </w:r>
      <w:r>
        <w:rPr>
          <w:rStyle w:val="FootnoteAnchor"/>
          <w:rtl w:val="true"/>
        </w:rPr>
        <w:footnoteReference w:id="7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أنّه سبحانه يجوّز إظهار الكفر كرهاً ومجاراةً للكافرين خوفاً منهم، بشرط أن يكون القلب مطمئناً بالإيمان، وصرّح بذلك لفيف من المفسرين القدامى والجدد، سنحاول أن نستعرض كلمات البعض منهم</w:t>
      </w:r>
    </w:p>
    <w:p>
      <w:pPr>
        <w:pStyle w:val="BookText"/>
        <w:rPr/>
      </w:pPr>
      <w:r>
        <w:rPr>
          <w:rFonts w:ascii="Amiri" w:hAnsi="Amiri" w:eastAsia="Amiri" w:cs="Amiri"/>
          <w:color w:val="111111"/>
          <w:sz w:val="28"/>
          <w:sz w:val="28"/>
          <w:szCs w:val="28"/>
          <w:rtl w:val="true"/>
          <w:lang w:bidi="ar-SA"/>
        </w:rPr>
        <w:t>تجنّباً عن الإطالة والاسهاب، ولمن يبتغي المزيد فعليه بمراجعة كتب التفسير المختلفة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نزلت الآية في جماعة أُكرهوا على الكفر، وهم عمّار وأبوه ياسر وأُمّه سمية، وقُتلَ الأبوان لأنّهما لم يظهرا الكفر ولم ينالا من النبيّ، وأعطاهم عمّار ما أرادوا منه، فأطلقوه، ثمّ أخبر عمّار بذلك رسول اللَّه، وانتشر خبره بين المسلمين،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عمّار، فقال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عمّاراً مُلئ إيماناً من قرنه إلى قدمه، واختلط الإيمان بلحمه ودمه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نزلت الآية السابقة، وكان عمّار يبكي، فجعل رسول اللَّه يمسح عينيه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عادوا لك فعد لهم بما قلت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إنّ أُناساً من أهل مكة فُتِنُوا فارتدوا عن الإسلام بعد دخولهم فيه، وكان فيهم من أُكره وأجرى كلمة الكفر على لسانه وهو معتقد للإيمان، منهم عمّار بن ياسر وأبواه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وسمية، وصهيب وبلال وخباب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عمّار فأعطاهم ما أرادوا بلسانه مكرهاً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الحافظ ابن ماجة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والايتاء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الاعطاء أن وافقوا المشركين على ما أرادوا منهم تقية، والتقية في مثل هذه الحال جائزة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w:t>
      </w:r>
      <w:r>
        <w:rPr>
          <w:rStyle w:val="FootnoteAnchor"/>
          <w:rtl w:val="true"/>
        </w:rPr>
        <w:footnoteReference w:id="7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جائزة للانسان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العلم على أنّ من أُكره على الكفر حتّى خشى على</w:t>
      </w:r>
    </w:p>
    <w:p>
      <w:pPr>
        <w:pStyle w:val="BookText"/>
        <w:rPr/>
      </w:pPr>
      <w:r>
        <w:rPr>
          <w:rFonts w:ascii="Amiri" w:hAnsi="Amiri" w:eastAsia="Amiri" w:cs="Amiri"/>
          <w:color w:val="111111"/>
          <w:sz w:val="28"/>
          <w:sz w:val="28"/>
          <w:szCs w:val="28"/>
          <w:rtl w:val="true"/>
          <w:lang w:bidi="ar-SA"/>
        </w:rPr>
        <w:t>نفسه القتل إنّه لا اثم عليه إن كفر وقلبه مطمئن بالإيمان ولا تبين منه زوجته ولا يحكم عليه بالكفر، هذا قول مالك والكوفيين والشافعي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الخازن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لا تكون إلّا مع خوف القتل مع سلامة النيّة،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هذه التقية رخصة</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 الشربيني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من أُكره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أي‌على التلفّظ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عليه لأنّ محل الإيمان هو القلب</w:t>
      </w:r>
      <w:r>
        <w:rPr>
          <w:rFonts w:eastAsia="Amiri" w:cs="Amiri" w:ascii="Amiri" w:hAnsi="Amiri"/>
          <w:color w:val="111111"/>
          <w:sz w:val="28"/>
          <w:szCs w:val="28"/>
          <w:rtl w:val="true"/>
          <w:lang w:bidi="ar-SA"/>
        </w:rPr>
        <w:t xml:space="preserve">». </w:t>
      </w:r>
      <w:r>
        <w:rPr>
          <w:rStyle w:val="FootnoteAnchor"/>
        </w:rPr>
        <w:footnoteReference w:id="77"/>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إسماعيل حقي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من أُكره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أُجبر على ذلك اللفظ بأمر يخاف على نفسه أو عضو من أعضائه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الكفر اعتقاد، والاكراه على القول دون الاعتقاد، والمعنى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المكره على الكفر باللسان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تتغير عقيدته، وفيه دليل على أنّ الإيمان المنجي المعتبر عند اللَّه، هو التصديق بالقلب</w:t>
      </w:r>
      <w:r>
        <w:rPr>
          <w:rFonts w:eastAsia="Amiri" w:cs="Amiri" w:ascii="Amiri" w:hAnsi="Amiri"/>
          <w:color w:val="111111"/>
          <w:sz w:val="28"/>
          <w:szCs w:val="28"/>
          <w:rtl w:val="true"/>
          <w:lang w:bidi="ar-SA"/>
        </w:rPr>
        <w:t>»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الآية الثانية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وَمَن يَفْعَل ذَلِكَ فَلَيْسَ مِنَ اللَّهِ فِي شَيْ‌ءٍ إلَّا أَن تَتَّقُواْ مِنْهُمْ تُقَاةً وَيُحَذّرُكُمُ اللَّهُ نَفْسَهُ وَإِلى اللَّهِ الْمصيرُ</w:t>
      </w:r>
      <w:r>
        <w:rPr>
          <w:rFonts w:eastAsia="Amiri" w:cs="Amiri" w:ascii="Amiri" w:hAnsi="Amiri"/>
          <w:color w:val="111111"/>
          <w:sz w:val="28"/>
          <w:szCs w:val="28"/>
          <w:rtl w:val="true"/>
          <w:lang w:bidi="ar-SA"/>
        </w:rPr>
        <w:t>)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وكلمات المفسرين حول الآية تغنينا عن أي‌توضيح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باللسان، وليس بالعمل، حُدّثت عن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معاذ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الضحاك يقول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باللسان من حُمِلَ على أمر يتكلّم به وهو للَّه معصية فتكلم مخافة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اثم عليه، إنّما التقية باللسان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الزمخشري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رخّص لهم في موالاتهم إذا خافوهم، والمراد بتلك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ومعاشرة ظاهرة، والقلب مطمئن بالعداوة والبغضاء وانتظار زوال المانع </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الرازي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للتقية أحكاماً كثيرة ونحن 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إنّما تكون إذا كان الرجل في قوم كفّار، ويخاف منهم على نفسه، وحاله، فيداريهم باللسان، وذلك بأن لا يظهر العداوة باللسان، بل يجوز أيضاً أن يظهر الكلام الموهم للمحبة والموالاة، ولكن بشرط أن يضمر خلافه وأن يعرض في كل ما يقول، فإنّ للتقيّة تأثيرها في الظاهر لا في أحوال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جائزة لصون النفس، وهل هي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لصون المال؟</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يحتمل أن يحكم فيها بالجواز 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مال المسلم كحرمة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 .</w:t>
      </w:r>
      <w:r>
        <w:rPr>
          <w:rStyle w:val="FootnoteAnchor"/>
          <w:rtl w:val="true"/>
        </w:rPr>
        <w:footnoteReference w:id="8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تخافوا جهتهم أمراً يجب اتقاؤه، أي‌الّا يكون للكافر عليك سلطان فتخافه على نفسك ومالك فحينئذ يجوز لك اظهار الموالاة وإبطان المعاداة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دليل على مشروعية التقية وعرَّفوها بمحافظة النفس أو العرض أو المال من شر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والعدو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عداوته مبنية على اختلاف الدين، كالكافر والمسلم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عداوته مبنية على أغراض دنيوية، كالمال والمتاع والملك والامارة </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جمال الدين القاسمي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استنبط الأئمّة مشروعية التقية عند الخوف، وقد نقل الاجماع على جوازها عند ذلك الإمام مرتضى اليماني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ايثار الحق على الخلق</w:t>
      </w:r>
      <w:r>
        <w:rPr>
          <w:rFonts w:eastAsia="Amiri" w:cs="Amiri" w:ascii="Amiri" w:hAnsi="Amiri"/>
          <w:color w:val="111111"/>
          <w:sz w:val="28"/>
          <w:szCs w:val="28"/>
          <w:rtl w:val="true"/>
          <w:lang w:bidi="ar-SA"/>
        </w:rPr>
        <w:t>) .</w:t>
      </w:r>
      <w:r>
        <w:rPr>
          <w:rStyle w:val="FootnoteAnchor"/>
          <w:rtl w:val="true"/>
        </w:rPr>
        <w:footnoteReference w:id="8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المراغي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أي‌ترك موالاة المؤمنين للكافرين حتم لازم في كل حال إلّا في حال الخوف من شي‌ء تتّقونه منهم، فلكم حينئذ أن تتّقوهم بقدر ما يبقى ذلك الشي‌ء، إذ القاعدة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درء المفاسد مقدم على جلب المصالح</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جازت موالاتهم لاتقاء الضرر فأولى أن تجوز لمنفعة المسلمين،</w:t>
      </w:r>
    </w:p>
    <w:p>
      <w:pPr>
        <w:pStyle w:val="BookText"/>
        <w:rPr/>
      </w:pPr>
      <w:r>
        <w:rPr>
          <w:rFonts w:ascii="Amiri" w:hAnsi="Amiri" w:eastAsia="Amiri" w:cs="Amiri"/>
          <w:color w:val="111111"/>
          <w:sz w:val="28"/>
          <w:sz w:val="28"/>
          <w:szCs w:val="28"/>
          <w:rtl w:val="true"/>
          <w:lang w:bidi="ar-SA"/>
        </w:rPr>
        <w:t>إذاً فلا مانع من أن تحالف دولة إسلامية دولة غير مسلمة لفائدة تعود إلى الأولى إمّا بدفع ضرر أو جلب منفعة، وليس لها أن تواليها في شي‌ء يضر المسلمين، ولا تختص هذه الموالاة بحال الضعف، بل هي جائزة في كل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استنبط العلماء من هذه الآية جواز التقية بأن يقول الانسان أو يفعل ما يخالف الحق، لأجل التوقي من ضرر يعود من الأعداء إلى النفس، أو العرض، أو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نطق بكلمة الكفر مكرهاً وقاية لنفسه من الهلاك، وقلبه مطمئن بالإيمان، لا يكون كافراً بل يُعذر كما فعل عمّار بن ياسر حين أكرهته قريش على الكفر فوافقها مكرهاً وقلبه مطمئن بالإيمان وفيه نزلت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 بِاللَّهِ مِنْ بَعْدِ إِيمَانِهِ إلَّا مَنْ أُكْرِهَ وَقَلْبُهُ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الجمل الوافية والعبارات المستفيضة لا تدع لقائل مقالًا إلّا أن يحكم بشرعية التقية بالمعنى الذي عرفته بل قد لا يجد أحد مفسراً أو فقيهاً وقف على مفهومها وغايتها يتردد في الحكم بجوازها، كما أنّك أخي القارئ لا تجد انساناً واعياً لا يستعملها في ظروف عصيبة، ما لم تترتّب عليها مفسدة عظيمة، كما سيوافيك بيانها عند البحث عن حدودها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المعارض لجوازها أو المغالط في مشروعيتها، فإنّما يفسرها بالتقية الرائجة بين أصحاب التنظيمات السرية والمذاهب الهدامة كالنصيرية والدروز، والباطنية كلّهم، إلّا أنّ المسلمين جميعاً بريئون من هذه التقية الهدامة لكل فضيلة رابية</w:t>
      </w:r>
      <w:r>
        <w:rPr>
          <w:rFonts w:eastAsia="Amiri" w:cs="Amiri" w:ascii="Amiri" w:hAnsi="Amiri"/>
          <w:color w:val="111111"/>
          <w:sz w:val="28"/>
          <w:szCs w:val="28"/>
          <w:rtl w:val="true"/>
          <w:lang w:bidi="ar-SA"/>
        </w:rPr>
        <w:t>.</w:t>
      </w:r>
      <w:bookmarkStart w:id="96" w:name="pg507_2784"/>
    </w:p>
    <w:p>
      <w:pPr>
        <w:pStyle w:val="BookText"/>
        <w:rPr/>
      </w:pPr>
      <w:bookmarkEnd w:id="96"/>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رَجُلٌ مُؤْمِنٌ مِنْ ءَالِ فِرْعَوْنَ يَكْتُمُ إِيمانَهُ أَتَقْتُلُونَ رَجُلًا أَنْ يَقُولَ رَبِّيَ اللَّهُ وَقَدْ جَ‌آءَكُمْ بِالْبَيِّنَاتِ مِن رَبّكُمْ وَإِن يَكُ كَاذِباً فَعَلَيْهِ كَذِبُهُ وَإِنْ يَكُ صَادِقَاً يُصِبْكُم بَعْضُ الَّذِي يَعِدُكُمْ إِنَّ اللَّهَ لَا يَهْدِي مَنْ هُوَ مُسْرِفٌ كَذَّابٌ</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عاقبة أمره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وَقَاهُ اللَّهُ سِيِّئَاتِ مَا مَكَرُواْ وَحَاقَ بِ‌آلَ فِرْعَوْنَ سُوءُ الْعَذَابِ</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كان ذلك إلّا لأنّه بتقيّته استطاع أن ينجي نبيّ اللَّه من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يَامُوسَى إِنَّ الْملأ يَأْتَمِرُونَ بِكَ لِيَقْتُلُوكَ فَاخْرُجْ إِنّي لَكَ مِنَ النَّاصِحِينَ</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الآيات تدل على جواز التقية لانقاذ المؤمن من شرّ عدوه الكافر</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4440421_211673320"/>
      <w:bookmarkStart w:id="98" w:name="_Toc35"/>
      <w:bookmarkEnd w:id="97"/>
      <w:r>
        <w:rPr>
          <w:rtl w:val="true"/>
        </w:rPr>
        <w:t>اتّقاء المسلم من المسلم في ظروف خاصة</w:t>
      </w:r>
      <w:r>
        <w:rPr>
          <w:rtl w:val="true"/>
        </w:rPr>
        <w:t>:</w:t>
      </w:r>
      <w:bookmarkEnd w:id="9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مورد الآيات وإن كان هو اتقاء المسلم من الكافر، ولكن المورد ليس بمخصص لحكم الآية فقط، إذ ليس الغرض من تشريع التقية عند الابتلاء بالكفار إلّا صيانة النفس والنفيس من الشر، فإذ ابتُلي المسلم بأخيه</w:t>
      </w:r>
    </w:p>
    <w:p>
      <w:pPr>
        <w:pStyle w:val="BookText"/>
        <w:rPr/>
      </w:pPr>
      <w:r>
        <w:rPr>
          <w:rFonts w:ascii="Amiri" w:hAnsi="Amiri" w:eastAsia="Amiri" w:cs="Amiri"/>
          <w:color w:val="111111"/>
          <w:sz w:val="28"/>
          <w:sz w:val="28"/>
          <w:szCs w:val="28"/>
          <w:rtl w:val="true"/>
          <w:lang w:bidi="ar-SA"/>
        </w:rPr>
        <w:t>المسلم الذي يخالفه في بعض الفروع ولا يتردد الطرف القوي عن إيذاء الطرف الآخر، كأن ينكل به أو ينهب أمواله أو يقتله، ففي تلك الظروف الحرجة يحكم العقل السليم بصيانة النفس والنفيس عن طريق كتمان العقيدة واستعمال التقية، ولو كان هناك وزر إنّما يتوجه على من يُتقى منه لا على المتقي، فلو سادت الحرية جميع الفرق الإسلامية، وتحملت كل فرقة آراء الفرقة الا خرى بصدر رحب، وفهمت بأنّ ذلك هو قدر اجتهادها، لم يضطر أحد من المسلمين إلى استخدام التقية، ولساد الوئام مكان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فهم ذلك لفيف من العلماء وصرّحوا به، وإليك نصوص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الرازي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على أنّ التقية إنّما تحل مع الكفار الغالبين، إلّا أنّ مذهب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الحالة بين المسلمين إذا شاكلت الحالة بين المسلمين والكافرين حلّت التقية محاماة عن النفس،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جائزة لصون النفس، وهل هي جائزة لصون المال؟ يحتمل أن يحكم فيها بالجواز 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مال المسلم كحرمة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 xml:space="preserve">». </w:t>
      </w:r>
      <w:r>
        <w:rPr>
          <w:rStyle w:val="FootnoteAnchor"/>
        </w:rPr>
        <w:footnoteReference w:id="9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جمال الدين القاسمي عن الإمام مرتضى اليماني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إيثار الحق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وزاد الحق غموضاً وخفاءً أمران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السوء وسلاطين الجور وشياطين الخلق مع جواز التقية عند ذلك بنص القرآن، واجماع أهل الإسلام، وما زال الخوف مانعاً من إظهار الحق، ولا برح المحق عدوّاً لأكثر</w:t>
      </w:r>
    </w:p>
    <w:p>
      <w:pPr>
        <w:pStyle w:val="BookText"/>
        <w:rPr/>
      </w:pPr>
      <w:r>
        <w:rPr>
          <w:rFonts w:ascii="Amiri" w:hAnsi="Amiri" w:eastAsia="Amiri" w:cs="Amiri"/>
          <w:color w:val="111111"/>
          <w:sz w:val="28"/>
          <w:sz w:val="28"/>
          <w:szCs w:val="28"/>
          <w:rtl w:val="true"/>
          <w:lang w:bidi="ar-SA"/>
        </w:rPr>
        <w:t>الخلق، وقد صحّ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أنّه قال في ذلك العصر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حفظت من رسول اللَّه صلَّى اللَّه عليه و آله و سلَّم وعاءين، أمّا أحدهما فبثثته في الناس وأمّا الآخر فلو بثثته لقطع هذا البلعوم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المراغي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 إلَّا مَنْ أُكْرِهَ وَقَلْبُهُ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التقية مداراة الكفرة والظلمة والفسقة، وإلانة الكلام لهم، والتبسم، في وجوههم وبذل المال لهم، لكف أذاهم وصيانة العرض منهم، ولا يعد هذا من الموالاة المنهي عنها، بل هو مشروع، فقد أخرج الطبراني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وَقَى المؤمن به عرضَه فهو صدقة</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الشيعة تتقي الكفار في ظروف خاصة لنفس الغاية التي لأجلها يتقيهم السنّي، غير أنّ الشيعي ولأسباب لا تخفى، يلجأ إلى اتقاء أخيه المسلم لا قصور في الشيعي، بل في أخيه الذي دفعه إلى ذلك لأنّه يدرك أنّ الفتك والقتل مصيره إذا صرّح بمعتقده الذي هو موافق لا صول الشرع الإسلامي وعقائده، نعم كان الشيعي وإلى وقت قريب يتحاشى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ليس له جهة، أو أنّه تعالى لا يُرى يوم القيامة، وإنّ المرجعية العلمية والسياسية لأهل البيت بعد رحلة النبي الأكرم، أو أنّ حكم المتعة غير 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الشيعي إذا صرّح بهذه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استنبطت من الكتاب والسنّة سوف يُعرّض نفسه ونفيسه للمهالك والمخاطر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عليك كلام الرازي وجمال الدين القاسمي والمراغي الصريح في جواز هذا النوع من التقية، فتخصيص التقية بالتقية من الكافر فحسب جمود على ظاهر الآية وسد لباب الفهم، ورفض للملاك الذي شُرعت لأجله التقية، واعدام</w:t>
      </w:r>
      <w:bookmarkStart w:id="99" w:name="pg507_2787"/>
    </w:p>
    <w:p>
      <w:pPr>
        <w:pStyle w:val="BookText"/>
        <w:rPr/>
      </w:pPr>
      <w:bookmarkEnd w:id="99"/>
      <w:r>
        <w:rPr>
          <w:rFonts w:ascii="Amiri" w:hAnsi="Amiri" w:eastAsia="Amiri" w:cs="Amiri"/>
          <w:color w:val="111111"/>
          <w:sz w:val="28"/>
          <w:sz w:val="28"/>
          <w:szCs w:val="28"/>
          <w:rtl w:val="true"/>
          <w:lang w:bidi="ar-SA"/>
        </w:rPr>
        <w:t>لحكم العقل القاضي بحفظ الأهم إذا عارض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والتاريخ بين أيدينا يحدثنا بوضوح عن لجوء جملة معروفة من كبار المسلمين إلى التقية في ظروف عصيبة أوشكت أن تؤدي بحياتهم وبما يملكون، وخير مثال على ذلك ما أورده الطبري في تاريخه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محاولة المأمون دفع وجوه القضاة والمحدّثين في زمانه إلى الإقرار بخلق القرآن قسراً حتى وإن استلزم ذلك قتل الجميع دون رحمة، ولما أبصر أُولئك المحدثين حد السيف مشهراً عمدوا إلى مصانعة المأمون في دعواه وأسروا معتقدهم في صدورهم، ولما عُتبوا على ما ذهبوا إليه من موافقة المأمون برروا عملهم بعمل عمّار بن ياسر حين أُكره على الشرك وقلبه مطمئن بالإيمان، والقصّة شهيرة وصريحة في جواز اللجوء إلى التقية التي دأب البعض على التشنيع فيها على الشيعة وكأنّهم هم الذين ابتدعوها من بنات أفكارهم دون أن تكون لها قواعد وأُصول إسلامية ثابتة ومعلومة</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4440423_211673320"/>
      <w:bookmarkStart w:id="101" w:name="_Toc36"/>
      <w:bookmarkEnd w:id="100"/>
      <w:r>
        <w:rPr>
          <w:rtl w:val="true"/>
        </w:rPr>
        <w:t>الظروف العصيبة التي مرت بها الشيعة</w:t>
      </w:r>
      <w:r>
        <w:rPr>
          <w:rtl w:val="true"/>
        </w:rPr>
        <w:t>:</w:t>
      </w:r>
      <w:bookmarkEnd w:id="10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دفع بالشيعة إلى التقية بين اخوانهم وأبناء دينهم إنّما هو الخوف من السلطات الغاشمة فلو لم يكن هناك في غابر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عصر الأمويين ثمّ العباسيين والعثمانيين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أي‌ضغط على الشيعة، ولم تكن بلادهم وعقر دارهم مخضّبة بدمائهم والتاريخ خير شاهد على ذلك، كان من المعقول أن تنسى الشيعة كلمة التقية وأن تحذفها من ديوان حياتها، ولكن ياللأسف إنّ كثيراً من اخوانهم كانوا أداة طيّعة بيد الأمويين والعباسيين الذين كانوا يرون في مذهب الشيعة خطراً على مناصبهم، فكانوا يؤلِّبون العامة من أهل السنّة على الشيعة يقتلونهم ويضطهدونهم وينكلون بهم، ولذا ونتيجة لتلك الظروف الصعبة لم يكن للشيعة، بل لكل من يملك شيئاً</w:t>
      </w:r>
      <w:bookmarkStart w:id="102" w:name="pg507_2788"/>
    </w:p>
    <w:p>
      <w:pPr>
        <w:pStyle w:val="BookText"/>
        <w:rPr/>
      </w:pPr>
      <w:bookmarkEnd w:id="102"/>
      <w:r>
        <w:rPr>
          <w:rFonts w:ascii="Amiri" w:hAnsi="Amiri" w:eastAsia="Amiri" w:cs="Amiri"/>
          <w:color w:val="111111"/>
          <w:sz w:val="28"/>
          <w:sz w:val="28"/>
          <w:szCs w:val="28"/>
          <w:rtl w:val="true"/>
          <w:lang w:bidi="ar-SA"/>
        </w:rPr>
        <w:t>من العقل وسيلة إلّا اللجوء إلى التقية أو رفع اليد عن المبادئ المقدسة التي هي أغلى عنده من نفسه وماله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والشواهد على ذلك أكثر من أن تُحصى أو أن تعد، إلّا أنّا سنستعرض جانباً مختصراً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ما كتبه معاوية بن أبي سفيان باستباحة دماء الشيعة أينما كانوا وكيفما كانوا، وإليك نص ما ذكرته المصادر عن هذه الواقعة لتدرك محنة الشيعة</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4440425_211673320"/>
      <w:bookmarkStart w:id="104" w:name="_Toc37"/>
      <w:bookmarkEnd w:id="103"/>
      <w:r>
        <w:rPr>
          <w:rtl w:val="true"/>
        </w:rPr>
        <w:t>بيان معاوية إلى عماله</w:t>
      </w:r>
      <w:r>
        <w:rPr>
          <w:rtl w:val="true"/>
        </w:rPr>
        <w:t>:</w:t>
      </w:r>
      <w:bookmarkEnd w:id="104"/>
    </w:p>
    <w:p>
      <w:pPr>
        <w:pStyle w:val="BookText"/>
        <w:rPr/>
      </w:pPr>
      <w:r>
        <w:rPr>
          <w:rFonts w:ascii="Amiri" w:hAnsi="Amiri" w:eastAsia="Amiri" w:cs="Amiri"/>
          <w:color w:val="111111"/>
          <w:sz w:val="28"/>
          <w:sz w:val="28"/>
          <w:szCs w:val="28"/>
          <w:rtl w:val="true"/>
          <w:lang w:bidi="ar-SA"/>
        </w:rPr>
        <w:t xml:space="preserve">روى أبو الحسن علي بن محمّد بن أبي سيف المدائني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نسخة واحدة إلى عماله بعد عام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برئت الذمة ممن روي شيئاً من فضل أبي تراب وأهل بيته، فقامت الخطباء في كل كورة، وعلى كل منبر، يلعنون علياً ويبرأون منه ويقعون فيه وفي أهل بيته، وكان أشد الناس بلاء حينئذ أهل الكوفة، لكثرة من بها من شيعة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فاستعمل عليها زياد بن سمية، وضم إليه البصرة، فكان يتبع الشيعة وهو بهم عارف، لأنّه كان منهم أيام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فقتلهم تحت كل حجر ومدر، وأخافهم، وقطع الأيدي والأرجل، وسمل العيون، وصلبهم على جذوع النخل، وطردهم وشرَّدهم عن العراق، فلم يبق بها معروف منهم، وكتب معاوية إلى عماله في جميع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يجيزوا لأحد من شيعة علي وأهل بيته شهادة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إلى عماله نسخة واحدة إلى جميع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قامت عليه البيّنة أنّه يحبّ علياً وأهل بيته، فامحوه من الديوان، وأسقطوا عطاءه ورزقه، وشفع ذلك بنسخة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اتهمتموه بموالاة هؤلاء القوم، فنكّلوا به، واهدموا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البلاء أشد ولا أكثر منه بالعراق، ولا سيّما</w:t>
      </w:r>
    </w:p>
    <w:p>
      <w:pPr>
        <w:pStyle w:val="BookText"/>
        <w:rPr/>
      </w:pPr>
      <w:r>
        <w:rPr>
          <w:rFonts w:ascii="Amiri" w:hAnsi="Amiri" w:eastAsia="Amiri" w:cs="Amiri"/>
          <w:color w:val="111111"/>
          <w:sz w:val="28"/>
          <w:sz w:val="28"/>
          <w:szCs w:val="28"/>
          <w:rtl w:val="true"/>
          <w:lang w:bidi="ar-SA"/>
        </w:rPr>
        <w:t>بالكوفة حتّى أنّ الرجل من شيعة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ليأتيه من يثق به، فيدخل بيته، فيُلقي إليه سره، ويخاف من خادمه ومملوكه، ويحدّثه حتى يأخذ عليه الأيمان الغليظة، ليكتمن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الأمر كذلك حتى مات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 فازداد البلاء والفتنة، فلم يبق أحد من هذا القبيل إلّا وهو خائف على دمه، أو طريد في الأرض</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تفاقم الأمر بعد 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وولي عبد الملك بن مروان، فاشتد على الشيعة، وولى عليهم الحجاج بن يوسف، فتقرَّب إليه أهل النسك والصلاح والدين ببغض علي وموالاة أعدائه، وموالاة من يدعي من الناس أنّهم أيضاً أعداؤه، فأكثروا في الرواية في فضلهم وسوابقهم ومناقبهم، وأكثروا من البغض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وعيبه، والطعن فيه، والشنان له، حتى أنّ إنساناً وقف للحجاج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إنّه جد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ابن قريب بن قريب فصاح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أهلي عقوني فسموني علياً، وإنّي فقير وبائس وأنا إلى صلة الأمير محتاج، فتضاحك له الحجاج،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للطف ما توسلتَ به، قد وليتك موضع كذا</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ونتيجة لذلك شهدت أوساط الشيعة مجازر بشعة على يد السلطات الغاشمة، فقتل الآلاف منهم، وأمّا من بقي منهم على قيد الحياة فقد تعرض إلى شتى صنوف التنكيل والارهاب والتخويف، والحق يقال إنّ من الا مور العجيبة أن يبقى لهذه الطائفة باقية رغم كل ذلك الظلم الكبير والقتل الذريع، بل العجب العجاب أن تجد هذه الطائفة قد ازدادت قوة وعدة، وأقامت دولًا وشيدت حضارات وبرز منها الكثير من العلماء والمفكرين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الأخ السنّي يرى التقية أمراً محرّماً فليعمل على رفع الضغط عن أخيه الشيعي، وأن لا يضيق عليه في الحرية التي سمح بها الإسلام لأبنائه، وليعذره في عقيدته وعمله كما هو عذر أُناساً كثيراً خالفوا الكتاب والسنّة وأراقوا الدماء ونهبوا الدور فكيف بطائفة تدين بدينه وتتفق معه في كثير من معتقداته، وإذا كان معاوية وأبناء بيته والعباسيون كلّهم عنده مجتهدين في بطشهم وإراقة دماء مخالفيهم فماذا يمنعه عن إعذار الشيعة باعتبارهم 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هو العجيب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الخروج على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غير مضر بعدالة الخارجين والثائرين عليه، وفي مقدمتهم طلحة والزبير وأُمّ المؤمنين عائشة، وإنّ إثارة الفتن في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انتهت إلى قتل كثير من الصحابة والتابعين وإراقة دماء الآلاف من العراقيين والشاميين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تنقص شيئاً من ورع المحاربين وهم بعد ذلك مجتهدون معذورون لهم ثواب من اجتهد وأخطأ فلم لا يتعامل مع الشيعة ضمن هذا الفهم ويذهب إلى أنّهم معذورين ومثابين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كانت التقية بين الشيعة تزداد تارة وتتضائل أُخرى، حسب قوّة الضغط وض‌آلته، فشتان بين عصر المأمون الذي يجيز مادحي أهل البيت، ويكرم العلويين، وبين عصر المتوكل الذي يقطع لسان ذاكرهم بفضيلة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ابن السكيت أحد أعلام الأدب في زمن المتوكل، وقد اختاره معلماً لولديه فسأله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 ابناي هذان أم الحسن والحسين؟ 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قنبر خادم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خير منك ومن 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لسانه من قفاه، ففعلوا ذلك به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ليلة الاثنين لخمس خلون من رجب سنة أربع وأربعين ومائتين، وقيل ثلاث وأربعين، وكان عمره ثمانية وخمسين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مات سيَّر المتوكل لولده</w:t>
      </w:r>
    </w:p>
    <w:p>
      <w:pPr>
        <w:pStyle w:val="BookText"/>
        <w:rPr/>
      </w:pPr>
      <w:r>
        <w:rPr>
          <w:rFonts w:ascii="Amiri" w:hAnsi="Amiri" w:eastAsia="Amiri" w:cs="Amiri"/>
          <w:color w:val="111111"/>
          <w:sz w:val="28"/>
          <w:sz w:val="28"/>
          <w:szCs w:val="28"/>
          <w:rtl w:val="true"/>
          <w:lang w:bidi="ar-SA"/>
        </w:rPr>
        <w:t>يوسف عشرة آلاف درهم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دية والدك</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ابن الرومي الشاعر العبقري يقول في قصيدته التي يرثي بها يحيى بن عمر بن الحسين بن 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هو حال أبناء الرسول، فما هو حال شيعتهم ومقتفي آثارهم؟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شعار كلّ ضعيف مسلوب الحرية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الشيعة قد اشتهرت بالتقية أكثر من غيرها لأنّها منيت باستمرار الضغط عليها أكثر من أية أُمّة أُخرى، فكانت مسلوبة الحرية في عهد الدولة الأموية كلّه، وفي عهد العباسيين على طوله، وفي أكثر أيام الدولة العثمانية، ولأجله استشعروا بشعار التقية أكثر من أي‌قوم، ولما كانت الشيعة، تختلف عن الطوائف المخالفة لها في قسم مهم من الاعتقادات في أُصول الدين وفي كثير من الأحكام الفقهيّة، والمخالفة تستجلب بالطبع</w:t>
      </w:r>
    </w:p>
    <w:p>
      <w:pPr>
        <w:pStyle w:val="BookText"/>
        <w:rPr/>
      </w:pPr>
      <w:r>
        <w:rPr>
          <w:rFonts w:ascii="Amiri" w:hAnsi="Amiri" w:eastAsia="Amiri" w:cs="Amiri"/>
          <w:color w:val="111111"/>
          <w:sz w:val="28"/>
          <w:sz w:val="28"/>
          <w:szCs w:val="28"/>
          <w:rtl w:val="true"/>
          <w:lang w:bidi="ar-SA"/>
        </w:rPr>
        <w:t>رقابة وتصدقه التجارب، لذلك أضحت شيعة الأئمة من آل البيت مضطرة في أكثر الأحيان إلى كتمان ما تختص به من عادة أو عقيدة أو فتوى أو كتاب أو غير ذلك، تبتغي بهذا الكتمان صيانة النفس والنفيس، والمحافظة على الوداد والاخوة مع سائر اخوانهم المسلمين، لئلا تنشق عصا الطاعة، ولكي لا يحس الكفار بوجود اختلاف ما في المجتمع الإسلامي فيوسع الخلاف بين الأُمّة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لهذه الغايات النزيهة كانت الشيعة تستعمل التقية وتحافظ على وفاقها في الظواهر مع الطوائف الا خرى، متبعة في ذلك سيرة الأئمة من آل محمد وأحكامهم الصارمة حول وجوب التقية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ديني ودين آبائي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أنّ دين اللَّه يمشي على سنّة التقية لمسلوبي الحرية، دلّت على ذلك آيات من القرآن العظيم</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صادق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الأثر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ديني ودين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تقية له لا دين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التقية شعاراً لآل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 للضرر عنهم، وعن أتباعهم، وحقناً لدمائهم، واستصلاحاً لحال المسلمين، وجمعاً لكلمتهم، ولماً لشعثهم، وما زالت سمة تُعرف بها الإمامية دون غيرها من الطوائف والا 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انسان إذا أحسّ بالخطر على نفسه، أو ماله بسبب نشر معتقده، أو التظاهر به لا بد أن يتكتم ويتقي مواضع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تقتضيه فطرة العقول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المعلوم أنّ الإمامية وأئمتهم لاقوا من ضروب المحن، وصنوف</w:t>
      </w:r>
      <w:bookmarkStart w:id="105" w:name="pg507_2793"/>
    </w:p>
    <w:p>
      <w:pPr>
        <w:pStyle w:val="BookText"/>
        <w:rPr/>
      </w:pPr>
      <w:bookmarkEnd w:id="105"/>
      <w:r>
        <w:rPr>
          <w:rFonts w:ascii="Amiri" w:hAnsi="Amiri" w:eastAsia="Amiri" w:cs="Amiri"/>
          <w:color w:val="111111"/>
          <w:sz w:val="28"/>
          <w:sz w:val="28"/>
          <w:szCs w:val="28"/>
          <w:rtl w:val="true"/>
          <w:lang w:bidi="ar-SA"/>
        </w:rPr>
        <w:t>الضيق على حرياتهم في جميع العهود ما لم تلاقه أية طائفة، أو أُمّة أُخرى، فاضطروا في أكثر عهودهم إلى استعمال التقية في تعاملهم مع المخالفين لهم، وترك مظاهرتهم، وستر عقائدهم، وأعمالهم المختصة بهم عنهم، لما كان يعقب ذلك من الضرر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السبب امتازوا بالتقية وعرفوا بها دون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وللتقية أحكام من حيث وجوبها وعدم وجوبها، بحسب اختلاف مواقع خوف الضرر، مذكورة في أبوابها في كتب العلماء الفقهيّة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4440427_211673320"/>
      <w:bookmarkStart w:id="107" w:name="_Toc38"/>
      <w:bookmarkEnd w:id="106"/>
      <w:r>
        <w:rPr>
          <w:rtl w:val="true"/>
        </w:rPr>
        <w:t>حدّها</w:t>
      </w:r>
      <w:r>
        <w:rPr>
          <w:rtl w:val="true"/>
        </w:rPr>
        <w:t>:</w:t>
      </w:r>
      <w:bookmarkEnd w:id="107"/>
    </w:p>
    <w:p>
      <w:pPr>
        <w:pStyle w:val="BookText"/>
        <w:rPr/>
      </w:pPr>
      <w:r>
        <w:rPr>
          <w:rFonts w:ascii="Amiri" w:hAnsi="Amiri" w:eastAsia="Amiri" w:cs="Amiri"/>
          <w:color w:val="111111"/>
          <w:sz w:val="28"/>
          <w:sz w:val="28"/>
          <w:szCs w:val="28"/>
          <w:rtl w:val="true"/>
          <w:lang w:bidi="ar-SA"/>
        </w:rPr>
        <w:t>قد تعرّفت على مفهوم التقية وغايتها، ودليلها، بقي الكلام في تبيين حدودها،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عرفت الشيعة بالتقية وأنّهم يتقون في أقوالهم وأفعالهم، فصار ذلك مبدأ لوهم عالق بأذهان بعض السطحيين والمغالطين،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التقية من مبادئ التشيّع فلا يصح الاعتماد على كلّ ما يقولون ويكتبون وينشرون، إذ من المحتمل جداً أن تكون هذه الكتب دعاياتٍ والواقع عندهم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نسمعه منهم مرّة بعد مرّة، ويكرره الكاتب الباكستاني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 إلهي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 السقيمة التي يتحامل بها على الشيعة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نلفت نظر القارئ الكريم إلى أنّ مجال التقية إنّما هو في حدود</w:t>
      </w:r>
    </w:p>
    <w:p>
      <w:pPr>
        <w:pStyle w:val="BookText"/>
        <w:rPr/>
      </w:pPr>
      <w:r>
        <w:rPr>
          <w:rFonts w:ascii="Amiri" w:hAnsi="Amiri" w:eastAsia="Amiri" w:cs="Amiri"/>
          <w:color w:val="111111"/>
          <w:sz w:val="28"/>
          <w:sz w:val="28"/>
          <w:szCs w:val="28"/>
          <w:rtl w:val="true"/>
          <w:lang w:bidi="ar-SA"/>
        </w:rPr>
        <w:t>القضايا الشخصية الجزئية عند وجود الخوف على النفس والنفيس، فإذا دلّت القرائن على أنّ في إظهار العقيدة أو تطبيق العمل على مذهب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يدفع بالمؤمن إلى الضرر يصبح هذا المورد من مواردها، ويحكم العقل والشرع بلزوم الاتقاء حتى يصون بذلك نفسه ونفيسه عن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 مور الكلّية الخارجة عن إطار الخوف فلا تتصور فيها التقية، والكتب المنتشرة من جانب الشيعة داخلة في هذا النوع الأخير، إذ لا خوف هناك حتى يكتب خلاف ما يعتقد، حيث ليس هناك لزوم للكتابة أصلًا في هذه الحال فله أن يسكت ولا يكتب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يدعيه هؤلاء أنّ هذه الكتب دعايات لا واقعيات ناشئ عن معرفتهم بحقيقة التقية عند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الشيعة إنّما كانت تتقي في عصر لم تكن لهم دولة تحميهم، ولا قدرة ولا منعة تدفع عنهم الأخطار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هذه الأعصار فلا مسوّغ ولا مبرر للتقية إلّا في موارد خاصة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الشيعة وكما ذكرنا لم تلجأ إلى التقية إلّا بعد أن اضطرّت إلى ذلك، وهو حق لا أعتقد أن يخالفها فيه أحد ينظر إلى الا مور بلبّه لا بعواطفه، إلّا أنّ من الثوابت الصحيحة بقاء هذه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حدود ضيقة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تنحصر في مستوى الفتاوى، ولم تترجم إلّا قليلًا على المستوى العملي، بل كانوا عملياً من أكثر الناس تضحية، وبوسع كل باحث أن يرجع إلى مواقف رجال الشيعة مع معاوية وغيره من الحكام الأمويين، والحكام العباسيين، أمثال حجر بن عدي، وميثم التمار، ورشيد الهجري، وكميل بن زياد، ومئات من غيرهم، وكمواقف العلويين على امتداد التاريخ وثوراتهم المتتالية</w:t>
      </w:r>
      <w:r>
        <w:rPr>
          <w:rFonts w:eastAsia="Amiri" w:cs="Amiri" w:ascii="Amiri" w:hAnsi="Amiri"/>
          <w:color w:val="111111"/>
          <w:sz w:val="28"/>
          <w:szCs w:val="28"/>
          <w:rtl w:val="true"/>
          <w:lang w:bidi="ar-SA"/>
        </w:rPr>
        <w:t>.</w:t>
      </w:r>
      <w:bookmarkStart w:id="108" w:name="pg507_2795"/>
    </w:p>
    <w:p>
      <w:pPr>
        <w:pStyle w:val="Heading3"/>
        <w:numPr>
          <w:ilvl w:val="2"/>
          <w:numId w:val="1"/>
        </w:numPr>
        <w:rPr/>
      </w:pPr>
      <w:bookmarkStart w:id="109" w:name="__RefHeading___Toc4440429_211673320"/>
      <w:bookmarkStart w:id="110" w:name="_Toc39"/>
      <w:bookmarkEnd w:id="108"/>
      <w:bookmarkEnd w:id="109"/>
      <w:r>
        <w:rPr>
          <w:rtl w:val="true"/>
        </w:rPr>
        <w:t>التقية المحرّمة</w:t>
      </w:r>
      <w:r>
        <w:rPr>
          <w:rtl w:val="true"/>
        </w:rPr>
        <w:t>:</w:t>
      </w:r>
      <w:bookmarkEnd w:id="110"/>
    </w:p>
    <w:p>
      <w:pPr>
        <w:pStyle w:val="BookText"/>
        <w:rPr/>
      </w:pPr>
      <w:r>
        <w:rPr>
          <w:rFonts w:ascii="Amiri" w:hAnsi="Amiri" w:eastAsia="Amiri" w:cs="Amiri"/>
          <w:color w:val="111111"/>
          <w:sz w:val="28"/>
          <w:sz w:val="28"/>
          <w:szCs w:val="28"/>
          <w:rtl w:val="true"/>
          <w:lang w:bidi="ar-SA"/>
        </w:rPr>
        <w:t>إنّ التقية تنقسم حسب الأحكام الخمسة، فكما أنّها تجب لحفظ النفوس والأعراض والأموال، فإنّها تحرم إذا ترتّب عليها مفسدة أعظم، كهدم الدين وخفاء الحقيقة على الأجيال الآتية، وتسلّط الأعداء على شؤون المسلمين وحرماتهم ومعابدهم، ولأجل ذلك ترى أنّ كثيراً من أكابر الشيعة رفضوا التقية في بعض الأحيان وقدّموا أنفسهم وأرواحهم أضاحي من أجل الدين، فللتقية مواضع معينة، كما أنّ للقسم المحرم منها مواضع خاصة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التقية في جوهرها كتم ما يحذر من إظهاره حتى يزول الخطر، فهي أفضل السبل للخلاص من البطش، ولكن ذلك لا يعني أنّ الشيعي جبان خائر العزيمة، خائف متردد الخطوات يملأ حناياه الذل، كلّا إنّ للتقية حدوداً لا تتعداها، فكما هي واجبة في حين، هي حرام في حين آخر، فالتقية أمام الحاكم الجائر كيزيد بن معاوية مثلًا محرّمة، إذ فيها الذل والهوان ونسيان المثل والرجوع إلى الوراء، فليست التقية في جوازها ومنعها تابعة للقوّة والضعف، وإنّما تحددها جوازاً ومنعاً مصالح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في المقام ننقله بنصه حتى يقف القارئ على أنّ للتقية أحكاماً خاصة وربّما تحرم لمصالح 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تحرم التقية في بعض المحرمات والواجبات التي تمثل في نظر الشارع</w:t>
      </w:r>
    </w:p>
    <w:p>
      <w:pPr>
        <w:pStyle w:val="BookText"/>
        <w:rPr/>
      </w:pPr>
      <w:r>
        <w:rPr>
          <w:rFonts w:ascii="Amiri" w:hAnsi="Amiri" w:eastAsia="Amiri" w:cs="Amiri"/>
          <w:color w:val="111111"/>
          <w:sz w:val="28"/>
          <w:sz w:val="28"/>
          <w:szCs w:val="28"/>
          <w:rtl w:val="true"/>
          <w:lang w:bidi="ar-SA"/>
        </w:rPr>
        <w:t>والمتشرعة مكانة بالغة، مثل هدم الكعبة، والمشاهد المشرفة، والرد على الإسلام والقرآن والتفسير بما يفسر المذهب ويطابق الالحاد وغيرها من عظائم المحرمات، ولا تعمها أدلة التقية ولا الاضطرار ولا الاكراه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وتدل على ذلك معتبرة مسعدة بن صدقة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شي‌ء يعمل المؤمن بينهم لمكان التقية مما لا يؤدي إلى الفساد في الدين فإنّه جائز</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ومن هذا الباب ما إذا كان المتقي ممن له شأن وأهمية في نظر الخلق، بحيث يكون ارتكابه لبعض المحرمات تقية أو تركه لبعض الواجبات كذلك مما يعد موهناً للمذهب وهاتكاً لحرمه، كما لو أُكره على شرب المسكر والزنا مثلًا، فإنّ جواز التقية في مثله متمسكاً بحكومة دليل الرفع </w:t>
      </w:r>
      <w:r>
        <w:rPr>
          <w:rStyle w:val="FootnoteAnchor"/>
          <w:rtl w:val="true"/>
        </w:rPr>
        <w:footnoteReference w:id="98"/>
      </w:r>
      <w:r>
        <w:rPr>
          <w:rFonts w:ascii="Amiri" w:hAnsi="Amiri" w:eastAsia="Amiri" w:cs="Amiri"/>
          <w:color w:val="111111"/>
          <w:sz w:val="28"/>
          <w:sz w:val="28"/>
          <w:szCs w:val="28"/>
          <w:rtl w:val="true"/>
          <w:lang w:bidi="ar-SA"/>
        </w:rPr>
        <w:t>وأدلّة التقية مشكل بل ممنوع، وأولى من ذلك كلّه في عدم جواز التقية وفيه ما لو كان أصل من أُصول الإسلام أو المذهب أو ضروري من ضروريات الدين في معرض الزوال والهدم والتغيير، كما لو أراد المنحرفون الطغاة تغيير أحكام الأرث والطلاق والصلاة والحج وغيرها من أُصول الأحكام فضلًا عن أُصول الدين أو المذهب، فإنّ التقية في مثلها غير جائزة، ضرورة أنّ تشريعها لبقاء المذهب وحفظ الا صول وجمع شتات المسلمين لإقامة الدين وأُصوله، فإذا بلغ الأمر إلى هدمها فلا تجوز التقية، وهو مع وضوحه يظهر من الموثقة المتقدمة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فقد بيّنا للجميع الأبعاد الحقيقية والواقعية للتقية، وخرجنا بالنتائج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أصل قرآني مدعم بالسنّة النبوية، وقد استعملها في عصر الرسالة من ابتلي بها من الصحابة لصيانة نفسه فلم يعارضه الرسول بل أيده بالنص القرآني كما في قضية عمّار بن ياسر، حيث أمره صلَّى اللَّه عليه و آله و سلَّم بالعودة إذا عادوا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بمعنى تشكيل جماعات سرية لغاية التخريب والهدم، مرفوضة عند المسلمين عامة والشيعة خاصة، وهو لا يمت للتقية المتبناة من قبل الشيعة بصلة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المفسرين في كتبهم التفسيرية عندما تعرضوا لتفسير الآيات الواردة في التقية اتفقوا على ما ذهبت إليه الشيعة من إباحتها للتقية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لا تختص بالاتقاء من الكافر، بل تعم الاتقاء من المسلم المخالف، الذي يريد السوء والبطش بأخيه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تنقسم حسب انقسام الأحكام إلى أقسام خمسة، فبينما هي واجبة في موضع فهي محرمة في موضع آخر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مجال التقية لا يتجاوز القضايا الشخصية، وهي فيما إذا كان الخوف قائماً، وأمّا إذا ارتفع الخوف والضغط، فلا موضوع للتقية لغاية الصيانة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نفترض أنّ التقية جريمة يرتكبها المتقي لصيانة دمه وعرضه وماله ولكنّها في الحقيقة ترجع إلى السبب الذي يفرض التقيّة على الشيعي المسلم ويدفعه إلى أن يتظاهر بشي‌ء من القول والفعل الذي لا يعتقد به، فعلى من يعيب التقية للمسلم المضطهد، أن يسمح له الحرية في مجال الحياة ويتركه بحاله، وأقصى ما يصح في منطق العقل، أن يسأله عن دليل عقيدته ومصدر عمله، فإن كان على حجّة بيّنة يتبعه، وإن كان على خلافها يعذره في اجتهاده وجهاده العلمي والفكري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ندعو المسلمين للتأمل في الدواعي التي دفعت بالشيعة إلى التقية، وأن يعملوا قدر الإمكان على فسح المجال لاخوانهم في الدين فإنّ لكل فقيه مسلم، رأيه ونظره، وجهده وطاقته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الشيعة يقتفون أثر أئمة أهل البيت في العقيدة والشريعة، ويرون رأيهم، لأنّهم هم الذين أذهب اللَّه عنهم الرجس وطهّرهم تطهيراً، وأحد الثقلين اللذين أمر الرسول صلَّى اللَّه عليه و آله و سلَّم بالتمسك بهما في مجال العقيدة والشريعة، وهذه عقائدهم لا تخفى على أحد، وهي حجّة على الجميع</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يصون دماء المسلمين وأعراضهم عن تعرض أي متعرض، ويوحّد صفوفهم، ويؤلّف بين قلوبهم، ويجمع شملهم، ويجعلهم صفّاً واحداً في وجه الأعداء، إنّه بذلك قدير وبالإجابة جدير</w:t>
      </w:r>
      <w:r>
        <w:rPr>
          <w:rFonts w:eastAsia="Amiri" w:cs="Amiri" w:ascii="Amiri" w:hAnsi="Amiri"/>
          <w:color w:val="111111"/>
          <w:sz w:val="28"/>
          <w:szCs w:val="28"/>
          <w:rtl w:val="true"/>
          <w:lang w:bidi="ar-SA"/>
        </w:rPr>
        <w:t>.</w:t>
      </w:r>
      <w:bookmarkStart w:id="111" w:name="pg507_2800"/>
    </w:p>
    <w:p>
      <w:pPr>
        <w:pStyle w:val="Heading2"/>
        <w:numPr>
          <w:ilvl w:val="1"/>
          <w:numId w:val="1"/>
        </w:numPr>
        <w:rPr/>
      </w:pPr>
      <w:bookmarkStart w:id="112" w:name="__RefHeading___Toc4440431_211673320"/>
      <w:bookmarkStart w:id="113" w:name="_Toc40"/>
      <w:bookmarkEnd w:id="111"/>
      <w:bookmarkEnd w:id="112"/>
      <w:r>
        <w:rPr>
          <w:rtl w:val="true"/>
        </w:rPr>
        <w:t>المسألة الخامسة</w:t>
      </w:r>
      <w:r>
        <w:rPr>
          <w:rtl w:val="true"/>
        </w:rPr>
        <w:t xml:space="preserve">: </w:t>
      </w:r>
      <w:r>
        <w:rPr>
          <w:rtl w:val="true"/>
        </w:rPr>
        <w:t>فى البداء</w:t>
      </w:r>
      <w:bookmarkEnd w:id="113"/>
    </w:p>
    <w:p>
      <w:pPr>
        <w:pStyle w:val="Heading3"/>
        <w:numPr>
          <w:ilvl w:val="2"/>
          <w:numId w:val="1"/>
        </w:numPr>
        <w:rPr/>
      </w:pPr>
      <w:bookmarkStart w:id="114" w:name="__RefHeading___Toc4440433_211673320"/>
      <w:bookmarkStart w:id="115" w:name="_Toc41"/>
      <w:bookmarkEnd w:id="114"/>
      <w:r>
        <w:rPr>
          <w:rtl w:val="true"/>
        </w:rPr>
        <w:t>اشارة</w:t>
      </w:r>
      <w:bookmarkEnd w:id="11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العقائد الثابتة عند الشيعة الإمامية، هو القول بالبداء، ومن الكلمات الدارجة بين علمائهم انّ النسخ والبداء صنوان، غير أنّ الأوّل في التشريع والثاني في التكوين، وقد اشتهرت بالقول به كاشتهارها بالقول بالتقية وجواز متعة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القول بهذه الأُمور الثلاثة من خائصهم وقد أنكرت عليهم السنّة أشد الانكار خصوصاً في مسألة البداء، ولكنّهم لو كانوا واقفين على مراد الشيعة من تجويز البداء على اللَّه لتوقفوا عن الاستنكار، ولأعلنوا الوفاق، وأقول عن 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أُتيحت الفرصة لعلماء الفريقين للبحث عن النقاط الخلافية بعيداً عن التعصب والتشنج لتجلّى الحق بأجلى مظاهره، ولأقرّوا بصحة مقالة الشيعة، غير أنّ تلك أُمنية لا تتحق إلّا في فترات خاصة، وقد سألني أحد علماء أهل السنّة عن حقيقة البداء فأجبته باجمال ما أُفصّله في هذا المقام، فتعجّب عن اتقان معناه، غير أنّه زعم أنّ ما ذكرته نظرية شخصية لا صلة بها بنظرية الإمامية في البداء فطلب منّي كتاباً لقدماء علماء الشيعة، فدفعت إليه أوائل المقالات، وشرح عقائد الصدوق لشيخ الأُمّة محمّد بن النعمان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فقرأهما بدقة، وجاء بالكتاب بعد أيام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معنى البداء هو الذي يذكره صاحب الكتاب فهو من صميم عقيدة أهل السنّة ولا يخالفون</w:t>
      </w:r>
    </w:p>
    <w:p>
      <w:pPr>
        <w:pStyle w:val="BookText"/>
        <w:rPr/>
      </w:pPr>
      <w:r>
        <w:rPr>
          <w:rFonts w:ascii="Amiri" w:hAnsi="Amiri" w:eastAsia="Amiri" w:cs="Amiri"/>
          <w:color w:val="111111"/>
          <w:sz w:val="28"/>
          <w:sz w:val="28"/>
          <w:szCs w:val="28"/>
          <w:rtl w:val="true"/>
          <w:lang w:bidi="ar-SA"/>
        </w:rPr>
        <w:t>الشيعة في هذا المبدأ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حقيقة البداء نأتي بمقدمات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الشيعة على أنّه سبحانه عالم بالحوادث كلّها غابرها وحاضرها، ومستقبلها، لا يخفى عليه شي‌ء في الأرض ولا في السماء، فلا يتصوّر فيه الظهور بعد الخفاء، ولا العلم بعد الجهل، بل الأشياء دقيقها وجليلها، حاضرة لديه، ويدل عليه الكتاب والسنّة المروية عن طريق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البراهين الفلسفية المقرّرة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يَخْفَى عَلَيْهِ شَيْ‌ءٌ فِي الأَرْضِ وَلا فِي السَّماءِ</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يَخْفَى عَلى اللَّهِ مِنْ شَيْ‌ءٍ فِي الأَرْضِ وَلا فِي السَّماءِ</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شَيْئاً أَوْ تُخْفُوهُ فَإِنَّ اللَّهَ كَانَ بِكُلِّ شَي‌ءٍ عَليماً</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كيف وهو محيط بالعالم صغيره وكبيره، ماديّه ومجرّده، والأشياء كلّها قائمة به قياماً قيّومياً كقيام المعنى الحرفي بالاسمي والرابطي بالطرفين، ويكفي في توضيح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 إِنَّ ذَلِكَ عَلَى اللَّهِ يَسيرٌ</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فِي الأَرْضِ إلّا عَلَى اللَّهِ رِزْقُها وَيَعْلَمُ مُسْتَقَرَّهَا وَمُسْتَوْدَعَهَا كُلٌّ فِي كِتابٍ مُبين</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الأخبار فنكتفي بالقليل 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موسى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اللَّه عالماً بالأشياء قبل أن يخلق الأشياء كعلمه بالأشياء بعد ما خلق الأشياء</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سر عندك علانية، وكل غيب عندك شهادة</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يعزب عنه عدد قطر الماء ولا نجوم السماء ولا سوافي الريح في الهواء، ولا دبيب النمل على الصفا، ولا مقيل الذرّ في الليلة الظلماء، يعلم مساقط الأوراق، وخفيّ طرف الأحداق</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أمر يريده اللَّه، فهو في علمه قبل أن يصنعه، ليس شي‌ء يبدو له إلّا وقد كان في علمه، إنّ اللَّه لا يبدو من له من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 اللَّه عزّ وجلّ يبدو له من شي‌ء لم يعلمه أمس، فابرأوا منه</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الروايات التي تدل على إحاطة علمه بكل شي‌ء قبل</w:t>
      </w:r>
    </w:p>
    <w:p>
      <w:pPr>
        <w:pStyle w:val="BookText"/>
        <w:rPr/>
      </w:pPr>
      <w:r>
        <w:rPr>
          <w:rFonts w:ascii="Amiri" w:hAnsi="Amiri" w:eastAsia="Amiri" w:cs="Amiri"/>
          <w:color w:val="111111"/>
          <w:sz w:val="28"/>
          <w:sz w:val="28"/>
          <w:szCs w:val="28"/>
          <w:rtl w:val="true"/>
          <w:lang w:bidi="ar-SA"/>
        </w:rPr>
        <w:t>خلقه وحينه وبعده وانّه لا يخفى عليه شي‌ء أبداً</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العقل فقد دلّ على تنزّهه من وصمة الحدوث والتغيير، وانّه تقدّست أسماؤه أعلى من أن يقع معرضاً للحوادث والتغييرات، ولأجل ذلك ذهبوا إلى امتناع البداء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الظهور بعد الخفاء والعلم بعد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لاستلزامه كون ذاته محلًّا للتغيّر والتبدّل، المستلزم للتركيب والحدوث، إلى غير ذلك ممّا يستحيل عليه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فالآيات وكذلك الأحاديث المروية عن أئمّة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على علمه الذي لا يشوبه جهل، وعلى سعته لكل شي‌ء قبل الخلق وبعده، وأنّه يستحيل عليه الظهور بعد الخفاء، والعلم بعد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فمن نسب إلى الشيعة الإمامية ما يستشم منه خلاف ما دلّت عليه الآيات والأحاديث فقد افترى كذباً ينشأ من الجهل بعقائد الشيعة، أو التزلّف إلى حكّام الوقت الحاقدين لهم أو التعصّب المقيت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بطلان ما قاله الرازي في تفسيره عند البحث عن آية المحو والاثبات،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جائز على اللَّه تعالى، وهو أن يعتقد شيئاً ثمّ يظهر له أنّ الأمر بخلاف ما اعتقده، وتمسّكوا فيه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باطل لأنّ علم اللَّه من لوازم ذاته المخصوصة وما كان كذلك كان دخول التغيّر والتبدّل فيه باطلًا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حكاه الرازي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عن جهله بعقيدة الشيعة، وإنّما سمعه عن بعض الكذّابين الأفّاكين الذين يفتعلون الكذب لغايات فاسدة، وقد قبله من دون امعان ودقّة، مع أنّ موطنه ومسقط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آنذاك مزدحم الشيعة ومركزهم، وكان الشيخ محمود</w:t>
      </w:r>
    </w:p>
    <w:p>
      <w:pPr>
        <w:pStyle w:val="BookText"/>
        <w:rPr/>
      </w:pPr>
      <w:r>
        <w:rPr>
          <w:rFonts w:ascii="Amiri" w:hAnsi="Amiri" w:eastAsia="Amiri" w:cs="Amiri"/>
          <w:color w:val="111111"/>
          <w:sz w:val="28"/>
          <w:sz w:val="28"/>
          <w:szCs w:val="28"/>
          <w:rtl w:val="true"/>
          <w:lang w:bidi="ar-SA"/>
        </w:rPr>
        <w:t>ابن علي بن الحسن سديد الدين الحمصي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زمانه في الأُصولين معاصراً ومواطناً للرازي وهو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 من التقليد والمرشد إلى التوحيد</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ولو كان الفخر الرازي رجلًا منصفاً لرجع إليه في تبيين عقائد الشيعة، ولما تهاجم عليهم بسباب مقذع، وربّما ينقل عنه بعض الكلمات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الرازي فريداً في التقوِّل في هذا المجال بل سبقه البلخي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النسبة </w:t>
      </w:r>
      <w:r>
        <w:rPr>
          <w:rStyle w:val="FootnoteAnchor"/>
          <w:rtl w:val="true"/>
        </w:rPr>
        <w:footnoteReference w:id="113"/>
      </w:r>
      <w:r>
        <w:rPr>
          <w:rFonts w:ascii="Amiri" w:hAnsi="Amiri" w:eastAsia="Amiri" w:cs="Amiri"/>
          <w:color w:val="111111"/>
          <w:sz w:val="28"/>
          <w:sz w:val="28"/>
          <w:szCs w:val="28"/>
          <w:rtl w:val="true"/>
          <w:lang w:bidi="ar-SA"/>
        </w:rPr>
        <w:t xml:space="preserve">، ونقله الشيخ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ونقله أبو الحسن النوبختي في فرق الشيعة عن بعض فرق الزيدية</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دلّت الآيات والأحاديث</w:t>
      </w:r>
      <w:r>
        <w:rPr>
          <w:rStyle w:val="FootnoteAnchor"/>
          <w:rtl w:val="true"/>
        </w:rPr>
        <w:footnoteReference w:id="116"/>
      </w:r>
      <w:r>
        <w:rPr>
          <w:rFonts w:ascii="Amiri" w:hAnsi="Amiri" w:eastAsia="Amiri" w:cs="Amiri"/>
          <w:color w:val="111111"/>
          <w:sz w:val="28"/>
          <w:sz w:val="28"/>
          <w:szCs w:val="28"/>
          <w:rtl w:val="true"/>
          <w:lang w:bidi="ar-SA"/>
        </w:rPr>
        <w:t>على أنّه سبحانه لم يفرغ من أمر الخلق والايجاد، والتدبير والتربية، دلّت على أنّ مصير العباد يتغيّر، بحسن أفعالهم وصلاح أعمالهم، من الصدقة والاحسان وصلة الأرحام وبرّ الوالدين، والاستغفار والتوبة وشكر النعمة واداء حقّها، إلى غير ذلك من الأُمور التي تغيّر المصير وتبدّل القضاء، وتفرّج الهموم والغموم، وتزيد في الأرزاق، والأمطار، والأعمار،</w:t>
      </w:r>
    </w:p>
    <w:p>
      <w:pPr>
        <w:pStyle w:val="BookText"/>
        <w:rPr/>
      </w:pPr>
      <w:r>
        <w:rPr>
          <w:rFonts w:ascii="Amiri" w:hAnsi="Amiri" w:eastAsia="Amiri" w:cs="Amiri"/>
          <w:color w:val="111111"/>
          <w:sz w:val="28"/>
          <w:sz w:val="28"/>
          <w:szCs w:val="28"/>
          <w:rtl w:val="true"/>
          <w:lang w:bidi="ar-SA"/>
        </w:rPr>
        <w:t>والآجال، كما أنّ لمحرَّم الأعمال وسيّئها من قبيل البخل والتقصير، وسوء الخلق، وقطيعة الرحم، وعقوق الوالدين، والطيش، وعدم الانابة، وكفران النعمة، وما شباهها تأثيراً في تغيير مصيرهم بعكس ذلك من اكثار الهموم، والقلق، ونقصان، الأرزاق، والأمطار، والأعمار، والآجال، وما شاكلها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للانسان مصير واحد، ومقدر فارد، يصيبه على وجه القطع والبت، ويناله، شاء أو لم يشأ، بل المصير أو المقدر يتغيّر ويتبدّل بالأعمال الصالحة والطالحة وشكر النعمة وكفرانها، وبالإيمان والتقوى، والكفر والفسوق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له أدنى علاقة بالكتاب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انكاره أو ادّعاء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نأتي في المقام بقليل من كثير ممّا يدل على ذلك من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 حاكياً عن شيخ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وَيُمْدِدْكُمْ بِأَمْوالٍ وَبَنْينَ وَيَجْعَلْ لَكُمْ جَنَّاتٍ وَيَجْعَلْ لَكُمْ أَنْهاراً</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يجعل الاستغفار علّة مؤثّرة، في نزول المطر، وكثرة الأموال والبنين، وجريان الأنهار إلى غير ذلك، وأمّا بيان كيفية تأثير عمل العبد في الكائنات الطبيعية، فيطلب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w:t>
      </w:r>
    </w:p>
    <w:p>
      <w:pPr>
        <w:pStyle w:val="BookText"/>
        <w:rPr/>
      </w:pPr>
      <w:r>
        <w:rPr>
          <w:rFonts w:ascii="Amiri" w:hAnsi="Amiri" w:eastAsia="Amiri" w:cs="Amiri"/>
          <w:color w:val="111111"/>
          <w:sz w:val="28"/>
          <w:sz w:val="28"/>
          <w:szCs w:val="28"/>
          <w:rtl w:val="true"/>
          <w:lang w:bidi="ar-SA"/>
        </w:rPr>
        <w:t>بَرَكاتٍ مِنَ السَّماءِ وَالأَرْضِ وَلكِنْ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يَحْتَسِبْ</w:t>
      </w:r>
      <w:r>
        <w:rPr>
          <w:rFonts w:eastAsia="Amiri" w:cs="Amiri" w:ascii="Amiri" w:hAnsi="Amiri"/>
          <w:color w:val="111111"/>
          <w:sz w:val="28"/>
          <w:szCs w:val="28"/>
          <w:rtl w:val="true"/>
          <w:lang w:bidi="ar-SA"/>
        </w:rPr>
        <w:t>)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تَأَذَّنَ رَبُّكُمْ لَئِنْ شَكَرْتُمْ لأزِيدَنَّكُمْ وَلَئِنْ كَفَرْتُمْ إِنَّ عَذَابِي لَشَدِيدٌ</w:t>
      </w:r>
      <w:r>
        <w:rPr>
          <w:rFonts w:eastAsia="Amiri" w:cs="Amiri" w:ascii="Amiri" w:hAnsi="Amiri"/>
          <w:color w:val="111111"/>
          <w:sz w:val="28"/>
          <w:szCs w:val="28"/>
          <w:rtl w:val="true"/>
          <w:lang w:bidi="ar-SA"/>
        </w:rPr>
        <w:t>)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وَنُوحَاً إِذْ نَادَى مِن قَبْلُ فَاسْتَجَبْنَا لَهُ فَنَجَّيْناهُ وَأَهْلَهُ مِنَ الكَرْبِ العَظِيمِ</w:t>
      </w:r>
      <w:r>
        <w:rPr>
          <w:rFonts w:eastAsia="Amiri" w:cs="Amiri" w:ascii="Amiri" w:hAnsi="Amiri"/>
          <w:color w:val="111111"/>
          <w:sz w:val="28"/>
          <w:szCs w:val="28"/>
          <w:rtl w:val="true"/>
          <w:lang w:bidi="ar-SA"/>
        </w:rPr>
        <w:t>)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وَأَيُّوبَ إذْ نَادَى رَبَّهُ أَنِّي مَسَّنِيَ الضُّرُّ وَأَنْتَ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فَكَشَفْنَا مَا بِهِ مِن ضُرٍّ</w:t>
      </w:r>
      <w:r>
        <w:rPr>
          <w:rFonts w:eastAsia="Amiri" w:cs="Amiri" w:ascii="Amiri" w:hAnsi="Amiri"/>
          <w:color w:val="111111"/>
          <w:sz w:val="28"/>
          <w:szCs w:val="28"/>
          <w:rtl w:val="true"/>
          <w:lang w:bidi="ar-SA"/>
        </w:rPr>
        <w:t>)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أَنَّهُ كَانَ مِنَ المُسَبِّحِينَ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فِي بَطْنِهِ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فَنَبذْنَاهُ بِالعَرَاءِ وَهُوَ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وَأَنبَتْنَا عَلَيهِ شَجَرَةً مِن يَقْطِينٍ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تعالى</w:t>
      </w:r>
      <w:r>
        <w:rPr>
          <w:rStyle w:val="FootnoteAnchor"/>
          <w:rtl w:val="true"/>
        </w:rPr>
        <w:footnoteReference w:id="1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 لَهُ وَنَجَّيْنَاهُ مِنَ الغَمِّ وَكَذلِكَ نُنْجِي المُؤْمِنينَ</w:t>
      </w:r>
      <w:r>
        <w:rPr>
          <w:rFonts w:eastAsia="Amiri" w:cs="Amiri" w:ascii="Amiri" w:hAnsi="Amiri"/>
          <w:color w:val="111111"/>
          <w:sz w:val="28"/>
          <w:szCs w:val="28"/>
          <w:rtl w:val="true"/>
          <w:lang w:bidi="ar-SA"/>
        </w:rPr>
        <w:t>) .</w:t>
      </w:r>
      <w:r>
        <w:rPr>
          <w:rStyle w:val="FootnoteAnchor"/>
          <w:rtl w:val="true"/>
        </w:rPr>
        <w:footnoteReference w:id="127"/>
      </w:r>
      <w:bookmarkStart w:id="116" w:name="pg507_2807"/>
    </w:p>
    <w:p>
      <w:pPr>
        <w:pStyle w:val="BookText"/>
        <w:rPr/>
      </w:pPr>
      <w:bookmarkEnd w:id="116"/>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كَانَتْ قَرْيَةٌ آمَنْتْ فَنَفَعَها إِيمانُها إلَّا قَوْمَ يُونُسَ لَمّا آمَنُوا كَشَفْنا عَنْهُمْ عَذَابَ الخِزْيِ فِي الحَيوةِ الدُّنْيا وَمَتَّعْناهُمْ إلى حِينٍ</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وهذه الآيات بالاضافة إلى كثير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سيوافيك بيان نزر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تعرب عن أنّ الأعمال الصالحة مؤثّرة في مصير الانسان، وأنّ الانسان بعمله يؤثّر في تحديد قدره وتبديل القضاء، وليس هناك مقدر محتوم فيما يرجع إلى أفعاله الاختيارية حتى يكون العبد في مقابله مكتوف الأيدي والأرجل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الأحاديث التي تدلّ على هذا المطلب فكثيرة جدّاً مبعثرة في كتب الحديث تحت عناوين مختلفة مثل الصدقة والاستغفار والدعاء، وصلة الرحم، وما أشبه ذلك، وسنذكر فيما يلي نماذج مختلفة من الأحاديث الدالّة على هذه المطالب</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4440435_211673320"/>
      <w:bookmarkStart w:id="118" w:name="_Toc42"/>
      <w:bookmarkEnd w:id="117"/>
      <w:r>
        <w:rPr>
          <w:rtl w:val="true"/>
        </w:rPr>
        <w:t>ألف</w:t>
      </w:r>
      <w:r>
        <w:rPr>
          <w:rtl w:val="true"/>
        </w:rPr>
        <w:t xml:space="preserve">- </w:t>
      </w:r>
      <w:r>
        <w:rPr>
          <w:rtl w:val="true"/>
        </w:rPr>
        <w:t>الصدقة وأثرها في دفع البلاء</w:t>
      </w:r>
      <w:r>
        <w:rPr>
          <w:rtl w:val="true"/>
        </w:rPr>
        <w:t>:</w:t>
      </w:r>
      <w:bookmarkEnd w:id="118"/>
    </w:p>
    <w:p>
      <w:pPr>
        <w:pStyle w:val="BookText"/>
        <w:rPr/>
      </w:pPr>
      <w:r>
        <w:rPr>
          <w:rFonts w:ascii="Amiri" w:hAnsi="Amiri" w:eastAsia="Amiri" w:cs="Amiri"/>
          <w:color w:val="111111"/>
          <w:sz w:val="28"/>
          <w:sz w:val="28"/>
          <w:szCs w:val="28"/>
          <w:rtl w:val="true"/>
          <w:lang w:bidi="ar-SA"/>
        </w:rPr>
        <w:t>روى الصدوق في الخصال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من صدقة السرِّ فإنّها تُطفئ غضب الربِّ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 عيون الأخبار عن الرضا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باكروا بالصدقة فمن باكر بها لم يتخطاها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الطوسي في أماليه عن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ما توسّل به المتوسّلون الإيمان باللَّه، وصدقة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6037691034250324</w:t>
      </w:r>
      <w:r>
        <w:rPr>
          <w:rFonts w:eastAsia="Times New Roman" w:cs="Times New Roman" w:ascii="Times New Roman" w:hAnsi="Times New Roman"/>
          <w:color w:val="111111"/>
          <w:sz w:val="28"/>
          <w:szCs w:val="28"/>
          <w:rtl w:val="true"/>
          <w:lang w:val="en-US" w:bidi="en-US"/>
        </w:rPr>
        <w:t>.</w:t>
      </w:r>
      <w:bookmarkStart w:id="119" w:name="pg507_2808"/>
    </w:p>
    <w:p>
      <w:pPr>
        <w:pStyle w:val="BookText"/>
        <w:rPr/>
      </w:pPr>
      <w:bookmarkEnd w:id="119"/>
      <w:r>
        <w:rPr>
          <w:rFonts w:ascii="Amiri" w:hAnsi="Amiri" w:eastAsia="Amiri" w:cs="Amiri"/>
          <w:color w:val="111111"/>
          <w:sz w:val="28"/>
          <w:sz w:val="28"/>
          <w:szCs w:val="28"/>
          <w:rtl w:val="true"/>
          <w:lang w:bidi="ar-SA"/>
        </w:rPr>
        <w:t>السرِّ، فإنّها تذهب الخطيئة وتطفئ غضب الرب، وصنائعُ المعروف فإنّها تدفع ميتة السوء وتقي مصارع الهوان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الصدوق في ثواب الأعمال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باليد تدفع ميتة السوء، وتدفع سبعين نوعاً من أنواع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الروايات المتعددة والتي يضيق المجال بذكرها، وللمستزيد الرجوع إلى كتاب بحار الأنوار للعلّامة المجلسي ضمن أبواب الزكاة والصدقة وغيرها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الاستغفار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الصدق في الخصال عن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الاستغفار يزيد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فيها عن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الاستغفار، تجلبوا الرزق</w:t>
      </w:r>
      <w:r>
        <w:rPr>
          <w:rFonts w:eastAsia="Amiri" w:cs="Amiri" w:ascii="Amiri" w:hAnsi="Amiri"/>
          <w:color w:val="111111"/>
          <w:sz w:val="28"/>
          <w:szCs w:val="28"/>
          <w:rtl w:val="true"/>
          <w:lang w:bidi="ar-SA"/>
        </w:rPr>
        <w:t>» .</w:t>
      </w:r>
      <w:r>
        <w:rPr>
          <w:rStyle w:val="FootnoteAnchor"/>
          <w:rtl w:val="true"/>
        </w:rPr>
        <w:footnoteReference w:id="130"/>
      </w:r>
    </w:p>
    <w:p>
      <w:pPr>
        <w:pStyle w:val="Heading3"/>
        <w:numPr>
          <w:ilvl w:val="2"/>
          <w:numId w:val="1"/>
        </w:numPr>
        <w:rPr/>
      </w:pPr>
      <w:bookmarkStart w:id="120" w:name="__RefHeading___Toc4440437_211673320"/>
      <w:bookmarkStart w:id="121" w:name="_Toc43"/>
      <w:bookmarkEnd w:id="120"/>
      <w:r>
        <w:rPr>
          <w:rtl w:val="true"/>
        </w:rPr>
        <w:t>ج</w:t>
      </w:r>
      <w:r>
        <w:rPr>
          <w:rtl w:val="true"/>
        </w:rPr>
        <w:t xml:space="preserve">- </w:t>
      </w:r>
      <w:r>
        <w:rPr>
          <w:rtl w:val="true"/>
        </w:rPr>
        <w:t>الدعاء وآثاره</w:t>
      </w:r>
      <w:r>
        <w:rPr>
          <w:rtl w:val="true"/>
        </w:rPr>
        <w:t>:</w:t>
      </w:r>
      <w:bookmarkEnd w:id="121"/>
    </w:p>
    <w:p>
      <w:pPr>
        <w:pStyle w:val="BookText"/>
        <w:rPr/>
      </w:pPr>
      <w:r>
        <w:rPr>
          <w:rFonts w:ascii="Amiri" w:hAnsi="Amiri" w:eastAsia="Amiri" w:cs="Amiri"/>
          <w:color w:val="111111"/>
          <w:sz w:val="28"/>
          <w:sz w:val="28"/>
          <w:szCs w:val="28"/>
          <w:rtl w:val="true"/>
          <w:lang w:bidi="ar-SA"/>
        </w:rPr>
        <w:t>روى الحميري في قرب الاسناد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يردّ القضاء، وإنّ المؤمن ليذنب فيحرم بذنبه الرزق</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أيضاً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داووا</w:t>
      </w:r>
    </w:p>
    <w:p>
      <w:pPr>
        <w:pStyle w:val="BookText"/>
        <w:rPr/>
      </w:pPr>
      <w:r>
        <w:rPr>
          <w:rFonts w:ascii="Amiri" w:hAnsi="Amiri" w:eastAsia="Amiri" w:cs="Amiri"/>
          <w:color w:val="111111"/>
          <w:sz w:val="28"/>
          <w:sz w:val="28"/>
          <w:szCs w:val="28"/>
          <w:rtl w:val="true"/>
          <w:lang w:bidi="ar-SA"/>
        </w:rPr>
        <w:t>مرضاكم بالصدقة، وادفعوا أبواب البلاء بالدعاء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الصدوق عن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ادفعوا أمواج البلاء عنكم بالدعاء قبل ورود البلاء</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عقد الكليني في الكافي باباً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الدعاء يرد البلاء والقضاء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أحاديث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يردّ القضاء، ينقضه كما ينقض السلك وقد ابرم إبراماً</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وروى عن أبي الحسن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بالدعاء، فإنّ الدعاء للَّه والطلب إلى اللَّه يرد البلاء وقد قدّر وقضى ولم يبق إلّا امضاؤه، فإذا دعي اللَّه عزّ وجلّ وسئل، صرف البلاء صرفة</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من طرق العامّة فقد أخرج الحاكم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الحذر عن القدر، ولكن اللَّه يمحو بالدعاء ما يشاء من القدر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أبي شيبة في المصنّف، وابن أبي الدنيا في الدعاء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 عبد بهذه الدعوات إلّا وسع اللَّه له في معيشته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ياذا المنّ ولا يمنّ عليه، ياذا الجلال والإكرام، ياذا الطول، لا إله إلّا أنت ظهر اللاجين وجار المستجيرين، ومأمن الخائفين، إن كنت كتبتني عندك في أُمّ الكتاب شقياً فامح عنّي اسم الشقاء واثبتني عندك سعيداً، وإن كنت كتبتني عندك في أُمّ الكتاب محروماً، مقتراً على رزقي، فامح</w:t>
      </w:r>
      <w:bookmarkStart w:id="122" w:name="pg507_2810"/>
    </w:p>
    <w:p>
      <w:pPr>
        <w:pStyle w:val="BookText"/>
        <w:rPr/>
      </w:pPr>
      <w:bookmarkEnd w:id="122"/>
      <w:r>
        <w:rPr>
          <w:rFonts w:ascii="Amiri" w:hAnsi="Amiri" w:eastAsia="Amiri" w:cs="Amiri"/>
          <w:color w:val="111111"/>
          <w:sz w:val="28"/>
          <w:sz w:val="28"/>
          <w:szCs w:val="28"/>
          <w:rtl w:val="true"/>
          <w:lang w:bidi="ar-SA"/>
        </w:rPr>
        <w:t>حرماني، ويسّر رزقي، واثبتني عندك سعيداً موفقاً للخير، فإنّك تقول في كتابك الذي أنزلت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وروي أيضاً في الدر المنثور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يسأله من 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يقرب من هذا، فلاحظ </w:t>
      </w:r>
      <w:r>
        <w:rPr>
          <w:rFonts w:eastAsia="Amiri" w:cs="Amiri" w:ascii="Amiri" w:hAnsi="Amiri"/>
          <w:color w:val="111111"/>
          <w:sz w:val="28"/>
          <w:szCs w:val="28"/>
          <w:rtl w:val="true"/>
          <w:lang w:bidi="ar-SA"/>
        </w:rPr>
        <w:t>.</w:t>
      </w:r>
      <w:r>
        <w:rPr>
          <w:rStyle w:val="FootnoteAnchor"/>
          <w:rtl w:val="true"/>
        </w:rPr>
        <w:footnoteReference w:id="135"/>
      </w:r>
    </w:p>
    <w:p>
      <w:pPr>
        <w:pStyle w:val="Heading3"/>
        <w:numPr>
          <w:ilvl w:val="2"/>
          <w:numId w:val="1"/>
        </w:numPr>
        <w:rPr/>
      </w:pPr>
      <w:bookmarkStart w:id="123" w:name="__RefHeading___Toc4440439_211673320"/>
      <w:bookmarkStart w:id="124" w:name="_Toc44"/>
      <w:bookmarkEnd w:id="123"/>
      <w:r>
        <w:rPr>
          <w:rtl w:val="true"/>
        </w:rPr>
        <w:t>د</w:t>
      </w:r>
      <w:r>
        <w:rPr>
          <w:rtl w:val="true"/>
        </w:rPr>
        <w:t xml:space="preserve">- </w:t>
      </w:r>
      <w:r>
        <w:rPr>
          <w:rtl w:val="true"/>
        </w:rPr>
        <w:t>أثر صلة الرحم</w:t>
      </w:r>
      <w:r>
        <w:rPr>
          <w:rtl w:val="true"/>
        </w:rPr>
        <w:t>:</w:t>
      </w:r>
      <w:bookmarkEnd w:id="124"/>
    </w:p>
    <w:p>
      <w:pPr>
        <w:pStyle w:val="BookText"/>
        <w:rPr/>
      </w:pPr>
      <w:r>
        <w:rPr>
          <w:rFonts w:ascii="Amiri" w:hAnsi="Amiri" w:eastAsia="Amiri" w:cs="Amiri"/>
          <w:color w:val="111111"/>
          <w:sz w:val="28"/>
          <w:sz w:val="28"/>
          <w:szCs w:val="28"/>
          <w:rtl w:val="true"/>
          <w:lang w:bidi="ar-SA"/>
        </w:rPr>
        <w:t>روى الكليني عن أبي الحسن الرضا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الرجل يصل رحمه فيكون قد بقي من عمره ثلاث سنين فيصيّرها اللَّه ثلاثين سنة ويفعل اللَّه ما يشاء</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الأرحام تزكي الأعمال، وتنمي الأموال وتدفع البلوى، وتيسّر الحساب، وتنسئ في الآجال</w:t>
      </w:r>
      <w:r>
        <w:rPr>
          <w:rFonts w:eastAsia="Amiri" w:cs="Amiri" w:ascii="Amiri" w:hAnsi="Amiri"/>
          <w:color w:val="111111"/>
          <w:sz w:val="28"/>
          <w:szCs w:val="28"/>
          <w:rtl w:val="true"/>
          <w:lang w:bidi="ar-SA"/>
        </w:rPr>
        <w:t>»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ومن طرق العامّة وردت روايات متعددة في هذا المنحى، نكتفي منها بما رواه السيوطي في الدر المنثور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رسول اللَّه صلَّى اللَّه عليه و آله و سلَّم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لأقرّن عينيك بتفسيرها ولأقرّن عين أُمّتي بعدي بتفسيرها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الصدقة على وجهها، وبرّ الوالدين، واصطناع المعروف يحوّل الشقاء سعادة، ويزيد في العمر، ويقي مصارع السوء</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أنّ للأعمال الصالحة أثراً في المصير وحسن العاقبة، وشمول الرحمة وزيادة العمر وسعة الرزق، كذلك الأعمال الطالحة والسيئات لها من التأثير المعاكس الذي لا يخفى على أحد في مسيرة حياة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من الآيات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قَرْيَةً كَانَتْ آمِنَةً مُطْمَئِنَّةً يَأْتِيها رِزْقُها رَغَداً مِن كُلِّ مَكَانٍ فَكَفَرتْ بِأَنْعُمِ اللَّهِ فَأَذَاقَها اللَّهُ لِباسَ الجُوعِ والخَوفِ بِمَا كانُوا يَصْنَعُونَ</w:t>
      </w:r>
      <w:r>
        <w:rPr>
          <w:rFonts w:eastAsia="Amiri" w:cs="Amiri" w:ascii="Amiri" w:hAnsi="Amiri"/>
          <w:color w:val="111111"/>
          <w:sz w:val="28"/>
          <w:szCs w:val="28"/>
          <w:rtl w:val="true"/>
          <w:lang w:bidi="ar-SA"/>
        </w:rPr>
        <w:t>)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 وَأَنَّ اللَّهَ سَمِيعٌ عَلِيمٌ</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أَخَذْنَا آلَ فِرْعَوْنَ بِالسِّنِينَ وَنَقْصٍ مِنَ الثَّمَراتِ لَعَلَّهُمْ يَذَّكَّرُونَ</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الروايات في ذلك فحدّث عنها ولاحرج منها ما روي عن أمير المؤمنين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عندما قال 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الذنوب التي تعجّل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عبد اللَّه بن الكواء اليشكري،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أوَ تكون ذنوب تعجّل الفناء؟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ويلك قطيعة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قطعوا الأرحام جعلت الأموال في أيدي الأشرار</w:t>
      </w:r>
      <w:r>
        <w:rPr>
          <w:rFonts w:eastAsia="Amiri" w:cs="Amiri" w:ascii="Amiri" w:hAnsi="Amiri"/>
          <w:color w:val="111111"/>
          <w:sz w:val="28"/>
          <w:szCs w:val="28"/>
          <w:rtl w:val="true"/>
          <w:lang w:bidi="ar-SA"/>
        </w:rPr>
        <w:t>»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وقد وردت في الآثار الوضعية للأعمال روايات يطول الكلام بنقلها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فلاحظ ما ورد في الزنا من أنّ فيه ست خصال ثلاث منها في الدنيا وثلاث منها في الآخرة، أمّا التي في الدنيا فيذهب بالبهاء ويعجّل الفناء ويقطع الرزق </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ما ورد في ترك الأمر بالمعروف والنهي عن المنكر، مثل ما روي</w:t>
      </w:r>
    </w:p>
    <w:p>
      <w:pPr>
        <w:pStyle w:val="BookText"/>
        <w:rPr/>
      </w:pPr>
      <w:r>
        <w:rPr>
          <w:rFonts w:ascii="Amiri" w:hAnsi="Amiri" w:eastAsia="Amiri" w:cs="Amiri"/>
          <w:color w:val="111111"/>
          <w:sz w:val="28"/>
          <w:sz w:val="28"/>
          <w:szCs w:val="28"/>
          <w:rtl w:val="true"/>
          <w:lang w:bidi="ar-SA"/>
        </w:rPr>
        <w:t>عن أبي الحسن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من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لتأمرُنّ بالمعروف ولتنهنّ عن المنكر، أو لتستعملن عليكم شراركم فيدعو خياركم فلا يستجاب لهم</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لمّا تمادوا في المعاصي ولم ينههم الربّانيون والأحبار نزلت بهم العقوبات</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عن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أُمّتي بخير ما أمروا بالمعروف ونهوا عن المنكر وتعاونوا على البر، فإذا لم يفعلوا ذلك نزعت منهم البركات، وسلط بعضهم على بعض، ولم بكن لهم ناصر في الأرض ولا في السماء</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إلى غير ذلك من درر الكلمات التي نقلت عن معادنها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تحصل ممّا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علمه سبحانه يعم كل الأشياء ماضيها وحاضرها ومستقبلها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كل يوم هو في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لأفعال العباد تأثيراً في حسن العاقبة وسوئها، ونزول الرحمة والبركة، أو العقاب والنقمة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وقفت على هذه المقدّمات الثلاثة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يقع الكلام في البداء في مقامين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أي‌تغيير المصير بالأعمال الصالحة أو الطالحة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في مقام الاثبات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أي‌الاخبار عن تحقق الشي‌ء علماً بالمقتضى مع خفاء المانع</w:t>
      </w:r>
      <w:r>
        <w:rPr>
          <w:rFonts w:eastAsia="Amiri" w:cs="Amiri" w:ascii="Amiri" w:hAnsi="Amiri"/>
          <w:color w:val="111111"/>
          <w:sz w:val="28"/>
          <w:szCs w:val="28"/>
          <w:rtl w:val="true"/>
          <w:lang w:bidi="ar-SA"/>
        </w:rPr>
        <w:t>.</w:t>
      </w:r>
      <w:bookmarkStart w:id="125" w:name="pg507_2813"/>
    </w:p>
    <w:p>
      <w:pPr>
        <w:pStyle w:val="Heading3"/>
        <w:numPr>
          <w:ilvl w:val="2"/>
          <w:numId w:val="1"/>
        </w:numPr>
        <w:rPr/>
      </w:pPr>
      <w:bookmarkStart w:id="126" w:name="__RefHeading___Toc4440441_211673320"/>
      <w:bookmarkStart w:id="127" w:name="_Toc45"/>
      <w:bookmarkEnd w:id="125"/>
      <w:bookmarkEnd w:id="126"/>
      <w:r>
        <w:rPr>
          <w:rtl w:val="true"/>
        </w:rPr>
        <w:t>البداء في مقام الثبوت‌</w:t>
      </w:r>
      <w:bookmarkEnd w:id="127"/>
    </w:p>
    <w:p>
      <w:pPr>
        <w:pStyle w:val="BookText"/>
        <w:rPr/>
      </w:pPr>
      <w:r>
        <w:rPr>
          <w:rFonts w:ascii="Amiri" w:hAnsi="Amiri" w:eastAsia="Amiri" w:cs="Amiri"/>
          <w:color w:val="111111"/>
          <w:sz w:val="28"/>
          <w:sz w:val="28"/>
          <w:szCs w:val="28"/>
          <w:rtl w:val="true"/>
          <w:lang w:bidi="ar-SA"/>
        </w:rPr>
        <w:t>إنّ حقيقة البداء إنّه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ما اعتقده اليهود والنصارى في حقّه من فراغه عن أمر الخلق والتدبير، والإحياء والإماتة، والتوسيع والتقدير في الرزق، والتعمير والتنقيص، إلى غير ذلك ممّا يرجع إلى الكون والانسان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القائم دائماً بالأمر والتدبير، وهو القيّوم على كلِّ شي‌ء، وكل يوم في شأن، وليست يداه مغلولتان، بل يداه مبسوطتان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ويثبت حسب مشيئته الحكيمة وارادته النافذة، فهو المتجلّي في كلّ زمان بأسمائه الحسنى وصفاته العليا، كالخالقية والرازقية، والإحياء والإماتة، إلى غير ذلك من أسمائه وصفاته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شعب هذا الأمر، هو أنّه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في الرزق والعمر وينقص منهما، وينزل الرحمة والبركة، كما ينزل البلاء والنقمة، حسب مشيئته الحكيمة، النافذة، ولا تصدر عنه الأُمور جزافاً واعتباطاً، بل حسب ما تقتضيها حال العباد من حسن الأفعال وقبحها، وصالح الأعمال وطالحها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يكون الإنسان مكتوباً في الأشقياء، ثمّ يمحى فيكتب من السعداء، أو على العكس بسبب ما يقوم به من أعمال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فالبداء في عالم الثبوت مخالف لزعم اليهود والنصارى المشار إليه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اليَهُودُ يَدُ اللَّهِ مَغْلُولَةٌ غُلَّتْ أَيْدِيِهِمْ وَلُعِنُوا بِمَا قَالُوا بَلْ يَدَاهُ مَبْسُوطَتَانِ يُنفِقُ كَيْفَ يَشَاءُ وَلَيَزِيدَنَّ كَثيراً مِنْهُمْ مَا أُنْزِلَ إِلَيْكَ مِنْ رَبِّكَ طُغْياناً وَكُفْراً</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وقد ردَّ سبحانه تلك العقيدة اليهودية الباطلة في هذه الآية كما هو واضح</w:t>
      </w:r>
      <w:r>
        <w:rPr>
          <w:rFonts w:eastAsia="Amiri" w:cs="Amiri" w:ascii="Amiri" w:hAnsi="Amiri"/>
          <w:color w:val="111111"/>
          <w:sz w:val="28"/>
          <w:szCs w:val="28"/>
          <w:rtl w:val="true"/>
          <w:lang w:bidi="ar-SA"/>
        </w:rPr>
        <w:t>.</w:t>
      </w:r>
      <w:bookmarkStart w:id="128" w:name="pg507_2814"/>
    </w:p>
    <w:p>
      <w:pPr>
        <w:pStyle w:val="BookText"/>
        <w:rPr/>
      </w:pPr>
      <w:bookmarkEnd w:id="128"/>
      <w:r>
        <w:rPr>
          <w:rFonts w:ascii="Amiri" w:hAnsi="Amiri" w:eastAsia="Amiri" w:cs="Amiri"/>
          <w:color w:val="111111"/>
          <w:sz w:val="28"/>
          <w:sz w:val="28"/>
          <w:szCs w:val="28"/>
          <w:rtl w:val="true"/>
          <w:lang w:bidi="ar-SA"/>
        </w:rPr>
        <w:t>ولأجل أنّ يديه سبحانه مبسوطتان، يزيد في الخلق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العمر وينقص منه، حسب مشيئته الحكيمة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فَاطِرِ السَّمواتِ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فِي الخَلْقِ مَا يَشَاءُ إِنَّ اللَّهَ عَلَى كُلِّ شَي‌ءٍ قَديرٌ</w:t>
      </w:r>
      <w:r>
        <w:rPr>
          <w:rFonts w:eastAsia="Amiri" w:cs="Amiri" w:ascii="Amiri" w:hAnsi="Amiri"/>
          <w:color w:val="111111"/>
          <w:sz w:val="28"/>
          <w:szCs w:val="28"/>
          <w:rtl w:val="true"/>
          <w:lang w:bidi="ar-SA"/>
        </w:rPr>
        <w:t>)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تَحْمِلُ مِنْ أُنْثى وَلاتَضَعُ إلَّا بِعِلْمِهِ وَمَا يُعَمَّرُ مِن مُعَمَّرٍ وَلا يُنقَصُ مِنْ عُمُرِهِ إلّا فِي كِتابٍ إِنَّ ذلِكَ عَلَى اللَّهِ يَسِيرٌ</w:t>
      </w:r>
      <w:r>
        <w:rPr>
          <w:rFonts w:eastAsia="Amiri" w:cs="Amiri" w:ascii="Amiri" w:hAnsi="Amiri"/>
          <w:color w:val="111111"/>
          <w:sz w:val="28"/>
          <w:szCs w:val="28"/>
          <w:rtl w:val="true"/>
          <w:lang w:bidi="ar-SA"/>
        </w:rPr>
        <w:t>)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وبناء على ذلك فالبداء بهذا المعنى ممّا يشترك فيه كل المسلمين، على مذاهبهم المختلفة، من دون اختصاص بالشيعة، فليس أحد من المسلمين ينكر أنّه سبحانه كل يوم هو في شأن، وأنّه جلّ وعلا يبدئ ويعيد، ويحيي ويميت، كما أنّه سبحانه يزيد في الرزق والعمر وينقص، إلى غير ذلك حسب المشيئة الحكيمة والمصالح الكامنة في أفعاله</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4440443_211673320"/>
      <w:bookmarkStart w:id="130" w:name="_Toc46"/>
      <w:bookmarkEnd w:id="129"/>
      <w:r>
        <w:rPr>
          <w:rtl w:val="true"/>
        </w:rPr>
        <w:t>البداء في الذكر الحكيم</w:t>
      </w:r>
      <w:r>
        <w:rPr>
          <w:rtl w:val="true"/>
        </w:rPr>
        <w:t>:</w:t>
      </w:r>
      <w:bookmarkEnd w:id="13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من المعارف العليا تجاه ما عرف من اليهود، من سيادة القدر على كل شي‌ء حتى إرادته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بوضوح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امّ الكتاب</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وهذه الآية هي الأصل في البداء في مقام الثبوت ويكفي في إيضاح دلالتها، نقل كلمات المحققين من المفسرين، حتى يقف القارئ على أنّ القول بالبداء بالمعنى الصحيح، مما اصفقت عليه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 عن لفيف من الصحابة والتابعين أنّهم كانوا يدعون اللَّه سبحانه بتغيير المصير واخراجهم من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السعادة مثلًا، كان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وهو يطوف بالكعبة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كنت كتبتني في أهل السعادة فأثبتني فيها، وإن كنت كتبتني على الذنب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فامحني وأثبتني في أهل السعادة فإنّك تمحو ما تشاء وتثبت وعندك امّ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نظير هذا الكلام عن ابن مسعود، وابن عباس، وشقيق وأبي وائل </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وروى عن ابن زيد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يُنزِّلُ على الأنبياء، ويُثبت ما يشاء مما ينزله إلى الأنبياء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امّ الكتاب لايُغيّر ولايُبدَّل</w:t>
      </w:r>
      <w:r>
        <w:rPr>
          <w:rFonts w:eastAsia="Amiri" w:cs="Amiri" w:ascii="Amiri" w:hAnsi="Amiri"/>
          <w:color w:val="111111"/>
          <w:sz w:val="28"/>
          <w:szCs w:val="28"/>
          <w:rtl w:val="true"/>
          <w:lang w:bidi="ar-SA"/>
        </w:rPr>
        <w:t>» .</w:t>
      </w:r>
      <w:r>
        <w:rPr>
          <w:rStyle w:val="FootnoteAnchor"/>
          <w:rtl w:val="true"/>
        </w:rPr>
        <w:footnoteReference w:id="15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ينسخ ما يستصوب نسخه ويثبت بدله ما يرى المصلحة في إثباته أو ينزله غير منسوخ </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الطبرسي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الآية وجوهاً متقاربة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أنّه عامٌّ في كل شي‌ء فيمحو من الرزق ويزيد فيه، ومن الأجل، ويمحو السعادة والشقاوة ويثبتهما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عمربن الخطاب، وابن مسعود وأبي وائل وقتادة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 الكتاب أصل الكتاب الذي أُثبتت فيه الحادثات والكائنات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قلابَة عن ابن مسعود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كنت كتبتني في الأشقياء فامحنى من الأشقياء </w:t>
      </w:r>
      <w:r>
        <w:rPr>
          <w:rFonts w:eastAsia="Amiri" w:cs="Amiri" w:ascii="Amiri" w:hAnsi="Amiri"/>
          <w:color w:val="111111"/>
          <w:sz w:val="28"/>
          <w:szCs w:val="28"/>
          <w:rtl w:val="true"/>
          <w:lang w:bidi="ar-SA"/>
        </w:rPr>
        <w:t>...» .</w:t>
      </w:r>
      <w:r>
        <w:rPr>
          <w:rStyle w:val="FootnoteAnchor"/>
          <w:rtl w:val="true"/>
        </w:rPr>
        <w:footnoteReference w:id="15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هذه الآية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عامة في كل شي‌ء كما يقتضيه ظاهر اللفظ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يمحو من الرزق ويزيد فيه، وكذا القول في الأجل والسعادة والشقاوة والإيمان والكفر وهو مذهب عمر و ابن مسعود، والقائلون بهذا القول كانوا يدعون ويتضرعون إلى اللَّه تعالى في أن يجعلهم سعداء لا أشقياء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التأويل رواه جابر عن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خاصة في بعض الأشقياء دون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تزعمون أنّ المقادير سابقة قد جفَّ بها القلم وليس الأمر بأنف فكيف يستقيم مع هذا المعنى، المحو والإثبات؟</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المحو والإثبات أيضاً مما جف به القلم فلأنّه لايمحو إلّا ما سبق في علمه وقضائه محوه </w:t>
      </w:r>
      <w:r>
        <w:rPr>
          <w:rStyle w:val="FootnoteAnchor"/>
          <w:rtl w:val="true"/>
        </w:rPr>
        <w:footnoteReference w:id="15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القرطبي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القولين وإن المحو والإثبات هل يعمّان جميع الأشياء أو يختصّان ببعضها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لايدرك بالرأي والإجتهاد، وإنّما يؤخذ توقيفاً فإن صحَ فالقول به يجب أن يوقف عنده، وإلّا فتكون الآية عامة في جميع الأشياء وهو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دعاء عمر بن الخطاب في حال الطواف ودعاء عبداللَّه بن مسعود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الصحيحين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يبسط له في رزقهِ ويُنسَأ له في أثره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رحمه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155"/>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قسم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هذه الروايات أنّ الأقدار ينسخ اللَّه ما يشاء منها ويثبت منها ما يشاء، وقد</w:t>
      </w:r>
    </w:p>
    <w:p>
      <w:pPr>
        <w:pStyle w:val="BookText"/>
        <w:rPr/>
      </w:pPr>
      <w:r>
        <w:rPr>
          <w:rFonts w:ascii="Amiri" w:hAnsi="Amiri" w:eastAsia="Amiri" w:cs="Amiri"/>
          <w:color w:val="111111"/>
          <w:sz w:val="28"/>
          <w:sz w:val="28"/>
          <w:szCs w:val="28"/>
          <w:rtl w:val="true"/>
          <w:lang w:bidi="ar-SA"/>
        </w:rPr>
        <w:t>يُستأنس لهذا القول بما رواه الإمام أحمد عن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ليُحْرَمُ الرزقُ بالذنب يصيبه ولايرد القَدَرُ إلّا بالدعاء، ولايزيد في العمر إلّا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كتابان، فكتاب يمحو اللَّه منه ما يشاء ويثبت عنده ما يشاء، وعنده امّ الكتاب </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يعمل الزمان بطاعة اللَّه، ثم يعود لمعصية اللَّه فيموت على ضلالة فهو الذي يمحو، والذي يثبت، الرجل يعمل بمعصية اللَّه تعالى وقد سبق له خير حتى يموت وهو في طاعة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ما نقلناه من الدعاء عن لفيف من الصحابة والتابعين </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الآلوسي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تفسير الآية قسماً من الآثار الواردة حولها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مردويه وابن عساكر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رسول اللَّهصلَّى اللَّه عليه و آله و سلَّم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يمحوا اللَّه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لاقرّنّ عينك بتفسيرها ولاقرّنّ عين أُمّتي بعدي بتفسيرها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على وجهها، وبر الوالدين واصطناع المعروف، محوِّل الشقاء سعادة ويزيد في العمر ويقي مصارع السوء،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الإشكال عن استلزام ذلك، بتغيّر علم اللَّه سبحانه ومن شاء فليرجع </w:t>
      </w:r>
      <w:r>
        <w:rPr>
          <w:rFonts w:eastAsia="Amiri" w:cs="Amiri" w:ascii="Amiri" w:hAnsi="Amiri"/>
          <w:color w:val="111111"/>
          <w:sz w:val="28"/>
          <w:szCs w:val="28"/>
          <w:rtl w:val="true"/>
          <w:lang w:bidi="ar-SA"/>
        </w:rPr>
        <w:t>.</w:t>
      </w:r>
      <w:r>
        <w:rPr>
          <w:rStyle w:val="FootnoteAnchor"/>
          <w:rtl w:val="true"/>
        </w:rPr>
        <w:footnoteReference w:id="15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صديق حسن 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النظم القرآني العموم في كل شي‌ء مما في الكتاب فيمحو ما يشاء محوه من شقاوةٍ أو سعادةٍ أو رزقٍ أو عمرٍ أو خيرٍ أو شرٍّ ويبدل هذا بهذا، ويجعل هذا مكان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عما يفعل وهم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w:t>
      </w:r>
    </w:p>
    <w:p>
      <w:pPr>
        <w:pStyle w:val="BookText"/>
        <w:rPr/>
      </w:pPr>
      <w:r>
        <w:rPr>
          <w:rFonts w:ascii="Amiri" w:hAnsi="Amiri" w:eastAsia="Amiri" w:cs="Amiri"/>
          <w:color w:val="111111"/>
          <w:sz w:val="28"/>
          <w:sz w:val="28"/>
          <w:szCs w:val="28"/>
          <w:rtl w:val="true"/>
          <w:lang w:bidi="ar-SA"/>
        </w:rPr>
        <w:t xml:space="preserve">ذهب عمر بن الخطاب وابن مسعود وابن عباس وأبو وائل وقتادة والضحاك وابن جريح وغيرهم </w:t>
      </w:r>
      <w:r>
        <w:rPr>
          <w:rFonts w:eastAsia="Amiri" w:cs="Amiri" w:ascii="Amiri" w:hAnsi="Amiri"/>
          <w:color w:val="111111"/>
          <w:sz w:val="28"/>
          <w:szCs w:val="28"/>
          <w:rtl w:val="true"/>
          <w:lang w:bidi="ar-SA"/>
        </w:rPr>
        <w:t>... .</w:t>
      </w:r>
      <w:r>
        <w:rPr>
          <w:rStyle w:val="FootnoteAnchor"/>
          <w:rtl w:val="true"/>
        </w:rPr>
        <w:footnoteReference w:id="15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القاسمي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جماعة بظاهر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عامَّة في كل شي‌ء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يقتضيه ظاهر اللفظ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يمحو اللَّه من الرزق ويزيد فيه وكذا القول في الأجل والسعادة والشقاوة والإيمان والكفر </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المراغي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أثر عن أئمة السلف أقوال لاتناقض بل هي داخلة فيما سلف ثم نقل الأقوال بإجمال </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وهذه الجمل والكلم الدرية المضيئة عن الصحابة والتابعين لهم باحسان، والمفسرين تعرب عن الرأي العام بين المسلمين في مجال إمكان تغيير المصير بالأعمال الصالحة والطالحة ومنها الدعاء والسؤال وأنّه ليس كل تقدير حتمياً لايغيّر ولايبدّل وأنّ للَّه سبحانه لوحين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 المحو والإثبات ولوح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لايتطرق التغيير إليه هو الثاني دون الأول، وإنّ القول بسيادة القدر، على اختيار الإنسان في مجال الطاعة والمعصية، قول بالجبر الباطل بالعقل والضرورة، ومحكمات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جنح إليه لزمه القول بلغوية إرسال الرسل وإنزال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ظَنُّ الَّذينَ كَفروا فَويلٌ لِلَّذينَ كَفروا مِنَ النّار</w:t>
      </w:r>
      <w:r>
        <w:rPr>
          <w:rFonts w:eastAsia="Amiri" w:cs="Amiri" w:ascii="Amiri" w:hAnsi="Amiri"/>
          <w:color w:val="111111"/>
          <w:sz w:val="28"/>
          <w:szCs w:val="28"/>
          <w:rtl w:val="true"/>
          <w:lang w:bidi="ar-SA"/>
        </w:rPr>
        <w:t>) .</w:t>
      </w:r>
      <w:r>
        <w:rPr>
          <w:rStyle w:val="FootnoteAnchor"/>
          <w:rtl w:val="true"/>
        </w:rPr>
        <w:footnoteReference w:id="16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أنّه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يداه مبسوطتان، كذلك العبد مختار في أفعاله لا</w:t>
      </w:r>
    </w:p>
    <w:p>
      <w:pPr>
        <w:pStyle w:val="BookText"/>
        <w:rPr/>
      </w:pPr>
      <w:r>
        <w:rPr>
          <w:rFonts w:ascii="Amiri" w:hAnsi="Amiri" w:eastAsia="Amiri" w:cs="Amiri"/>
          <w:color w:val="111111"/>
          <w:sz w:val="28"/>
          <w:sz w:val="28"/>
          <w:szCs w:val="28"/>
          <w:rtl w:val="true"/>
          <w:lang w:bidi="ar-SA"/>
        </w:rPr>
        <w:t xml:space="preserve">مسيّر، وحرٌّ في تصرفاته </w:t>
      </w:r>
      <w:r>
        <w:rPr>
          <w:rStyle w:val="FootnoteAnchor"/>
          <w:rtl w:val="true"/>
        </w:rPr>
        <w:footnoteReference w:id="163"/>
      </w:r>
      <w:r>
        <w:rPr>
          <w:rFonts w:ascii="Amiri" w:hAnsi="Amiri" w:eastAsia="Amiri" w:cs="Amiri"/>
          <w:color w:val="111111"/>
          <w:sz w:val="28"/>
          <w:sz w:val="28"/>
          <w:szCs w:val="28"/>
          <w:rtl w:val="true"/>
          <w:lang w:bidi="ar-SA"/>
        </w:rPr>
        <w:t>لا مجبور، له أن يغيّر مصيره ومقدَّره بحسن فعله، وجودة عمله، ويخرج اسمه من الأشقياء، ويدخله في السعداء، كما أنّ له أن يخرج اسمه من السعداء ويدخله في الأشقياء بسوء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سبحانه كما يمحو ويثبت في التكوين، فيحيي ويميت، كذلك يمحو مصير العبد ويغيّره حسب ما يغيّر العبد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 وعمله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كل ذلك لأجل أنّ يديه مبسوطتان وأنّ العبد حرُّ مختار، قادر على تغيير القضاء، وتبديل القدر، بحسن فعله أو سوئه، كما دلّت عليه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ذلك أي‌محذور ولا مخالفة للعقل ولا الكتاب والسنّة، بل تغيير القضاء بحسن الفعل وتغيير القدر بسوئه، هو أيضاً من قدره وقضائه وسننه التي لا تبديل لها ولا تغيير، فاللَّه سبحانه إذا قدّر لعبده شيئاً وقضى له بأمر، فلم يقدّره ولم يقضه به على وجه القطع والبتِّ، بحيث لا يتغيّر ولا يتبدّل، بل قضى به على وجه خاص، وهو أنّ القضاء والقدر يجري عليه، ما لم يغيّر العبد حاله، فإذا غيّر حاله بحسن فعله أو سوئه، يتغيّر القضاء ويتبدّل القدر، ويخلف قضاء وقدر آخر مكانهما الأوّل، وكل هذه أيضاً قضاء وقدر منه، كما لا يخفى</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 في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التسمية بالمحو والاثبات، والتغيير والتبديل في الكون وفي مصير الانسان، غير أنّ المحو والاثبات في الكون بيد اللَّه سبحانه، يتصرّف فيه حسب مشيئته، ولا دخل لارادة الانسان ولصلاح فعله ولا فساده فيه، وأمّا التغيير في مصير الانسان فيتوقّف تعلّق المشيئة عليه، على كيفية حال العبد وكيفية عمله من حسن أو قبح</w:t>
      </w:r>
      <w:r>
        <w:rPr>
          <w:rFonts w:eastAsia="Amiri" w:cs="Amiri" w:ascii="Amiri" w:hAnsi="Amiri"/>
          <w:color w:val="111111"/>
          <w:sz w:val="28"/>
          <w:szCs w:val="28"/>
          <w:rtl w:val="true"/>
          <w:lang w:bidi="ar-SA"/>
        </w:rPr>
        <w:t>.</w:t>
      </w:r>
      <w:bookmarkStart w:id="131" w:name="pg507_2820"/>
    </w:p>
    <w:p>
      <w:pPr>
        <w:pStyle w:val="Heading3"/>
        <w:numPr>
          <w:ilvl w:val="2"/>
          <w:numId w:val="1"/>
        </w:numPr>
        <w:rPr/>
      </w:pPr>
      <w:bookmarkStart w:id="132" w:name="__RefHeading___Toc4440445_211673320"/>
      <w:bookmarkStart w:id="133" w:name="_Toc47"/>
      <w:bookmarkEnd w:id="131"/>
      <w:bookmarkEnd w:id="132"/>
      <w:r>
        <w:rPr>
          <w:rtl w:val="true"/>
        </w:rPr>
        <w:t>الأثر التربوي للاعتقاد في البداء</w:t>
      </w:r>
      <w:r>
        <w:rPr>
          <w:rtl w:val="true"/>
        </w:rPr>
        <w:t>:</w:t>
      </w:r>
      <w:bookmarkEnd w:id="133"/>
    </w:p>
    <w:p>
      <w:pPr>
        <w:pStyle w:val="BookText"/>
        <w:rPr/>
      </w:pPr>
      <w:r>
        <w:rPr>
          <w:rFonts w:ascii="Amiri" w:hAnsi="Amiri" w:eastAsia="Amiri" w:cs="Amiri"/>
          <w:color w:val="111111"/>
          <w:sz w:val="28"/>
          <w:sz w:val="28"/>
          <w:szCs w:val="28"/>
          <w:rtl w:val="true"/>
          <w:lang w:bidi="ar-SA"/>
        </w:rPr>
        <w:t>الاعتقاد بالمحو والاثبات، وانّ العبد قادر على تغيير مصيره بأفعاله وأعماله، لابد من أن يبعث الرجاء في قلب من يريد أن يتطهّر، وينمي نواة الخير الكامنة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فتشريع البداء، مثل تشريع قبول التوبة، والشفاعة، وتكفير الصغائر بالاجتناب عن الكبائر، كلّها لأجل بعث الرجاء وايقاد نوره في قلوب العصاة والعتاة، حتى لا ييأسوا من روح اللَّه، ولا يتولّوا بتصور أنّهم من الأشقياء وأهل النار قدراً، وانّه لافائدة من السعي والعمل، فلعلم الانسان أنّه سبحانه لم يجفّ قلمه في لوح المحو والاثبات، وله أن يمحو ما يشاء ويثبت ما يشاء، يسعد من يشاء، ويشقى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مشيئته جزافية غير تابعة لضابطة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العبد لو تاب، وعمل بالفرائض، وتمسّك بالعروة الوثقى، فإنّه يخرج من سلك الأشقياء، ويدخل في صنف السعداء،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فإنّ كلّ ما قدر في حقّه من الموت والمرض والفقر والشقاء يمكن تغييره بالدعاء، والصدقة، وصلة الرحم، وإكرام الوالدين، وغير ذلك، فجميع هذا من باب الرحمة الإلهية لأجل بث الأمل في قلب الانسان، وعلى هذا فالاعتقاد بذلك من ضروريات الكتاب وصريح آياته وأخبار الهداة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أنّ البداء من المعارف العليا التي اتّفقت عليه كلمة المسلمين، وإن غفل عن معناه الجمهور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عرفوه لأذعنوا 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باستحالة تعلّق المشيئة بغير ما جرى عليه القلم، ولأجل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مغلولة عن القبض والبسط، والأخذ والإعطاء،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يذهبون إلى أنّ للانسان مصيراً واحداً لايمكن تغييره ولا تبديله، وانّه ينال ما قدّر له من الخير والشر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صح ذلك لبطل الدعاء والتضرّع، ولبطل القول بأنّ للأعمال الصالحة وغير الصالحة ممّا عددناها تأثيراً في تغيير مصير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هذا البيان نتمكن من فهم ما جاء في فضيلة البداء وأهميته في الروايات مثل ما روى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أو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عزّ وجلّ بشي‌ء مثل البداء</w:t>
      </w:r>
      <w:r>
        <w:rPr>
          <w:rFonts w:eastAsia="Amiri" w:cs="Amiri" w:ascii="Amiri" w:hAnsi="Amiri"/>
          <w:color w:val="111111"/>
          <w:sz w:val="28"/>
          <w:szCs w:val="28"/>
          <w:rtl w:val="true"/>
          <w:lang w:bidi="ar-SA"/>
        </w:rPr>
        <w:t>»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وما روى عن هشام بن سالم عن 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عُظِّم اللَّه عزّ وجلّ بمثل البداء</w:t>
      </w:r>
      <w:r>
        <w:rPr>
          <w:rFonts w:eastAsia="Amiri" w:cs="Amiri" w:ascii="Amiri" w:hAnsi="Amiri"/>
          <w:color w:val="111111"/>
          <w:sz w:val="28"/>
          <w:szCs w:val="28"/>
          <w:rtl w:val="true"/>
          <w:lang w:bidi="ar-SA"/>
        </w:rPr>
        <w:t>»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إذ لولا الإقرار بالبداء بهذا المعنى ما عُرف اللَّه حق المعرفة، بل ويبدو سبحانه في نظر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عقيدة بطلان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مكتوف الأيدي، لا يقدر على تغيير ما قدّره، ولا محو ما أثبته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الروايات في هذه المعنى ما روي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الناس ما في القول بالبداء من الأجر ما فتروا من الكلام فيه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w:t>
      </w:r>
      <w:r>
        <w:rPr>
          <w:rStyle w:val="FootnoteAnchor"/>
          <w:rtl w:val="true"/>
        </w:rPr>
        <w:footnoteReference w:id="167"/>
      </w:r>
      <w:r>
        <w:rPr>
          <w:rFonts w:ascii="Amiri" w:hAnsi="Amiri" w:eastAsia="Amiri" w:cs="Amiri"/>
          <w:color w:val="111111"/>
          <w:sz w:val="28"/>
          <w:sz w:val="28"/>
          <w:szCs w:val="28"/>
          <w:rtl w:val="true"/>
          <w:lang w:bidi="ar-SA"/>
        </w:rPr>
        <w:t>لأنّ الاعتقاد بالبداء نظير الاعتقاد بتأثير التوبة والشفاعة يوجب رجوع العبد عن التمادي في الغيِّ والضلالة، والإنابة إلى الصلاح والهداية</w:t>
      </w:r>
      <w:r>
        <w:rPr>
          <w:rFonts w:eastAsia="Amiri" w:cs="Amiri" w:ascii="Amiri" w:hAnsi="Amiri"/>
          <w:color w:val="111111"/>
          <w:sz w:val="28"/>
          <w:szCs w:val="28"/>
          <w:rtl w:val="true"/>
          <w:lang w:bidi="ar-SA"/>
        </w:rPr>
        <w:t>.</w:t>
      </w:r>
      <w:bookmarkStart w:id="134" w:name="pg507_2822"/>
    </w:p>
    <w:p>
      <w:pPr>
        <w:pStyle w:val="Heading3"/>
        <w:numPr>
          <w:ilvl w:val="2"/>
          <w:numId w:val="1"/>
        </w:numPr>
        <w:rPr/>
      </w:pPr>
      <w:bookmarkStart w:id="135" w:name="__RefHeading___Toc4440447_211673320"/>
      <w:bookmarkStart w:id="136" w:name="_Toc48"/>
      <w:bookmarkEnd w:id="134"/>
      <w:bookmarkEnd w:id="135"/>
      <w:r>
        <w:rPr>
          <w:rtl w:val="true"/>
        </w:rPr>
        <w:t>البداء في مقام الإثبات</w:t>
      </w:r>
      <w:r>
        <w:rPr>
          <w:rtl w:val="true"/>
        </w:rPr>
        <w:t>:</w:t>
      </w:r>
      <w:bookmarkEnd w:id="136"/>
    </w:p>
    <w:p>
      <w:pPr>
        <w:pStyle w:val="BookText"/>
        <w:rPr/>
      </w:pPr>
      <w:r>
        <w:rPr>
          <w:rFonts w:ascii="Amiri" w:hAnsi="Amiri" w:eastAsia="Amiri" w:cs="Amiri"/>
          <w:color w:val="111111"/>
          <w:sz w:val="28"/>
          <w:sz w:val="28"/>
          <w:szCs w:val="28"/>
          <w:rtl w:val="true"/>
          <w:lang w:bidi="ar-SA"/>
        </w:rPr>
        <w:t>إذا عرفت ما ذكرنا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البداء في مقام الاثبات هو وقوع التغير في بعض مظاهر علمه سبحانه، فإنّ لعلمه سبحانه مظاهر،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يقبل التغيير، ومنها ما يقبل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اللوح 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لَوْحٍ مَحْفُوظٍ</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في أُمّ الكِتَابِ لَدَيْنَا لَعَليٌّ حَكِيمٌ</w:t>
      </w:r>
      <w:r>
        <w:rPr>
          <w:rFonts w:eastAsia="Amiri" w:cs="Amiri" w:ascii="Amiri" w:hAnsi="Amiri"/>
          <w:color w:val="111111"/>
          <w:sz w:val="28"/>
          <w:szCs w:val="28"/>
          <w:rtl w:val="true"/>
          <w:lang w:bidi="ar-SA"/>
        </w:rPr>
        <w:t>)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 إِنَّ ذلِكَ عَلَى اللَّهِ يَسِيرٌ</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فاللوح المحفوظ وأُمّ الكتاب يمكن التعبير عنه بأنّه ذلك الكتاب الذي كتب فيه ما يصيب الانسان طيلة حياته من بلايا وفتن ونعيم وسرور بشكل لا يمكن أن يتطرق إليها المحو والاثبات قدر شعرة، ولأجل ذلك لو تمكّن الانسان أن يتّصل به، لوقف على الحوادث على ما هي عليه بلا خطأ ولا 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لوح المحو والاثبات الذي أشار إليه سبحانه بقوله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فالأحكام الثابتة فيه</w:t>
      </w:r>
    </w:p>
    <w:p>
      <w:pPr>
        <w:pStyle w:val="BookText"/>
        <w:rPr/>
      </w:pPr>
      <w:r>
        <w:rPr>
          <w:rFonts w:ascii="Amiri" w:hAnsi="Amiri" w:eastAsia="Amiri" w:cs="Amiri"/>
          <w:color w:val="111111"/>
          <w:sz w:val="28"/>
          <w:sz w:val="28"/>
          <w:szCs w:val="28"/>
          <w:rtl w:val="true"/>
          <w:lang w:bidi="ar-SA"/>
        </w:rPr>
        <w:t>أحكام معلّقة على وجود شرطهاأو عدم مانعها، فالتغيّر فيها لأجل اعواز شرطها أو تحقّق مانعها، فمثلًا يمكن أن يكتب فيه الموت نظراً إلى مقتضياته، في الوقت المعين المتّصل بالمقتضيات، إلّا أنّه ربّما يمحى ويؤجل ويكتب بدله توفر الصحّة لفقدان شرط التقدير الأوّل أو طروّ مانع من تأثير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فالتقدير الأوّل يفرض لأجل قياس الحادث إلى مقتضيه، كما أنّ التقدير الثاني يتصوّر بالنسبة إلى جميع أجزاء علّته، فإنّ الشي‌ء إذا قيس إلى مقتضيه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يحتاج الصدور منه إلى وجود شرائط وعدم 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تقدير وجوده، بالنظر إلى مجموع أجزاء علّته التي منها الشرائط وعدم الموانع، ويقدر عدمه لفرض عدم وجود شرائطه، وتحقّق موانعه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يتصل النبيّ أو الولي بلوح المحو والاثبات، فيقف على المقتضي من دون أن يقف على شرطه أو مانعه، فيخبر عن وقوع شي‌ء ما، ولكنّه ربّما لا يتحقّق لأجل عدم تحقّق شرطه أو عدم تحقّق وجود مانعه، وذلك هو البداء في عالم الاثبات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موارد وقوع البداء حسب الاثبات من ثمرات البداء في عالم الثبوت، ولم يرد في الأخبار من هذا القسم من البداء إلّا موارد لا تتجاوز عن عدد الأصابع‌</w:t>
      </w:r>
      <w:r>
        <w:rPr>
          <w:rStyle w:val="FootnoteAnchor"/>
          <w:rtl w:val="true"/>
        </w:rPr>
        <w:footnoteReference w:id="172"/>
      </w:r>
      <w:r>
        <w:rPr>
          <w:rFonts w:ascii="Amiri" w:hAnsi="Amiri" w:eastAsia="Amiri" w:cs="Amiri"/>
          <w:color w:val="111111"/>
          <w:sz w:val="28"/>
          <w:sz w:val="28"/>
          <w:szCs w:val="28"/>
          <w:rtl w:val="true"/>
          <w:lang w:bidi="ar-SA"/>
        </w:rPr>
        <w:t>، نشير إليه بعد الفراغ عمّا ورد في الذكر الحكيم</w:t>
      </w:r>
      <w:r>
        <w:rPr>
          <w:rFonts w:eastAsia="Amiri" w:cs="Amiri" w:ascii="Amiri" w:hAnsi="Amiri"/>
          <w:color w:val="111111"/>
          <w:sz w:val="28"/>
          <w:szCs w:val="28"/>
          <w:rtl w:val="true"/>
          <w:lang w:bidi="ar-SA"/>
        </w:rPr>
        <w:t>.</w:t>
      </w:r>
      <w:bookmarkStart w:id="137" w:name="pg507_2824"/>
    </w:p>
    <w:p>
      <w:pPr>
        <w:pStyle w:val="Heading3"/>
        <w:numPr>
          <w:ilvl w:val="2"/>
          <w:numId w:val="1"/>
        </w:numPr>
        <w:rPr/>
      </w:pPr>
      <w:bookmarkStart w:id="138" w:name="__RefHeading___Toc4440449_211673320"/>
      <w:bookmarkStart w:id="139" w:name="_Toc49"/>
      <w:bookmarkEnd w:id="137"/>
      <w:bookmarkEnd w:id="138"/>
      <w:r>
        <w:rPr>
          <w:rtl w:val="true"/>
        </w:rPr>
        <w:t>تلميحات للبداء في الذكر الحكيم</w:t>
      </w:r>
      <w:r>
        <w:rPr>
          <w:rtl w:val="true"/>
        </w:rPr>
        <w:t>:</w:t>
      </w:r>
      <w:bookmarkEnd w:id="1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فَبَشَّرْنَاهُ بِغُلام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السَّعْيَ قَالَ يَا بُنيَّ إنِّي أَرى فِي المَنَامِ أَنِّي أَذبَحُكَ فَانظر مَاذَا تَرَى قَالَ يَا أَبَتِ افْعَلْ مَا تُؤْمَرُ سَتَجِدُنِي إِنْ شَاءَ اللَّهُ مِنَ الصَّابِرِينَ</w:t>
      </w:r>
      <w:r>
        <w:rPr>
          <w:rFonts w:eastAsia="Amiri" w:cs="Amiri" w:ascii="Amiri" w:hAnsi="Amiri"/>
          <w:color w:val="111111"/>
          <w:sz w:val="28"/>
          <w:szCs w:val="28"/>
          <w:rtl w:val="true"/>
          <w:lang w:bidi="ar-SA"/>
        </w:rPr>
        <w:t>)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أخبر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ولده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بأنّه رأى في المنام أنّه يذبحه، ورؤيا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أقسام الوحي، فكانت رؤياه صادقة حاكية عن حقيقة ثابتة، وهي أمر اللَّه إبراهيم بذبح ولده، وقد تحقّق ذلك الأمر، أي‌أمر اللَّه سبحانه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أَرى فِي المَنَامِ أَنِّي أَذبَحُكَ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بذبح الولد أمر تشريعي كما عرفت وقد 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الحكاية عن تحقّق ذلك في الواقع الخارجي وإنّ إبراهيم سيمتثل ذلك، والحال أنّه لم يتحقّق لفقدان شرطه وهو عدم النسخ، ويحكي عن كلا الأمرين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وفَدَيناهُ بِذَبْحٍ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وعندئذ يطرح هذا السؤال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كيف أخبر خليل الرحمن بشي‌ء من الملاحم والمغيبات، ثمّ لم يتحقّق؟ والجواب عن هذا السؤال يكمن في الأمر الذي أشرنا إليه سابقاً وهو أنّ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وقف على المقتضى فأخبر بالمقتضي، ولكنّه لم يقف على ما هو العلّة التامة، وليس لعلمه هذا مصدر سوى اتصاله بلوح المحو والاثبات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أنذر قومه بأنّهم إن لم يؤمنوا فسوف</w:t>
      </w:r>
    </w:p>
    <w:p>
      <w:pPr>
        <w:pStyle w:val="BookText"/>
        <w:rPr/>
      </w:pPr>
      <w:r>
        <w:rPr>
          <w:rFonts w:ascii="Amiri" w:hAnsi="Amiri" w:eastAsia="Amiri" w:cs="Amiri"/>
          <w:color w:val="111111"/>
          <w:sz w:val="28"/>
          <w:sz w:val="28"/>
          <w:szCs w:val="28"/>
          <w:rtl w:val="true"/>
          <w:lang w:bidi="ar-SA"/>
        </w:rPr>
        <w:t>يصيبهم العذاب إلى ثلاثة أيام‌</w:t>
      </w:r>
      <w:r>
        <w:rPr>
          <w:rStyle w:val="FootnoteAnchor"/>
          <w:rtl w:val="true"/>
        </w:rPr>
        <w:footnoteReference w:id="174"/>
      </w:r>
      <w:r>
        <w:rPr>
          <w:rFonts w:ascii="Amiri" w:hAnsi="Amiri" w:eastAsia="Amiri" w:cs="Amiri"/>
          <w:color w:val="111111"/>
          <w:sz w:val="28"/>
          <w:sz w:val="28"/>
          <w:szCs w:val="28"/>
          <w:rtl w:val="true"/>
          <w:lang w:bidi="ar-SA"/>
        </w:rPr>
        <w:t>وما كان قوله تخرص أو تخويف، بل كان يخبر عن حقيقة يعلم بها، إلّا أنّ هذا الأمر لم يقع كما هو معروف، وفي هذا إشارة واضحة إلى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وقف على المقتضى ولم يقف على المانع وهو أنّ القوم سيتوبون عند رؤية العذاب توبة صادقة يعلمها اللَّه تعالى ترفع عنهم العذاب الذي وعدوا به، وإلى ذلك يشير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كَانَت قَرْيَةٌ آمَنَتْ فَنَفَعَها إِيمانُها إلَّا قَوْمَ يُونُسَ لَمَّا آمَنُوا كَشَفْنَا عَنْهُمْ عَذَابَ الخِزْيِ فِي الحَياةِ الدُّنيا وَمَتَّعْناهُمْ إلى حِين</w:t>
      </w:r>
      <w:r>
        <w:rPr>
          <w:rFonts w:eastAsia="Amiri" w:cs="Amiri" w:ascii="Amiri" w:hAnsi="Amiri"/>
          <w:color w:val="111111"/>
          <w:sz w:val="28"/>
          <w:szCs w:val="28"/>
          <w:rtl w:val="true"/>
          <w:lang w:bidi="ar-SA"/>
        </w:rPr>
        <w:t xml:space="preserve">). </w:t>
      </w:r>
      <w:r>
        <w:rPr>
          <w:rStyle w:val="FootnoteAnchor"/>
        </w:rPr>
        <w:footnoteReference w:id="17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موسى قومه بأنّه سيغيب عنهم ثلاثين ليلة، كما روي عن ابن عباس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وعدني ثلاثين ليلة أن ألقاه وأخلف هارون فيكم، فلمّا فصل موسى إلى ربّه زاده اللَّه عشراً، فكانت فتنتهم في العشر التي زاده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الأمر يشير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وَوَاعدْنا مُوسَى ثَلاثِينَ لَيْلَةً وَأَتْمَمْناها بِعَشْرٍ فَتَمَّ مِيقاتُ رَبِّهِ أَرْبَعِينَ لَيْلَةً وَقَالَ مُوسى لأخيهِ هَارونَ اخْلُفْنِي فِي قَوْمِي وَأَصْلِحْ وَلَا تَتَّبِعْ سَبيلَ المفسِدِينَ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شك أنّ موسى أُطلع على الخبر الأوّل ولم يطلع على نسخه، وإنّ التوقيت سيزيد، ولا مصدر لعلمه إلّا الاتصال بلوح المحو والاثبات</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جملة الأخبار التي تحدَّث بها الذكر الحكيم عن أحداث ووقائع كان النبيون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أخبروا بحتمية وقوعها على حد علمهم، إلّا أنّها لم تتحقّق، وعندها لا مناص من تفسيرها بوقوف أنبياء اللَّه تعالى على المقتضى</w:t>
      </w:r>
    </w:p>
    <w:p>
      <w:pPr>
        <w:pStyle w:val="BookText"/>
        <w:rPr/>
      </w:pPr>
      <w:r>
        <w:rPr>
          <w:rFonts w:ascii="Amiri" w:hAnsi="Amiri" w:eastAsia="Amiri" w:cs="Amiri"/>
          <w:color w:val="111111"/>
          <w:sz w:val="28"/>
          <w:sz w:val="28"/>
          <w:szCs w:val="28"/>
          <w:rtl w:val="true"/>
          <w:lang w:bidi="ar-SA"/>
        </w:rPr>
        <w:t>دون العلّة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يظهر عدم التحقّق يطلق عليه البداء، والمراد به أنّه بدا من اللَّه لنبيّه وللناس ما خفي عليهم، على غرار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وَبَدا لَهُمْ مِنَ اللَّهِ مَا لَمْ يَكُونُوا يَحْتَسِبُونَ</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فالبداء إذا نسب إلى اللَّه سبحانه فهو بداء منه، وإذا نسب إلى الناس فهو بداء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البداء من اللَّه هو اظهار ما خفي على الناس، والبداء من الناس بمعنى ظهور ما خفي لهم، وهذا هو الحق القراح الذي لا يرتاب فيه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في الروايات، فهو بين خمسة أو أزيد بقليل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مرّ بقوم مجلبين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قيل يا روح اللَّه فلانة بنت فلانة تهدى إلى فلان في ليلته هذه،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يجلبون اليوم ويبكون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رسول اللَّه؟ قال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صاحبتهم ميّتة في ليلتها هذه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أصبحوا وجدوها على حالها، ليس بها شي‌ء،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إنّ التي أخبرتنا أمس أنّها ميّتة لم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المسيح دارها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صنعت ليلتك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أصنع شيئاً إلّا وكنت أصنعه في ما مضى، انّه كان يعترينا سائل في كل ليلة جمعة فَنُنيله ما يقوته إلى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المسيح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تنحّ عن مجلسك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تحت ثيابها أفعى مثل جذعة، عاضّ على ذنبه،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صنعتِ، صُرِفَ عنكِ هذا</w:t>
      </w:r>
      <w:r>
        <w:rPr>
          <w:rFonts w:eastAsia="Amiri" w:cs="Amiri" w:ascii="Amiri" w:hAnsi="Amiri"/>
          <w:color w:val="111111"/>
          <w:sz w:val="28"/>
          <w:szCs w:val="28"/>
          <w:rtl w:val="true"/>
          <w:lang w:bidi="ar-SA"/>
        </w:rPr>
        <w:t>» .</w:t>
      </w:r>
      <w:r>
        <w:rPr>
          <w:rStyle w:val="FootnoteAnchor"/>
          <w:rtl w:val="true"/>
        </w:rPr>
        <w:footnoteReference w:id="17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عن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يهودي بالنبي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سلّم عليك بالموت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اليهودي يعضّه أسود في قفاه فيقتله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اليهودي فاحتطب حطباً كثيراً فاحتمله، ثمّ لم يلبث أن انصرف، فقال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 فوضع الحطب فإذا أسود في جوف الحطب عاضّ على 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ما عملت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عملًا إلّا حطبي هذا حملته فجئت به وكان معي كعكتان، فأكلت واحدة وتصدّقت بواحدة على مسكين،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دفع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تدفع ميتة السوء عن الانسان</w:t>
      </w:r>
      <w:r>
        <w:rPr>
          <w:rFonts w:eastAsia="Amiri" w:cs="Amiri" w:ascii="Amiri" w:hAnsi="Amiri"/>
          <w:color w:val="111111"/>
          <w:sz w:val="28"/>
          <w:szCs w:val="28"/>
          <w:rtl w:val="true"/>
          <w:lang w:bidi="ar-SA"/>
        </w:rPr>
        <w:t>»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ولا يمكن لأحدٍ تفسير مضامين الآيات الماضية وهذين الحديثين إلّا عن طريق البداء بالمعنى الذي تعرّفت عليه، وهو اتّصال النبي بلوح المحو والاثبات والوقوف على المقتضى والإخبار بمقتضاه دون الوقوف على العلّة التامة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عن الإمام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عرض على آدم أسماء الأنبياء وأعمارهم، فمرّ ب‌آدم اسم داود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فإذا عمره في العالم أربعون سنة،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أقل عمر داود وما أكثر عمري، يا ربّ إنّي أنا زدت داود من عمري ثلاثين سنة أتثبت ذلك له؟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آدم،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زدته من عمري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فأثبت اللَّه عزّ وجلّ لداود في عمره ثلاثين سنة</w:t>
      </w:r>
      <w:r>
        <w:rPr>
          <w:rFonts w:eastAsia="Amiri" w:cs="Amiri" w:ascii="Amiri" w:hAnsi="Amiri"/>
          <w:color w:val="111111"/>
          <w:sz w:val="28"/>
          <w:szCs w:val="28"/>
          <w:rtl w:val="true"/>
          <w:lang w:bidi="ar-SA"/>
        </w:rPr>
        <w:t>» .</w:t>
      </w:r>
      <w:r>
        <w:rPr>
          <w:rStyle w:val="FootnoteAnchor"/>
          <w:rtl w:val="true"/>
        </w:rPr>
        <w:footnoteReference w:id="17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ترى أنّه سبحانه أثبت شيئاً، ثمّ محاه بدعاء نبيه، وهذا هو المراد من</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أخبر نبي اللَّه عن عمر داود بأربعين سنة لم يكن كاذباً في إخباره، لأنّه وقف على الاثبات الأوّل ولم يقف على محوه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تعالى إلى نبي من أنبيائه أن يخبر أحد ملوك عصره بأنّه تعالى متوفّيه يوم كذا، فما كان من ذلك الملك إلّا أن رفع يديه بالدعاء إلى اللَّه تعالى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أخّرني حتّى يشبَّ طفلي وأقضي أمري، فأوحى اللَّه عزّ وجلّ إلى ذلك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ائت فلاناً الملك وأخبره انّي قد زدت في عمره خمس عشرة سنة </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عمرو بن الحمق،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حين ضرب على قرنه،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عمرو إنّي مفارقكم،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سبعين فيها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بعد البلاء رخاء؟ فلم يجبني وأُغمي عليه، فبكت أُمّ كلثوم فأفاق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السبعين بلاء، فهل بعد السبعين رخاء؟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يا عمرو إنّ بعد البلاء رخاء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هذه جملة ما ورد في البداء في مقام الاثبات، وإن شئت قلت في ثمرات البداء في الثبوت، ولا تجد في الأحاديث الشيعية بداء غير ما ذكرنا، ولو عثر المتتبع على مورد، فهو نظير ما سبق من الموارد، والتحليل في الجميع واحد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وقفت على ذلك تدرك بوضوح ضعف مقالة الرازي التي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أئمّة الرافضة وضعوا مقالتين لشيعتهم، لا يظهر معهما أحد عليهم</w:t>
      </w:r>
      <w:r>
        <w:rPr>
          <w:rFonts w:eastAsia="Amiri" w:cs="Amiri" w:ascii="Amiri" w:hAnsi="Amiri"/>
          <w:color w:val="111111"/>
          <w:sz w:val="28"/>
          <w:szCs w:val="28"/>
          <w:rtl w:val="true"/>
          <w:lang w:bidi="ar-SA"/>
        </w:rPr>
        <w:t>:</w:t>
      </w:r>
      <w:bookmarkStart w:id="140" w:name="pg507_2829"/>
    </w:p>
    <w:p>
      <w:pPr>
        <w:pStyle w:val="BookText"/>
        <w:rPr/>
      </w:pPr>
      <w:bookmarkEnd w:id="140"/>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بالبداء،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سيكون لهم قوّة وشوكة، ثمّ لا يكون الأمر على ما أخبروا،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للَّه فيه </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إنّ الذي نقله أئمّة الشيعة هو ما تعرّفت عليه من الروايات، وليس فيها شي‌ء مما نسبه الرازي إليهم، فقد نقلوا قصّة رسول اللَّه مع اليهودي، وقصة المسيح مع العروس، كما نقلوا قصة عمر داود وعمر الملك، فهل يجد القارئ المنصف شيئاً مما ذكره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رواه عمرو بن الحمق فإنّما هو خبر واحد ذيّل كلامه بالآية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ليس خبراً قطعياً وأنّه في مظان المحو والاثبات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أفيصح لأجل مثله رمي أئمّة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وضعوا قاعدتين وأنّهم كلّما يقولون سيكون لهم قوّة ثمّ لا يكون، قالوا بدا للَّه تعالى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الرازي في هذا الزعم أبو القاسم البلخي المعتزلي على ما حكاه شيخنا الطوسي في تبيانه </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ثمّ إنّ‌</w:t>
      </w:r>
    </w:p>
    <w:p>
      <w:pPr>
        <w:pStyle w:val="Heading3"/>
        <w:numPr>
          <w:ilvl w:val="2"/>
          <w:numId w:val="1"/>
        </w:numPr>
        <w:rPr/>
      </w:pPr>
      <w:bookmarkStart w:id="141" w:name="__RefHeading___Toc4440451_211673320"/>
      <w:bookmarkStart w:id="142" w:name="_Toc50"/>
      <w:bookmarkEnd w:id="141"/>
      <w:r>
        <w:rPr>
          <w:rtl w:val="true"/>
        </w:rPr>
        <w:t>اكمال البحث يتوقّف على ذكر أُمور</w:t>
      </w:r>
      <w:r>
        <w:rPr>
          <w:rtl w:val="true"/>
        </w:rPr>
        <w:t xml:space="preserve">: </w:t>
      </w:r>
      <w:r>
        <w:rPr>
          <w:rtl w:val="true"/>
        </w:rPr>
        <w:t>الأمر الأوّل</w:t>
      </w:r>
      <w:r>
        <w:rPr>
          <w:rtl w:val="true"/>
        </w:rPr>
        <w:t>:</w:t>
      </w:r>
      <w:bookmarkEnd w:id="14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البداء بالمعنى المذكور يجب أن يكون على وجه لا يستلزم تكذيب الأنبياء ووحيهم، وذلك بأن تدل قرائن على صحّة الإخبار الأوّل كما صحّ الخبر الثاني، وهو ما نراه واضحاً في قصّة يونس وإبراهيم الخليل، فإنّ القوم قد شاهدوا طلائع العذاب فأذعنوا بصحّة خبر يونس، كما أنّ التفدية بذبح</w:t>
      </w:r>
      <w:bookmarkStart w:id="143" w:name="pg507_2830"/>
    </w:p>
    <w:p>
      <w:pPr>
        <w:pStyle w:val="BookText"/>
        <w:rPr/>
      </w:pPr>
      <w:bookmarkEnd w:id="143"/>
      <w:r>
        <w:rPr>
          <w:rFonts w:ascii="Amiri" w:hAnsi="Amiri" w:eastAsia="Amiri" w:cs="Amiri"/>
          <w:color w:val="111111"/>
          <w:sz w:val="28"/>
          <w:sz w:val="28"/>
          <w:szCs w:val="28"/>
          <w:rtl w:val="true"/>
          <w:lang w:bidi="ar-SA"/>
        </w:rPr>
        <w:t>عظيم دلّت على صحّة اخبار الخليل، وهكذا وجود الأفعى تحت الثياب أو في جوف حطب اليهودي يدلّان على صحّة اخبار النبي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يشهد على أنّ الخبر الأوّل كان صحيحاً ومقدّراً، غير أنّ الإنسان يمكن له أن يغيّر مصيره بعمله الصالح أو الطالح كما في غير تلك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وقوع البداء مقروناً بما يدلّ على صحة إخبار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ولا يكون البداء على وجه يعد دليلًا على كذبه، ففيه هذه الموارد دلّت القرائن على أنّ المخبر كان صادقاً في خبره</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4440453_211673320"/>
      <w:bookmarkStart w:id="145" w:name="_Toc51"/>
      <w:bookmarkEnd w:id="144"/>
      <w:r>
        <w:rPr>
          <w:rtl w:val="true"/>
        </w:rPr>
        <w:t>الأمر الثاني</w:t>
      </w:r>
      <w:r>
        <w:rPr>
          <w:rtl w:val="true"/>
        </w:rPr>
        <w:t>:</w:t>
      </w:r>
      <w:bookmarkEnd w:id="14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البداء لا يتحقّق فيما يتعلّق بنظام النبوة والولاية والخاتمية والملاحم الغيبية التي تعدّ شعاراً للشريعة، فإذا أخبر المسيح بمجي‌ء نبي اسمه أحمد، أو أخبر النبي بكونه خاتماً للرسل، أو أنّ الخلافة بعده لوصيّه، أو أنّه يخرج من ولده من يملأ الأرض قسطاً وعدلًا، ونظير ذلك، فلا يتحقّق فيه البداء قطعاً، لأنّ احتمال البداء فيه ناقض للحكمة، وموجب لضلال العباد، ولو كان احتمال هذا الباب مفتوحاً في تلك المسائل الأُصولية لما وجب لأحد أن يقتفي النبي المبشَّر به، ولا يوالي الوصي المنصوص عليه، ولا يتلقى دين الإسلام خاتماً، ولا ظهور المهدي أمراً مقضيّاً، بحجّة أنّه يمكن أن يقع فيه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هذا الباب في المعارف والعقائد والأُصول والسنن الإسلامية مخالف للحكمة وموجب لضلالة الناس وهذا ما يستحيل على اللَّه سبحانه، وإنّما مصبّ البداء هو القضايا الجزئية أو الشخصيّة، كما هو الحال في الأخبار الماضية</w:t>
      </w:r>
      <w:r>
        <w:rPr>
          <w:rFonts w:eastAsia="Amiri" w:cs="Amiri" w:ascii="Amiri" w:hAnsi="Amiri"/>
          <w:color w:val="111111"/>
          <w:sz w:val="28"/>
          <w:szCs w:val="28"/>
          <w:rtl w:val="true"/>
          <w:lang w:bidi="ar-SA"/>
        </w:rPr>
        <w:t>.</w:t>
      </w:r>
      <w:bookmarkStart w:id="146" w:name="pg507_2831"/>
    </w:p>
    <w:p>
      <w:pPr>
        <w:pStyle w:val="Heading3"/>
        <w:numPr>
          <w:ilvl w:val="2"/>
          <w:numId w:val="1"/>
        </w:numPr>
        <w:rPr/>
      </w:pPr>
      <w:bookmarkStart w:id="147" w:name="__RefHeading___Toc4440455_211673320"/>
      <w:bookmarkStart w:id="148" w:name="_Toc52"/>
      <w:bookmarkEnd w:id="146"/>
      <w:bookmarkEnd w:id="147"/>
      <w:r>
        <w:rPr>
          <w:rtl w:val="true"/>
        </w:rPr>
        <w:t>الأمر الثالث</w:t>
      </w:r>
      <w:r>
        <w:rPr>
          <w:rtl w:val="true"/>
        </w:rPr>
        <w:t>:</w:t>
      </w:r>
      <w:bookmarkEnd w:id="148"/>
    </w:p>
    <w:p>
      <w:pPr>
        <w:pStyle w:val="BookText"/>
        <w:rPr/>
      </w:pPr>
      <w:r>
        <w:rPr>
          <w:rFonts w:ascii="Amiri" w:hAnsi="Amiri" w:eastAsia="Amiri" w:cs="Amiri"/>
          <w:color w:val="111111"/>
          <w:sz w:val="28"/>
          <w:sz w:val="28"/>
          <w:szCs w:val="28"/>
          <w:rtl w:val="true"/>
          <w:lang w:bidi="ar-SA"/>
        </w:rPr>
        <w:t>إنّ اطلاق البداء في هذه الموارد، إنّما هو بالمعنى الذي عرفت، وأنّ حقيقته بداء من اللَّه للناس واظهار منه، ولو قيل بدا للَّه، فإنّما هو من باب المشاكلة والمجاز، والقرآن ملي‌ء به، فقد نسب الذكر الحكيم إليه سبحانه المكر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وَمَكَرُوا وَمَكَرَ اللَّهُ واللَّهُ خَيْرُ الماكِرِينَ</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وليست المناقشة في التعبير من دأب المحقّقين، فلو كان أهل السنّة لا يروقهم التعبير عن هذا الأصل بلفظ البداء للَّه، فليغيّروا التعبير ويعبّروا عن هذه الحقيقة الناصعة بتعبير يرضيهم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الشيعة تبعت النبي الأكرم صلَّى اللَّه عليه و آله و سلَّم في هذا المصطلح، وهو أوّل من استعمل تلك اللفظة في حقّه سبحانه، وما يؤكد ذلك هو ما رواه البخاري في كتاب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بدء الخليقة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هذه اللفظة التي يستهجنها البعض ويتهم الشيعة بابتداعها واختلاقها، فقد روى أبو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من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ثلاثة في بني إسرائيل أبرص وأقرع وأعمى بدا للَّه أن يبتليهم، فبعث إليهم ملكاً فأتى الأبرص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أي‌شي‌ء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حسن، وجلد حسن، قد قذرني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فمسحه فذهب عنه فأُعطي لوناً حسناً وجلداً حسناً،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أي‌المال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شك في ذلك أنّ الأبرص والأقرع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فأُعطي ناقة عشراء،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يبارك اللَّه لك فيها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وأتى الأقرع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أي‌شي‌ء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حسن ويذهب</w:t>
      </w:r>
    </w:p>
    <w:p>
      <w:pPr>
        <w:pStyle w:val="BookText"/>
        <w:rPr/>
      </w:pPr>
      <w:r>
        <w:rPr>
          <w:rFonts w:ascii="Amiri" w:hAnsi="Amiri" w:eastAsia="Amiri" w:cs="Amiri"/>
          <w:color w:val="111111"/>
          <w:sz w:val="28"/>
          <w:sz w:val="28"/>
          <w:szCs w:val="28"/>
          <w:rtl w:val="true"/>
          <w:lang w:bidi="ar-SA"/>
        </w:rPr>
        <w:t>عنّي هذا، قد قذرني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فمسحه، فذهب، وأُعطي شعراً حسناً،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المال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بقرة حاملًا،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يبارك 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وأتى الأعمى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أي‌شي‌ء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اللَّه إليّ بصري، فأبصر به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فمسحه فردّ اللَّه إليه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المال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فأعطاه شاة والداً، فأنتج هذان وولّد هذا، فكان لهذا واد من إبل، ولهذا واد من بقر، ولهذا واد من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أتى الأبرص في صورته وهيئته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مسكين تقطّعت بي الحبال في سفري فلا بلاغ اليوم إلّا باللَّه ثمّ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بالذي أعطاك اللون الحسن والجلد الحسن والمال، بعيراً أتبلّغ عليه في سفري،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الحقوق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أعرفك ألم تكن أبرص يقذرك الناس، فقيراً فأعطاك اللَّه؟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ورثت لكابر عن كابر؟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فصيّرك اللَّه إلى ما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وأتى الأقرع في صورته وهيئته فقال له مثل ما قال لهذا، فرد عليه مثلما رد عليه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فصيرك اللَّه إلى ما كنت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وأتى الأعمى في صورته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مسكين وابن سبيل وتقطّعت بي الحبال في سفري فلا بلاغ اليوم إلّا باللَّه، ثمّ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بالذي رد عليك بصرك شاة أتبلّغ بها في سفري،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أعمى فرد اللَّه بصري وفقيراً فقد أغناني، فخذ ما شئت، فو اللَّه لا أجحدك اليوم بشي‌ء أخذته 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امسك مالك فإنّما ابتليتم فقد رضى اللَّه عنك وسخط على صاحبيك‌</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bookmarkStart w:id="149" w:name="pg507_2833"/>
    </w:p>
    <w:p>
      <w:pPr>
        <w:pStyle w:val="BookText"/>
        <w:rPr/>
      </w:pPr>
      <w:bookmarkEnd w:id="1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Heading2"/>
        <w:numPr>
          <w:ilvl w:val="1"/>
          <w:numId w:val="1"/>
        </w:numPr>
        <w:rPr/>
      </w:pPr>
      <w:bookmarkStart w:id="150" w:name="__RefHeading___Toc4440457_211673320"/>
      <w:bookmarkStart w:id="151" w:name="_Toc53"/>
      <w:bookmarkEnd w:id="150"/>
      <w:r>
        <w:rPr>
          <w:rtl w:val="true"/>
        </w:rPr>
        <w:t>المسألة السادسة</w:t>
      </w:r>
      <w:r>
        <w:rPr>
          <w:rtl w:val="true"/>
        </w:rPr>
        <w:t xml:space="preserve">: </w:t>
      </w:r>
      <w:r>
        <w:rPr>
          <w:rtl w:val="true"/>
        </w:rPr>
        <w:t>الرجعة في الكتاب والسنّة</w:t>
      </w:r>
      <w:bookmarkEnd w:id="151"/>
    </w:p>
    <w:p>
      <w:pPr>
        <w:pStyle w:val="Heading3"/>
        <w:numPr>
          <w:ilvl w:val="2"/>
          <w:numId w:val="1"/>
        </w:numPr>
        <w:rPr/>
      </w:pPr>
      <w:bookmarkStart w:id="152" w:name="__RefHeading___Toc4440459_211673320"/>
      <w:bookmarkStart w:id="153" w:name="_Toc54"/>
      <w:bookmarkEnd w:id="152"/>
      <w:r>
        <w:rPr>
          <w:rtl w:val="true"/>
        </w:rPr>
        <w:t>اشارة</w:t>
      </w:r>
      <w:bookmarkEnd w:id="153"/>
    </w:p>
    <w:p>
      <w:pPr>
        <w:pStyle w:val="BookText"/>
        <w:rPr/>
      </w:pPr>
      <w:r>
        <w:rPr>
          <w:rFonts w:ascii="Amiri" w:hAnsi="Amiri" w:eastAsia="Amiri" w:cs="Amiri"/>
          <w:color w:val="111111"/>
          <w:sz w:val="28"/>
          <w:sz w:val="28"/>
          <w:szCs w:val="28"/>
          <w:rtl w:val="true"/>
          <w:lang w:bidi="ar-SA"/>
        </w:rPr>
        <w:t xml:space="preserve">إنّ فكرة الرجعة التي تحدّثت عنها بعض الآيات القرآنية والأحاديث المرويّة عن أهل بيت الرسالة ممّا يشنّع بها على الشيعة، فكأنَّ من قال بها رأى رأياً يوجب الخروج عن الدين، غير أنّ هؤلاء نسوا أو تناسوا أنّ أوّل من أبدى نظرية الرجعة هو الخليفة عمر بن الخطاب، فقد أعلن عندما شاعت رحلة النبيّ الأكرم صلَّى اللَّه عليه و آله و سلَّم بأنّه ما مات وليعودنّ فيقطعنّ أيدي وأرجل أقوام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رسول اللَّه صلَّى اللَّه عليه و آله و سلَّم قام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رجالًا من المنافقين يزعمون أنّ رسول اللَّه صلَّى اللَّه عليه و آله و سلَّم توفّي، وانّ رسول اللَّه صلَّى اللَّه عليه و آله و سلَّم واللَّه ما مات، ولكنّه ذهب إلى ربّه كما ذهب موسى بن عمران، فقد غاب عن قومه أربعين ليلة، ثمّ رجع إليهم بعد أن قيل قد مات، واللَّه ليرجعنّ رسول اللَّه صلَّى اللَّه عليه و آله و سلَّم كما رجع موسى، فليقطعنّ أيدي رجال وأرجلهم زعموا أنّ رسول اللَّه صلَّى اللَّه عليه و آله و سلَّم مات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كلام الخليفة لو كان كلاماً حقيقياً لابد أن يُحمل على أنّ النبي ما مات موتاً لا رجوع فيه وإنّما يرجع فيقوم بما أخبر عنه الخليفة، ولو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أراد من نفي موته أنّه ما زال حيّاً فهو خلاف رأي جميع الصحابة الذين اتّفقوا على موته صلَّى اللَّه عليه و آله و سلَّم، ولم يكن موت النبيّ صلَّى اللَّه عليه و آله و سلَّم أمراً يدركه جميع الناس ولا يدركه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الرجعة بمعنى عود جماعة قليلة إلى الحياة الدنيوية قبل يوم القيامة ثمّ موتهم وحشرهم مجدّداً يوم القيامة ليس شيئاً يضاد أُصول الإسلام، وليس فيه انكار لأيّ حكم ضروري، وليس القول برجعتهم إلى الدنيا يلغي بعثهم يوم القيامة، وكيف لا يكون كذلك وقد أخبر سبحانه عن رجوع جماعة إلى الحياة الدنيوية، 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جماعة من بني إسرائيل</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قتيل بني إسرائيل‌</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أُلوف من الناس وبعثهم من جديد</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عزير بعد مائة عام من موته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الموتى على يد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الاعتقاد برجوع بعض الناس إلى الدنيا قبل القيامة أمراً محالا، فما معنى هذه الآيات الصريحة في رجوع جماعة إليها؟</w:t>
      </w:r>
    </w:p>
    <w:p>
      <w:pPr>
        <w:pStyle w:val="BookText"/>
        <w:rPr/>
      </w:pPr>
      <w:r>
        <w:rPr>
          <w:rFonts w:ascii="Amiri" w:hAnsi="Amiri" w:eastAsia="Amiri" w:cs="Amiri"/>
          <w:color w:val="111111"/>
          <w:sz w:val="28"/>
          <w:sz w:val="28"/>
          <w:szCs w:val="28"/>
          <w:rtl w:val="true"/>
          <w:lang w:bidi="ar-SA"/>
        </w:rPr>
        <w:t>ولو كان الرجوع إلى الدنيا على وجه الاطلاق تناسخاً فكيف تفسّر هذه الآيات؟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الاعتقاد بالذكر الحكيم يجرّنا إلى القول بأنّه ليس كل رجوع إلى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الدنيا تناسخاً، وإنّما التناسخ الباطل عبارة عن رجوع الانسان إلى الدنيا عن طريق النطفة والمرور بمراحل التكوّن البشري من جديد ليصير انساناً مرّة أُخرى، وأين هذا من الرجعة وعود الروح إلى البدن الكامل من جميع الجهات من دون أن يكون فيها رجوع من القوّة إلى الفعلية، أو دخول روح في بدن آخر، إنساناً كان أو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اتّفقت الشيعة على بطلان التناسخ وامتناعه، وقد كتبوا فيه مقالات ورسائل يقف عليها من كان له إلمام بكتبهم وعقائدهم، وقد ذكروا أنّ للتناسخ أنواعاً وأقساماً، غير أنّ الرجوع إلى الدنيا من خلال دخول الروح إلى البدن الذي فارقه عند الموت لا يعد تناسخاً، وإنّما هو إحياء للموتى، الذي كان معجزة من معاجز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يدل على أنّه ليس أمام القول بالرجعة عراقيل وموانع، وإنّما هو أمر ممكن لو دلّ عليه الدليل القطعي نأخذ به وإلّا فنتركه في سنبله، والحال أنّ بعض الآيات والروايات تدلّ على أنّه سيتحقق الرجوع إلى هذه الدنيا قبل يوم القيامة لبعض الناس على وجه الاجمال، وأمّا من هم؟</w:t>
      </w:r>
    </w:p>
    <w:p>
      <w:pPr>
        <w:pStyle w:val="BookText"/>
        <w:rPr/>
      </w:pPr>
      <w:r>
        <w:rPr>
          <w:rFonts w:ascii="Amiri" w:hAnsi="Amiri" w:eastAsia="Amiri" w:cs="Amiri"/>
          <w:color w:val="111111"/>
          <w:sz w:val="28"/>
          <w:sz w:val="28"/>
          <w:szCs w:val="28"/>
          <w:rtl w:val="true"/>
          <w:lang w:bidi="ar-SA"/>
        </w:rPr>
        <w:t>وفي أي‌وقت يرجعون؟ ولأيّ غرض يعودون إلى الدنيا؟ فليس هنا مقام بيانها، إنّما نكتفي ببيان بعض الآيات الدالّة على وقوعه قبل البعث، وإليك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نَحْشُرُ مِنْ كُلِّ أُمَّةٍ فَوْجَاً مِمَّنْ يُكَذِّبُ بِ‌آياتِنا فَهُمْ يُوزَعُونَ</w:t>
      </w:r>
      <w:r>
        <w:rPr>
          <w:rFonts w:eastAsia="Amiri" w:cs="Amiri" w:ascii="Amiri" w:hAnsi="Amiri"/>
          <w:color w:val="111111"/>
          <w:sz w:val="28"/>
          <w:szCs w:val="28"/>
          <w:rtl w:val="true"/>
          <w:lang w:bidi="ar-SA"/>
        </w:rPr>
        <w:t>) .</w:t>
      </w:r>
      <w:r>
        <w:rPr>
          <w:rStyle w:val="FootnoteAnchor"/>
          <w:rtl w:val="true"/>
        </w:rPr>
        <w:footnoteReference w:id="19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يشك من أمعن النظر في سياق الآيات وما ذكره المفسّرون حولها، في أنّ الآية الأُولى تتعلّق بالحوادث التي تقع قبل يوم القيامة، وعليه تكون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الآية الثانية مكمّلة لها، وتدل على حشر فوج من كل جماعة قبل يوم القيامة، والحال أنّ الحشر في يوم القيامة يتعلّق بالجميع لا بالبعض،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نُسَيِّرُ الجِبالَ وَتَرى الأرضَ بارِزةً وَحَشَرْناهُمْ فَلَمْ نُغادِرْ مِنْهُمْ أحداً</w:t>
      </w:r>
      <w:r>
        <w:rPr>
          <w:rFonts w:eastAsia="Amiri" w:cs="Amiri" w:ascii="Amiri" w:hAnsi="Amiri"/>
          <w:color w:val="111111"/>
          <w:sz w:val="28"/>
          <w:szCs w:val="28"/>
          <w:rtl w:val="true"/>
          <w:lang w:bidi="ar-SA"/>
        </w:rPr>
        <w:t>)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أفبعد هذا التصريح يمكن تفسير الآية السابقة بيوم البعث والقيامة؟</w:t>
      </w:r>
    </w:p>
    <w:p>
      <w:pPr>
        <w:pStyle w:val="BookText"/>
        <w:rPr/>
      </w:pPr>
      <w:r>
        <w:rPr>
          <w:rFonts w:ascii="Amiri" w:hAnsi="Amiri" w:eastAsia="Amiri" w:cs="Amiri"/>
          <w:color w:val="111111"/>
          <w:sz w:val="28"/>
          <w:sz w:val="28"/>
          <w:szCs w:val="28"/>
          <w:rtl w:val="true"/>
          <w:lang w:bidi="ar-SA"/>
        </w:rPr>
        <w:t>وهذه الآية تعرب عن الرجعة التي تعتقد بها الشيعة في حقّ جماعة خاصّة، وأمّا خصوصياتها فلم يحدّث عنها القرآن الكريم، وجاء التفصيل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سأل المأمون العباسي الإمام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عن الرجعة، فأجابه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حقّ قد كانت في الأُمم السالفة ونطق بها القرآن وقد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هذه الأُمّة كل ما كان في الأُمم السالفة حذو النعل بالنعل والقذّة بالقذّة</w:t>
      </w:r>
      <w:r>
        <w:rPr>
          <w:rFonts w:eastAsia="Amiri" w:cs="Amiri" w:ascii="Amiri" w:hAnsi="Amiri"/>
          <w:color w:val="111111"/>
          <w:sz w:val="28"/>
          <w:szCs w:val="28"/>
          <w:rtl w:val="true"/>
          <w:lang w:bidi="ar-SA"/>
        </w:rPr>
        <w:t>»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وأمّا من هم الراجعون؟ وما هو الهدف من إحيائهم؟ فيرجع فيه إلى الكتب المؤلّفة في هذا الموضوع، واجمال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الراجعين لفيف من المؤمنين ولفيف من الظالمين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المفيد ناقلًا عن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يرجع إلى الدنيا عند قيام القائم مَن محض الإيمان محضاً أو محض الكفر محضاً، وأمّا ما سوى هذين فلا رجوع لهم إلى يوم المآب</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وقال أيضاً في المسائل السروية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والرجعة عندنا تختص بمن محض الإيمان، ومحض الكفر دون ما سوى هذين الفريقين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bookmarkStart w:id="154" w:name="pg507_2837"/>
    </w:p>
    <w:p>
      <w:pPr>
        <w:pStyle w:val="BookText"/>
        <w:rPr/>
      </w:pPr>
      <w:bookmarkEnd w:id="1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وإجمال الجواب عن الثاني ما ذكره السيّد المرتضى،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يعيد عند ظهور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 الشريف قوماً ممّن كان تقدّم موته من شيعته ليفوزوا بثواب نصرته ومعونته ومشاهدة دولته، ويعيد أيضاً قوماً من أعدائه لينتقم منهم</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4440461_211673320"/>
      <w:bookmarkStart w:id="156" w:name="_Toc55"/>
      <w:bookmarkEnd w:id="155"/>
      <w:r>
        <w:rPr>
          <w:rtl w:val="true"/>
        </w:rPr>
        <w:t>ملاحظات جديرة بالانتباه</w:t>
      </w:r>
      <w:r>
        <w:rPr>
          <w:rtl w:val="true"/>
        </w:rPr>
        <w:t>:</w:t>
      </w:r>
      <w:bookmarkEnd w:id="1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الرجعة وإن كانت من مسلّمات عقائد الشيعة، ولكن التشيّع ليس منوطاً بالاعتقاد بها، فمن أنكرها فقد أنكر عقيدة مسلّمة بين أكثر الشيعة، ولكن لم يكن ركناً من أركان التشيّع، ولأجل ذلك نرى أنّ جماعة من الشيعة أوّلوا الأخبار الواردة في الرجعة إلى رجوع الدولة إلى شيعتهم وأخذهم بمجاري الأُمور دون رجوع أعيان الأشخاص، والباعث لهم على هذا التأويل هو عجزهم عن تصحيح القول بها نظراً واستدلالًا، ولكن المحقّقين من الإمامية، أخذوا بظواهرها وبيّنوا عدم لزوم استحالة عقلية على القول بها لعموم قدرة اللَّه على كل مقدور، وأجابوا عن الشبه الواردة عليها، وإلى هذا الاختلاف يشير الشيخ المفيد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واتّفقت الإمامية على رجعة كثير من الأموات إلى الدنيا قبل يوم القيامة وإن كان بينهم في معنى الرجعة اختلاف</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ويشير إلى الاختلاف تلميذه الجليل الشريف المرتضى في المسائل التي وردت عليه من الريّ ومنها حول حقيقة الرجعة،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الذي تذهب إليه الشيعة الإمامية إنّ اللَّه تعالى يعيد عند ظهور المهدي قوماً ممّن كان تقدّم موته من شيعته، وقوماً من أعدائه، وانّ قوماً من الشيعة تأوّلوا الرجعة على أنّ معناها رجوع الدولة والأمر والنهي إلى شيعتهم، من دون رجوع الأشخاص، وإحياء الأموات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يجتمع اعادة الظالمين مع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وحَرامٌ عَلَى قَرْيَةٍ أهْلَكْناها أَنَّهُمْ لا يَرْجِعُونَ</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فإنّ هذه الآية تنفي رجوعهم بتاتاً، وحشر لفيف من الظالمين يخالفها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والاجابة عن السؤال واضحة، فإنّ الآية مختصّة بالظالمين الذين أُهلكوا في هذه الدنيا ورأوا جزاء عملهم فيها، فالآية تحكم بأنّهم لا يرجعون، وأمّا الظالمون الذين رحلوا عن الدنيا بلا مؤاخذة فيرجع لفيف منهم ليروا جزاء عملهم فيها ثمّ يردّون إلى أشدّ العذاب في الآخرة، فالآية تنفي رجوع لفيف من الظالمين الذين ماتوا حتف الأنف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 أَحَدَهُمُ المَوْتُ قَالَ 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 فِيما تَرَكْتُ كَلّا إنّها كَلِمَةٌ هُوَ قائِلها ومِنْ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هو نفي الرجوع إلى الدنيا بعد مجي‌ء الموت لأي‌أحد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والاجابة عنها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كسائر السنن الإلهية الواردة في حقّ الإنسان، فهي تفيد أنّ الموت بطبعه ليس بعده رجوع، وهذا لا ينافي رجوع البعض استثناءً ولمصالح عليا، كما مرّت الآيات الواردة في هذا المضمار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 عود بعض الظالمين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لأجل عقابهم والانتقام منهم، وأين هذا من طلب هؤلاء الكفار الرجوع لأجل تصحيح عملهم والقيام بما تركوه من الصالحات، وردّ هذا الفرع من الرجوع لا يكون دليلًا على نفي النوع الأوّل منه</w:t>
      </w:r>
      <w:r>
        <w:rPr>
          <w:rFonts w:eastAsia="Amiri" w:cs="Amiri" w:ascii="Amiri" w:hAnsi="Amiri"/>
          <w:color w:val="111111"/>
          <w:sz w:val="28"/>
          <w:szCs w:val="28"/>
          <w:rtl w:val="true"/>
          <w:lang w:bidi="ar-SA"/>
        </w:rPr>
        <w:t>.</w:t>
      </w:r>
      <w:bookmarkStart w:id="157" w:name="pg507_2839"/>
    </w:p>
    <w:p>
      <w:pPr>
        <w:pStyle w:val="BookText"/>
        <w:rPr/>
      </w:pPr>
      <w:bookmarkEnd w:id="1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Heading2"/>
        <w:numPr>
          <w:ilvl w:val="1"/>
          <w:numId w:val="1"/>
        </w:numPr>
        <w:rPr/>
      </w:pPr>
      <w:bookmarkStart w:id="158" w:name="__RefHeading___Toc4440463_211673320"/>
      <w:bookmarkStart w:id="159" w:name="_Toc56"/>
      <w:bookmarkEnd w:id="158"/>
      <w:r>
        <w:rPr>
          <w:rtl w:val="true"/>
        </w:rPr>
        <w:t>المسألة السابعة</w:t>
      </w:r>
      <w:r>
        <w:rPr>
          <w:rtl w:val="true"/>
        </w:rPr>
        <w:t xml:space="preserve">: </w:t>
      </w:r>
      <w:r>
        <w:rPr>
          <w:rtl w:val="true"/>
        </w:rPr>
        <w:t>زواج المتعة</w:t>
      </w:r>
      <w:bookmarkEnd w:id="159"/>
    </w:p>
    <w:p>
      <w:pPr>
        <w:pStyle w:val="Heading3"/>
        <w:numPr>
          <w:ilvl w:val="2"/>
          <w:numId w:val="1"/>
        </w:numPr>
        <w:rPr/>
      </w:pPr>
      <w:bookmarkStart w:id="160" w:name="__RefHeading___Toc4440465_211673320"/>
      <w:bookmarkStart w:id="161" w:name="_Toc57"/>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وممّا يشنع به على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بجواز نكاح المتعة، ويعدّون القول بتشريعه أو بعدم نسخه مخالفاً للكتاب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أنّ المسألة فرعية فقهية لا يناسب البحث عنها في كتب تاريخ العقائد، إلّا أنّه لما كانت من شعائر فقه الشيعة، آثرنا أن نبحث عنها في إطار الكتاب والسنّة، على وجه الاجمال، حتى يقف القارئ على أنّ القول بأصل تشريعها وعدم نسخها ممّا يثبته الكتاب والسنّة، وانّ القول بعدم تشريعها بتاتاً أو ادّعاء نسخها يضادّهما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أنّ لفيفاً من الصحابة والتابعين كانوا يفتون بجوازها وعدم نسخها، وإنّما منع عنها عمر بن الخطاب لحافز نفسي أو اجتهاد شخصي لا دليل عليه وليس حجّة على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أبدى بنظيره في متعة الحج في زمن رسول اللَّه صلَّى اللَّه عليه و آله و سلَّم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زواج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عبارة عن تزويج المرأة الحرّة الكاملة نفسها إذا لم يكن بينها وبين الزوج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نسب أو سبب أو رضاع أو احصان أو عدّة أو غير ذلك من الموانع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بمهر مسمّى إلى أجل مسمّى بالرضا والاتّفاق، فإذا انتهى الأجل تبين منه من غير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عليها مع الدخول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يائسة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تعتد عدّة الطلاق إذا كانت ممّن تحيض</w:t>
      </w:r>
      <w:bookmarkStart w:id="162" w:name="pg507_2840"/>
    </w:p>
    <w:p>
      <w:pPr>
        <w:pStyle w:val="BookText"/>
        <w:rPr/>
      </w:pPr>
      <w:bookmarkEnd w:id="1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وإلّا فبخمسة وأربعين يوماً </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وولد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كان أو أُنثى يلحق بالأب ولا يدعى إلّا به، وله من الارث ما أوصانا اللَّه سبحانه به في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يرث من الأُم، وتشمله جميع العمومات الواردة في الآباء والأبناء والأُمّهات، وكذا العمومات الواردة في الاخوة والأخوات والأعمام والعمّات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بها زوجة حقيقة، وولدها ولد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الزواجين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الدائم والمنقطع إلّا أنّه لا توارث هنا ما بين الزوجين، ولا قسمة ولا نفقة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له العزل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الفوارق الجزئية فوارق في الأحكام لا في الماهية، لأنّ الماهية واحدة غير أنّ أحدهما مؤقت والآخر دائم، وانّ الأوّل ينتهي بانتهاء الوقت والآخر ينتهي بالطلاق أو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أجمع أهل القبلة على أنّه سبحانه شرّع هذا النكاح في صدر الإسلام، ولا يشك أحد في أصل مشروعيّته، وانّما وقع الكلام في نسخه أو بقاء 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مشروعيته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وحلائِلُ أبْنائِكُمُ الَّذِينَ مِنْ أصْلابِكُمْ وأنْ تَجْمَعُوا بينَ الأُختَينِ إلَّا ما قَدْ سَلَفَ إنَّ اللَّهَ كانَ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والمُحْصَناتُ مِنَ النِّساءِ إلّا ما مَلَكَتْ أَيْمانُكُمْ كِتابَ اللَّهِ عَلَيكُمْ وَأُحِلَّ لَكُمْ ما وَراءَ ذَلِكُمْ أنْ تَبْتَغُوا بِأَمْوالِكُمْ مُحْصِنِينَ غَيرَ مُسافِحينَ فَما اسْتَمْتَعْتُمْ بِهِ مِنْهُنَّ فَ‌آتُوهُنَّ أُجُورَهُنَّ فَريضةً ولا جُناحَ عَلَيكُمْ فِيما تَراضَيْتُمْ بِهِ مِنْ بَعدِ الفَريضَةِ إنَّ اللَّهَ كانَ عَليماً حَكيماً</w:t>
      </w:r>
      <w:r>
        <w:rPr>
          <w:rFonts w:eastAsia="Amiri" w:cs="Amiri" w:ascii="Amiri" w:hAnsi="Amiri"/>
          <w:color w:val="111111"/>
          <w:sz w:val="28"/>
          <w:szCs w:val="28"/>
          <w:rtl w:val="true"/>
          <w:lang w:bidi="ar-SA"/>
        </w:rPr>
        <w:t>) .</w:t>
      </w:r>
      <w:r>
        <w:rPr>
          <w:rStyle w:val="FootnoteAnchor"/>
          <w:rtl w:val="true"/>
        </w:rPr>
        <w:footnoteReference w:id="201"/>
      </w:r>
    </w:p>
    <w:p>
      <w:pPr>
        <w:pStyle w:val="Heading3"/>
        <w:numPr>
          <w:ilvl w:val="2"/>
          <w:numId w:val="1"/>
        </w:numPr>
        <w:rPr/>
      </w:pPr>
      <w:bookmarkStart w:id="163" w:name="__RefHeading___Toc4440467_211673320"/>
      <w:bookmarkStart w:id="164" w:name="_Toc58"/>
      <w:bookmarkEnd w:id="163"/>
      <w:r>
        <w:rPr>
          <w:rtl w:val="true"/>
        </w:rPr>
        <w:t>والآية ناظرة إلى نكاح المتعة وذلك لوجوه</w:t>
      </w:r>
      <w:r>
        <w:rPr>
          <w:rtl w:val="true"/>
        </w:rPr>
        <w:t>:</w:t>
      </w:r>
      <w:bookmarkEnd w:id="16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5" w:name="__RefHeading___Toc4440469_211673320"/>
      <w:bookmarkStart w:id="166" w:name="_Toc59"/>
      <w:bookmarkEnd w:id="165"/>
      <w:r>
        <w:rPr>
          <w:rtl w:val="true"/>
        </w:rPr>
        <w:t>اشاره</w:t>
      </w:r>
      <w:bookmarkEnd w:id="16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w:t>
      </w:r>
      <w:bookmarkStart w:id="167" w:name="pg507_2842"/>
    </w:p>
    <w:p>
      <w:pPr>
        <w:pStyle w:val="Heading4"/>
        <w:numPr>
          <w:ilvl w:val="3"/>
          <w:numId w:val="1"/>
        </w:numPr>
        <w:rPr/>
      </w:pPr>
      <w:bookmarkStart w:id="168" w:name="__RefHeading___Toc4440471_211673320"/>
      <w:bookmarkStart w:id="169" w:name="_Toc60"/>
      <w:bookmarkEnd w:id="167"/>
      <w:bookmarkEnd w:id="168"/>
      <w:r>
        <w:rPr/>
        <w:t>1</w:t>
      </w:r>
      <w:r>
        <w:rPr>
          <w:rtl w:val="true"/>
        </w:rPr>
        <w:t xml:space="preserve">- </w:t>
      </w:r>
      <w:r>
        <w:rPr>
          <w:rtl w:val="true"/>
        </w:rPr>
        <w:t>الحمل على النكاح الدائم يستلزم التكرار بلا وجه</w:t>
      </w:r>
      <w:r>
        <w:rPr>
          <w:rtl w:val="true"/>
        </w:rPr>
        <w:t>:</w:t>
      </w:r>
      <w:bookmarkEnd w:id="169"/>
    </w:p>
    <w:p>
      <w:pPr>
        <w:pStyle w:val="BookText"/>
        <w:rPr/>
      </w:pPr>
      <w:r>
        <w:rPr>
          <w:rFonts w:ascii="Amiri" w:hAnsi="Amiri" w:eastAsia="Amiri" w:cs="Amiri"/>
          <w:color w:val="111111"/>
          <w:sz w:val="28"/>
          <w:sz w:val="28"/>
          <w:szCs w:val="28"/>
          <w:rtl w:val="true"/>
          <w:lang w:bidi="ar-SA"/>
        </w:rPr>
        <w:t>إنّ هذه السورة، أي‌سورة النساء، تكفّلت ببيان أكثر ما يرجع إلى النساء من الأحكام والحقوق، فذكرت جميع أقسام النكاح في أوائل السورة على نظام خاص، أمّا الدائم فقد أشار إليه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خِفْتُمْ ألَّا تُقْسِطُوا في اليَتامى فَانْكِحُوا ما طَابَ لَكُمْ مِنَ النِّساءِ مَثْنى وَثَلاثَ ورُباعَ وإنْ خِفْتُمْ ألَّا تَعدِلُوا فَواحِدَةً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أحكام المهر فقد جاءت في 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النِّساءَ صَدُقاتِهِنَّ نِحْلَةً فَإنْ طِبْنَ لَكُمْ عَنْ شَي‌ءٍ مِنْهُ نَفْساً فَكُلُوهُ هَنِياً مَريئا</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نكاح الإماء فقد جاء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لَمْ يَسْتَطِعْ مِنْكُمْ طَوْلًا أنْ يَنْكِحَ المُحْصَناتِ المُؤْمِناتِ فَمِنْ ما مَلَكَتْ أَيْمانُكُمْ مِنْ فَتَياتِكُمُ المُؤْمِناتِ واللَّهُ أَعْلَمُ بِإِيمانِكُمْ بَعْضُكُمْ مِنْ بَعْضٍ فَانْكِحُوهُنَّ بِإِذْنِ أهْلِهِنَّ وَآتُوهُنَّ أُجُورَهُنَّ بِالمَعْرُوفِ مُحْصَناتٍ غَيْرَ مُسافِحاتٍ ولا مُتّخِذاتِ أخْدانٍ </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نكاح السيّد لأمته، الذي جاء في قوله سبحانه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فَانْكِحُوهُنَّ بِإِذْنِ أهْلِهِنَّ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الزواج من أمة</w:t>
      </w:r>
      <w:bookmarkStart w:id="170" w:name="pg507_2843"/>
    </w:p>
    <w:p>
      <w:pPr>
        <w:pStyle w:val="BookText"/>
        <w:rPr/>
      </w:pPr>
      <w:bookmarkEnd w:id="170"/>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هنا تم بيان جميع أقسام النكاح فلم يبق إلّا نكاح المتعة، وهو الذي جاء في الآية السابقة، وحمل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الزواج الدائم، وحمل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المهور والصدقات يوجب التكرار بلا وجه، فالناظر في السورة يرى أنّ آياتها تكفّلت ببيان أقسام الزواج على نظام خاص ولا يتحقّق ذلك إلّا بحمل الآية على نكاح المتعة كما هو ظاهرها أيضاً</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4440473_211673320"/>
      <w:bookmarkStart w:id="172" w:name="_Toc61"/>
      <w:bookmarkEnd w:id="171"/>
      <w:r>
        <w:rPr/>
        <w:t>2</w:t>
      </w:r>
      <w:r>
        <w:rPr>
          <w:rtl w:val="true"/>
        </w:rPr>
        <w:t xml:space="preserve">- </w:t>
      </w:r>
      <w:r>
        <w:rPr>
          <w:rtl w:val="true"/>
        </w:rPr>
        <w:t>تعليق دفع الأُجرة على الاستمتاع</w:t>
      </w:r>
      <w:r>
        <w:rPr>
          <w:rtl w:val="true"/>
        </w:rPr>
        <w:t>:</w:t>
      </w:r>
      <w:bookmarkEnd w:id="172"/>
    </w:p>
    <w:p>
      <w:pPr>
        <w:pStyle w:val="BookText"/>
        <w:rPr/>
      </w:pPr>
      <w:r>
        <w:rPr>
          <w:rFonts w:ascii="Amiri" w:hAnsi="Amiri" w:eastAsia="Amiri" w:cs="Amiri"/>
          <w:color w:val="111111"/>
          <w:sz w:val="28"/>
          <w:sz w:val="28"/>
          <w:szCs w:val="28"/>
          <w:rtl w:val="true"/>
          <w:lang w:bidi="ar-SA"/>
        </w:rPr>
        <w:t>إنّ تعليق دفع الأُجرة على الاستمتاع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نكاح المتعة الذي هو زواج مؤقّت لا النكاح الدائم، فإنّ المهر هنا يجب بمجرّد العقد ولا يتنجّز وجوب دفع الكل إلّا بالمس، وأمّا المتعارف فيختلف حسب اختلاف العادات العرفية، فربّما يؤخذ قبل العقد وأُخرى يترك إلى أن يرث أحدهما الآخر</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4440475_211673320"/>
      <w:bookmarkStart w:id="174" w:name="_Toc62"/>
      <w:bookmarkEnd w:id="173"/>
      <w:r>
        <w:rPr/>
        <w:t>3</w:t>
      </w:r>
      <w:r>
        <w:rPr>
          <w:rtl w:val="true"/>
        </w:rPr>
        <w:t xml:space="preserve">- </w:t>
      </w:r>
      <w:r>
        <w:rPr>
          <w:rtl w:val="true"/>
        </w:rPr>
        <w:t>تصريح جماعة من الصحابة على شأن نزولها</w:t>
      </w:r>
      <w:r>
        <w:rPr>
          <w:rtl w:val="true"/>
        </w:rPr>
        <w:t>:</w:t>
      </w:r>
      <w:bookmarkEnd w:id="174"/>
    </w:p>
    <w:p>
      <w:pPr>
        <w:pStyle w:val="BookText"/>
        <w:rPr/>
      </w:pPr>
      <w:r>
        <w:rPr>
          <w:rFonts w:ascii="Amiri" w:hAnsi="Amiri" w:eastAsia="Amiri" w:cs="Amiri"/>
          <w:color w:val="111111"/>
          <w:sz w:val="28"/>
          <w:sz w:val="28"/>
          <w:szCs w:val="28"/>
          <w:rtl w:val="true"/>
          <w:lang w:bidi="ar-SA"/>
        </w:rPr>
        <w:t>ذكرت أُمّة كبيرة من أهل الحديث نزولها فيها، وينتهي نقل هؤلاء إلى أمثال ابن عباس، وأُبي بن كعب، وعبد اللَّه بن مسعود، وجابر بن عبد اللَّه الأنصاري، وحبيب بن أبي ثابت، وسعيد بن جبير، إلى غير ذلك من رجال الحديث الذين لا يمكن اتهامهم بالوضع والجعل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نزولها من المفسّرين والمحدّثين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إمام الحنابلة أحمد بن حنبل في مسنده </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وأبو جعفر الطبري في تفسيره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بكر الجصّاص الحنفي في أحكام القرآن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 بكر البيهقي في السنن الكبرى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ومحمود بن عمر الزمخشري في الكشاف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 بكر بن سعدون القرطبي في تفسير جامع أحكام القرآن</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وفخر الدين الرازي في مفاتيح الغيب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المحدّثين والمفسّرين الذين جاءوا بعد ذلك إلى عصرنا هذا، ولا نطيل الكلام بذكرهم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لأحد أن يتّهم هؤلاء الأعلام بذكر ما لا يتقون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وبملاحظة هذه القرائن لا يكاد يشكّ في ورودها في نكاح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ونزيد الوضوح بياناً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لَكُمْ مَا وَراءَ ذلِكُمْ أنْ تَبْتَغُوا بِأَمْوالِكُمْ مُحْصِنِينَ غَيرَ مُسافِحين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له لفعل مقدّر، أي‌بيّن لكم ما يحلّ ممّا يحرم لأجل أن تبتغوا بأموالكم، وأمّا مفعول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من القرينة وهو النساء أي‌طلبكم النساء، أي‌بيّن الحلال والحرام لغاية ابتغائكم النساء من طريق الحلال لا الحرام</w:t>
      </w:r>
      <w:r>
        <w:rPr>
          <w:rFonts w:eastAsia="Amiri" w:cs="Amiri" w:ascii="Amiri" w:hAnsi="Amiri"/>
          <w:color w:val="111111"/>
          <w:sz w:val="28"/>
          <w:szCs w:val="28"/>
          <w:rtl w:val="true"/>
          <w:lang w:bidi="ar-SA"/>
        </w:rPr>
        <w:t>.</w:t>
      </w:r>
      <w:bookmarkStart w:id="175" w:name="pg507_2845"/>
    </w:p>
    <w:p>
      <w:pPr>
        <w:pStyle w:val="BookText"/>
        <w:rPr/>
      </w:pPr>
      <w:bookmarkEnd w:id="175"/>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محصنين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الاحصان بمعنى العفة وتحصين النفس من الوقوع في الحرام،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مسافحين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مسافح بمعنى الزاني مأخوذ من السفح بمعنى صبّ الماء، والمراد هنا هو الزاني بشهادة قوله سبحانه في الآية المتأخّرة في نكاح الإماء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وآتوهُنَّ أُجُورهنَّ بالمعروف محصنات غير مسافحات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عفائف غير زانيات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شرّع لكم نكاح ما وراء المحرّمات لأجل أن تبتغوا بأموالكم ما يحصنكم ويصون عفّتكم ويصدّكم عن الزنا، وهذا المناط موجود في جميع الأقسام، النكاح الدائم، والمؤقت والزواج بأمة الغير المذكورة في هذه السورة من أوّلها إلى 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الذي يفهمه كلّ انسان من ظواهر الآيات غير أنّ من لا يروقه الأخذ بظاهر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لرواسب نفسية أو بيئية حاول أن يطبق معنى الآية على العقد الدائم، وذكر في المورد</w:t>
      </w:r>
    </w:p>
    <w:p>
      <w:pPr>
        <w:pStyle w:val="Heading3"/>
        <w:numPr>
          <w:ilvl w:val="2"/>
          <w:numId w:val="1"/>
        </w:numPr>
        <w:rPr/>
      </w:pPr>
      <w:bookmarkStart w:id="176" w:name="__RefHeading___Toc4440477_211673320"/>
      <w:bookmarkStart w:id="177" w:name="_Toc63"/>
      <w:bookmarkEnd w:id="176"/>
      <w:r>
        <w:rPr>
          <w:rtl w:val="true"/>
        </w:rPr>
        <w:t>شبهات ضعيفة لا تصمد أمام النقاش نجملها بما يلي</w:t>
      </w:r>
      <w:r>
        <w:rPr>
          <w:rtl w:val="true"/>
        </w:rPr>
        <w:t>:</w:t>
      </w:r>
      <w:bookmarkEnd w:id="177"/>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الهدف من تشريع النكاح هو تكوين الأُسرة وإيجاد النسل، وهو يختصّ بالنكاح الدائم دون المنقطع الذي لا يترتّب عليه إلّا إرضاء القوّة الشهوية وصبّ الماء وسفحه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خلط بين الموضوع والفائدة المترتّبة عليه، وما ذكر إنّما هو من قبيل الحكمة، وليس الحكم دائراً مدارها، لضرورة أنّ النكاح صحيح وإن لم يكن هناك ذلك الغرض، كزواج العقيم واليائسة والصغيرة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أغلب المتزوجين في سن الشباب بالزواج الدائم لا يقصدون إلّا قضاء الوطر واستيفاء الشهوة من طريقها المشروع، ولا يخطر ببالهم طلب النسل أصلًا وإن حصل لهم قهراً، ولا يقدح ذلك في صحّة زواجهم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العجب حصر فائدة المتعة في قضاء الوطر، مع أنّها كالدائم قد يقصد منها النسل والخدمة وتدبير المنزل وتربية الأولاد والارضاع والحضانة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المانعين الذين يتلقّون نكاح المتعة، مخالفاً للحكمة، التي من أجلها شرّع النكاح، نسألهم عن الزوجين اللذين يتزوّجان نكاح دوام، ولكن ينويان الفراق بالطلاق بعد شهرين، فهل هذا نكاح صحيح أو لا؟</w:t>
      </w:r>
    </w:p>
    <w:p>
      <w:pPr>
        <w:pStyle w:val="BookText"/>
        <w:rPr/>
      </w:pPr>
      <w:r>
        <w:rPr>
          <w:rFonts w:ascii="Amiri" w:hAnsi="Amiri" w:eastAsia="Amiri" w:cs="Amiri"/>
          <w:color w:val="111111"/>
          <w:sz w:val="28"/>
          <w:sz w:val="28"/>
          <w:szCs w:val="28"/>
          <w:rtl w:val="true"/>
          <w:lang w:bidi="ar-SA"/>
        </w:rPr>
        <w:t>لا أظن أنّ فقيهاً من فقهاء الإسلام يمنع ذلك إلّا إذا أفتى بغير دليل ولا برهان، وبهذا الشكل يتعين الجزم بأصحّية هذا النكاح، فأي فرق يكون حينئذ بين المتعة وهذا النكاح الدائم سوى أنّ المدّة مذكورة في الأوّل دون الثاني؟</w:t>
      </w:r>
    </w:p>
    <w:p>
      <w:pPr>
        <w:pStyle w:val="BookText"/>
        <w:rPr/>
      </w:pPr>
      <w:r>
        <w:rPr>
          <w:rFonts w:ascii="Amiri" w:hAnsi="Amiri" w:eastAsia="Amiri" w:cs="Amiri"/>
          <w:color w:val="111111"/>
          <w:sz w:val="28"/>
          <w:sz w:val="28"/>
          <w:szCs w:val="28"/>
          <w:rtl w:val="true"/>
          <w:lang w:bidi="ar-SA"/>
        </w:rPr>
        <w:t>يقول صاحب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تشديد علماء السلف والخلف في منع المتعة بنيّة الطلاق، وإن كان الفقهاء يقولون إنّ عقد النكاح يكون صحيحاً إذا نوى الزوج التوقيت، ولم يشترطه في صيغة العقد، ولكن كتمانه إيّاه يعدّ خداعاً وغشّاً وهو أجدر بالبطلان من العقد الذي يشترط فيه التوقيت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نفترض أنّ الزوجين رضيا بالتوقيت لبّاً، حتى لا يكون هناك خداع وغشّ، فهو صحيح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تسويغ النكاح المؤقت ينافي ما تقرّر في القرآن كقوله عزّ وجلّ في صفة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أزواجِهِمْ أوْ مَا مَلَكَتْ أَيْمانُهُمْ فَإنَّهُمْ غَيرُ مَلُومينَ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ابتغى وراء ذلك، هم المتجاوزون ما أحلّه اللَّه</w:t>
      </w:r>
    </w:p>
    <w:p>
      <w:pPr>
        <w:pStyle w:val="BookText"/>
        <w:rPr/>
      </w:pPr>
      <w:r>
        <w:rPr>
          <w:rFonts w:ascii="Amiri" w:hAnsi="Amiri" w:eastAsia="Amiri" w:cs="Amiri"/>
          <w:color w:val="111111"/>
          <w:sz w:val="28"/>
          <w:sz w:val="28"/>
          <w:szCs w:val="28"/>
          <w:rtl w:val="true"/>
          <w:lang w:bidi="ar-SA"/>
        </w:rPr>
        <w:t>لهم إلى ما حرّمه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المتمتّع بها ليست زوجة فيكون لها على الرجل مثل الذي عليها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دعوة بلا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زوجة ولها أحكام، وعدم وجود النفقة والقسمة لا يخرجانها عن الزوجيّة، فإنّ الناشزة زوجة ليست لها النفقة وحقّ القسمة، ومثلها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أن يستدل بعدم وجود الأحكام على نفي الماهية، فإنّ الزوجيّة رابطة بين الزوجين تترتّب عليها جملة من الأحكام وربّما تختص بعض الأحكام ببعض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المتمتّع في النكاح المؤقت لا يقصد الاحصان دون المسافحة، بل يكون قصده مسافحة، فإن كان هناك نوع ما من احصان نفسه ومنعها من التنقّل في دِمنِ الزنا، فإنّه لا يكون فيه شي‌ء ما من احصان المرأة التي تؤجر نفسها كل طائفة من الزمن لرجل فتكون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كرة حُذِفْت بصوالجة فتلقّفها رجل رجل </w:t>
      </w:r>
      <w:r>
        <w:rPr>
          <w:rStyle w:val="FootnoteAnchor"/>
          <w:rtl w:val="true"/>
        </w:rPr>
        <w:footnoteReference w:id="215"/>
      </w:r>
      <w:r>
        <w:rPr>
          <w:rFonts w:ascii="Amiri" w:hAnsi="Amiri" w:eastAsia="Amiri" w:cs="Amiri"/>
          <w:color w:val="111111"/>
          <w:sz w:val="28"/>
          <w:sz w:val="28"/>
          <w:szCs w:val="28"/>
          <w:rtl w:val="true"/>
          <w:lang w:bidi="ar-SA"/>
        </w:rPr>
        <w:t>ويرد على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أين وقف على أنّ الاحصان في النكاح المؤقّت يختص بالرجل دون المرأة، فإنّا إذا افترضنا كون العقد شرعياً، فكل واحد من الطرفين يُحصن نفسه من هذا الطريق، وإلّا فلا محيص عن التنقل في دمن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يصون الفتاة عن البغي أحد الأُمور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الدائم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المؤقّت بالشروط الماضية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كبت الشهوة الجنسية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 ربّما يكون غير ميسور خصوصاً للطالب والطالبة اللذين</w:t>
      </w:r>
    </w:p>
    <w:p>
      <w:pPr>
        <w:pStyle w:val="BookText"/>
        <w:rPr/>
      </w:pPr>
      <w:r>
        <w:rPr>
          <w:rFonts w:ascii="Amiri" w:hAnsi="Amiri" w:eastAsia="Amiri" w:cs="Amiri"/>
          <w:color w:val="111111"/>
          <w:sz w:val="28"/>
          <w:sz w:val="28"/>
          <w:szCs w:val="28"/>
          <w:rtl w:val="true"/>
          <w:lang w:bidi="ar-SA"/>
        </w:rPr>
        <w:t>يعيشان بمنح ورواتب مختصرة يجريها عليهما الوالدان أو الحكومة، وكبت الشهوة الجنسية أمر شاق لا يتحمّله إلّا الأمثل فالأمثل من الشباب والمثلى من النساء، وهم قليلون، فلم يبق إلّا الطريق الثاني، فيحصنان نفسهما عن التنقّل في بيوت الدعارة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الدين الإسلامي هو الدين الخاتم، ونبيّه خاتم الأنبياء، وكتابه خاتم الكتب، وشريعته خاتمة الشرائع، فلا بد أن يضع لكل مشكلة اجتماعية حلولًا شرعية، يصون بها كرامة المؤمن والمؤمنة، وما المشكلة الجنسية عند الرجل والمرأة إلّا إحدى هذه النواحي التي لا يمكن للدين الإسلامي أن يهملها، وعندئذ يطرح هذا السؤال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يفعل هؤلاء الطلبة والطالبات الذين لا يستطيعون القيام بالنكاح الدائم، وتمنعهم كرامتهم ودينهم عن التنقّل في بيوت الدعارة والفساد، والحياة المادية بجمالها تؤجّج نار الشهوة في نفوسهم؟ فمن المستحيل عادة أن يصون نفسه أحد إلّا من عصمه اللَّه، فلم يبق طريق إلّا زواج المتعة، الذي يشكّل الحل الأنجح لتلافي الوقوع في الزنا، وتبقى كلمة الإمام علي بن أبي طالب ترن في الآذان محذّرة من تفاقم هذا الأمر عند إهمال العلاج الذي وصفه المشرّع الحكيم 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نهي عمر عن المتعة لما زنى إلّا شقي أو شقيّة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تشبيه المتعة بما جاء في الشعر فهو يعرب عن جهل الرجل بحقيقة نكاح المتعة وحدودها، فإنّ ما جاء فيه هي المتعة الدورية التي ينسبها الرجل </w:t>
      </w:r>
      <w:r>
        <w:rPr>
          <w:rStyle w:val="FootnoteAnchor"/>
          <w:rtl w:val="true"/>
        </w:rPr>
        <w:footnoteReference w:id="216"/>
      </w:r>
      <w:r>
        <w:rPr>
          <w:rFonts w:ascii="Amiri" w:hAnsi="Amiri" w:eastAsia="Amiri" w:cs="Amiri"/>
          <w:color w:val="111111"/>
          <w:sz w:val="28"/>
          <w:sz w:val="28"/>
          <w:szCs w:val="28"/>
          <w:rtl w:val="true"/>
          <w:lang w:bidi="ar-SA"/>
        </w:rPr>
        <w:t>وغيره إلى الشيعة، وهم براء من هذا الإفك، إذ يجب على المتمتّع بها بعد انتهاء المدّة الاعتداد على ما ذكرنا، فكيف يمكن أن تؤجّر</w:t>
      </w:r>
    </w:p>
    <w:p>
      <w:pPr>
        <w:pStyle w:val="BookText"/>
        <w:rPr/>
      </w:pPr>
      <w:r>
        <w:rPr>
          <w:rFonts w:ascii="Amiri" w:hAnsi="Amiri" w:eastAsia="Amiri" w:cs="Amiri"/>
          <w:color w:val="111111"/>
          <w:sz w:val="28"/>
          <w:sz w:val="28"/>
          <w:szCs w:val="28"/>
          <w:rtl w:val="true"/>
          <w:lang w:bidi="ar-SA"/>
        </w:rPr>
        <w:t>نفسها كل طائفة من الزمن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أجرأهم على الكذب على الشيعة والفرية عليهم، وما مضمون الشعر إلّا جسارة على الوحي والتشريع الإلهي، وقد اتّفقت كلمة المحدّثين والمفسّرين على التشريع، وأنّه لو كان هناك نهي أو نسخ فإنّما هو بعد التشريع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منسوخة بالسنّة، واختلفوا في زمن نسخه إلى أقوال 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أُبيحت ثمّ نهي عنها عام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أُحلّت إلّا في عمرة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مباحة ونهي عنها في عام 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أُبيحت عام أوطاس ثمّ نهي عنها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الأقوال تنفي الثقة بوقوع النسخ، كما أنّ نسخ القرآن بأخبار الآحاد ممنوع جدّاً، وقد صحّ عن عمران بن الحصين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أنزل المتعة وما نسخها ب‌آية أُخرى، وأمرنا رسول اللَّه صلَّى اللَّه عليه و آله و سلَّم بالمتعة وما نهانا عنها، ثمّ قال رجل برأيه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به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الخليفة الثاني لم يدّع النسخ وإنّما أسند التحريف إلى نفسه، ولو كان هناك ناسخ من اللَّه عزّ وجلّ أو من رسوله، لأسند التحريم إليهما، وقد استفاض قول عمر وهو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عهد رسول اللَّه صلَّى اللَّه عليه و آله و سلَّم وأنا أنهى عنهما</w:t>
      </w:r>
    </w:p>
    <w:p>
      <w:pPr>
        <w:pStyle w:val="BookText"/>
        <w:rPr/>
      </w:pPr>
      <w:r>
        <w:rPr>
          <w:rFonts w:ascii="Amiri" w:hAnsi="Amiri" w:eastAsia="Amiri" w:cs="Amiri"/>
          <w:color w:val="111111"/>
          <w:sz w:val="28"/>
          <w:sz w:val="28"/>
          <w:szCs w:val="28"/>
          <w:rtl w:val="true"/>
          <w:lang w:bidi="ar-SA"/>
        </w:rPr>
        <w:t>وأُعاقب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 ومتعة النساء</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نقل متكلّم الأشاعرة في شرحه على شرح التجريد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ثلاث كنّ على عهد رسول اللَّه صلَّى اللَّه عليه و آله و سلَّم، وأنا أنهى عنهنّ، وأُحرمهنّ،</w:t>
      </w:r>
      <w:bookmarkStart w:id="178" w:name="pg507_2850"/>
    </w:p>
    <w:p>
      <w:pPr>
        <w:pStyle w:val="BookText"/>
        <w:rPr/>
      </w:pPr>
      <w:bookmarkEnd w:id="178"/>
      <w:r>
        <w:rPr>
          <w:rFonts w:ascii="Amiri" w:hAnsi="Amiri" w:eastAsia="Amiri" w:cs="Amiri"/>
          <w:color w:val="111111"/>
          <w:sz w:val="28"/>
          <w:sz w:val="28"/>
          <w:szCs w:val="28"/>
          <w:rtl w:val="true"/>
          <w:lang w:bidi="ar-SA"/>
        </w:rPr>
        <w:t>وأُعاقب عليهنّ، متعة النساء، ومتعة الحج، وحيّ على خير العمل</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وقد 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المصرحين بحلّية المتعة وإباحتها في رده على من حاجّه بنهي أبي بكر وعمر لها،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يوشك أن تنزل عليكم حجارة من السماء،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وتقولون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 ابن عمر لمّا سئل عنها، أفتى بالإباحة، فعارضوه بقول أبيه،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رسول اللَّه صلَّى اللَّه عليه و آله و سلَّم أحقّ أن يتّبع أم أمر عمر؟</w:t>
      </w:r>
    </w:p>
    <w:p>
      <w:pPr>
        <w:pStyle w:val="BookText"/>
        <w:rPr/>
      </w:pPr>
      <w:r>
        <w:rPr>
          <w:rFonts w:ascii="Amiri" w:hAnsi="Amiri" w:eastAsia="Amiri" w:cs="Amiri"/>
          <w:color w:val="111111"/>
          <w:sz w:val="28"/>
          <w:sz w:val="28"/>
          <w:szCs w:val="28"/>
          <w:rtl w:val="true"/>
          <w:lang w:bidi="ar-SA"/>
        </w:rPr>
        <w:t>كلّ ذلك يعرب عن أنّه لم يكن هناك نسخ ولا نهي نبوي وإنّما كان تحريماً من جانب الخليفة، وهو في حدّ ذاته يعتبر اجتهاداً قبالة النص الواضح، وهو ما انفك يعلن جملة من الصحابة رفضهم له وعدم اذعانهم لأمره، وإذا كان الخليفة قد اجتهد لأسباب رآها وأفتى على أساسها فكان الأولى بمن لحقوه أن يتنبّهوا لهذا الأمر لا أن يسرفوا في تسويغه دون حجة ولا دليل</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4440479_211673320"/>
      <w:bookmarkStart w:id="180" w:name="_Toc64"/>
      <w:bookmarkEnd w:id="179"/>
      <w:r>
        <w:rPr>
          <w:rtl w:val="true"/>
        </w:rPr>
        <w:t>المنكرون للتحريم</w:t>
      </w:r>
      <w:r>
        <w:rPr>
          <w:rtl w:val="true"/>
        </w:rPr>
        <w:t>:</w:t>
      </w:r>
      <w:bookmarkEnd w:id="180"/>
    </w:p>
    <w:p>
      <w:pPr>
        <w:pStyle w:val="BookText"/>
        <w:rPr/>
      </w:pPr>
      <w:r>
        <w:rPr>
          <w:rFonts w:ascii="Amiri" w:hAnsi="Amiri" w:eastAsia="Amiri" w:cs="Amiri"/>
          <w:color w:val="111111"/>
          <w:sz w:val="28"/>
          <w:sz w:val="28"/>
          <w:szCs w:val="28"/>
          <w:rtl w:val="true"/>
          <w:lang w:bidi="ar-SA"/>
        </w:rPr>
        <w:t>ذكرنا أنّ لفيفاً من وجوه الصحابة والتابعين أنكروا هذا التحريم ولم يقروا به، ومنهم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أمير المؤمنين، في ما أخرجه الطبري بالاسناد إليه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عمر نهى عن المتعة ما زنى إلّا شقيّ</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 أخرج الإمام أحمد من حديث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متعة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كنّا على عهد رسول اللَّه صلَّى اللَّه عليه و آله و سلَّم زانين ولا مسافحين،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ليكوننّ قبل</w:t>
      </w:r>
    </w:p>
    <w:p>
      <w:pPr>
        <w:pStyle w:val="BookText"/>
        <w:rPr/>
      </w:pPr>
      <w:r>
        <w:rPr>
          <w:rFonts w:ascii="Amiri" w:hAnsi="Amiri" w:eastAsia="Amiri" w:cs="Amiri"/>
          <w:color w:val="111111"/>
          <w:sz w:val="28"/>
          <w:sz w:val="28"/>
          <w:szCs w:val="28"/>
          <w:rtl w:val="true"/>
          <w:lang w:bidi="ar-SA"/>
        </w:rPr>
        <w:t>يوم القيامة المسيح الدجّال وكذّابون ثلاثون وأكثر</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روى البخاري عن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نغزو مع رسول اللَّه صلَّى اللَّه عليه و آله و سلَّم وليس لنا شي‌ء، 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نستخصي؟ فنهانا عن ذلك، ثمّ رخّص لنا أن تنكح المرأة بالثوب إلى أجل معيّن، ثمّ قرأ علينا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تُحَرِّمُوا طَيِّباتِ ما أَحَلَّ اللَّهُ لَكُمْ ولا تَعْتَدُوا إنَّ اللَّهَ لا يُحِبُّ المُعْتَدينَ</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22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حصين، أخرج البخاري في صحيحه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 المتعة في كتاب اللَّه ففعلناها مع رسول اللَّه صلَّى اللَّه عليه و آله و سلَّم، ولم ينزل قرآن يحرّمها ولم ينه عنها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برأيه ما شاء</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أحمد في مسنده عن أبي رجاء عن عمران بن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آية المتعة في كتاب اللَّه وعملنا بها مع رسول اللَّه صلَّى اللَّه عليه و آله و سلَّم، فلم تنزل آية تمنعها، ولم ينه عنها النبيّ صلَّى اللَّه عليه و آله و سلَّم حتى مات‌</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الخليفة العباسي المأمون أوشك أن ينادي في أيام حكمه، بتحليل المتعة إلّا أنّه توقّف خوفاً من الفتنة وتفرّق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خلّكان، نقلًا عن محمّد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المأمون في طريق الشام فأمر فنودي بتحليل المتعة، فقال يحيى بن أكثم لي ولأبي العيناء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 غداً إليه فإن رأيتما للقول وجهاً فقولا، وإلّا فاسكتا إلى أن أدخل، 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فدخلنا</w:t>
      </w:r>
    </w:p>
    <w:p>
      <w:pPr>
        <w:pStyle w:val="BookText"/>
        <w:rPr/>
      </w:pPr>
      <w:r>
        <w:rPr>
          <w:rFonts w:ascii="Amiri" w:hAnsi="Amiri" w:eastAsia="Amiri" w:cs="Amiri"/>
          <w:color w:val="111111"/>
          <w:sz w:val="28"/>
          <w:sz w:val="28"/>
          <w:szCs w:val="28"/>
          <w:rtl w:val="true"/>
          <w:lang w:bidi="ar-SA"/>
        </w:rPr>
        <w:t>عليه وهو يستاك ويقول وهو مغتاظ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متعتان كانتا على عهد رسول اللَّه صلَّى اللَّه عليه و آله و سلَّم وعلى عهد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أنهى عنهما، ومن أنت يا جعل حتى تنهى عمّا فعله رسول اللَّه صلَّى اللَّه عليه و آله و سلَّم وأبو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أبو العيناء إلى محمّد ابن منصور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يقول من عمر بن الخطاب نكلّمه نحن؟</w:t>
      </w:r>
    </w:p>
    <w:p>
      <w:pPr>
        <w:pStyle w:val="BookText"/>
        <w:rPr/>
      </w:pPr>
      <w:r>
        <w:rPr>
          <w:rFonts w:ascii="Amiri" w:hAnsi="Amiri" w:eastAsia="Amiri" w:cs="Amiri"/>
          <w:color w:val="111111"/>
          <w:sz w:val="28"/>
          <w:sz w:val="28"/>
          <w:szCs w:val="28"/>
          <w:rtl w:val="true"/>
          <w:lang w:bidi="ar-SA"/>
        </w:rPr>
        <w:t>فأمسكنا، فجاء يحيى بن أكثم فجلس وجلسنا، فقال المأمون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متغيّراً؟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غم يا أمير المؤمنين لما حدث في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حدث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بتحليل 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المتعة 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قلت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اللَّه عزّ وجلّ، وحديث رسول اللَّه صلَّى اللَّه عليه و آله و سلَّم،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أَزْواجِهِمْ أو ما مَلَكَتْ أيْمانُهُمْ فَإنَّهُمْ غَيرُ ملومين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يا أمير المؤمنين زوج المتعة ملك يمين؟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الزوجة التي عند اللَّه ترث وتورث وتلحق الولد ولها شرائطها؟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صار متجاوز هذين من العادين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عزب عن ابن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ممّن يكنّ العداء لآل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المتعة داخلة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عدم الوراثة تخصيص في الحكم، وهو لا ينافي ثبوتها، وكم لها من نظير، فالكافرة لا ترث الزوج المسلم، وبالعكس، كما أنّ القاتلة لا ترث وهكذا العكس، وأمّا الولد فيلحق قطعاً، ونفي اللحوق ناشئ امّا من الجهل بحكمها أو التجاهل به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أقبح كلامه حيث فسّر المتعة بالزنا وقد أصفقت الأُمّة على تحليلها في عصر الرسول صلَّى اللَّه عليه و آله و سلَّم والخليفة الأوّل، أفتحسب ابن أكثم أنّ الرسول صلَّى اللَّه عليه و آله و سلَّم حلّل الزنا ولو مدَّة قصيرة</w:t>
      </w:r>
      <w:r>
        <w:rPr>
          <w:rFonts w:eastAsia="Amiri" w:cs="Amiri" w:ascii="Amiri" w:hAnsi="Amiri"/>
          <w:color w:val="111111"/>
          <w:sz w:val="28"/>
          <w:szCs w:val="28"/>
          <w:rtl w:val="true"/>
          <w:lang w:bidi="ar-SA"/>
        </w:rPr>
        <w:t>.</w:t>
      </w:r>
      <w:bookmarkStart w:id="181" w:name="pg507_2853"/>
    </w:p>
    <w:p>
      <w:pPr>
        <w:pStyle w:val="Heading3"/>
        <w:numPr>
          <w:ilvl w:val="2"/>
          <w:numId w:val="1"/>
        </w:numPr>
        <w:rPr/>
      </w:pPr>
      <w:bookmarkStart w:id="182" w:name="__RefHeading___Toc4440481_211673320"/>
      <w:bookmarkStart w:id="183" w:name="_Toc65"/>
      <w:bookmarkEnd w:id="181"/>
      <w:bookmarkEnd w:id="182"/>
      <w:r>
        <w:rPr>
          <w:rtl w:val="true"/>
        </w:rPr>
        <w:t>كبرت كلمة تخرج من أفواههم</w:t>
      </w:r>
      <w:r>
        <w:rPr>
          <w:rtl w:val="true"/>
        </w:rPr>
        <w:t>:</w:t>
      </w:r>
      <w:bookmarkEnd w:id="183"/>
    </w:p>
    <w:p>
      <w:pPr>
        <w:pStyle w:val="BookText"/>
        <w:rPr/>
      </w:pPr>
      <w:r>
        <w:rPr>
          <w:rFonts w:ascii="Amiri" w:hAnsi="Amiri" w:eastAsia="Amiri" w:cs="Amiri"/>
          <w:color w:val="111111"/>
          <w:sz w:val="28"/>
          <w:sz w:val="28"/>
          <w:szCs w:val="28"/>
          <w:rtl w:val="true"/>
          <w:lang w:bidi="ar-SA"/>
        </w:rPr>
        <w:t>وهناك روايات مأثورة عن الخليفة نفسه، تعرب عن أنّ التحريم كان صميم رأيه، من دون استناد إلى آية أو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مسلم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يأمر بالمتعة، وكان ابن الزبير ينهى عنها، فذكر ذلك لجابر،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 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تمتّعنا مع رسول اللَّه صلَّى اللَّه عليه و آله و سلَّم فلمّا قام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كان يحل لرسوله ما شاء بما شاء، فأتمّوا الحجّ والعمرة وأبتّوا نكاح هذه النساء، فلئِن أُوتي برجل نكح امرأة إلى أجل إلّا رجمته بالحجارة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الإمام أحمد في مسنده عن أبي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الزبير ينهى عن المتعة، وانّ ابن عباس يأمر بها،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 جرى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تمتّعنا مع رسول اللَّه صلَّى اللَّه عليه و آله و سلَّم ومع أبي بكر، فلمّا ولّي عمر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هو القرآن، وإنّ رسول اللَّه صلَّى اللَّه عليه و آله و سلَّم هو الرسول، وإنّهما كانتا متعتان على عهد رسول اللَّه صلَّى اللَّه عليه و آله و سلَّم إحداهما متعة الحج والأُخرى متعة النساء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المأثورات تعرب جملة من الملاحظات نجملها بملاحظتين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المتعة كانت باقية على الحلّ إلى عهد الخليفة عمر بن الخطاب، وبقيت لوقت في أيامه حتى نهى عنها ومنع</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باجتهاده قام بتحريم ما أحلّه الكتاب والسنّة، ومن المعلوم انّ 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صحّت تسميته بالإجتهاد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على نفسه لا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الجهل بفقه الشيعة أدّى بكثير من الكتّاب إلى التقوّل على الشيعة، وخصوصاً في مسألة المتعة التي نحن في صدد الحديث عنها، بجملة منكرة من الآراء والأحكام تدل على جهل مطبق أو خبث سريرة لا يدمغ، ومن هذه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أحكام المتعة عند الشيعة أنّه لا نصيب للولد من ميراث أبيه، وأنّ المتمتَّع بها لا عدّة لها، وانّها تستطيع أن تنتقل من رجل إلى رجل إن شاءت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هذا استقبحوا المتعة واستنكروها وشنَّعوا على من أباحها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خفي الواقع على هؤلاء، وانّ المتعة عند الشيعة كالزواج الدائم لا تتم إلّا بالعقد الدال على قصد الزواج صراحة، وانّ المتمتَّع بها يجب أن تكون خالية من جميع الموانع، وانّ ولدها كالولد من الدائمة من وجوب التوارث، والانفاق وسائر الحقوق المادية، وانّ عليها أن تعتدّ بعد إنتهاء الأجل مع الدخول بها، وإذا مات زوجها وهي في عصمته اعتدّت كالدائمة من غير تفاوت، إلى غير ذلك من الآثار</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الأمر الذي ينبغي الالتفات إليه وإدراكه بوضوح، انّ الشيعة ورغم إدراكهم وإيمانهم بحلّية زواج المتعة وعدم 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يعلنون عنه صراحة ودون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لا يلجأون إلى هذا الزواج إلّا في حدود ضيقة وخاصة، وليس كما يصوّره ويتصوره البعض من كونه ظاهرة متفشية في مجتمعهم وبشكل مستهجن ممجوج</w:t>
      </w:r>
      <w:r>
        <w:rPr>
          <w:rFonts w:eastAsia="Amiri" w:cs="Amiri" w:ascii="Amiri" w:hAnsi="Amiri"/>
          <w:color w:val="111111"/>
          <w:sz w:val="28"/>
          <w:szCs w:val="28"/>
          <w:rtl w:val="true"/>
          <w:lang w:bidi="ar-SA"/>
        </w:rPr>
        <w:t>.</w:t>
      </w:r>
      <w:bookmarkStart w:id="184" w:name="pg507_2856"/>
    </w:p>
    <w:p>
      <w:pPr>
        <w:pStyle w:val="Heading2"/>
        <w:numPr>
          <w:ilvl w:val="1"/>
          <w:numId w:val="1"/>
        </w:numPr>
        <w:rPr/>
      </w:pPr>
      <w:bookmarkStart w:id="185" w:name="__RefHeading___Toc4440483_211673320"/>
      <w:bookmarkStart w:id="186" w:name="_Toc66"/>
      <w:bookmarkEnd w:id="184"/>
      <w:bookmarkEnd w:id="185"/>
      <w:r>
        <w:rPr>
          <w:rtl w:val="true"/>
        </w:rPr>
        <w:t>المسألة الثامنة</w:t>
      </w:r>
      <w:r>
        <w:rPr>
          <w:rtl w:val="true"/>
        </w:rPr>
        <w:t xml:space="preserve">: </w:t>
      </w:r>
      <w:r>
        <w:rPr>
          <w:rtl w:val="true"/>
        </w:rPr>
        <w:t>مسح الأرجل في الوضوء</w:t>
      </w:r>
      <w:bookmarkEnd w:id="18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المسلمون في غسل الرجلين ومسحهما، فذهب الأئمّة الأربعة إلى أنّ الواجب هو الغسل وحده، وقالت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المسح، وقال داود بن علي والناصر للحق من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الجمع بينهما وهو صريح الطبري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مخيّر بينهما</w:t>
      </w:r>
      <w:r>
        <w:rPr>
          <w:rStyle w:val="FootnoteAnchor"/>
          <w:rtl w:val="true"/>
        </w:rPr>
        <w:footnoteReference w:id="230"/>
      </w:r>
      <w:r>
        <w:rPr>
          <w:rFonts w:ascii="Amiri" w:hAnsi="Amiri" w:eastAsia="Amiri" w:cs="Amiri"/>
          <w:color w:val="111111"/>
          <w:sz w:val="28"/>
          <w:sz w:val="28"/>
          <w:szCs w:val="28"/>
          <w:rtl w:val="true"/>
          <w:lang w:bidi="ar-SA"/>
        </w:rPr>
        <w:t xml:space="preserve">وممّا يثير العجب اختلاف المسلمين في هذه المسألة، مع أنّهم رأوا وضوء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هنا فلابد من الجزم بأنّ المسلمين كانوا قد اتّفقوا على فعل واحد، وإلّا فما كان هذا الأمر بخفي،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بتوضيحه، إذن فلا محيص من القول بأنّ الحاضرين في عصر النزول فهموا من الآية معنىً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المسح أو الغسل، ولم يتردّدوا في</w:t>
      </w:r>
    </w:p>
    <w:p>
      <w:pPr>
        <w:pStyle w:val="BookText"/>
        <w:rPr/>
      </w:pPr>
      <w:r>
        <w:rPr>
          <w:rFonts w:ascii="Amiri" w:hAnsi="Amiri" w:eastAsia="Amiri" w:cs="Amiri"/>
          <w:color w:val="111111"/>
          <w:sz w:val="28"/>
          <w:sz w:val="28"/>
          <w:szCs w:val="28"/>
          <w:rtl w:val="true"/>
          <w:lang w:bidi="ar-SA"/>
        </w:rPr>
        <w:t>حكم الرجلين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خفي حكم هذه المسألة بعد رحلة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الأجيال الآتية فلاغرو في أنّ يخفى على المسلمين حكم أكثر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فيها شى‌ء أوثق من كتاب اللَّه فعلينا دراسة ما جاء فيه،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إِذَا قُمْتُمْ إِلَى الصَّلَوةِ فَاغْسِلُواْ وُجُوهَكُمْ وَأَيْدِيَكُمْ إِلَى الْمَرَافِقِ وَامْسَحُواْ بِرُءُوسِكُمْ وَأَرْجُلَكُمْ إِلَى الْكَعْبَيْنِ</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وقد اختلف القرّاء في قراءة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قرأ بالفتح، ومنهم من قرأ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من البعيد أن تكون كلّ من القراءتين موصولة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تجويزهما يضفي على الآية ابهاماً واعضالًا، ويجعل الآية لغزاً، والقران كتاب الهداية والارشاد، وتلك الغاية تطلب لنفسها الوضوح وجلاء البيان، خصوصاً فيما يتعلق بالأعمال والأحكام التي يبتلى بها عامّة المسلمين، ولاتقاس بالمعارف والعقائد التي يختصّ الامعان فيها بالأمثل فالأمثل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فممّن حقّق مفاد الآية وبيّنها الإمام الرازي في تفسيره، ننقل كلامه بتلخيص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من قال بوجوب المسح مبني على القراءتين المشهورتين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ابن كثير وحمزة وأبو عمرو و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أبوبكر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نافع وابن عامر وعاصم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حفص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القراءة بالجرّ تقتضي كون الأرجل معطوفة على الرؤوس فكلما وجب المسح في الرأس، فكذلك في الأرجل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لم لا يجوز أن يكون الجرّ على الجوار؟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كَبيرُ أُناسٍ في بِجادٍ مَزَمّلٍ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الكسر على الجوار معدود من اللحن الذي قد يتحمّل لأجل الضرورة في الشعر، وكلام اللَّه يجب تنزيهه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الكسر على الجوار انّما يصار إليه حيث يحصل الأمن من الالتباس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نعتاً للضبّ بل للجحر، وفي هذه الآية الأمن من الالتباس غير 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الكسر بالجوار إنّما يكون بدون حرف العطف وأمّا مع حرف العطف فلم تتكلّم به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القراءة بالنصب فهي أيضاً توجب المسح، وذلك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 برؤوسكم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النصب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معاوي انّنا بشر فاسجح فلسنا بالجبال ولا الحديدا</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 لابن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بامسحوا لأنّه المفعول به ولكنّها مجرورة لفظاً بالباء، فإذا عطفت الأرجل على الرؤوس جاز في الأرجل النصب عطفاً على محل الرؤوس، وجاز الجر عطفاً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ونزيد بياناً انّه على قراءة النصب يتعيّن العطف على محل برؤوسكم، ولايجوز العطف على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لاستلزامه الفصل بين العاطف والمعطوف عليه بجملة أجنبية وهو غير جائز في المفرد، فضلًا عن الجملة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الذي يعرفه المتدبّر في الذكر الحكيم، ولايسوغ لمسلم أن يعدل عن القرآن إلى غيره، فأذا كان هو المهيمن على جميع الكتب السماوية،</w:t>
      </w:r>
    </w:p>
    <w:p>
      <w:pPr>
        <w:pStyle w:val="BookText"/>
        <w:rPr/>
      </w:pPr>
      <w:r>
        <w:rPr>
          <w:rFonts w:ascii="Amiri" w:hAnsi="Amiri" w:eastAsia="Amiri" w:cs="Amiri"/>
          <w:color w:val="111111"/>
          <w:sz w:val="28"/>
          <w:sz w:val="28"/>
          <w:szCs w:val="28"/>
          <w:rtl w:val="true"/>
          <w:lang w:bidi="ar-SA"/>
        </w:rPr>
        <w:t>فأولى أن يكون مهيمناً على ما في أيدي الناس من الحقّ والباطل، والمأثورات التي الحديث فيها ذو شجون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كونها متضاربة في المقام، فلو ورد فيها الأمر بالغسل، فقد جاء فيها الأمر بالمسح، رواه الطبري عن الصحابة والتابعين نشير إليه على وجه الاجمال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غسلتان ومسحتان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أنس إذا مسح قدميه بلّهما، ولمّا خطب الحجّاج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من ابن آدم أقرب إلى خبثه في قدميه فاغسلوا بطونهما وظهورهما وعراقيبهما،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وكذب الحجّاج،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بِرُءُوسِكُمْ وَأَرْجُلَكُمْ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أنس إذا مسح قدميه بلّهما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الرجلين غسل وإنّما نزل فيهما 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بالمسح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ألاترى انّ التيمّم أن يمسح ما كان غسلًا ويلغى ما كان مسحاً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أن يمسح في التيمّم ما أُمر أن يغسل بالوضوء، وأُبطل ما أُمر أن يمسح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والرجلان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نزل بغسل الرجلين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بالمسح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اللَّه غسلتين و مسحتين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مخفوضة 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مخفوضة 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تقدّم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وهؤلاء من أعلام التابعين وفيهم الصحابيان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وأنس وقد أصفقوا على المسح وقراءة الجر الصريح في تقديم المسح على الغسل، وجمهور أهل السنّة يحتجّون بأقوالهم في مجالات مختلفة فلما ذا أُعرض عنهم في هذا المجال المهم والحساس في عبادة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القول بالمسح هو المنصوص عن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 وهم يسندون المسح إلى النبيّ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ويحكون وضوءه به، قال أبو جعفر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أحكي لكم وضوء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أخذ كفّاً من الماء فصبّها 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رأسه وقديمه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مسح ببقيّة ما بقى في يديه رأسه ورجليه ولم يعدهما في الاناء </w:t>
      </w:r>
      <w:r>
        <w:rPr>
          <w:rStyle w:val="FootnoteAnchor"/>
          <w:rtl w:val="true"/>
        </w:rPr>
        <w:footnoteReference w:id="234"/>
      </w:r>
      <w:r>
        <w:rPr>
          <w:rFonts w:ascii="Amiri" w:hAnsi="Amiri" w:eastAsia="Amiri" w:cs="Amiri"/>
          <w:color w:val="111111"/>
          <w:sz w:val="28"/>
          <w:sz w:val="28"/>
          <w:szCs w:val="28"/>
          <w:rtl w:val="true"/>
          <w:lang w:bidi="ar-SA"/>
        </w:rPr>
        <w:t>وفي ضوء هذه الروايات والمأثورات اتّفقت الشيعة الإمامية على أنّ الوضوء غسلتان ومسحتان، وإلى ذلك يشير السيّد بحرالعلوم في منظومته الموسومة بالدرة النجفيّة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الوضوء غسلتان عندنا</w:t>
      </w:r>
    </w:p>
    <w:p>
      <w:pPr>
        <w:pStyle w:val="BookText"/>
        <w:rPr/>
      </w:pPr>
      <w:r>
        <w:rPr>
          <w:rFonts w:ascii="Amiri" w:hAnsi="Amiri" w:eastAsia="Amiri" w:cs="Amiri"/>
          <w:color w:val="111111"/>
          <w:sz w:val="28"/>
          <w:sz w:val="28"/>
          <w:szCs w:val="28"/>
          <w:rtl w:val="true"/>
          <w:lang w:bidi="ar-SA"/>
        </w:rPr>
        <w:t>ومسحتان والكتاب معنا</w:t>
      </w:r>
    </w:p>
    <w:p>
      <w:pPr>
        <w:pStyle w:val="BookText"/>
        <w:rPr/>
      </w:pPr>
      <w:r>
        <w:rPr>
          <w:rFonts w:ascii="Amiri" w:hAnsi="Amiri" w:eastAsia="Amiri" w:cs="Amiri"/>
          <w:color w:val="111111"/>
          <w:sz w:val="28"/>
          <w:sz w:val="28"/>
          <w:szCs w:val="28"/>
          <w:rtl w:val="true"/>
          <w:lang w:bidi="ar-SA"/>
        </w:rPr>
        <w:t>فالغسل للوجه ولليدين</w:t>
      </w:r>
    </w:p>
    <w:p>
      <w:pPr>
        <w:pStyle w:val="BookText"/>
        <w:rPr/>
      </w:pPr>
      <w:r>
        <w:rPr>
          <w:rFonts w:ascii="Amiri" w:hAnsi="Amiri" w:eastAsia="Amiri" w:cs="Amiri"/>
          <w:color w:val="111111"/>
          <w:sz w:val="28"/>
          <w:sz w:val="28"/>
          <w:szCs w:val="28"/>
          <w:rtl w:val="true"/>
          <w:lang w:bidi="ar-SA"/>
        </w:rPr>
        <w:t>والمسح للرأس وللرجلين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وضوح دلالة الآية، واجماع أئمّة أهل البيت على المسح، واستناداً إلى جملة الأدلّة الواضحة التي ذكرنا بعضاً منها، فانّ القول بما يخالفها يبدو ضعيفاً ولا يصمد أمام النقاش، إلّا أنّا سنحاول أن نورد الوجوه التي استدال بها القائلون بالغسل ليتبين للقارى‌ء الكريم مدى ضعف حجيتها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الكثيرة وردت بإيجاب الغسل، والغسل مشتمل على المسح ولاينعكس، فكان الغسل أقرب إلى الاحتياط فوجب المصير إليه، ويكون غسل الأرجل يقوم مقام مسحها</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أخبار الغسل معارضة بأخبار المسح، وليس شي‌ء أوثق من كتاب اللَّه، فلو دلّ على لزوم المسح لا يبقى مجال لترجيحه على روايات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هو المهيمن على الكتب والمأثورات، والمعارض منها للكتاب لايقام لها 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الغسل مشتمل على المسح، مع أنّهما حقيقتان مختلفتان، فالغسل إمرار الماء على المغسول، والمسح إمرار اليد على الممسوح </w:t>
      </w:r>
      <w:r>
        <w:rPr>
          <w:rStyle w:val="FootnoteAnchor"/>
          <w:rtl w:val="true"/>
        </w:rPr>
        <w:footnoteReference w:id="236"/>
      </w:r>
      <w:r>
        <w:rPr>
          <w:rFonts w:ascii="Amiri" w:hAnsi="Amiri" w:eastAsia="Amiri" w:cs="Amiri"/>
          <w:color w:val="111111"/>
          <w:sz w:val="28"/>
          <w:sz w:val="28"/>
          <w:szCs w:val="28"/>
          <w:rtl w:val="true"/>
          <w:lang w:bidi="ar-SA"/>
        </w:rPr>
        <w:t>وهما حقيقتان مختلفتان لغة وعرفاً وشرعاً، ولو حاول الاحتياط لوجب الجمع بين المسح والغسل، لا الاكتفاء بالغسل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كان يقضي بين الناس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المقدّم والمؤخّر في الكلام فكأنّه سبحانه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وأيديكم إلى المرافق واغسلوا أرجلكم وامسحوا برؤوسكم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يرد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أهل البيت كالباقر والصادق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أدرى بما في البيت، وهما اتّفقا على المسح، وهل يمكن الاتّفاق على المسح مع اعتقاد كبيرهم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المؤكد هو أنّ هذه الرواية موضوعة عن لسان الإمام ليثيروا الشك بين أتباعه وشيعته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نعلّق على احتمال التقديم</w:t>
      </w:r>
    </w:p>
    <w:p>
      <w:pPr>
        <w:pStyle w:val="BookText"/>
        <w:rPr/>
      </w:pPr>
      <w:r>
        <w:rPr>
          <w:rFonts w:ascii="Amiri" w:hAnsi="Amiri" w:eastAsia="Amiri" w:cs="Amiri"/>
          <w:color w:val="111111"/>
          <w:sz w:val="28"/>
          <w:sz w:val="28"/>
          <w:szCs w:val="28"/>
          <w:rtl w:val="true"/>
          <w:lang w:bidi="ar-SA"/>
        </w:rPr>
        <w:t>والتأخير شيئاً، سوى أنّه يجعل معنى الآية شيئاً مبهماً في المورد الذي يطلب فيه الوضوح، إذ هي المرجع للقروي والبدوي، وللحاضر عصر النزول، والغائب عنه، فيجب أن يكون على نسق ينتقل منه إلى المراد، ثمّ إنّه أيّ ضرورة اقتضت هذا التقدّيم والتأخير، مع إنّه كان من الممكن ذكر الأرجل بعد الأيدي من دون تأخير؟ ولو كان الدافع إلى التأخير هو بيان الترتيب، وإنّ غسل الأرجل بعد مسح الرأس، فكان من الممكن أن يُذكر فعله 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برؤوسكم واغسلوا 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يعرب عن أنَّ هذه محاولات فاشلة لتصحيح الاجتهاد تجاه النص وما عليه أئمّة أهل البيت من الاتّفاق على 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ابن عمر في الصحيحين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 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سفره، فأدركنا وقد أرهقنا العصر، وجعلنا نتوضّأ ونمسح على أرجلنا،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للأعقاب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أو ثلاث</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هذا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على تعيّن المسح أدلّ من دلالته على غسل الرجلين، فإنّها صريحة في أنّ الصحابة يمسحون، وهذا دلل على أنَّ المعروف عندهم هو المسح، وماذكره البخاري من أنّ الانكار عليهم كان بسبب المسح لا بسبب الاقتصار على بعض الرجل، اجتهاد منه، وهو حجّة عليه لا على غيره، فكيف يمكن أن يخفى على ابن عمر حكم الرجلين حتى يمسح رجليه عدّة سنين إلى أن ينكر عليه النبيّ المسح؟</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للرواية معنى آخر تؤيّده بعض المأثورات،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w:t>
      </w:r>
    </w:p>
    <w:p>
      <w:pPr>
        <w:pStyle w:val="BookText"/>
        <w:rPr/>
      </w:pPr>
      <w:r>
        <w:rPr>
          <w:rFonts w:ascii="Amiri" w:hAnsi="Amiri" w:eastAsia="Amiri" w:cs="Amiri"/>
          <w:color w:val="111111"/>
          <w:sz w:val="28"/>
          <w:sz w:val="28"/>
          <w:szCs w:val="28"/>
          <w:rtl w:val="true"/>
          <w:lang w:bidi="ar-SA"/>
        </w:rPr>
        <w:t xml:space="preserve">من أجلاف العرب، كانوا يبولون وهم قيام، فيتشرشر البول على أعقابهم وأرجلهم فلايغسلونها ويدخلون المسجد للصلاة، وكان ذلك سبباً لذلك الوعيد </w:t>
      </w:r>
      <w:r>
        <w:rPr>
          <w:rStyle w:val="FootnoteAnchor"/>
          <w:rtl w:val="true"/>
        </w:rPr>
        <w:footnoteReference w:id="238"/>
      </w:r>
      <w:r>
        <w:rPr>
          <w:rFonts w:ascii="Amiri" w:hAnsi="Amiri" w:eastAsia="Amiri" w:cs="Amiri"/>
          <w:color w:val="111111"/>
          <w:sz w:val="28"/>
          <w:sz w:val="28"/>
          <w:szCs w:val="28"/>
          <w:rtl w:val="true"/>
          <w:lang w:bidi="ar-SA"/>
        </w:rPr>
        <w:t>ويؤيّد ذلك ما يوصف به بعض الأعراب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بوّال على عقبيه، وعلى فرض كون المراد ما ذكره البخاري، فلا تقاوم الرواية نص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ماجة القزويني عن أبي إسحاق عن أبي 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توضّأ فغسل قدميه إلى الكعبين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أن أُريكم طهور نبيّكم</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حيّة مجهول لايعرف، ونقله عنه أبو إسحاق الذي شاخ ونسى واختلط وترك النّاس روايته </w:t>
      </w:r>
      <w:r>
        <w:rPr>
          <w:rStyle w:val="FootnoteAnchor"/>
          <w:rtl w:val="true"/>
        </w:rPr>
        <w:footnoteReference w:id="240"/>
      </w:r>
      <w:r>
        <w:rPr>
          <w:rFonts w:ascii="Amiri" w:hAnsi="Amiri" w:eastAsia="Amiri" w:cs="Amiri"/>
          <w:color w:val="111111"/>
          <w:sz w:val="28"/>
          <w:sz w:val="28"/>
          <w:szCs w:val="28"/>
          <w:rtl w:val="true"/>
          <w:lang w:bidi="ar-SA"/>
        </w:rPr>
        <w:t>أضف إليه أنّه يعارض ما رواه عنه أهل بيته، وأئمّة أهل بيته، خصوصاً من لازمه في حياته وهو ابن عباس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وأقوى الحجج اللفظية على الإمامية جعل الكعبين غاية طهارة الرجلين، وهذا لا يحصل إلّا باستيعابهما بالماء، لأنّ الكعبين هما العظمنا الناتئان في جانبي الرجل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القول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نفترض أنّ المراد من الكعبين هو ما ذكره، لكنّا نسأله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تحصل تلك الغاية إلّا باستيعابها بالماء؟ مع أنّه يمكن تحصيل تلك الغاية بمسحهما بالنداوة المتبقية في اليد، والاختبار سهل، فها نحن من الذين يمسحون الأرجل إلى العظمين الناتئين بنداوة اليد ولا نرى في العمل اعضالًا وعسراً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الإمامية يمسحون ظاهر القدم إلى معتقد الشراك عند المفصل بين الساق والقدم، ويقولون هو الكعب، ففي الرجل كعب واحد على رأيهم، فلو صحّ هذا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الكعاب كما قال في اليدين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المرافق</w:t>
      </w:r>
      <w:r>
        <w:rPr>
          <w:rFonts w:eastAsia="IRNazanin" w:cs="IRNazanin"/>
          <w:color w:val="111111"/>
          <w:sz w:val="28"/>
          <w:szCs w:val="28"/>
          <w:rtl w:val="true"/>
          <w:lang w:bidi="fa-IR"/>
        </w:rPr>
        <w:t xml:space="preserve">) </w:t>
      </w:r>
      <w:r>
        <w:rPr>
          <w:rStyle w:val="FootnoteAnchor"/>
          <w:rtl w:val="true"/>
        </w:rPr>
        <w:footnoteReference w:id="24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بين الإمامية هو تفسير الكعب بقبّة القدم التي هي معتقد الشراك، وهناك من يذهب إلى أنّ المراد هو المفصل بين الساق والقدم، وذهب قليل منهم إلى أنّ المراد هما العظمان الناتئان في جانبي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تقدير، يصح اطلاق الكعبين، وإن كان حدّ المسح هو معقد الشراك أو المفصل، فيكون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بأرجلكم إلى الكعبين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شك أنّ كلّ مكلّف يملك كعبين في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 التفسير بما ذكره فإنّه يجب أن يوسع الممسوح ويحدّد بالعظمين الناتئين لا أن يبدّل المسح بالغسل، وكأنّه تخيّل أنّ المسح بالنداوة المتبقّية في اليد لا يتحقّق بها، وإن تجف إليد قبل الوصول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أنّ هذه اجتهادات واهية، وتخرّصات لا قيمة لها في مقابل الذكر الحكيم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ما عند صاحب المنار في توجيه غسل الأرجل هو التمسّك بالمصالح،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لإيجاب مسح ظاهر القدم باليد المبلّلة بالماء حكمة، بل هو خلاف حكمة الوضوء، لأنّ طروء الرطوبة القليلة على العضو الذي عليه غبار أو وسخ يزيده وساخة، وينال اليد الماسحة حظ من هذه الوساخة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استحسان لا يُعرَّج عليه مع وجود النص، فلا شك أنّ الأحكام الشرعية تابعة للمصالح الواقعية ولا يجب علينا أن نقف عليها، فأي مصلحة في المسح على الرأس ولو بمقدار اصبع أو اصبعين حتى قال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مسح الرجل باصبع واحدة أو بعض اصبع أو باطن كفه، أو أمر مَن يمسح له أجزأه ذلك؟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كلمة قيّمة للإمام شرف الدين الموسوي نأتي بنصها،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نؤمن بأنّ الشارع المقدّس لاحظ عباده في كل ما كلّفهم به من أحكامه الشرعية، فلم يأمرهم إلّا بما فيه مصلحتهم، ولم ينهم إلّا عمّا فيه مفسدة لهم، لكنّه مع ذلك لم يجعل شيئاً من مدارك تلك الأحكام منوطاً من حيث المصالح والمفاسد بآراء العباد، بل تعبّدهم بأدلّة قويّة عيّنها لهم، فلم يجعل لهم مندوحة عنها إلى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تلك الأدلة الحكيمة كتاب اللَّه عزّوجلّ، وقد حكم بمسح الرؤوس والأرجل في الوضوء، فلا مندوحة عن البخوع لحكمه، أمّا نقاء الأرجل من الدنس فلابدّ من احرازه قبل المسح عليها عملًا بأدلّة خاصّة دلّت على اشتراط الطهارة في أعضاء الوضوء قبل الشروع فيه </w:t>
      </w:r>
      <w:r>
        <w:rPr>
          <w:rStyle w:val="FootnoteAnchor"/>
          <w:rtl w:val="true"/>
        </w:rPr>
        <w:footnoteReference w:id="242"/>
      </w:r>
      <w:r>
        <w:rPr>
          <w:rFonts w:ascii="Amiri" w:hAnsi="Amiri" w:eastAsia="Amiri" w:cs="Amiri"/>
          <w:color w:val="111111"/>
          <w:sz w:val="28"/>
          <w:sz w:val="28"/>
          <w:szCs w:val="28"/>
          <w:rtl w:val="true"/>
          <w:lang w:bidi="ar-SA"/>
        </w:rPr>
        <w:t>ولعلّ غسل رسول اللَّه صلّى اللَّه عليه و آله و سلّم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المدعى في أخبار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من هذا الباب ولعلّه كان من باب التبرّد، أو كان من باب المبالغة في النظافة بعد الفراغ من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Style w:val="FootnoteAnchor"/>
          <w:rtl w:val="true"/>
        </w:rPr>
        <w:footnoteReference w:id="243"/>
      </w:r>
      <w:bookmarkStart w:id="187" w:name="pg507_2866"/>
    </w:p>
    <w:p>
      <w:pPr>
        <w:pStyle w:val="Heading2"/>
        <w:numPr>
          <w:ilvl w:val="1"/>
          <w:numId w:val="1"/>
        </w:numPr>
        <w:rPr/>
      </w:pPr>
      <w:bookmarkStart w:id="188" w:name="__RefHeading___Toc4440485_211673320"/>
      <w:bookmarkStart w:id="189" w:name="_Toc67"/>
      <w:bookmarkEnd w:id="187"/>
      <w:bookmarkEnd w:id="188"/>
      <w:r>
        <w:rPr>
          <w:rtl w:val="true"/>
        </w:rPr>
        <w:t>المسألة التاسعة</w:t>
      </w:r>
      <w:r>
        <w:rPr>
          <w:rtl w:val="true"/>
        </w:rPr>
        <w:t xml:space="preserve">: </w:t>
      </w:r>
      <w:r>
        <w:rPr>
          <w:rtl w:val="true"/>
        </w:rPr>
        <w:t>الشيعة الإمامية و الصحابة</w:t>
      </w:r>
      <w:bookmarkEnd w:id="189"/>
    </w:p>
    <w:p>
      <w:pPr>
        <w:pStyle w:val="Heading3"/>
        <w:numPr>
          <w:ilvl w:val="2"/>
          <w:numId w:val="1"/>
        </w:numPr>
        <w:rPr/>
      </w:pPr>
      <w:bookmarkStart w:id="190" w:name="__RefHeading___Toc4440487_211673320"/>
      <w:bookmarkStart w:id="191" w:name="_Toc68"/>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صحابة النبيّ الأكرم صلَّى اللَّه عليه و آله و سلَّم هم المسلمون الأوائل الذين رأوا النبي الأكرم صلَّى اللَّه عليه و آله و سلَّم وتشرّفوا بكرامة الصحبة، وتحملوا جانباً مهماً في عملية نشر الدعوة الإسلامية، وبذل لفيف منهم النفس والنفيس في نشر الإسلام، حتى امتدّ إلى أقاصي المعمورة فأقاموا أُسسه، وشادوا بنيانه، ورفعوا قواعده بجهادهم المتواصل، وبلغوا ذروة المجد باستسهال المصاعب، فلولا بريق سيوفهم، وقوّة سواعدهم، وخوضهم عباب المنايا، لما قام للدين عمود، ولا اخضرّ له 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الكتاب والسنّة هما المصدران الرئيسيان عند المسلمين جميعاً، والشيعة منهم، وبهدى نورهما يسترشد في استشراف الحقائق الثابتة التي لا غبار عليها، فإنّ التأمل في هذين المصدرين الغدقين يبين مدى فضل أُولئك ومنزلتهم في الإسلام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المتأمل في الكتاب والسنّة يجد مدى ما يحفى به الصحابة الصادقون من ثناء وتكريم، ومن تلى آيات الذكر الحكيم حول المهاجرين والذين اتّبعوهم بإحسان، لا يملك نفسه إلّا أن يغبط منزلتهم وعلو شأنهم،</w:t>
      </w:r>
    </w:p>
    <w:p>
      <w:pPr>
        <w:pStyle w:val="BookText"/>
        <w:rPr/>
      </w:pPr>
      <w:r>
        <w:rPr>
          <w:rFonts w:ascii="Amiri" w:hAnsi="Amiri" w:eastAsia="Amiri" w:cs="Amiri"/>
          <w:color w:val="111111"/>
          <w:sz w:val="28"/>
          <w:sz w:val="28"/>
          <w:szCs w:val="28"/>
          <w:rtl w:val="true"/>
          <w:lang w:bidi="ar-SA"/>
        </w:rPr>
        <w:t>بل ويتمنّى من صميم قلبه أن يكون أحدهم ويدرك شأنهم، ومن استمع للآيات النازلة في الذين بايعوا رسول اللَّه صلَّى اللَّه عليه و آله و سلَّم تحت الشجرة أو أصحاب سورة الفتح‌</w:t>
      </w:r>
      <w:r>
        <w:rPr>
          <w:rStyle w:val="FootnoteAnchor"/>
          <w:rtl w:val="true"/>
        </w:rPr>
        <w:footnoteReference w:id="244"/>
      </w:r>
      <w:r>
        <w:rPr>
          <w:rFonts w:ascii="Amiri" w:hAnsi="Amiri" w:eastAsia="Amiri" w:cs="Amiri"/>
          <w:color w:val="111111"/>
          <w:sz w:val="28"/>
          <w:sz w:val="28"/>
          <w:szCs w:val="28"/>
          <w:rtl w:val="true"/>
          <w:lang w:bidi="ar-SA"/>
        </w:rPr>
        <w:t>فلا بد أن تفيض عيناه دمعاً ويرتعش قلبه شوقاً نحو تلك الثلة المؤمنة التي صدقت ما عاهدت اللَّه عليه ورسوله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حال الصحابة في الذكر الحكيم فكيف يتجرّأ مسلم على تكفير الصحابة ورميهم بالردّة والزندقة أو تفسيقهم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هذا بهتان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يستطيع أن يصوّر دعوة النبي صلَّى اللَّه عليه و آله و سلَّم ضئيلة الفائدة أو يتهمه بعدم النجاح في هداية قومه وارشاد أُمّته، وانّه لم يؤمن به إلّا شرذمة قليلة لا يتجاوزن عدد الأصابع، وانّ ما سواهم كانوا بين منافق ستر كفره بالتظاهر بالإيمان، أو مرتدّ على عقبيه القهقرى بعد رحلة النبيّ الأكرم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يجوز لمسلم أن يصف دعوته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يهتد ولم يثبت على الإسلام بعد مرور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من الدعوة إلّا ثلاثة أو سبعة أو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ليس إلّا هراء وكذب رخيص لا تقبله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والأنكى من ذلك كله أن يُرمى الشيعة بهذا التقوّل الممجوج، وأن تجد من يصدّق ذلك ويرتب على أساسه مواقف وآراء إنّا نسأل أُولئك عن هذا فنقول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أي‌شيعي واع ادّعى ذلك؟ ومتى قال؟ وأين ذكره؟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الشيعة بريئة من هذه التخرصات، وما هذه الحكايات السقيمة إلّا جزءاً من الدعايات الفارغة ضدّ الشيعة والتي أثارها الأمويّون في أعصارهم، ليسقطوا الشيعة من عيون المسلمين، وتلقّفتها أقلام المستأجرين لتمزيق</w:t>
      </w:r>
    </w:p>
    <w:p>
      <w:pPr>
        <w:pStyle w:val="BookText"/>
        <w:rPr/>
      </w:pPr>
      <w:r>
        <w:rPr>
          <w:rFonts w:ascii="Amiri" w:hAnsi="Amiri" w:eastAsia="Amiri" w:cs="Amiri"/>
          <w:color w:val="111111"/>
          <w:sz w:val="28"/>
          <w:sz w:val="28"/>
          <w:szCs w:val="28"/>
          <w:rtl w:val="true"/>
          <w:lang w:bidi="ar-SA"/>
        </w:rPr>
        <w:t>الوحدة الإسلامية، وفصم عرى الاخوّة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تلك الفرية في هذه الأيام في كتيّب نشره الكاتب أبو الحسن الندوي أسماه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صورتان متعارضتان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يجترّ ذلك مرّة بعد أُخرى، وما يريد من ذلك إلّا زيادة الأُمّة فرقة وتمزيقاً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وردت روايات في ذلك، ولكنّها لا تكون مصدراً للعقيدة، ولا تتّخذ مقياساً لها لأنّها روايات آحاد لا تفيد علماً في مجال العقائد، وستوافيك دراسة متونها وأسانيدها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لو أحصينا المهتدين في عصر الرسول صلَّى اللَّه عليه و آله و سلَّم من بني هاشم لتجاوز عددهم العشرات، بدءاً من عمّه أبي طالب ومروراً بصفيّة عمّته، وفاطمة بنت أسد، وبحمزة والعباس وجعفر وعقيل وطالب وعبيدة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سفيان بن الحارث ونوفل بن الحارث وجعدة بن أبي هبيرة وأولادهم وزوجاتهم، وانتهاءً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وأولاده وبناته وزوجته فاطمة الزهراء سيّدة نساء العالمين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الذين استشهدوا في عهد النبيّ الأكرم صلَّى اللَّه عليه و آله و سلَّم فهم يتجاوزون المئات، ولا يشك أيّ مسلم في أنّهم كانوا مثال المؤمنين الصادقين الذين حوّلهم الإسلام وأثّر فيهم، فضربوا في حياتهم أروع الأمثلة في الإيمان والتوحيد والتضحية بالغالي والرخيص، خدمة للمبدأ و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الاستعراض المتعجل لمجموع تلك الأسماء لا يملك إلّا أن يجزم بصحة ما ذهبنا إليه من القول بمكانة أُولئك الصحابة فابتداءً ب‌آل ياسر الذين كان رسول اللَّه صلَّى اللَّه عليه و آله و سلَّم يقول لهم وهو يسمع أنينهم تحت سياط التعذيب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آل ياسر إنّ موعدكم الجنّة</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و مروراً بمن توفّي في مهجر الحبشة وشهداء</w:t>
      </w:r>
    </w:p>
    <w:p>
      <w:pPr>
        <w:pStyle w:val="BookText"/>
        <w:rPr/>
      </w:pPr>
      <w:r>
        <w:rPr>
          <w:rFonts w:ascii="Amiri" w:hAnsi="Amiri" w:eastAsia="Amiri" w:cs="Amiri"/>
          <w:color w:val="111111"/>
          <w:sz w:val="28"/>
          <w:sz w:val="28"/>
          <w:szCs w:val="28"/>
          <w:rtl w:val="true"/>
          <w:lang w:bidi="ar-SA"/>
        </w:rPr>
        <w:t>بدر وأُحد، وقد استشهد في معركة أُحد سبعون صحابياً كان رسول اللَّه صلَّى اللَّه عليه و آله و سلَّم يزورهم ويسلّم عليهم، ثمّ شهداء سائر المعارك والغزوات، حتى قال النبيّ الأكرم صلَّى اللَّه عليه و آله و سلَّم في حقّ سعد بن معاذ شهيد غزوة الخندق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اهتزّ العرش لموته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وشهداء بئر معونة والتي يتراوح عدد الشهداء بين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رواية أنس بن مالك أو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رواية غيره، إلى غير ذلك من الأصحاب الصادقين الأجلّاء الذين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 لَهُمُ النَّاسُ إنَّ النَّاسَ قَدْ جَمَعُوا لَكُمْ فَاخْشَوْهُمْ فَزَادَهُمْ إيماناً وَقالُوا حَسْبُنَا اللَّهُ وَنِعْمَ الوَكيلُ</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للفُقَراءِ المُهاجِرينَ الَّذِينَ أُخْرِجُوا مِنْ دِيارِهِمْ وَأمْوالِهِمْ يَبْتَغُونَ فَضْلًا مِنَ اللَّهِ وَرِضْواناً وَيَنْصُرُونَ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تَبَوّءو الدّارَ والإيمان مِنْ قَبْلِهِمْ يُحِبُّونَ مَنْ هاجَرَ إِلَيهِمْ ولا يَجِدُونَّ في صُدُورهِمْ حاجَةً مِمّا أُوتُوا وَيُؤْثِرُونَ عَلَى أنْفُسِهِمْ وَلَوْ كَانَ بِهِمْ خَصاصَةٌ وَمَنْ يُوقَ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ليست هذه الآيات تثبت نجاح النبيّ صلَّى اللَّه عليه و آله و سلَّم في دعوته، وانّه اجتمع حوله رجال صالحون ومخلصون، فكيف يمكن رمي مسلم يتلو الذكر الحكيم ليل نهار باعتقاده بخيبة النبيّ الأكرم صلَّى اللَّه عليه و آله و سلَّم في دعوته وتهالكه في هداية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الموقف الصحيح من الصحابة هو ما جاء في كلام الإمام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اخواني الذين ركبوا الطريق ومضوا على الحقّ؟ أين عمّار؟</w:t>
      </w:r>
    </w:p>
    <w:p>
      <w:pPr>
        <w:pStyle w:val="BookText"/>
        <w:rPr/>
      </w:pPr>
      <w:r>
        <w:rPr>
          <w:rFonts w:ascii="Amiri" w:hAnsi="Amiri" w:eastAsia="Amiri" w:cs="Amiri"/>
          <w:color w:val="111111"/>
          <w:sz w:val="28"/>
          <w:sz w:val="28"/>
          <w:szCs w:val="28"/>
          <w:rtl w:val="true"/>
          <w:lang w:bidi="ar-SA"/>
        </w:rPr>
        <w:t>أين ابن التيِّهان؟ وأين ذو الشهادتين؟ وأين نظراؤهم من اخوانهم الذين تعاقدوا على المنيّة وأُبرد برؤوسهم إلى الفجرة؟ اوّه على اخواني الذين تلوا القرآن فأحكموه وتدبّروا الفرض فأقاموه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أحيوا السنّة وأماتوا البدعة، دعوا للجهاد فأجابوا، ووثقوا بالقائد فاتّبعوه</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ما جاء في هذه الخطبة فريداً في كلامه، فقد وصف أصحاب رسول اللَّه صلَّى اللَّه عليه و آله و سلَّم يوم صفّين، يوم فرض عليه الصلح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كنّا مع رسول اللَّه صلَّى اللَّه عليه و آله و سلَّم نقتل آباءنا وأبناءنا واخواننا وأعمامنا، ما يزيدنا ذلك إلّا إيماناً وتسليماً، ومضياً على اللقم وصبراً على مضض الألم، وجدّاً في جهاد العدوّ، ولقد كان الرجل منّا والآخر من عدوّنا يتصاولان تصاول الفحلين، يتخالسان أنفسهما أيّهما يسقي صاحبه كأس المنون، فمرّة لنا من عدوّنا، ومرّة لعدوّنا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اللَّه صدقنا أنزل بعدوّنا الكبت، وأنزل علينا النصر، حتى استقرّ الإسلام ملقياً جرانه ومتبوّئاً أوطانه، ولعمري لو كنّا نأتي ما أتيتم ما قام للدين عمود، ولا اخضرّ للإيمان عود</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كلمة الإمام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قائد الشيعة وإمامهم، أفهل يجوز لمن يؤمن بإمامته أن يكفّر جميع صحابة النبيّ صلَّى اللَّه عليه و آله و سلَّم أو يفسّقهم أو ينسبهم إلى الزندقة والالحاد أو الارتداد، من دون أن يقسّمهم إلى أقسام ويصنّفهم أصنافاً ويذكر تقاسيم القرآن والسنّة في حقّهم؟ كلّا ولا، وهذا هو الإمام علي بن الحسين يذكر في بعض أدعيته صحابة النبيّ صلَّى اللَّه عليه و آله و سلَّم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وأصحاب محمّد صلَّى اللَّه عليه و آله و سلَّم خاصّة الذين أحسنوا الصحبة، والذين أبلوا البلاء الحسن في نصره، وكانفوه وأسرعوا إلى وفادته، وسابقوا إلى دعوته،</w:t>
      </w:r>
    </w:p>
    <w:p>
      <w:pPr>
        <w:pStyle w:val="BookText"/>
        <w:rPr/>
      </w:pPr>
      <w:r>
        <w:rPr>
          <w:rFonts w:ascii="Amiri" w:hAnsi="Amiri" w:eastAsia="Amiri" w:cs="Amiri"/>
          <w:color w:val="111111"/>
          <w:sz w:val="28"/>
          <w:sz w:val="28"/>
          <w:szCs w:val="28"/>
          <w:rtl w:val="true"/>
          <w:lang w:bidi="ar-SA"/>
        </w:rPr>
        <w:t>واستجابوا له حيث أسمعهم حجّة رسالاته، وفارقوا الأزواج والأولاد في اظهار كلمته، وقاتلوا الآباء والأبناء في تثبيت نبوّته، وانتصروا به، ومن كانوا منطوين على محبّته، يرجون تجارة لن تبور في مودّته، والذين هجرتهم العشائر إذ تعلّقوا بعروته، وانتفت منهم القرابات إذ سكنوا في ظلّ قرابته، فلا تنس لهم اللّهمّ ما تركوا لك وفيك، وأرضهم من رضوانك، وبما حاشوا الخلق عليك وكانوا مع رسولك دعاة لك إليك، واشكرهم على هجرهم فيك ديار قومهم، وخروجهم من سعة المعاش إلى ضيقه، ومن كثرت في اعزاز دينك من مظلومهم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وأوصل إلى التابعين لهم باحسان الذين يقولون ربّنا اغفر لنا ولاخواننا </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الحال كذلك، واتّفق الشيعي والسنّي على اطراء الذكر الحكيم للصحابة والثناء عليهم، فما هو موضع الخلاف بين الطائفتين كي يعد ذلك من أعظم الخلاف بينهما؟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موضع الخلاف ليس إلّا في نقطة واحدة، وهي أنّ أهل السنّة يقولون بأنّ كل من رأى النبيّ صلَّى اللَّه عليه و آله و سلَّم وعاشره ولو يوماً أو يومين فهو محكوم بالعدالة منذ اللقاء إلى يوم أُدرج في كفنه، ولو صدر منه قتل أو نهب أو زنا أو غير ذلك، محتجّين بما نسب إلى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خلل كبير أعاذ اللَّه المسلمين منه، فالتاريخ بين أيدينا، وصفحاته خير شاهد على ما نقول، ونحن لا نقول كما 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اللَّهسيوفنا عن دمائهم فلنطهّر ألسنتنا، لأنّا لا نظن أنّ الحسن</w:t>
      </w:r>
      <w:bookmarkStart w:id="192" w:name="pg507_2872"/>
    </w:p>
    <w:p>
      <w:pPr>
        <w:pStyle w:val="BookText"/>
        <w:rPr/>
      </w:pPr>
      <w:bookmarkEnd w:id="192"/>
      <w:r>
        <w:rPr>
          <w:rFonts w:ascii="Amiri" w:hAnsi="Amiri" w:eastAsia="Amiri" w:cs="Amiri"/>
          <w:color w:val="111111"/>
          <w:sz w:val="28"/>
          <w:sz w:val="28"/>
          <w:szCs w:val="28"/>
          <w:rtl w:val="true"/>
          <w:lang w:bidi="ar-SA"/>
        </w:rPr>
        <w:t xml:space="preserve">البصري يعتقد بما قال بل إنّه تدرّع بهذه الكلمة وصان بها نفسه عن هجمات الأمويين الذين كانوا يروّجون عدالة الصحابة في جميع الأزمنة، بل يلبسونهم ثوب العصمة، إلى حدّ كان القدح بالصحابي أشدّ من القدح برسول اللَّه صلَّى اللَّه عليه و آله و سلَّم فنفي العصمة عن النبيّ صلَّى اللَّه عليه و آله و سلَّم واتهامه بالذنب قبل بعثه وبعده كان أمراً سهلًا يطرح بصورة عقيدة معقولة ولا يؤاخذ القائل به، وأمّا من نسب صغيرة أو كبيرة إلى صحابي فأهون ما يواجهونه به هو الاستتابة وإلّا فالقتل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هو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أي‌عدالة الكل بلا استثناء أو تصنيفهم إلى مؤمن أو فاسق، ومثالي أو عادي، إلى زاهد أو متوغّل في حبّ الدنيا، إلى عالم بالشريعة وعامل بها أو جاهل لا يعرف منها إلّا شيئاً طفيفاً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تحليل المسألة على ضوء الكتاب والسنّة، مجرّدين عن كلّ رأي مسبق، لا يقودنا في ذلك إلّا الدليل الصحيح والحجّة الثابتة ولأجل اماطة الستر عن وجه الحقيقة نذكر أُموراً</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4440489_211673320"/>
      <w:bookmarkStart w:id="194" w:name="_Toc69"/>
      <w:bookmarkEnd w:id="193"/>
      <w:r>
        <w:rPr>
          <w:rtl w:val="true"/>
        </w:rPr>
        <w:t>الصحابة في القرآن الكريم</w:t>
      </w:r>
      <w:r>
        <w:rPr>
          <w:rtl w:val="true"/>
        </w:rPr>
        <w:t>:</w:t>
      </w:r>
      <w:bookmarkEnd w:id="19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الكريم يصنّف الصحابة إلى أصناف مختلفة، فهو يتكلّم عن السابقين الأوّلين، والمبايعين تحت الشجرة، والمهاجرين المهجّرين عن ديارهم وأموالهم، وأصحاب الفتح، إلى غير ذلك من الأصناف المثالية، الذين يثني عليهم ويذكرهم بالفضل والفضيلة، وفي مقابل ذلك يذكر أصنافاً أُخرى يجب أن لا تغيب عن أذهاننا وتلك الأصناف هي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المنافقون المعروفون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المتستّرون الذين لا يعرفهم النبيّ صلَّى اللَّه عليه و آله و سلَّم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ضعفاء الإيمان ومرضى القلوب‌</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السمّاعون لأهل الفتنة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الذين خلطوا عملًا صالحاً وآخر سيئاً</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المشرفون على الارتداد عندما دارت عليهم الدوائر</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 أو الفسّاق الذين لا يصدق قولهم ولا فعلهم</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الذين لم يدخل الإيمان في قلوبهم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المؤلّفة قلوبهم الذين يظهرون الإسلام ويتآلفون بدفع سهم من الصدقة إليهم لضعف يقينهم‌</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المولّون أمام الكفّار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الأصناف إذا انضمّت إلى الأصناف المتقدّمة، فإنّها تعرب عن أنّ صحابة النبيّ الأكرم صلَّى اللَّه عليه و آله و سلَّم لم يكونوا على نمط واحد، بل كانوا مختلفين من حيث قوّة الإيمان وضعفه، والقيام بالوظائف والتخلّي عنها، فيجب اخضاعهم لميزان العدالة الذي توزن به أفعال جميع الناس، وعندئذ يتحقّق أنّ الصحبة لا تعطي لصاحبها منقبة إلّا إذا كان أهلًا لها، وتوضح بجلاء إنّ محاولة المساواة في الفضل بين جميع الصحابة أمر فيه مجافاة صريحة للحق وكلمة الصدق، وهذا ما ذهبت إليه الشيعة، وهو نفس النتيجة التي يخرج بها الانسان المتدبّر للقرآن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التي تناولت المهاجرين والأنصار وغيرهم بالمدح والثناء، لا تدلّ على أكثر من أنّهم كانوا حين نزول القرآن مُثلًا للفضل والفضيلة ولكن الأُمور إنّما تعتبر بخواتيمها، فيحكم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نزول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بالصلاح والفلاح إذا بقوا على ما كانوا عليه من الصفات، وأمّا لو ثبت عن طريق السنّة أو التاريخ الصحيح انّه صدر عن بعضهم ما لا تحمد عاقبته، فحينئذ لا مندوحة لنا إلّا الحكم بذلك، ولا يعد مثل ذلك معارضاً للقرآن الكريم، لأنّه ناظر إلى أحوالهم في ظروف خاصّة، لا في جميع فصول حياتهم، فليس علينا رفع اليد عن السنّة والتاريخ الصحيح بحجّة أنّ القرآن الكريم مدحهم، وأنّ اللَّه تعالى كان في وقت ما راضياً عنهم، لما عرفت من أنّ المقياس القاطع للقضاء هو دراسة جميع أحوالهم واخضاعها للقرآن والسنّة، فكم من مؤمن زلّ قدمه في الحياة، فعاد منافقاً، أو مرتداً، وكم من ضالّ شملته العناية الإلهية فبصر الطريق وصار رجلًا إلهياً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ثبت عن طريق الدليل الصحيح انحرافه وزيغه عن الصراط المستقيم وشوب إيمانه بالظلم والعيث والفساد، فيؤخذ بما هو</w:t>
      </w:r>
    </w:p>
    <w:p>
      <w:pPr>
        <w:pStyle w:val="BookText"/>
        <w:rPr/>
      </w:pPr>
      <w:r>
        <w:rPr>
          <w:rFonts w:ascii="Amiri" w:hAnsi="Amiri" w:eastAsia="Amiri" w:cs="Amiri"/>
          <w:color w:val="111111"/>
          <w:sz w:val="28"/>
          <w:sz w:val="28"/>
          <w:szCs w:val="28"/>
          <w:rtl w:val="true"/>
          <w:lang w:bidi="ar-SA"/>
        </w:rPr>
        <w:t>الثابت في ذينك المصدرين، وأمّا من لم يثبت زيغه فلا نتكلّم في حقّه بشي‌ء سوى ما أمر اللَّه به سبحانه من طلب الرحمة لهم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ولإخوانِنا الَّذِينَ سَبَقُونا بِالإيمانِ</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سوء الحظ إنّ شرذمة قليلة من الصحابة زلّت أقدامهم وانحرفوا عن الطريق، فلا تمس دراسة أحوال هؤلاء القليلين، وتبيين مواقفهم، وانحرافهم عن الطريق المستقيم بكرامة الباقين، ولعلّ عدد المنحرفين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يتجاوز العشرة إلّا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أفيسوغ في ميزان العدل رمي الشيعة بأنّهم يكفّرون الصحابة ويفسّقونهم بحجّة أنّهم يدرسون حياة عدّة قليلة منهم ويذكرون مساوئ أعمالهم، وما يؤاخذ عليهم على ضوء الكتاب والسنّة والتاريخ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نسب إلى الحسن البصري فهو أولى بالاعراض عنه، إذ لو كانت النجاة في ترك ذكرهم فلماذا اهتمّ ببيان أفعالهم وصفاتهم التاريخ المؤلّف بيد السلف الصالح الذين كانوا يحترمون الصحابة مثلما يحترمهم الخلف، فلو كان الحق ترك التكلّم فيهم واعذارهم بالاجتهاد، فلماذا وصف النبيّ الأكرم صلَّى اللَّه عليه و آله و سلَّم بعضهم بالارتداد، كما رواه البخاري وغيره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دار الأمر بين كون القرآن أو النبيّ صلَّى اللَّه عليه و آله و سلَّم أُسوة، أو الكلمة المأثورة عن الحسن البصري، فالأوّل هو المتعيّن، ويضرب بالثاني عرض الجدار</w:t>
      </w:r>
      <w:r>
        <w:rPr>
          <w:rFonts w:eastAsia="Amiri" w:cs="Amiri" w:ascii="Amiri" w:hAnsi="Amiri"/>
          <w:color w:val="111111"/>
          <w:sz w:val="28"/>
          <w:szCs w:val="28"/>
          <w:rtl w:val="true"/>
          <w:lang w:bidi="ar-SA"/>
        </w:rPr>
        <w:t>.</w:t>
      </w:r>
      <w:bookmarkStart w:id="195" w:name="pg507_2876"/>
    </w:p>
    <w:p>
      <w:pPr>
        <w:pStyle w:val="Heading3"/>
        <w:numPr>
          <w:ilvl w:val="2"/>
          <w:numId w:val="1"/>
        </w:numPr>
        <w:rPr/>
      </w:pPr>
      <w:bookmarkStart w:id="196" w:name="__RefHeading___Toc4440491_211673320"/>
      <w:bookmarkStart w:id="197" w:name="_Toc70"/>
      <w:bookmarkEnd w:id="195"/>
      <w:bookmarkEnd w:id="196"/>
      <w:r>
        <w:rPr>
          <w:rtl w:val="true"/>
        </w:rPr>
        <w:t>الردّة بعد وفاة الرسول صلَّى اللَّه عليه و آله و سلَّم</w:t>
      </w:r>
      <w:r>
        <w:rPr>
          <w:rtl w:val="true"/>
        </w:rPr>
        <w:t>:</w:t>
      </w:r>
      <w:bookmarkEnd w:id="197"/>
    </w:p>
    <w:p>
      <w:pPr>
        <w:pStyle w:val="BookText"/>
        <w:rPr/>
      </w:pPr>
      <w:r>
        <w:rPr>
          <w:rFonts w:ascii="Amiri" w:hAnsi="Amiri" w:eastAsia="Amiri" w:cs="Amiri"/>
          <w:color w:val="111111"/>
          <w:sz w:val="28"/>
          <w:sz w:val="28"/>
          <w:szCs w:val="28"/>
          <w:rtl w:val="true"/>
          <w:lang w:bidi="ar-SA"/>
        </w:rPr>
        <w:t>بقيت هنا كلمة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موقف الشيعة وأئمّتهم من الصحابة ما ذكر آنفاً، فما معنى ما رواه أبو عمرو الكشي من أنّه ارتدّ الناس بعد رسول اللَّه صلَّى اللَّه عليه و آله و سلَّم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صحّ ما ذكر، وجب الالتزام بأنّ النبيّ الأكرم صلَّى اللَّه عليه و آله و سلَّم لم ينجح في دعوته، ولم يتخرّج من مدرسته إلّا قلائل لا يعتد بهم في مقابل ما ضحّى به من النفس والنفيس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والاجابة على هذا السؤال واضحة لمن تفحّص عنها سنداً ومتناً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رواه لا يتجاوز السبع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بين ضعيف لا يعوّل عليه، وموثق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اصطلاح علماء الإمامية في تصنيف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قابلين للتأويل، ولا يدلان على الارتداد عن الدين، والخروج عن الإسلام بل يرميان إلى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الضعيف فهو ما رواه الكشي عن حمدويه وإبراهيم أبناء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عن حنان بن سدير عن أبيه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الناس أهل الردّة بعد النبيّ صلَّى اللَّه عليه و آله و سلَّم إلّا ثلاثة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وكفى في ضعفها وجود محمّد بن عثمان في سنده وهو من المجاهيل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رواه أيضاً عن علي بن الحكم عن سيف بن عميرة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ارتدّ الناس إلّا ثلاثة نفر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وأبو ذر والمقداد</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وكفى في ضعفها أنّ الكشي من أعلام القرن الرابع الهجري القمري، فلا يصح أن يروي عن علي بن الحكم، سواءً أكان المراد منه الأنباري الراوي عن ابن عمير المتوفّى عام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المراد الزبيري الذي عدّه الشيخ من أصحاب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المتوفّى عام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نقله أيضاً عن 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ومحمّد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جبرئيل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النضر بن سويد عن محمّد بن البشير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بقى أحد إلّا وقد جال جولة إلّا المقداد بن الأسود فإنّ قلبه كان مثل زبر الحديد</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ضعيفة بجبرئيل بن أحمد فإنّه مجهول كما أنّها مرسلة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الباقية فالموثق عبارة عمّا ورد في سنده علي بن الحسن الفضال، والثلاثة الباقية صحيحة، ومن أراد الوقوف على اسنادها ومتونها فليرجع إلى رجال الكشي‌</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كلّه فإنّ هذه الروايات لا يحتج بها أبداً لجهات عديدة نشير إلى بعض منها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يقال إنّه ارتدّ الناس بعد رسول اللَّه صلَّى اللَّه عليه و آله و سلَّم ولم يبق إلّا ثلاثة تمسّكوا بولاية علي ولم يعدلوا عنها، مع أنّ ابن قتيبة والطبري رويا انّ جماعة من بني هاشم وغيرهم تحصَّنوا في بيت علي معترضين على ما آل إليه أمر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يتركوا بيت الإمام إلّا بعد التهديد والوعيد وإضرام النار أمام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أنّه كان هناك جماعة مخلصين بقوا أوفياء</w:t>
      </w:r>
    </w:p>
    <w:p>
      <w:pPr>
        <w:pStyle w:val="BookText"/>
        <w:rPr/>
      </w:pPr>
      <w:r>
        <w:rPr>
          <w:rFonts w:ascii="Amiri" w:hAnsi="Amiri" w:eastAsia="Amiri" w:cs="Amiri"/>
          <w:color w:val="111111"/>
          <w:sz w:val="28"/>
          <w:sz w:val="28"/>
          <w:szCs w:val="28"/>
          <w:rtl w:val="true"/>
          <w:lang w:bidi="ar-SA"/>
        </w:rPr>
        <w:t>لما تعهّدوا به في حياة النبيّ صلَّى اللَّه عليه و آله و سلَّم وإليك نصّ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بني هاشم اجتمعت عند بيعة الأنصار إلى علي بن أبي طالب، ومعهم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تفقّد قوماً تخلَّفوا عن بيعته عند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إليهم عمر فجاء فناداهم وهم في دار علي، فأبوا أن يخرجوا، فدعا بالحطب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 لتخرجنّ أو لأحرقنّها على من فيها،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انّ فيها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 روى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عمر بن الخطاب منزل علي وفيه طلحة والزبير ورجال من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لُاحرقنّ عليكم أو لتخرجنّ إلى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عليه الزبير مصلتاً بالسيف فعثر فسقط السيف من يده فوثبوا عليه فأخذوه‌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الواضح الأخباري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وتخلّف عن بيعة أبي بكر قوم من المهاجرين والأنصار ومالوا مع علي بن أبي طالب،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المطلب، والفضل بن العباس، والزبير بن العوام بن العاص، وخالد بن سعيد، والمقداد بن عمرو، وسلمان الفارسي، وأبو ذر الغفاري، وعمّار بن ياسر، والبراء بن عازب، وأُبي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أبو بكر إلى عمر بن الخطاب وأبي عبيدة بن الجراح والمغيرة بن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الرأي؟ قالوا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الرأي أن تلقى العباس بن عبد المطلب فتجعل له في هذا الأمر نصيباً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كل ذلك يشهد على أنّه كان هناك امّة بقوا على ما كانوا عليه، في عصر الرسول الأعظم صلَّى اللَّه عليه و آله و سلَّم، ولم يغترّوا بانثيال الأكثرية إلى غير من كان الحق يدور مداره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يمكن ادّعاء الردّة لعامة الصحابة إلّا 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 الناس إلّا ثلاثة مع أنّ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عدّة من المنكرين للخلافة في أوائل الأمر وقد بلغ عددهم اثنا عشر رجلًا من المهاجرين والأنصار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بن العاص، والمقداد بن الأسود، وابي بن كعب، وعمّار بن ياسر، وأبو ذر الغفاري، وسلمان الفارسي، وعبد اللَّه بن مسعود، وبريدة الأسلمي، وخزيمة ابن ثابت ذو الشهادتين، وسهل بن حنيف، وأبو أيّوب الأنصاري، وأبو هيثم ابن التيهان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اعتراضاتهم على مسألة الخلافة واحداً بعد واحد</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الاضطراب والاختلاف في عدد من استثناهم الإمام يورث الشك في صحّتها، ففي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البعض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التعارض وإن كان يمكن رفعه بالحمل على اختلافهم في درجات الإيمان غير أنّه على كلّ تقدير يوهن الرواية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إنكار إيمان أعلام من الصحابة مع اتّفاق كلمة الشيعة والسنّة على علو شأنهم، كأمثال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الحبشي، وحجر بن عدي، واويس القرني، ومالك بن نويرة المقتول ظلماً على يد خالد بن الوليد، وعباس بن عبد المطلب وابنه حبر الأُمّة وعشرات من أمثالهم، وقد عرفت أسماء المتخلّفين عن بيعة أبي بكر في كلام اليعقوبي، أضف إلى ذلك انّ رجال البيت الهاشمي كانوا على خطّ الإمام ولم يتخلّفوا عنه، وإنّما غمدوا</w:t>
      </w:r>
    </w:p>
    <w:p>
      <w:pPr>
        <w:pStyle w:val="BookText"/>
        <w:rPr/>
      </w:pPr>
      <w:r>
        <w:rPr>
          <w:rFonts w:ascii="Amiri" w:hAnsi="Amiri" w:eastAsia="Amiri" w:cs="Amiri"/>
          <w:color w:val="111111"/>
          <w:sz w:val="28"/>
          <w:sz w:val="28"/>
          <w:szCs w:val="28"/>
          <w:rtl w:val="true"/>
          <w:lang w:bidi="ar-SA"/>
        </w:rPr>
        <w:t>سيوفهم اقتداءً بالإمام لمصلحة عالية ذكرها في بعض كلماته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وأقصى ما يمكن أن يقال في حقّ هذه الروايات هو أنّه ليس المراد من الارتداد الكفر والضلال والرجوع إلى الجاهلية، وإنّما المراد عدم الوفاء بالعهد الذي اخذ منهم في غير واحد من المواقف وأهمّها غديرخم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وهب بن حفص، عن أبي بصير،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المهاجرون والأنصار وغيرهم بعد ذلك‌</w:t>
      </w:r>
      <w:r>
        <w:rPr>
          <w:rStyle w:val="FootnoteAnchor"/>
          <w:rtl w:val="true"/>
        </w:rPr>
        <w:footnoteReference w:id="274"/>
      </w:r>
      <w:r>
        <w:rPr>
          <w:rFonts w:ascii="Amiri" w:hAnsi="Amiri" w:eastAsia="Amiri" w:cs="Amiri"/>
          <w:color w:val="111111"/>
          <w:sz w:val="28"/>
          <w:sz w:val="28"/>
          <w:szCs w:val="28"/>
          <w:rtl w:val="true"/>
          <w:lang w:bidi="ar-SA"/>
        </w:rPr>
        <w:t>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أمير المؤمنين وأنت واللَّه أحقّ الناس وأولاهم بالنبي صلَّى اللَّه عليه و آله و سلَّم هلمّ يدك نبايعك فواللَّه لنموتنّ قدامك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صادقين فاغدوا غداً عليّ محلقين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فحلق أميرالمؤمنين وحلق سلمان وحلق مقداد وحلق أبو ذر ولم يحلق غيرهم‌</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قرينة واضحة على أنّ المراد هو نصرة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 الحق المغتصب، فيكون المراد من الردّة هو عدم القتال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ذلك أيضاً الرواية التي جاء فيها انّ قلب المقداد بن الأسود كزبر الحديد، فهي وإن كانت ضعيفة السند لكن فيها إشعار على ذلك، لأنّ وصف قلب المقداد إشارة إلى ارادته القويّة وثباته في سبيل استرداد الخلافة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ظنّي أنّ هذه الروايات صدرت من الغلاة والحشوية دعماً لأمر الولاية وتغابناً في الإخلاص، غافلين عن أنّها تضاد القرآن الكريم، وما روي عن أميرالمؤمنين وحفيده سيد الساجدين، من الثناء والمدح لعدّة من</w:t>
      </w:r>
    </w:p>
    <w:p>
      <w:pPr>
        <w:pStyle w:val="BookText"/>
        <w:rPr/>
      </w:pP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كلمة قيّمة للعلّامة السيد محسن الأمين العاملي نذكر نصّه وهو يمثّل عقيدة الشيعة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الشيعة حكم الصحابة في العدالة حكم غيرهم، ولا يتحتّم الحكم بها بمجرّد الصحبة وهي لقاء النبي صلَّى اللَّه عليه و آله و سلَّم مؤمناً به ومات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ذلك ليس كافياً في ثبوت العدالة بعد الاتّفاق على عدم العصمة المانعة من صدور الذنب، فمن علمنا عدالته حكمنا بها وقبلنا روايته، ولزمنا له من التعظيم والتوقير، بسبب شرف الصحبة ونصرة الإسلام والجهاد في سبيل اللَّه ما هو أهله، ومن علمنا منه خلاف ذلك لم تقبل روايته، أمثال مروان بن الحكم، والمغيرة بن شعبة والوليد بن عقبة، وبسر بن أرطاة وبعض بني اميّة وأعوانهم، ومن جهلنا حاله في العدالة توقّفنا في قبول روايته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يمكن أن يذكر في المقام أنّ النبي صلَّى اللَّه عليه و آله و سلَّم توفّي ومن رآه وسمع عنه يتجاوز مائة ألف انسان من رجل وامرأة على ما حكاه ابن حجر في الإصابة عن أبي زرعة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مات صلَّى اللَّه عليه و آله و سلَّم عن مائة وأربعة عشر ألف 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الممتنع عادة أن يكون هذا العدد في كثرته وتفرّق أهوائه وكون النفوس البشرية مطبوعة على حبّ الشهوات كلّهم قد حصلت لهم ملكة التقوى المانعة عن صدور الكبائر، والإصرار على الصغائر بمجرّد رؤية النبيّ صلَّى اللَّه عليه و آله و سلَّم والإيمان به، ونحن نعلم أنّ منهم من أسلم طوعاً ورغبة في الإسلام، ومنهم من أسلم خوفاً وكرهاً، ومنهم المؤلّفة قلوبهم، وما كانت هذه الأُمّة إلّا كغيرها من الأُمم التي جبلت على حبّ الشهوات وخلقت فيها الطبائع القائدة إلى ذلك إن لم يردع رادع والكل من بني آدم، وقد صحّ عنه صلَّى اللَّه عليه و آله و سلَّم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لتسلكنّ سنن من قبلكم حذو النعل بالنعل والقذّة بالقذّة حتى لو دخل أحدهم جحر ضب لدخلتموه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منعت رؤية النبي‌صلَّى اللَّه عليه و آله و سلَّم من وقوع الذنب لمنعت من الارتداد الذي حصل من جماعة منهم كعبد اللَّه بن</w:t>
      </w:r>
    </w:p>
    <w:p>
      <w:pPr>
        <w:pStyle w:val="BookText"/>
        <w:rPr/>
      </w:pPr>
      <w:r>
        <w:rPr>
          <w:rFonts w:ascii="Amiri" w:hAnsi="Amiri" w:eastAsia="Amiri" w:cs="Amiri"/>
          <w:color w:val="111111"/>
          <w:sz w:val="28"/>
          <w:sz w:val="28"/>
          <w:szCs w:val="28"/>
          <w:rtl w:val="true"/>
          <w:lang w:bidi="ar-SA"/>
        </w:rPr>
        <w:t xml:space="preserve">جحش، وعبيد اللَّه بن خطل، وربيعة بن أُمية بن خلف والأشعث بن قيس </w:t>
      </w:r>
      <w:r>
        <w:rPr>
          <w:rStyle w:val="FootnoteAnchor"/>
          <w:rtl w:val="true"/>
        </w:rPr>
        <w:footnoteReference w:id="276"/>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ما شوهد من صدور امور من بعضهم لاتتّفق مع العدالة، كالخروج على أئمّة العدل، وشق عصا المسلمين، وقتل النفوس المحترمة، وسلب الأموال المعصومة، والسب والشتم وحرب المسلمين وغشهم، والقاح الفتن والرغبة في الدنيا، والتزاحم على الإمارة والرئاسة وغير ذلك ممّا تكفّلت به كتب الآثار والتواريخ وملى‌ء الخافقين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وأعمال مروان بن الحكم في خلافة عثمان معلومة مشهورة، وكذلك بسر بن أرطاة والمغيرة بن شعبة والوليد بن عقبة، وكلّهم من الصحابة</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وحصيلة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موضع الاختلاف، ومصبّ النزاع ليس إلّا كون عدالة الصحابة قضية كلّية أو جزئيّة، فالسنّة على الأُولى والشيعة على الثانية، وأمّا ما سواها من سبّ الصحابة ولعنهم، أو ارتدادهم عن الدين بعد رحلة الرسول، أو عدم حجية رواياتهم على وجه الإطلاق فإنّها تُهمٌ اموية ناصبية، اتّهم بها شيعة آل محمّد صلَّى اللَّه عليه و آله و سلَّم وهم براء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الحكم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فالشيعة يعطون لكل ذي حقّ حقّه، فيأخذون معالم دينهم عن ثقاة الصحابة، ولا يتكلّمون في حقّ من لم يتعرّفوا على حاله، ويحكمون على القسم الثالث على ضوء الكتاب والسنّة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هناك رجالًا من السلف لا يسوغ لمنصف يمتلك مقياساً شرعياً سليماً أن يذهب إلى جواز حبّهم أو الترحّم عليهم، لأنّ في ذلك خروجاً</w:t>
      </w:r>
    </w:p>
    <w:p>
      <w:pPr>
        <w:pStyle w:val="BookText"/>
        <w:rPr/>
      </w:pPr>
      <w:r>
        <w:rPr>
          <w:rFonts w:ascii="Amiri" w:hAnsi="Amiri" w:eastAsia="Amiri" w:cs="Amiri"/>
          <w:color w:val="111111"/>
          <w:sz w:val="28"/>
          <w:sz w:val="28"/>
          <w:szCs w:val="28"/>
          <w:rtl w:val="true"/>
          <w:lang w:bidi="ar-SA"/>
        </w:rPr>
        <w:t>صارخاً عن أبسط المقاييس والموازين الشرعية، ومن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حقّه إيراد ما ذكره الجاحظ في رسالته في بني أُمية والآثام التي اقترفوها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استوى معاوية على الملك، واستبدَّ على بقيّة أهل الشورى، وعلى جماعة المسلمين من المهاجرين والأنصار في العام الذي سمّوه عام الجماعة، وما كان عام جماعة، بل كان عام فرقة وقهر وجبرية وغلبة، والعام الذي تحوّلت فيه الإمامة ملكاً كسروياً، والخلافة غصباً قيصرياً، ثمّ مازالت معاصيه من جنس ما حكيناه، وعلى منازل ما رتّبناه، حتى ردّ قضية رسول اللَّه صلَّى اللَّه عليه و آله و سلَّم ردّاً مكشوفاً وجحد حكمه جحداً ظاهراً </w:t>
      </w:r>
      <w:r>
        <w:rPr>
          <w:rStyle w:val="FootnoteAnchor"/>
          <w:rtl w:val="true"/>
        </w:rPr>
        <w:footnoteReference w:id="278"/>
      </w:r>
      <w:r>
        <w:rPr>
          <w:rFonts w:ascii="Amiri" w:hAnsi="Amiri" w:eastAsia="Amiri" w:cs="Amiri"/>
          <w:color w:val="111111"/>
          <w:sz w:val="28"/>
          <w:sz w:val="28"/>
          <w:szCs w:val="28"/>
          <w:rtl w:val="true"/>
          <w:lang w:bidi="ar-SA"/>
        </w:rPr>
        <w:t>، فخرج بذلك من حكم الفجّار إلى حكم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ليس قتل حجر بن عدي، وإطعام عمرو بن العاص خراج مصر، وبيعة يزيد الخليع، والاستئثار بالفي‌ء، واختيار الولاة على الهوى، وتعطيل الحدود بالشفاعة والقرابة، من جنس الأحكام المنصوصة والشرائع المشهورة، والسنن المنصوبة، وسواء جحد الكتاب، وردّ السنّة إذا كانت في شهرة الكتاب وظهوره، إلّا أنّ أحدهما أعظم وعقاب الآخرة عليه أشد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أربت نابتة عصرنا ومبدعة دهرنا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تسبّوه فإنّ له صحبة وسبّ معاوية بدعة، ومن بغضه فقد خالف السنّة، فزعمت أنّ من السنّة ترك البراءة ممّن جحد السنّة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الذي ألَّب على عثمان وسرّ بقتله، ثم اجتمع مع معاوية يطالب بدمه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من أشدّ</w:t>
      </w:r>
    </w:p>
    <w:p>
      <w:pPr>
        <w:pStyle w:val="BookText"/>
        <w:rPr/>
      </w:pPr>
      <w:r>
        <w:rPr>
          <w:rFonts w:ascii="Amiri" w:hAnsi="Amiri" w:eastAsia="Amiri" w:cs="Amiri"/>
          <w:color w:val="111111"/>
          <w:sz w:val="28"/>
          <w:sz w:val="28"/>
          <w:szCs w:val="28"/>
          <w:rtl w:val="true"/>
          <w:lang w:bidi="ar-SA"/>
        </w:rPr>
        <w:t>المدافعين عنه، وأعطفهم عليه يوم أمر طلحة بمنع الماء عنه وتعجيل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كان من ابن العاص حبّاً بخراج مصر، لا بعثمان ولا بمعاوية أيضاً، والعجب أنّ الرسول صلَّى اللَّه عليه و آله و سلَّم تنبّأ بذلك وصرّح بأنّهما لا يجتمعان إلّا على غدر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الخليع المستهتر خليفة معاوية الذي ولّي ثلاث سنين بعده، فقتل في الأُولى الحسين، وفي الثانية أغار على المدينة وقتل من الصحابة والتابعين ما لا يحصى وأباح أعراضهم، وفي الثالثة رمى الكعبة </w:t>
      </w:r>
      <w:r>
        <w:rPr>
          <w:rStyle w:val="FootnoteAnchor"/>
          <w:rtl w:val="true"/>
        </w:rPr>
        <w:footnoteReference w:id="282"/>
      </w:r>
      <w:r>
        <w:rPr>
          <w:rFonts w:ascii="Amiri" w:hAnsi="Amiri" w:eastAsia="Amiri" w:cs="Amiri"/>
          <w:color w:val="111111"/>
          <w:sz w:val="28"/>
          <w:sz w:val="28"/>
          <w:szCs w:val="28"/>
          <w:rtl w:val="true"/>
          <w:lang w:bidi="ar-SA"/>
        </w:rPr>
        <w:t>، وكفى في كفره وإلحاده جهره بقول ابن الزبعرى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لعبت هاشم بالملك فلا خبر جاء ولا وحي نزل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 الذي كان من أشدّ الناس بغضاً 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أشدّ الناس بغضاً لأهل البيت مروان بن الحكم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يولد لأحد بالمدينة ولد إلّا اتي به النبيّ صلَّى اللَّه عليه و آله و سلَّم، فادخل عليه مروان بن الحكم،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وزغ بن الوزغ، الملعون بن الملعون</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عقبة شارب الخمر، والزائد في الفريضة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اللَّه سعد بن أبي سرح الذي أهدر النبي دمه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يزيد بن عبد الملك، الذي يخاطب كتاب اللَّه العزيز بعد أن ألقاه ورماه بالسهام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تهدّدني بجبار عنيد</w:t>
      </w:r>
    </w:p>
    <w:p>
      <w:pPr>
        <w:pStyle w:val="BookText"/>
        <w:rPr/>
      </w:pPr>
      <w:r>
        <w:rPr>
          <w:rFonts w:ascii="Amiri" w:hAnsi="Amiri" w:eastAsia="Amiri" w:cs="Amiri"/>
          <w:color w:val="111111"/>
          <w:sz w:val="28"/>
          <w:sz w:val="28"/>
          <w:szCs w:val="28"/>
          <w:rtl w:val="true"/>
          <w:lang w:bidi="ar-SA"/>
        </w:rPr>
        <w:t>فها أنا ذاك جبّار عنيد</w:t>
      </w:r>
    </w:p>
    <w:p>
      <w:pPr>
        <w:pStyle w:val="BookText"/>
        <w:rPr/>
      </w:pPr>
      <w:r>
        <w:rPr>
          <w:rFonts w:ascii="Amiri" w:hAnsi="Amiri" w:eastAsia="Amiri" w:cs="Amiri"/>
          <w:color w:val="111111"/>
          <w:sz w:val="28"/>
          <w:sz w:val="28"/>
          <w:szCs w:val="28"/>
          <w:rtl w:val="true"/>
          <w:lang w:bidi="ar-SA"/>
        </w:rPr>
        <w:t>إذا ما جئت ربّك يوم حشر</w:t>
      </w:r>
    </w:p>
    <w:p>
      <w:pPr>
        <w:pStyle w:val="BookText"/>
        <w:rPr/>
      </w:pPr>
      <w:r>
        <w:rPr>
          <w:rFonts w:ascii="Amiri" w:hAnsi="Amiri" w:eastAsia="Amiri" w:cs="Amiri"/>
          <w:color w:val="111111"/>
          <w:sz w:val="28"/>
          <w:sz w:val="28"/>
          <w:szCs w:val="28"/>
          <w:rtl w:val="true"/>
          <w:lang w:bidi="ar-SA"/>
        </w:rPr>
        <w:t xml:space="preserve">فقل يا ربّ مزّقني الوليد </w:t>
      </w:r>
      <w:r>
        <w:rPr>
          <w:rStyle w:val="FootnoteAnchor"/>
          <w:rtl w:val="true"/>
        </w:rPr>
        <w:footnoteReference w:id="287"/>
      </w:r>
      <w:r>
        <w:rPr>
          <w:rFonts w:ascii="Amiri" w:hAnsi="Amiri" w:eastAsia="Amiri" w:cs="Amiri"/>
          <w:color w:val="111111"/>
          <w:sz w:val="28"/>
          <w:sz w:val="28"/>
          <w:szCs w:val="28"/>
          <w:rtl w:val="true"/>
          <w:lang w:bidi="ar-SA"/>
        </w:rPr>
        <w:t>و يقول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الوليد هذا كان فاسقاً خميراً لوّاطا راود أخاه سليمان عن نفسه ونكح زوجات أبيه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وأضرابهم هم الذين تتبرّأ الشيعة منهم وتحكم عليهم بما حكم اللَّه به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أفيصح تكفير الشيعة وتفسيقهم لأجل سبّ هؤلاء والتبرّي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 هؤلاء يندى لها جبين الانسانية ولا يمكن أن تغضي عنها، فياللَّه، أمن الانصاف أن تتّهم الشيعة بالانحراف والخروج عن الدين لأنّها تدين هؤلاء وتلعنهم واللَّه تعالى لعن أقواماً كثيرين في كتابه الحكيم وكذلك رسوله صلَّى اللَّه عليه و آله و سلَّم؟ ولعلّ أعمال أُولئك لو وزنت بأعمال هؤلاء لما رجحت عليها</w:t>
      </w:r>
      <w:r>
        <w:rPr>
          <w:rFonts w:eastAsia="Amiri" w:cs="Amiri" w:ascii="Amiri" w:hAnsi="Amiri"/>
          <w:color w:val="111111"/>
          <w:sz w:val="28"/>
          <w:szCs w:val="28"/>
          <w:rtl w:val="true"/>
          <w:lang w:bidi="ar-SA"/>
        </w:rPr>
        <w:t>.</w:t>
      </w:r>
      <w:bookmarkStart w:id="198" w:name="pg507_2886"/>
    </w:p>
    <w:p>
      <w:pPr>
        <w:pStyle w:val="Heading2"/>
        <w:numPr>
          <w:ilvl w:val="1"/>
          <w:numId w:val="1"/>
        </w:numPr>
        <w:rPr/>
      </w:pPr>
      <w:bookmarkStart w:id="199" w:name="__RefHeading___Toc4440493_211673320"/>
      <w:bookmarkStart w:id="200" w:name="_Toc71"/>
      <w:bookmarkEnd w:id="198"/>
      <w:bookmarkEnd w:id="199"/>
      <w:r>
        <w:rPr>
          <w:rtl w:val="true"/>
        </w:rPr>
        <w:t>المسألة العاشرة</w:t>
      </w:r>
      <w:r>
        <w:rPr>
          <w:rtl w:val="true"/>
        </w:rPr>
        <w:t xml:space="preserve">: </w:t>
      </w:r>
      <w:r>
        <w:rPr>
          <w:rtl w:val="true"/>
        </w:rPr>
        <w:t>السجود على الأرض‌</w:t>
      </w:r>
      <w:bookmarkEnd w:id="200"/>
    </w:p>
    <w:p>
      <w:pPr>
        <w:pStyle w:val="Heading3"/>
        <w:numPr>
          <w:ilvl w:val="2"/>
          <w:numId w:val="1"/>
        </w:numPr>
        <w:rPr/>
      </w:pPr>
      <w:bookmarkStart w:id="201" w:name="__RefHeading___Toc4440495_211673320"/>
      <w:bookmarkStart w:id="202" w:name="_Toc72"/>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 xml:space="preserve">لعلّ من أوضح مظاهر العبودية والانقياد والتذلّل من قبل المخلوق لخالقه، هو السجود، وبه يؤكد المؤمن عبوديته المؤكّدة للَّه‌تعالى، ومن هنا فانّ البارى‌ء عزّ اسمه يقدّر لعبده هذا التصاغر وهذه الطاعة فيضفي على الساجد فيض لطفه وعظيم إحسانه، لذا روي في بعض المأثورات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ما يكون العبد إلى ربّه حال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الصلاة من بين العبادات معراجاً يتميّز بها المؤمن عن الكافر، وكان السجود ركناً من أركانها، فليس هناك أوضح في إعلام التذلّل للَّه‌تعالى من السجود على التراب والرمل والحجر والحصى، لما فيه من تذلّل أوضح وأبين من السجود على الحصر والبواري، فضلًا عن السجود على الألبسة الفاخرة والفرش الوثيرة والذهب والفضّة، وإن كان الكلّ سجوداً، إلّا أنّ العبودية تتجلّى في الأوّل بما لاتتجلّى في غيره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والإمامية ملتزمة بالسجدة على الأرض في حضرهم وسفرهم، ولايعدلون عنها إلّا ما أُنبت منها من الحصر والبواري بشرط أن لايؤكل ولا يلبس، ولايرون السجود على غيرهما صحيحاً في حال الصلاة أخذاً بالسنّة المتواترة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وصحبه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ثنايا</w:t>
      </w:r>
      <w:bookmarkStart w:id="203" w:name="pg507_2887"/>
    </w:p>
    <w:p>
      <w:pPr>
        <w:pStyle w:val="BookText"/>
        <w:rPr/>
      </w:pPr>
      <w:bookmarkEnd w:id="203"/>
      <w:r>
        <w:rPr>
          <w:rFonts w:ascii="Amiri" w:hAnsi="Amiri" w:eastAsia="Amiri" w:cs="Amiri"/>
          <w:color w:val="111111"/>
          <w:sz w:val="28"/>
          <w:sz w:val="28"/>
          <w:szCs w:val="28"/>
          <w:rtl w:val="true"/>
          <w:lang w:bidi="ar-SA"/>
        </w:rPr>
        <w:t>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بالسجود على الأرض أو ما أنبتت، كانت هي السنّة بين الصحابة، وأنّ العدول عنها حدث في الأزمنة المتأخرة ولأجل توضيح المقام نقدّم أُموراً</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4440497_211673320"/>
      <w:bookmarkStart w:id="205" w:name="_Toc73"/>
      <w:bookmarkEnd w:id="204"/>
      <w:r>
        <w:rPr/>
        <w:t>1</w:t>
      </w:r>
      <w:r>
        <w:rPr>
          <w:rtl w:val="true"/>
        </w:rPr>
        <w:t xml:space="preserve">- </w:t>
      </w:r>
      <w:r>
        <w:rPr>
          <w:rtl w:val="true"/>
        </w:rPr>
        <w:t>اختلاف الفقهاء في شرائط المسجود عليه</w:t>
      </w:r>
      <w:r>
        <w:rPr>
          <w:rtl w:val="true"/>
        </w:rPr>
        <w:t>:</w:t>
      </w:r>
      <w:bookmarkEnd w:id="205"/>
    </w:p>
    <w:p>
      <w:pPr>
        <w:pStyle w:val="BookText"/>
        <w:rPr/>
      </w:pPr>
      <w:r>
        <w:rPr>
          <w:rFonts w:ascii="Amiri" w:hAnsi="Amiri" w:eastAsia="Amiri" w:cs="Amiri"/>
          <w:color w:val="111111"/>
          <w:sz w:val="28"/>
          <w:sz w:val="28"/>
          <w:szCs w:val="28"/>
          <w:rtl w:val="true"/>
          <w:lang w:bidi="ar-SA"/>
        </w:rPr>
        <w:t>اتّفق المسلمون على وجوب السجود في الصلاة في كلّ ركعة مرّتين، ولم‌يختلفوا في المسجود له، فإنّه هو اللَّه سبحانه الذي له يسجد من في السموات والأرض طوعاً وكرهاً</w:t>
      </w:r>
      <w:r>
        <w:rPr>
          <w:rStyle w:val="FootnoteAnchor"/>
          <w:rtl w:val="true"/>
        </w:rPr>
        <w:footnoteReference w:id="289"/>
      </w:r>
      <w:r>
        <w:rPr>
          <w:rFonts w:ascii="Amiri" w:hAnsi="Amiri" w:eastAsia="Amiri" w:cs="Amiri"/>
          <w:color w:val="111111"/>
          <w:sz w:val="28"/>
          <w:sz w:val="28"/>
          <w:szCs w:val="28"/>
          <w:rtl w:val="true"/>
          <w:lang w:bidi="ar-SA"/>
        </w:rPr>
        <w:t>وشعار كلّ مسلم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تَسْجُدُواْ لِلشَّمْسِ وَ لَالِلْقَمَرِ وَ اسْجُدُواْ لِلَّهِ الَّذِى خَلَقَهُنَّ</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وإنّما اختلفوا في شروط المسجود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يضع الساجد بجهته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فالشيعة الإمامية تشترط على أن يكون المسجود عليه أرضاً أو ما ينبت منها غير مأكول ولا ملبوس كالحصر والبواري، 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وخالفهم في ذلك غيرهم من المذاهب، وإليك نقل الآراء</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الطوسي </w:t>
      </w:r>
      <w:r>
        <w:rPr>
          <w:rStyle w:val="FootnoteAnchor"/>
          <w:rtl w:val="true"/>
        </w:rPr>
        <w:footnoteReference w:id="291"/>
      </w:r>
      <w:r>
        <w:rPr>
          <w:rFonts w:ascii="Amiri" w:hAnsi="Amiri" w:eastAsia="Amiri" w:cs="Amiri"/>
          <w:color w:val="111111"/>
          <w:sz w:val="28"/>
          <w:sz w:val="28"/>
          <w:szCs w:val="28"/>
          <w:rtl w:val="true"/>
          <w:lang w:bidi="ar-SA"/>
        </w:rPr>
        <w:t>وهو يبيّن آراء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السجود إلّا على الأرض أو ما أنبتته الأرض ممّا لا يؤكل و لايلبس من قطن أو كتان 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جميع الفقهاء في ذلك وأجازوا السجود على القطن والكتان والشعر والصوف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السجود على شي‌ء هو</w:t>
      </w:r>
    </w:p>
    <w:p>
      <w:pPr>
        <w:pStyle w:val="BookText"/>
        <w:rPr/>
      </w:pPr>
      <w:r>
        <w:rPr>
          <w:rFonts w:ascii="Amiri" w:hAnsi="Amiri" w:eastAsia="Amiri" w:cs="Amiri"/>
          <w:color w:val="111111"/>
          <w:sz w:val="28"/>
          <w:sz w:val="28"/>
          <w:szCs w:val="28"/>
          <w:rtl w:val="true"/>
          <w:lang w:bidi="ar-SA"/>
        </w:rPr>
        <w:t>حامل له ككور العمامة، وطرف الرداء، وكم القميص، وبه قال الشافعي، وروي ذلك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عمر، وعبادة بن الصامت، ومالك، وأحمد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على ما هو حامل له كالثياب التي عليه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سجد على ما لاينفصل منه مثل أن يفترش يده ويسجد عليها أجزأه لكنّه مكروه، وروي ذلك عن الحسن البصري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الحلّي</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يبيّن آراء الفقهاء فيما يسجد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السجود على ما ليس بأرض ولا من نباتها كالجلود والصوف عند علماءنا أجمع، وأطبق الجمهور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اقتفت الشيعة في ذلك أئمتهم الذين هم أعدال الكتاب وقرناؤه في حديث الثقلين ونحن نكتفي هنا بإيراد جانباً ممّا روي في هذا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باسناده عن هشام بن الحكم أنّه قال لأبي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يجوز السجود عليه، وعمّا لايجوز؟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لايجوز إلّا على الأرض، أو على ما أنبتت الأرض إلّا ما اكل أو 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العلّة في ذلك؟</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السجود خضوع للَّه‌عزّ وجلّ فلاينبغي أن يكون على ما يؤكل ويلبس، لأنّ أبناء الدنيا عبيد ما يأكلون ويلبسون، والساجد في سجوده في عبادة اللَّه عزّ وجلّ، فلا ينبغي أن يضع جبهته في سجوده على</w:t>
      </w:r>
      <w:bookmarkStart w:id="206" w:name="pg507_2889"/>
    </w:p>
    <w:p>
      <w:pPr>
        <w:pStyle w:val="BookText"/>
        <w:rPr/>
      </w:pPr>
      <w:bookmarkEnd w:id="206"/>
      <w:r>
        <w:rPr>
          <w:rFonts w:ascii="Amiri" w:hAnsi="Amiri" w:eastAsia="Amiri" w:cs="Amiri"/>
          <w:color w:val="111111"/>
          <w:sz w:val="28"/>
          <w:sz w:val="28"/>
          <w:szCs w:val="28"/>
          <w:rtl w:val="true"/>
          <w:lang w:bidi="ar-SA"/>
        </w:rPr>
        <w:t>معبود أبناء الدنيا الذين اغترّوا لغرورها</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فلا عتب على الشيعة إذا التزموا بالسجود على الأرض أو ما أنبتته إذ لم يكن مأكولًا ولا ملبوساً اقتداءً بأئمّتهم، على أنّ ما رواه أهل السنّة في المقام، يدعم نظريّة الشيعة، وسيظهر لك فيما سيأتي من سرد الأحاديث من طرقهم، ويتّضح أنّ السنّة كانت هي السجود على الأرض، ثمّ جاءت الرخصة في الحصر والبواري فقط، ولم يثبت الترخيص الآخر بل ثبت المنع عنه كما سيوافيك</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4440499_211673320"/>
      <w:bookmarkStart w:id="208" w:name="_Toc74"/>
      <w:bookmarkEnd w:id="207"/>
      <w:r>
        <w:rPr/>
        <w:t>2</w:t>
      </w:r>
      <w:r>
        <w:rPr>
          <w:rtl w:val="true"/>
        </w:rPr>
        <w:t xml:space="preserve">- </w:t>
      </w:r>
      <w:r>
        <w:rPr>
          <w:rtl w:val="true"/>
        </w:rPr>
        <w:t>الفرق بين المسجود له والمسجود عليه</w:t>
      </w:r>
      <w:r>
        <w:rPr>
          <w:rtl w:val="true"/>
        </w:rPr>
        <w:t>:</w:t>
      </w:r>
      <w:bookmarkEnd w:id="20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كثيراً ما يتصوّر أنّ الالتزام بالسجود على الأرض أو ما أنبتت منها بدعة ويتخيّل الحجر المسجود عليه وثناً، وهؤلاء هم الذين لايفرّقون بين المسجود له، والمسجود عليه، ويزعمون أنّ الحجر أو التربة الموضوعة أمام المصلّي وثناً يعبده المصلّي بوضع الجبهة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عتب على الشيعة إذا قصر فهم المخالف، ولم يفرّق بين الأمرين، وزعم المسجود عليه مسجوداً له، وقاس أمر الموحّد بأمر المشرك بحجّة المشاركة في الظاهر، فأخذ بالصور والظواهر، مع أنّ الملاك هو الأخذ بالبواطن والضمائر، فالوثن عن الوثني معبود ومسجود له يضعه أمامه ويركع ويسجد له، ولكن الموحّد الذي يريد أن يصليّ في إظهار العبودية إلى نهاية مراتبها، يخضع للَّه‌سبحانه ويسجده له، ويضع جبهته ووجهه على التراب والحجر والرمال والحصى، مظهراً بذلك</w:t>
      </w:r>
      <w:bookmarkStart w:id="209" w:name="pg507_2890"/>
    </w:p>
    <w:p>
      <w:pPr>
        <w:pStyle w:val="BookText"/>
        <w:rPr/>
      </w:pPr>
      <w:bookmarkEnd w:id="209"/>
      <w:r>
        <w:rPr>
          <w:rFonts w:ascii="Amiri" w:hAnsi="Amiri" w:eastAsia="Amiri" w:cs="Amiri"/>
          <w:color w:val="111111"/>
          <w:sz w:val="28"/>
          <w:sz w:val="28"/>
          <w:szCs w:val="28"/>
          <w:rtl w:val="true"/>
          <w:lang w:bidi="ar-SA"/>
        </w:rPr>
        <w:t>مساواته معها عند التقييم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التراب وربّ الأرباب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الساجد على التربة غير عابد لها، بل يتذلّل إلى ربّه بالسجود عليها، ومن توهّم عكس ذلك فهو من البلاهة بمكان، وسيؤدي إلى إرباك كلّ المصلين والحكم باشراكهم، فمن يسجد على الفرش والقماش وغيره لابدّ أن يكون عابداً لها على هذا المنوال فيا للعجب العجاب</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4440501_211673320"/>
      <w:bookmarkStart w:id="211" w:name="_Toc75"/>
      <w:bookmarkEnd w:id="210"/>
      <w:r>
        <w:rPr/>
        <w:t>3</w:t>
      </w:r>
      <w:r>
        <w:rPr>
          <w:rtl w:val="true"/>
        </w:rPr>
        <w:t xml:space="preserve">- </w:t>
      </w:r>
      <w:r>
        <w:rPr>
          <w:rtl w:val="true"/>
        </w:rPr>
        <w:t xml:space="preserve">السنّة في السجود في عصر الرسول </w:t>
      </w:r>
      <w:r>
        <w:rPr>
          <w:rtl w:val="true"/>
        </w:rPr>
        <w:t>(</w:t>
      </w:r>
      <w:r>
        <w:rPr>
          <w:rtl w:val="true"/>
        </w:rPr>
        <w:t>صلّى اللَّه عليه و آله وسلّم</w:t>
      </w:r>
      <w:r>
        <w:rPr>
          <w:rtl w:val="true"/>
        </w:rPr>
        <w:t xml:space="preserve">) </w:t>
      </w:r>
      <w:r>
        <w:rPr>
          <w:rtl w:val="true"/>
        </w:rPr>
        <w:t>وبعده</w:t>
      </w:r>
      <w:r>
        <w:rPr>
          <w:rtl w:val="true"/>
        </w:rPr>
        <w:t>:</w:t>
      </w:r>
      <w:bookmarkEnd w:id="211"/>
    </w:p>
    <w:p>
      <w:pPr>
        <w:pStyle w:val="BookText"/>
        <w:rPr/>
      </w:pPr>
      <w:r>
        <w:rPr>
          <w:rFonts w:ascii="Amiri" w:hAnsi="Amiri" w:eastAsia="Amiri" w:cs="Amiri"/>
          <w:color w:val="111111"/>
          <w:sz w:val="28"/>
          <w:sz w:val="28"/>
          <w:szCs w:val="28"/>
          <w:rtl w:val="true"/>
          <w:lang w:bidi="ar-SA"/>
        </w:rPr>
        <w:t xml:space="preserve">إنّ النبى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وصحبه كانوا ملتزمين بالسجود على الأرض مدّة لا يستهان بها، متحمّلين شدّة الرمضاء، وغبار التراب، ورطوبة الطين، طيلة 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يسجد أحد يوم ذاك على الثوب وكور العمامة بل و لا على الحصر والبواري والخمر، وأقصى ما كان عندهم لرفع الأذى عن الجبهة، هو تبريد الحصى بأكفّهم ثمّ السجود عليها، وقد شكى بعضهم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شدّة الحرّ، فلم يجبه، إذ لم يكن له أن يبدل الأمر الإلهي من تلقاء نفسه، إلى أن وردت الرخصة بالسجود على الخمر و الحصر، فوسع الأمر للمسلمين لكن في إطار محدود، وعلى ضوء هذا فقد مرّت في ذلك الوقت على المسلمين مرحلتان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الواجب فيها على المسلمين السجود على الأرض بأنواعها المختلفة من التراب والرمل والحصى والطين، ولم تكن هناك أيّة رخصة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التي ورد فيها الرخصة بالسجود على نبال الأرض من الحصى والبواري والخمر، تسهيلًا للأمر، ورفعاً للحرج والمشقّة، ولم تكن هناك أيّة مرحلة أُخرى توسع الأمر للمسلمين أكثر من ذلك كما يدّعيه البعض، وإليك البيان</w:t>
      </w:r>
      <w:r>
        <w:rPr>
          <w:rFonts w:eastAsia="Amiri" w:cs="Amiri" w:ascii="Amiri" w:hAnsi="Amiri"/>
          <w:color w:val="111111"/>
          <w:sz w:val="28"/>
          <w:szCs w:val="28"/>
          <w:rtl w:val="true"/>
          <w:lang w:bidi="ar-SA"/>
        </w:rPr>
        <w:t>:</w:t>
      </w:r>
      <w:bookmarkStart w:id="212" w:name="pg507_2891"/>
    </w:p>
    <w:p>
      <w:pPr>
        <w:pStyle w:val="Heading3"/>
        <w:numPr>
          <w:ilvl w:val="2"/>
          <w:numId w:val="1"/>
        </w:numPr>
        <w:rPr/>
      </w:pPr>
      <w:bookmarkStart w:id="213" w:name="__RefHeading___Toc4440503_211673320"/>
      <w:bookmarkStart w:id="214" w:name="_Toc76"/>
      <w:bookmarkEnd w:id="212"/>
      <w:bookmarkEnd w:id="213"/>
      <w:r>
        <w:rPr>
          <w:rtl w:val="true"/>
        </w:rPr>
        <w:t>المرحلة الأُولى</w:t>
      </w:r>
      <w:r>
        <w:rPr>
          <w:rtl w:val="true"/>
        </w:rPr>
        <w:t xml:space="preserve">: </w:t>
      </w:r>
      <w:r>
        <w:rPr>
          <w:rtl w:val="true"/>
        </w:rPr>
        <w:t>السجود على الأرض</w:t>
      </w:r>
      <w:r>
        <w:rPr>
          <w:rtl w:val="true"/>
        </w:rPr>
        <w:t>:</w:t>
      </w:r>
      <w:bookmarkEnd w:id="214"/>
    </w:p>
    <w:p>
      <w:pPr>
        <w:pStyle w:val="Heading4"/>
        <w:numPr>
          <w:ilvl w:val="3"/>
          <w:numId w:val="1"/>
        </w:numPr>
        <w:rPr/>
      </w:pPr>
      <w:bookmarkStart w:id="215" w:name="__RefHeading___Toc4440505_211673320"/>
      <w:bookmarkStart w:id="216" w:name="_Toc77"/>
      <w:bookmarkEnd w:id="215"/>
      <w:r>
        <w:rPr>
          <w:rtl w:val="true"/>
        </w:rPr>
        <w:t>اشاره</w:t>
      </w:r>
      <w:bookmarkEnd w:id="2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الفريقان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وجُعلت لي الأرض مسجداً وطهوراً</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والمتبادر من الحديث أنّ كلّ جزء من الأرض مسجد وطهور يُسجد عليه ويُقصد لتيمّم، وعلى ذلك فالأرض تقصد للجهتين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لسجود تارةً، ولتيمّم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تفسير الرواية بأنّ العبادة والسجود للَّه‌سبحانه لا يختص بمكان دون مكان، بل الأرض كلّها مسجد للمسلمين بخلاف غيرهم حيث خصّوا العبادة بالبيع والكنائس، فهذا المعنى ليس مغايراً لما ذكرناه، فإنّه إذا كانت الأرض على وجه الإطلاق مسجداً للمصلّي فيكون لازمه كون الأرض كلّها صالحة لعبادة، فما ذكر معنى التزامي لما ذكرناه، ويعرب عن كونه المراد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وجعلهما مفعولين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هو توصيف الأرض بوصفين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مسجداً وكونه طهوراً، وهذا هو الذي فهمه الجصاص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جعله من الأرض مسجداً هو الذي جعله طهوراً </w:t>
      </w:r>
      <w:r>
        <w:rPr>
          <w:rStyle w:val="FootnoteAnchor"/>
          <w:rtl w:val="true"/>
        </w:rPr>
        <w:footnoteReference w:id="296"/>
      </w:r>
      <w:r>
        <w:rPr>
          <w:rFonts w:ascii="Amiri" w:hAnsi="Amiri" w:eastAsia="Amiri" w:cs="Amiri"/>
          <w:color w:val="111111"/>
          <w:sz w:val="28"/>
          <w:sz w:val="28"/>
          <w:szCs w:val="28"/>
          <w:rtl w:val="true"/>
          <w:lang w:bidi="ar-SA"/>
        </w:rPr>
        <w:t>ومثله غيره من شرّاح الحديث</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4440507_211673320"/>
      <w:bookmarkStart w:id="218" w:name="_Toc78"/>
      <w:bookmarkEnd w:id="217"/>
      <w:r>
        <w:rPr>
          <w:rtl w:val="true"/>
        </w:rPr>
        <w:t>تبريد الحصى للسجود عليها</w:t>
      </w:r>
      <w:r>
        <w:rPr>
          <w:rtl w:val="true"/>
        </w:rPr>
        <w:t>:</w:t>
      </w:r>
      <w:bookmarkEnd w:id="21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اصلّي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الظهر، فآخذ قبضة من الحصي، فأجعلها في كفّي ثمّ احوّلها إلى الكف الأُخرى حتى تبرد ثمّ أضعها لجبيني، حتّى أسجد عليها من شدّة الحرّ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وعلّق عليه البيهقي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جاز السجود على ثوب متّصل به لكان ذلك أسهل من تبريد الحصى بالكف ووضعها للسجود</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الجسود على مطلق الثياب سواء كان متصلًا أم منفصلًا جائزاً لكان أسهل من تبريد الحصى، ولأمكن حمل منديل أو ما شابه للسجود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شدّة الحرّ فيأخذ أحدنا الحصباء في يده فإذا برد وضعه وسجده عليه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خباب بن الأرت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 الرمضاء في جباهنا وأكفّنا فلم يشكنا</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الأثير في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لمّا شكوا إليه ما يجدون من ذلك لم يفسح له م أن يسجدوا على طرف ثيابهم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المأثورات تعرب عن أنّ السنّة في الصلاة كانت جارية على السجود على الأرض فقط، حتّى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يفسح للمسلمين العدول عنها إلى الثياب المتّصلة أو المنفصلة،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بالمؤمنين رؤوفاً</w:t>
      </w:r>
      <w:bookmarkStart w:id="219" w:name="pg507_2893"/>
    </w:p>
    <w:p>
      <w:pPr>
        <w:pStyle w:val="BookText"/>
        <w:rPr/>
      </w:pPr>
      <w:bookmarkEnd w:id="219"/>
      <w:r>
        <w:rPr>
          <w:rFonts w:ascii="Amiri" w:hAnsi="Amiri" w:eastAsia="Amiri" w:cs="Amiri"/>
          <w:color w:val="111111"/>
          <w:sz w:val="28"/>
          <w:sz w:val="28"/>
          <w:szCs w:val="28"/>
          <w:rtl w:val="true"/>
          <w:lang w:bidi="ar-SA"/>
        </w:rPr>
        <w:t>رحيماً أوجب عليهم مسّ جباههم الأرض، وإن؟ ذتهم شدّة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يعرب عن التزام المسلمين بالسجود على الأرض، وعن إصرار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الجبهة عليها لا على الثياب المتّصلة ككور العمامة أو المنفصلة كالمناديل والسجاجيد، ما روي من حديث الأمر بالتترتيب في غير واحد من الروايات</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4440509_211673320"/>
      <w:bookmarkStart w:id="221" w:name="_Toc79"/>
      <w:bookmarkEnd w:id="220"/>
      <w:r>
        <w:rPr>
          <w:rtl w:val="true"/>
        </w:rPr>
        <w:t>الأمر بالتتريب</w:t>
      </w:r>
      <w:r>
        <w:rPr>
          <w:rtl w:val="true"/>
        </w:rPr>
        <w:t>:</w:t>
      </w:r>
      <w:bookmarkEnd w:id="22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صهيباً يسجد كأنّه يتّقي التراب فاقل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 وجهك يا صهيب</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صهيباً كان يتّقي عن التتريب بالسجود على الثوب المتّصل والمنفصل، ولا أقل بالسجود على الحصر والبواري والأحجار الصافية، وعلى كلّ تقدير، فالحديث شاهد على أفضليّة السجود على التراب في مقابل السجود على الحصى لما دلّ من جواز السجدة على الحصى في مقابل السجود على غير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لنا يقال له أفلح ينفخ إذا سجد،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أفلح ترّب</w:t>
      </w:r>
      <w:r>
        <w:rPr>
          <w:rFonts w:eastAsia="Amiri" w:cs="Amiri" w:ascii="Amiri" w:hAnsi="Amiri"/>
          <w:color w:val="111111"/>
          <w:sz w:val="28"/>
          <w:szCs w:val="28"/>
          <w:rtl w:val="true"/>
          <w:lang w:bidi="ar-SA"/>
        </w:rPr>
        <w:t xml:space="preserve">» </w:t>
      </w:r>
      <w:r>
        <w:rPr>
          <w:rStyle w:val="FootnoteAnchor"/>
        </w:rPr>
        <w:footnoteReference w:id="303"/>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رباح ترّب وجهك</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سلمة، فدخل علهيا ابن أخ لها فصلّي في بيتها ركعتين، فلمّا سجد نفخ التراب، فقال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w:t>
      </w:r>
      <w:bookmarkStart w:id="222" w:name="pg507_2894"/>
    </w:p>
    <w:p>
      <w:pPr>
        <w:pStyle w:val="BookText"/>
        <w:rPr/>
      </w:pPr>
      <w:bookmarkEnd w:id="222"/>
      <w:r>
        <w:rPr>
          <w:rFonts w:ascii="Amiri" w:hAnsi="Amiri" w:eastAsia="Amiri" w:cs="Amiri"/>
          <w:color w:val="111111"/>
          <w:sz w:val="28"/>
          <w:sz w:val="28"/>
          <w:szCs w:val="28"/>
          <w:rtl w:val="true"/>
          <w:lang w:bidi="ar-SA"/>
        </w:rPr>
        <w:t xml:space="preserve">أخي لا تفتخ،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لغلام له يقال له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 وجهك للَّه</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 w:name="__RefHeading___Toc4440511_211673320"/>
      <w:bookmarkStart w:id="224" w:name="_Toc80"/>
      <w:bookmarkEnd w:id="223"/>
      <w:r>
        <w:rPr>
          <w:rtl w:val="true"/>
        </w:rPr>
        <w:t>الأمر بحسر العمامة عن الجبهة</w:t>
      </w:r>
      <w:r>
        <w:rPr>
          <w:rtl w:val="true"/>
        </w:rPr>
        <w:t>:</w:t>
      </w:r>
      <w:bookmarkEnd w:id="22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سجد رفع العمامة عن جبهته </w:t>
      </w:r>
      <w:r>
        <w:rPr>
          <w:rStyle w:val="FootnoteAnchor"/>
        </w:rPr>
        <w:footnoteReference w:id="306"/>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أمير المؤمنين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أحدكم يصلّي فليحسر العمامة عن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حتّى لا يسجد على كور العمامة</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صالح بن حيوان السبائي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رجلًا يسجد بجنبه وقد اعتمّ على جبهته فحر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جبته‌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الروايات تكشف عن أنّه لم يكن للمسلمين يوم ذاك تكليف إلّا السجود على الأرض، ولم يكن هناك أي رخصة سوى تبريد الحصى، ولو كان هناك ترخيص لما فعلوا ذلك، ولما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بالتترتيب، وحسر العمامة عن الجهة</w:t>
      </w:r>
      <w:r>
        <w:rPr>
          <w:rFonts w:eastAsia="Amiri" w:cs="Amiri" w:ascii="Amiri" w:hAnsi="Amiri"/>
          <w:color w:val="111111"/>
          <w:sz w:val="28"/>
          <w:szCs w:val="28"/>
          <w:rtl w:val="true"/>
          <w:lang w:bidi="ar-SA"/>
        </w:rPr>
        <w:t>.</w:t>
      </w:r>
      <w:bookmarkStart w:id="225" w:name="pg507_2895"/>
    </w:p>
    <w:p>
      <w:pPr>
        <w:pStyle w:val="Heading3"/>
        <w:numPr>
          <w:ilvl w:val="2"/>
          <w:numId w:val="1"/>
        </w:numPr>
        <w:rPr/>
      </w:pPr>
      <w:bookmarkStart w:id="226" w:name="__RefHeading___Toc4440513_211673320"/>
      <w:bookmarkStart w:id="227" w:name="_Toc81"/>
      <w:bookmarkEnd w:id="225"/>
      <w:bookmarkEnd w:id="226"/>
      <w:r>
        <w:rPr>
          <w:rtl w:val="true"/>
        </w:rPr>
        <w:t>المرحلة الثانى</w:t>
      </w:r>
      <w:r>
        <w:rPr>
          <w:rtl w:val="true"/>
        </w:rPr>
        <w:t xml:space="preserve">: </w:t>
      </w:r>
      <w:r>
        <w:rPr>
          <w:rtl w:val="true"/>
        </w:rPr>
        <w:t>الترخيص في السجود على الخمر والحصر</w:t>
      </w:r>
      <w:r>
        <w:rPr>
          <w:rtl w:val="true"/>
        </w:rPr>
        <w:t>:</w:t>
      </w:r>
      <w:bookmarkEnd w:id="227"/>
    </w:p>
    <w:p>
      <w:pPr>
        <w:pStyle w:val="Heading4"/>
        <w:numPr>
          <w:ilvl w:val="3"/>
          <w:numId w:val="1"/>
        </w:numPr>
        <w:rPr/>
      </w:pPr>
      <w:bookmarkStart w:id="228" w:name="__RefHeading___Toc4440515_211673320"/>
      <w:bookmarkStart w:id="229" w:name="_Toc82"/>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 xml:space="preserve">هذه الأحاديث والمأثورات المبثوثة في الصحاح والمسانيد وسائر كتب الحديث تعرب عن التزام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بالسجود على الأرض بأنواعها، وأنّهم كانوا لا يعدلون عنه، وإن صعب الأمر واشتدّ الحرّ، لكن هناك نصوص تعرب عن ترخيص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بايحاء من اللَّه سبحانه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ما أنبتت الأرض، فسهل لهم بذلك أمر السجود، ورفع عنهم الاصر والمسقّة في الحرّ والبرد، وفيما إذا كانت الأرض مبتلّة، وإليك تلك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على الخمرة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الخمرة، 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الخمرة</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الخمرة</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على الخمرة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على الخمرة فيسجد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سليم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الخمرة</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على الخمر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bookmarkStart w:id="230" w:name="pg507_2896"/>
    </w:p>
    <w:p>
      <w:pPr>
        <w:pStyle w:val="Heading4"/>
        <w:numPr>
          <w:ilvl w:val="3"/>
          <w:numId w:val="1"/>
        </w:numPr>
        <w:rPr/>
      </w:pPr>
      <w:bookmarkStart w:id="231" w:name="__RefHeading___Toc4440517_211673320"/>
      <w:bookmarkStart w:id="232" w:name="_Toc83"/>
      <w:bookmarkEnd w:id="230"/>
      <w:bookmarkEnd w:id="231"/>
      <w:r>
        <w:rPr>
          <w:rtl w:val="true"/>
        </w:rPr>
        <w:t>السجود على الثياب لعذر</w:t>
      </w:r>
      <w:r>
        <w:rPr>
          <w:rtl w:val="true"/>
        </w:rPr>
        <w:t>:</w:t>
      </w:r>
      <w:bookmarkEnd w:id="232"/>
    </w:p>
    <w:p>
      <w:pPr>
        <w:pStyle w:val="BookText"/>
        <w:rPr/>
      </w:pPr>
      <w:r>
        <w:rPr>
          <w:rFonts w:ascii="Amiri" w:hAnsi="Amiri" w:eastAsia="Amiri" w:cs="Amiri"/>
          <w:color w:val="111111"/>
          <w:sz w:val="28"/>
          <w:sz w:val="28"/>
          <w:szCs w:val="28"/>
          <w:rtl w:val="true"/>
          <w:lang w:bidi="ar-SA"/>
        </w:rPr>
        <w:t>قد عرفت المرحلتين الماضيتين، ولو كان هناك مرحلة ثالثة فإنّما مرحلة جواز السجود على غير الأرض وما ينبت منها لعذر وضرورة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هذا الترخيص جاء متأخّراً عن المرحلتين لما عرفت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شكورى الأصحاب من شدّة الحرّ والرمضاء، وراح هو وأصحابه يسجدون على الأرض متحمّلين الحرّ والأذى، ولكنّ الباري عزّ اسمه رخّص لرفع الحرج السجود على الثيات لعذر وضرورة، وإليك ما ورد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صّلينا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يستطع أحدنا أن يمكن جبهته من الأرض، طرح ثوبه ثم سجد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نصلّي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يستطع أحدنا أن يمكن جبهته من الأرض، طرح ثوبه ثم سجد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صلّينا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 أحدنا طرف الثوب من شدّة الحرّ مكان السجود</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التي نقلها أصحاب الصحاح والمسانيد تكشف حقيقة بعض ما روي في ذلك المجال الظاهر في جواز السجود على الثياب في حالة الاختيار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رواية أنس نصّ في اختصاص الجواز على حالة الضرورة، فتكون قرينة على المراد من هذه المطلقات، وإليك بعض ما روي في هذا المجال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محرز عن أبي هريرد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كور</w:t>
      </w:r>
    </w:p>
    <w:p>
      <w:pPr>
        <w:pStyle w:val="BookText"/>
        <w:rPr/>
      </w:pPr>
      <w:r>
        <w:rPr>
          <w:rFonts w:ascii="IRNazanin" w:hAnsi="IRNazanin" w:eastAsia="IRNazanin"/>
          <w:color w:val="111111"/>
          <w:sz w:val="28"/>
          <w:sz w:val="28"/>
          <w:szCs w:val="28"/>
          <w:rtl w:val="true"/>
          <w:lang w:bidi="fa-IR"/>
        </w:rPr>
        <w:t>عمامته‌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الرواية مع أنّها معارضة لما مرّ من 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السجود عليه، محمولة على العذر والضرورة، وقد صرّح بذلك الشيخ البيهقي في سننه،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روي في ذلك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السجود على كور العمامة فلا يقبت شي‌ء من ذلك، وأصحّ ما روي في ذلك قول الحسن البصري حكاية عن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 عن ابن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مكحولًا يسجد على عمامته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تسجد عليها؟ قال أتّقي البرد على أسناني </w:t>
      </w:r>
      <w:r>
        <w:rPr>
          <w:rStyle w:val="FootnoteAnchor"/>
        </w:rPr>
        <w:footnoteReference w:id="31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نصلّي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فيسجد أحدنا على ثوبه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محمولة على صورة العذر بقرينة ما رويناه عنه، وبما رواه عنه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نصلّي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شدّة الحرّ، فإذا لم يستطع أحدنا أن يمكّن وجهه من الأرض بسط ثوبه فسجد عليه‌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ما رواه النسائي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صلّينا خلف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بالطهائر سجدنا على ثيابنا اتّقاء الحرّ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روايات قاصرة الدلالة حيث لا تدلّ إلّا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الفرو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أنّه سجد عليه فلا دلالة لها عليه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الحصير</w:t>
      </w:r>
      <w:bookmarkStart w:id="233" w:name="pg507_2898"/>
    </w:p>
    <w:p>
      <w:pPr>
        <w:pStyle w:val="BookText"/>
        <w:rPr/>
      </w:pPr>
      <w:bookmarkEnd w:id="233"/>
      <w:r>
        <w:rPr>
          <w:rFonts w:ascii="Amiri" w:hAnsi="Amiri" w:eastAsia="Amiri" w:cs="Amiri"/>
          <w:color w:val="111111"/>
          <w:sz w:val="28"/>
          <w:sz w:val="28"/>
          <w:szCs w:val="28"/>
          <w:rtl w:val="true"/>
          <w:lang w:bidi="ar-SA"/>
        </w:rPr>
        <w:t>والفرو المدبوغة</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مع كونها ضعيفة بيونس بن الحرث، ليست ظاهرة في السجود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ملازمة بين الصلاة على الفرو والسجدة عليه،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جبهته على الأرض أو ما ينبت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الملازمة لا تقاوم هي وما في معناها ما سردناه من الروايات في المرحلتين الماضيتين</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4440519_211673320"/>
      <w:bookmarkStart w:id="235" w:name="_Toc84"/>
      <w:bookmarkEnd w:id="234"/>
      <w:r>
        <w:rPr>
          <w:rtl w:val="true"/>
        </w:rPr>
        <w:t>حصيلة البحث</w:t>
      </w:r>
      <w:r>
        <w:rPr>
          <w:rtl w:val="true"/>
        </w:rPr>
        <w:t>:</w:t>
      </w:r>
      <w:bookmarkEnd w:id="235"/>
    </w:p>
    <w:p>
      <w:pPr>
        <w:pStyle w:val="BookText"/>
        <w:rPr/>
      </w:pPr>
      <w:r>
        <w:rPr>
          <w:rFonts w:ascii="Amiri" w:hAnsi="Amiri" w:eastAsia="Amiri" w:cs="Amiri"/>
          <w:color w:val="111111"/>
          <w:sz w:val="28"/>
          <w:sz w:val="28"/>
          <w:szCs w:val="28"/>
          <w:rtl w:val="true"/>
          <w:lang w:bidi="ar-SA"/>
        </w:rPr>
        <w:t>إنّ المتأمّل في الروايات يجد وبدون لبس أنّ قضيّة السجود في الصلاة مرت بمرحلتين أو ثلاثة مراحل ففي المرحلة الأُولى كان الفرض السجود على الأرض ولم يرخّص للمسلمين السجود على غيرها، وفي الثانية جاء الترخيص فيما تنبته الأرض، وليست وراء هاتين المرحلتين مرحلة أُخرى إلّا جواز السجود على الثياب لعذر وضرورة، فما ظهر من بعض الروايات من جواز السجود على الفرو وأمثاله مطلقاً فمحمولة على الضرورة، أو لا دلالة لها على السجود عليها، بل غايتها 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ما يظهر بوضوح أنّ ما التزمت به الشيعة هو عين ما جاءت به السنّة النبويّة، ولم تنحرف عنه قيد أنملة، ولعلّ الفقهاء هم أدرى بذلك من غيرهم، لأنّهم الأُمناء على الرسالة والأدلاء في طريق الشريعة، ونحن ندعو إلى برهة من التأمّل لإحقاق الحقّ وتجاوز البدع</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4440521_211673320"/>
      <w:bookmarkStart w:id="237" w:name="_Toc85"/>
      <w:bookmarkEnd w:id="236"/>
      <w:r>
        <w:rPr>
          <w:rtl w:val="true"/>
        </w:rPr>
        <w:t>ما هو السرّ في اتّخاذ تربة طاهرة؟</w:t>
      </w:r>
      <w:bookmarkEnd w:id="237"/>
    </w:p>
    <w:p>
      <w:pPr>
        <w:pStyle w:val="BookText"/>
        <w:rPr/>
      </w:pPr>
      <w:r>
        <w:rPr>
          <w:rFonts w:ascii="Amiri" w:hAnsi="Amiri" w:eastAsia="Amiri" w:cs="Amiri"/>
          <w:color w:val="111111"/>
          <w:sz w:val="28"/>
          <w:sz w:val="28"/>
          <w:szCs w:val="28"/>
          <w:rtl w:val="true"/>
          <w:lang w:bidi="ar-SA"/>
        </w:rPr>
        <w:t>بقي هنا سؤال يطرحه كثيراً اخواننا أهل السنّة حول سبب اتّخاذ الشيعة تربة طاهرة في السفر والحضر والسجود عليها دون غيرها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يتخيّل البسطاء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الشيعة يسجدون لها لا عليها،</w:t>
      </w:r>
    </w:p>
    <w:p>
      <w:pPr>
        <w:pStyle w:val="BookText"/>
        <w:rPr/>
      </w:pPr>
      <w:r>
        <w:rPr>
          <w:rFonts w:ascii="Amiri" w:hAnsi="Amiri" w:eastAsia="Amiri" w:cs="Amiri"/>
          <w:color w:val="111111"/>
          <w:sz w:val="28"/>
          <w:sz w:val="28"/>
          <w:szCs w:val="28"/>
          <w:rtl w:val="true"/>
          <w:lang w:bidi="ar-SA"/>
        </w:rPr>
        <w:t>ويعبدون الحجر والتربة، وذلك لأنّ هؤلاء المساكين لايفرّقون بين السجود على التربة، والسجود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فالإجابة عنها واضحة، فإنّ المستحسن عند الشيعة هو اتّخاذ تربة طاهرة طيّبة ليتيقن من طهارتها، من أيّ أرض أُخذت، ومن أي صقع من أرجاء العالم كانت، وهي كلّها في ذلك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الالتزام إلّا مثل التزام المصلّي بطهارة جسده وملبسه ومصلّاه، وأمّا سرّ الالتزام في اتّخاذ التربة هو أنّ الثقة بطهارة كلّ أرض يحلّ بها، ويتّخذها مسجداً، لا تتأتّى له في كلّ موضع من المواضع التي يرتادها المسلم في حلّه وترحاله، بل وأنّى له ذلك وهذه الأماكن ترتادها أصناف مختلفة من البشر، مسلمين كانوا أم غيرهم، ملتزمين بأُصول الطهارة أم غير ذلك، وفي ذلك محنة كبيرة تواجه المسلم في صلاته لا يجد مناص من أن يتخذ لنفسه تربة طاهرة يطمئنّ بها وبطهارتها يسجد عليها لدى صلاته حذراً من السجدة على الرجاسة والنجاسة، والأوساخ التي لا يتقرّب بها إلى اللَّه قط ولا تجوّز السنّة السجود عليها ولا يقبله العقل السليم، خصوصاً بعد ورود التأكيد التام البالغ في طهارة أعضاء المصلّي ولباسه والنهي عن الصلاة في مواطن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المزبلة، والمجزرة، وقارعة الطريق، والحمام، ومواطن الإبل، بل والأمر بتطهير المساجد وتطييبها</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القاعدة كانت ثابتة عند السلف الصالح وإن غفل التاريخ عن نقلها،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التابعي الفقيه مسروق بن الأجدع المتوفّى عام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يصحب في أسفاره لبنة من المدينة يسجد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أخرجه بن أبي شيبة في كتابه المصنف، باب من كان حمل في السفينة شيئاً يسجد عليه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فأخرج بإسنادين أنّ مسروقاً كان إذا سافر حمل معه في السفينة لبنة يسجد</w:t>
      </w:r>
    </w:p>
    <w:p>
      <w:pPr>
        <w:pStyle w:val="BookText"/>
        <w:rPr/>
      </w:pPr>
      <w:r>
        <w:rPr>
          <w:rFonts w:ascii="Amiri" w:hAnsi="Amiri" w:eastAsia="Amiri" w:cs="Amiri"/>
          <w:color w:val="111111"/>
          <w:sz w:val="28"/>
          <w:sz w:val="28"/>
          <w:szCs w:val="28"/>
          <w:rtl w:val="true"/>
          <w:lang w:bidi="ar-SA"/>
        </w:rPr>
        <w:t>عليها</w:t>
      </w:r>
      <w:r>
        <w:rPr>
          <w:rStyle w:val="FootnoteAnchor"/>
          <w:rtl w:val="true"/>
        </w:rPr>
        <w:footnoteReference w:id="325"/>
      </w:r>
      <w:r>
        <w:rPr>
          <w:rFonts w:ascii="Amiri" w:hAnsi="Amiri" w:eastAsia="Amiri" w:cs="Amiri"/>
          <w:color w:val="111111"/>
          <w:sz w:val="28"/>
          <w:sz w:val="28"/>
          <w:szCs w:val="28"/>
          <w:rtl w:val="true"/>
          <w:lang w:bidi="ar-SA"/>
        </w:rPr>
        <w:t>إلى هنا تبيّن أنّ التزام الشيعة باتّخاذ التربة مسجداً ليس إلّا تسهيل الأمر للمصلّي في سفره وحضره خوفاً من أن لا يجد أرضاً طاهراً أو حصيراً طاهراً فيصعب الأمر عليه، وهذا كادّخار المسلم تربةه طاهرة لغاية التيمّم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السرّ في التزام الشيعة استحباباً بالسجود على التربة الحسينية فإنّ من الأغراض العالية والمقاصد السامية منها، أن يتذكّر المصلّي حين يضع جبهته على تلك التربة، تضحية ذلك الإمام بنفسه وأهل بيته والصفوة من أصحابه في سبيل العقيدة والمبدأ ومقارعة الجور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السجود أعظم أركان الصلاة،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ما يكون العبد إلى ربّه حال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فيناسب أن يتذكّر بوضع جبهته على تلك التربة الزاكية، اولئك الذين جعلوا أجسامهم ضحايا للحقّ، وارتفعت أرواحهم إلى الملأ الأعلى، ليخشع ويخضع ويتلازم الموضع والرفع، وتحتقر هذه الدنيا الزائفة، وزخارفها الزائلة، ولعلّ هذا هو المقصود من أنّ السجود عليها يخرق الحجب السبع كما في الخبر، فيكون حينئذ في السجود سر الصعود والعروج من التراب إلى ربّ الإرباب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الأمينى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نتّخذ من تربة كربلاء قطعاً لمعاً، وأقراصاً نسجد عليها كما كان فقيه السلف مسروق بن الأجدع يحمل معه لبنة من تربة المدينة المنوّرة يسجد عليها، والرجل تلميذ الخلافة الراشدة، فقيه المدينة، ومعلّم السنّة بها، وحاشاه من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ذلك أيّ حزازة وتعسّف أو شي‌ء يضاد نداء القرآن الكريم أو يخالف سنّة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خروج من حكم العقل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اتّخاذ تربة كربلاء مسجداً لدى الشيعة من الفرض المحتمّ، ولا من واجب الشرع والدين، ولا ممّا ألزمه المذهب، ولايفرق أيّ أحد منهم منذ أوّل يومها بينها وبين غيرها من تراب جميع الأرض في جواز السجود عليها خلاف ما يزعمه اهلجاهل بهم وبآرائهم، وإن هو عندهم إلّا استحسان عقلي ليس إلّا، واختيار لما هو الأولى بالسجود لدى العقل والمنطق والاعتبار فحسب كما سمعست، وكثير من رجال المذهب يتّخذون معهم في أسفارهم غير تربة كربلاء ممّا يصحّ السجود عليه كحصير طاهر نظيف يوثق بطهارته أو خمرة مثله ويسجدون عليه في صلواتهم</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إمام إجمالي بهذه المسألة الفقهية والتفصيل موكول إلى محلّها، وقد أنانا عن ذلك ما سطّره أعلام العصر وأكابره، وأخص بالذكر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 الكبير الشيخ محمّد حسين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الأرض والتربة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الكبير الشيخ عبدالحسين الأميني مؤلّف الغدير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دوّن رسالة في هذا الموضوع طبع في آخر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سيرتنا و سنّتنا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الأرض للعلّامة الشيخ علي الأحمدي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أجاد في التتبّع والتحقيق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ذكرنا في هذه المسألة اقتباس من أنوار علومهم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الماضين من علمائنا وحفظ اللَّه الباقين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وقفنا عليه من الأبحاث والتي أوردناها في هذا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للَّه‌ربّ العالمين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والصلاة والسلام على محمّد وآله الطاهرين</w:t>
      </w:r>
    </w:p>
    <w:p>
      <w:pPr>
        <w:pStyle w:val="BookText"/>
        <w:rPr/>
      </w:pPr>
      <w:r>
        <w:rPr>
          <w:rFonts w:ascii="IRNazanin" w:hAnsi="IRNazanin" w:eastAsia="IRNazanin"/>
          <w:color w:val="111111"/>
          <w:sz w:val="28"/>
          <w:sz w:val="28"/>
          <w:szCs w:val="28"/>
          <w:rtl w:val="true"/>
          <w:lang w:bidi="fa-IR"/>
        </w:rPr>
        <w:t>فهرس</w:t>
      </w:r>
    </w:p>
    <w:p>
      <w:pPr>
        <w:pStyle w:val="BookText"/>
        <w:rPr/>
      </w:pPr>
      <w:r>
        <w:rPr>
          <w:rFonts w:ascii="Amiri" w:hAnsi="Amiri" w:eastAsia="Amiri" w:cs="Amiri"/>
          <w:color w:val="111111"/>
          <w:sz w:val="28"/>
          <w:sz w:val="28"/>
          <w:szCs w:val="28"/>
          <w:rtl w:val="true"/>
          <w:lang w:bidi="ar-SA"/>
        </w:rPr>
        <w:t>موضوعات الكتاب</w:t>
      </w:r>
    </w:p>
    <w:p>
      <w:pPr>
        <w:pStyle w:val="BookText"/>
        <w:rPr/>
      </w:pPr>
      <w:r>
        <w:rPr>
          <w:rFonts w:ascii="Amiri" w:hAnsi="Amiri" w:eastAsia="Amiri" w:cs="Amiri"/>
          <w:color w:val="111111"/>
          <w:sz w:val="28"/>
          <w:sz w:val="28"/>
          <w:szCs w:val="28"/>
          <w:rtl w:val="true"/>
          <w:lang w:bidi="ar-SA"/>
        </w:rPr>
        <w:t>التقديم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رسائل بعض أعلام الشيعة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كتبه الإمام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للمأمون عن محض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السيّد عبد العظيم الحسني عقائده على الإمام الهادي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الصدوق في عقائد الإمامية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أملاه الصدوق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العلم والعمل للسيّد الشريف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بيان ما يجب اعتقاده في أبواب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مع الشيعة الإمامية في عقائدهم ؛ ؛ ص</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البيان عن جمل اعتقاد أهل الإيمان للكراجكي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في توحيده 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في عدله 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في النبوّة العامّة والخاصّة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في الإمامة والخلافة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التوبة والحشر والنشر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الجعفرية تأليف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ما هو الهدف من نقل هذه الرسائل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الفرق بين الشيعة الإمامية والمعتزلة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الفرق بين الشيعة الإمامية والأشاعرة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الفرق بين الشيعة الإمامية وسائر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المسألة الا 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وجوب تنصيب الإمام على اللَّه سبحانه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عصمة الإمام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حقيقة العصمة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الدليل على لزوم عصمة الإمام بعد النبيّ صلَّى اللَّه عليه و 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ما هو المراد من الظالم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العصمة في القول والرأي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المنتظر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مفهومها، غايتها، دليلها، حدّها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في ضوء الكتاب والسنّة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غايتها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دليلها في القرآن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اتّقاء المسلم من المسلم في ظروف 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الظروف العصيبة التي مرت بها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بيان معاوية إلى عماله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حدّها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التقية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وفي الختام نقول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البداء عند الشيعة الإمامية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وأثرها في دفع البلاء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الاستغفار في الرزق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وآثاره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صلة الرحم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البداء في مقام الثبوت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البداء في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الأثر التربوي للاعتقاد في البداء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البداء في مقام الإثبات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تلميحات للبداء في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في الكتاب والسنّة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ملاحظات جديرة بالانتباه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زواج المتعة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النكاح الدائم يستلزم التكرار بلا 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دفع الأُجرة على الاستمتاع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جماعة من الصحابة على شأن نزولها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المنكرون للتحريم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كبرت كلمة تخرج من أفواههم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مسح الأرجل في الوضوء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الشيعة الإمامية و الصحابة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الصحابة في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الردّة بعد وفاة الرسول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السجود على الأرض </w:t>
      </w:r>
      <w:r>
        <w:rPr>
          <w:rFonts w:eastAsia="IRNazanin" w:cs="IRNazanin"/>
          <w:color w:val="111111"/>
          <w:sz w:val="28"/>
          <w:szCs w:val="28"/>
          <w:lang w:bidi="fa-IR"/>
        </w:rPr>
        <w:t>187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الفقهاء في شرائط المسجود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المسجود له والمسجود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في السجود في 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تبريد الحصى للسجود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الأمر بالتتريب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الأمر بحسر العمامة عن الجبهة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المرحلة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الترخيص في السجود على الخمر والحصر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السجود على الثياب لعذر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حصيلة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السرّ في اتّخاذ تربة طاهرة؟ </w:t>
      </w:r>
      <w:r>
        <w:rPr>
          <w:rFonts w:eastAsia="Amiri" w:cs="Amiri" w:ascii="Amiri" w:hAnsi="Amiri"/>
          <w:color w:val="111111"/>
          <w:sz w:val="28"/>
          <w:szCs w:val="28"/>
          <w:lang w:bidi="ar-SA"/>
        </w:rPr>
        <w:t>199</w:t>
      </w:r>
      <w:bookmarkStart w:id="238" w:name="pg507_2908"/>
    </w:p>
    <w:p>
      <w:pPr>
        <w:pStyle w:val="Heading2"/>
        <w:numPr>
          <w:ilvl w:val="1"/>
          <w:numId w:val="1"/>
        </w:numPr>
        <w:rPr/>
      </w:pPr>
      <w:bookmarkStart w:id="239" w:name="__RefHeading___Toc4440523_211673320"/>
      <w:bookmarkStart w:id="240" w:name="_Toc86"/>
      <w:bookmarkEnd w:id="238"/>
      <w:bookmarkEnd w:id="239"/>
      <w:r>
        <w:rPr>
          <w:rtl w:val="true"/>
        </w:rPr>
        <w:t>فهرس مصادر الكتاب‌</w:t>
      </w:r>
      <w:bookmarkEnd w:id="2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نبدأ تبركا بالقرآن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الألف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الاثنا عشرية وأهل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مغنية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ؤبو نعيم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جهان،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والتربة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الشيعة وأُصولها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آل كاشف الغطاء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العرفان، صيدا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عبدالكريم البزدوي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الكتب العربية،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اعتقادات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محمد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مكي العاملي من محاضرات العلّامة الشيخ جعفر السبحاني، الدار الإسلامية،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الثالث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مسلم الدنيوري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مصطفى محمد،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الحقيقة، تبريز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الباء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الدكتتور عبدالباقي المعاصر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التاء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السلفية، 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المدني،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أهل البيت،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أهل البيت،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الحقيقة، تبريز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بهامش الصواعق المحرقة،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دارالفكر،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التوبلي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 بيروت</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جامع 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w:t>
      </w:r>
    </w:p>
    <w:p>
      <w:pPr>
        <w:pStyle w:val="BookText"/>
        <w:rPr/>
      </w:pPr>
      <w:r>
        <w:rPr>
          <w:rFonts w:ascii="Amiri" w:hAnsi="Amiri" w:eastAsia="Amiri" w:cs="Amiri"/>
          <w:color w:val="111111"/>
          <w:sz w:val="28"/>
          <w:sz w:val="28"/>
          <w:szCs w:val="28"/>
          <w:rtl w:val="true"/>
          <w:lang w:bidi="ar-SA"/>
        </w:rPr>
        <w:t>التراث العربي،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علاء الدين محمد البغدادي، طبع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دارالفكر،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روح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حقي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مصطفى البابي الحلبي،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المراغي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مصطفى المراغي، دار احياء التراث العربى،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الخطيب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رشيد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المنار،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النسفي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في هامش تفسير الخازن، طبع القاهرة،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بابويه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الصدوق،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الثاء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الثقات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 بزرگ الطهراني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الجيم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العلم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الموسوي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الحاء</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 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الخاء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مؤسسة النشر الإسلامي،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قم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الدال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ابن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العباس بن جريج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كامل الكيلاني طبعة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الذال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اسماعيليان، قم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السيد محمود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 على التربة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علي الأحمدي، مؤسسة في طريق الحق،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السراج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الشربيني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رشيد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محمد بن عيسى بن 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شمس‌الدين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بن أيوب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سيرتنا وسنتنا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الشين</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الصادق، 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 القوشجي، طبعة حجر، تبريز،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العقائد النسفية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مسعود بن عمر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الكتب العربية،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مغنية، مكتبة المدرسة و دار الكتاب العربي،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الصاد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عبدالحميد أحمد حنفي،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الحجاج القشيري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السجادية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بن الحسين 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حجر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القاهرة،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الطاء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الطباق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الجعفرية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 على شكل رسالة مع كتاب جواهر الفقه، مؤسسة النشر الإسلامي،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العقيدة الطحاوية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الغين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عبدالحسين أحمد الأميني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دارالكتاب العربي،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حسن خان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الثالث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مشهد، إايران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الإسلامية، 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نورالدين علي بن أبي‌بكر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القاسمي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لقهية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عبدالحسين شرف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مظمة الاعلام الإسلامي، 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بن أبي‌شيبة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مظاهر الشعوبية في الأدب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نبيه حجاب، طبع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الطعبة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محمود صبحي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مصر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بن محمد الجرزي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إسماعيليان،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الشريف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الهاء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الشيخ أحمد الوائلي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الكتبي،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الواو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الرضي،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إبراهيم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اختر، اسلامبول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للَّه‌ربّ العالمين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عبدالعظيم بن عبداللَّه بن علي بن الحسن بن زيد بن الحسن بن علي بن أبي‌طالب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الإمام الهادي،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خطب أميرالمؤمين، ورد الري هارباً من السلطان وسكن سرباً في دار رجل من الشيعة في سكة الموالي فكان يعبد اللَّه في ذلك السرب ويصوم نهاره ويقوم ليله، وكان يخرج مستتراً، فيزور القبر المقابل قبره وبينهما الطريق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قبر رجل من ولد موسى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فلم‌يزل يأوي إلى ذلك السرب ويقع خبره إلى الواحد بعد الواحد من شيعة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عرفه أكثرهم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ومات عبدالعظيم بالري وقبره مزار يزوره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الشيخ الطوسي في رجاله في أصحاب الإمام الهادي والعسكري تحت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وذكره أيضاً صاحب عمدة الطالب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رسالة الصدوق في الاعتقادات، وقد طبعت غير مرّة، وعليها شروح وتعاليق العلماء منهم العلّامة المجلسي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الكتاب أوائل المقالات للشيخ المفيد في تبريز عام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وأنظر الحديث المتقدم في آخر كتاب المقنع والهداية وممّا أملاه في يوم الجمعة الثاني عشر من شعبان سنة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 فيا آخر كتاب المقنع والهداية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والعمل قسم العقائد، الطبعة الثانية تحقيق رشيد الصفار، طبعة النجف طالع الرسالة بأجمعها،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رأيه في إعجاز القرآن من القول بالصرف رأي شخصي له ولا يمثل رأي جمهور الإمامية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هذا الحديث وأمثاله ابن خلدون في المقدّمة في الفصل الثاني والخمسين عن الترمذي وأبي داود باختلاف بعض ألفاظه، وروى حوالي اثنين وثلاثين حديثاً، وقال في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جماعة من الأئمّة خرّجوا أحاديث المهدي،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وأبوداود، والبزاز، وابن ماجة، والحاكم، والطبراني، وأبويعلى الموصلي، وأسندوها إلى جماعة من الصحابة مثل علي، وابن عباس، وابن عمر، وطلحة، وابن مسعود، وأبي هريرة، وأنس، وأبي سعيد الخدري، وأُمّ حبيبة، وأُمّ سلمة، وثوبان، وقرّة بن اياس، وعلي الهلالي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بهذا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الشيخ الكراجكي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أوائل المقالات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إلى اتّفاق الإمامية، أمّا الخوارج فتسمّي مرتكب الكبيرة مشركاً وكافراً، والحسن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واصل بن عطاء وعمرو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فسمّاهم منافقين، وأمّا واصل بن عطاء فوضعهم في منزلة بين منزلتين،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فسّاق ليسو بمؤمنين، ولا كفّار، ولامنافقين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هو رأي جماعة من علماء الأمامية، كالشريف المرتضى، وابن زهرة، وابن البراج، والطبرسي، وابن إدريس وغيرهم، فقد ذهب هؤلاء ألى عدم اعتبار الخبير الواحد أذا لم يكن مقطوع الصدور عن المعصوم، وخصّوا اعتباره بما إذا كان قطعي الصدور، سواء أكان محتفّاً بقرينة عقلية أو نقلية أُخرى، فالمهم لدى هؤلاء في اعتبار الخبر أن يفضي إلى العلم، ولو كان ذلك لإجماع أو شاهد عقلي، بل صرّح المفيد في أوائل المقالات بأنّه لايجب العمل بخبر الواحد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بالاجتهاد هنا ليس هو استنباط الأحكام الشرعية من أدلّتها التفصيلية، وإنّما المراد به الاعتماد على الرأي والاستحسان والقياس، من دون الرجوع إلى القواعد والأُصول التي ثبتت حجّيتها شرعاً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أدرج المصنف الرسالة في كتابه 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لاحظ</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الاضافة منّا لإكمال العبارة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ينابيع المودّة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باب فضائل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باب‌مناقب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تبوك، ومسند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الرسالة من قبل مؤسسة النشر الإسلامي في قم عام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مع جواهر الفقه للقاضي ابن البراج وفي ضمن الرسائل العشر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بيروت في أربعة أجزاء</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إيران في جزءين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الدراسي في الجماعات الشيعية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نحتفظ منها بنسخة وهي في قيد التحقيق</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ادّعت العجاردة بأنّ الواجب على الأمّة التعاون والتعاضد لإحياء الحق وإمانة الباطل، ومع قيام‌الأُمّة بهذا الواجب لايبقى للإمام فائدة تستدعي تسلّطه على العباد، أمّا إذا الختلفت الأُمّة ولم تتعاون على نشر العدل واحقاق الحق فيجب عليها تعيين من يقوم بهذه الهممات، وعلى ذلك فالإمامة لاتجب بالشرع ولا بالعقل، وإنّما تجب للمصلحة أحياناً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للقاضي أبي‌بكر الباقلاني المتوفى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الطحاوية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العقائد النسفية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وهي لأبي حفص عمرو بن محمّد النسفي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والشرح لسعد الدين التفتازاني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ولاحظ في هذا المجال مقالات الإسلامين للأشعري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وأصول الدين لمحمّد بن عبدالكريم البزدوي إمام الماتريدية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مستفيض، رواه الخطب في تاريخه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والهيثمي في مجمعه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متواتر أخرجه مسلم في صحيحه، والدارمي في فضائل القرآن وأحمد في مسنده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نبيه حجات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مظاهر الشعوبية في الأدب العربي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كما في هوية التشيّع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اجمال ما أوضحناه في بحوثنا الكلامية فلاحظ الإلهيات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كما في السنّة كما في نظرية الإمامة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آيات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الهاماً غيبياً لأنّهم محدَّثون، كما أنّ مريم كانت محدَّثة، وفي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كان فيمن قبلكم من بني اسرائيل رجال يُكلمون من غير أن يكونوا أنبياء فإن كان من أُمّتي منهم أحد فعمر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والتشيّع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نزول عيسى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يدي الساعة للدكتور عبدالباقي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اتقى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اوتقى فقلبت الواو ياء لكسرة قبلها ثمّ أُبدلت تاءوأُدغمت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حديث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إذا احمرّ البأس اتقينا برسول‌اللَّه، أي جعلناه وقاية من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وقى</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وستوافيك نصوص الآيات في ثنايا البحث</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شرح حديث 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الاحكام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الشربيني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المنير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حقي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بهامش تفسير الخازن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القاسمي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المراغي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مفتايح الغيب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القاسمي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المراغي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المرشد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أوائل المقالات،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كتاب الأمر بالمعروف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 عن أُمّتي ما اضطروا إليه و ما استكرهوا عليه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صفات الذات،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طبعة عبده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على المزيد من الروايات حول علمه تعالى أُنظر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الرعد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آغا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العيون في سادس القرون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وطبع الكتاب أخيراً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سليمان بن جرير الذي كفّره أهل السنّة أيضاً لتكفير عثمان فهل يصحّ الاعتماد على قول مثله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وقد استشهد الإمام أميرالمؤمنين ببعض هذه الآبيات عند الاستسقاء،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اللَّهَ يبتلي عبادَهُ عند الأعمال السيّئة بنقص الثمرات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هناك‌</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كتاب الذكر والدعاء باب الاستغفار وفضله وأنواعه،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أحاديث من الفريقين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الجزء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الذكر والدعاء، أبواب الدعاء،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أحاديث من الفريقين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إنّ الدعاء يرد القضاء،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صلة الرحم،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البداء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باب قطيعة الرحم،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زنا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 النهي عن المنكر،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جامع البيان الجزء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الأحكام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نقله في المقام من المأثورات كلها تحكي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صديق حسن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لايخفى أنَّ المقصود من أفعال الانسان التي نثبت اختياره فيها هي الأفعال التي تتعلق بهاالتكاليف لا الأفعال القهرية التي تصدر من جهازه الهضمي مثلًا</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البداء،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باب البداء،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والتوحيد للصدوق، باب البداء،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أُخرى أنّ ذلك النبي هو حزقيل، البحار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مثله في قضية شعيا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المحصل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نقله عن سليمان بن جرير الزيدي، والأمر الثاني هو التقية كما عرفت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طبع النجف، وقد عرفت بعض المتشدقين بهذه الكملة المكذوبة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وهنا آيات أُخرى يستدل بها على المشاكلة في التعبير عن الحقائق العلوية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كتاب الأنبياء،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أبرص و أعمى وأقرع في بني‌إسرائيل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الكتب الفقهية للشيعة الأمامية في ذلك المجال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القرأن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أحكام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والشيعة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للوقوف على مصادر هذه الأقوال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فقهية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أصل الشيعة وأُصولها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والأقوال في النسخ أكثر مما جاء في المتن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مفتايح الغيب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شرح التجريد للقوشجي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إيران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التفسير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النكاح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كتاب التفسير، تفسير قوله تعالى فمن تمتع بالعمرة إلى الحج من سورة البقرة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مسائل فقهية للسيد شرف‌الدين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نكاح المتعة 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طبع محمدعلي صبيح</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الاثنا عشرية وأهل البيت تأليف مغنية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بعالم ولا عاملا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سبحانه حاكياً عن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رُدُّوهَا عَلَىَّ فَطَفِقَ مَسْحَا بِالسُّوقِ وَ الْأَعْنَاقِ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مسح بيده على سوق الصافنات الجياد وأعناقها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رفع صوته،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غسل القدمين الحديث الأوّل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التعليقة لسنن ابن ماجة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وميزان الاعتدال للذهبي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10138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أبوإسحاق</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ولذاترى حفاة الشيعة والعمال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كأهل الحرث وأمثالهم وسائر من لايبالون بطهارة أرجلهم‌في غير أوقات العبادة المشروطة بالطهارة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أرادوا الوضوء غسلوا أرجلهم ثم توضّأو فمسحوا عليها نقيّة جافّة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فقهية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قوله تعالى في سورة الفتح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ففيهما اشارة واضحة إلى ما تحدثنا عنه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الحلبي</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الدعاء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سورة النور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الشيعه الإماميه في عقائدهم</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الشيخ الصدوق أبواب الاثنى عشر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الرسائل، برقم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 بيعة أبي‌بكر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الرجال الكشي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الثلاثة الأوّلون ارتدّوا وماتوا على الردّة، والأشعث ارتدّ فأُتي به إلى الخليفة أبي‌بكر أسيراً فعادإلى الإسلام وزوّجه اخته، وكانت عوراء، فأولدها محمّداً أحد قتلة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استلحاق زياد بن أبيه وليد فراش غير أبي سفيان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ردّ السنّة مثل ردّ الكتاب إذا بلغت السنّة في الشهرة، شهرة الكتاب</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تطهير الجنان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على هامش الصواعق المحرقة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فصل يزيد بن معاوية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الخبر عن فتح</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لِلَّهِ يَسْجُدُ مَن فِى السَّموَ تِ وَ الْأَرْضِ طَوْعًا وَ كَرْهًاوَ ظِللُهُم بِالْغُدُوّ وَ الْأَصَالِ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أعلام الشيعة في القرن الخامس صاحب التصانيف والمؤلّفات ولد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وتوفّي عام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همن تلاميذ الشيخ المفيد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والسيّد الشريف المرتضى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رضى اللَّه عنهما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المسألة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يوسف بن المهطر الحلّي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وهو زعيم الشيعة في القرن السابع، لايمسح‌الدهر بمثله إلّا في فترات خاصة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يسجد عليه،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وهناك روايات بمضمونه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 يتضمّن أنّ الغاية من السجود التي هي التذلّل لا تحصل بالسجود على غيرها فلاحظ</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التيمّم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أينما أدركتك الصلاة فصل فهو مسجد، ورواه غيرهما من أصحاب الصحاح والسنن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بيروت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جابر وسنن البيهقي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باب ما روي في التعجيل بها في شدّة الحرّ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الكشف عن الجبهة</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شكى</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19810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19776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برقم </w:t>
      </w:r>
      <w:r>
        <w:rPr>
          <w:rFonts w:eastAsia="IRNazanin" w:cs="IRNazanin"/>
          <w:b w:val="false"/>
          <w:bCs w:val="false"/>
          <w:i w:val="false"/>
          <w:iCs w:val="false"/>
          <w:color w:val="333333"/>
          <w:sz w:val="20"/>
          <w:szCs w:val="20"/>
        </w:rPr>
        <w:t>19777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19810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السجود على الأرض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المطبوع في هامش المسند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أبونعيم الاصفهاني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اصبهان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أيضاً قال للجارية وهو في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ناوليني الخمرة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22238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باب من بسط ثوباً فسجد عليه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باب بسط الثوب في الصلاة للسجود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للأُصول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3660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الصلاة على الخمرة برقم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سيرتنا وسنّتنا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السجدة على التربة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والتربة الحسينية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سيرتنا وسنّتنا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image" Target="media/image2.jpeg"/><Relationship Id="rId217" Type="http://schemas.openxmlformats.org/officeDocument/2006/relationships/image" Target="media/image2.jpeg"/><Relationship Id="rId218" Type="http://schemas.openxmlformats.org/officeDocument/2006/relationships/footer" Target="footer211.xml"/><Relationship Id="rId219" Type="http://schemas.openxmlformats.org/officeDocument/2006/relationships/footnotes" Target="footnotes.xml"/><Relationship Id="rId220" Type="http://schemas.openxmlformats.org/officeDocument/2006/relationships/numbering" Target="numbering.xml"/><Relationship Id="rId221" Type="http://schemas.openxmlformats.org/officeDocument/2006/relationships/fontTable" Target="fontTable.xml"/><Relationship Id="rId222" Type="http://schemas.openxmlformats.org/officeDocument/2006/relationships/settings" Target="settings.xml"/><Relationship Id="rId2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215</Pages>
  <Words>44543</Words>
  <Characters>198975</Characters>
  <CharactersWithSpaces>241877</CharactersWithSpaces>
  <Paragraphs>2055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2026-08-16T06:16:35Z</dcterms:created>
  <dc:creator>ghaemiyeh.com</dc:creator>
  <dc:description/>
  <dc:language>en-US</dc:language>
  <cp:lastModifiedBy/>
  <dcterms:modified xsi:type="dcterms:W3CDTF">2026-08-16T09:46:41Z</dcterms:modified>
  <cp:revision>1</cp:revision>
  <dc:subject/>
  <dc:title>مع الشیعه الامامیه فی عقائدهم</dc:title>
</cp:coreProperties>
</file>

<file path=docProps/custom.xml><?xml version="1.0" encoding="utf-8"?>
<Properties xmlns="http://schemas.openxmlformats.org/officeDocument/2006/custom-properties" xmlns:vt="http://schemas.openxmlformats.org/officeDocument/2006/docPropsVTypes"/>
</file>