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القواعد الفقهیه تقریرات محمدالسند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0930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00932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00934_1468164448">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100936_1468164448">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100938_1468164448">
            <w:r>
              <w:rPr>
                <w:webHidden/>
                <w:rStyle w:val="IndexLink"/>
                <w:rtl w:val="true"/>
              </w:rPr>
              <w:t>القاعدة الاولی</w:t>
            </w:r>
            <w:r>
              <w:rPr>
                <w:rStyle w:val="IndexLink"/>
                <w:rtl w:val="true"/>
              </w:rPr>
              <w:t xml:space="preserve">: </w:t>
            </w:r>
            <w:r>
              <w:rPr>
                <w:rStyle w:val="IndexLink"/>
                <w:rtl w:val="true"/>
              </w:rPr>
              <w:t xml:space="preserve">لا یطل أو </w:t>
            </w:r>
            <w:r>
              <w:rPr>
                <w:rStyle w:val="IndexLink"/>
                <w:rtl w:val="true"/>
              </w:rPr>
              <w:t>(</w:t>
            </w:r>
            <w:r>
              <w:rPr>
                <w:rStyle w:val="IndexLink"/>
                <w:rtl w:val="true"/>
              </w:rPr>
              <w:t>لا یبطل</w:t>
            </w:r>
            <w:r>
              <w:rPr>
                <w:rStyle w:val="IndexLink"/>
                <w:rtl w:val="true"/>
              </w:rPr>
              <w:t xml:space="preserve">) </w:t>
            </w:r>
            <w:r>
              <w:rPr>
                <w:rStyle w:val="IndexLink"/>
                <w:rtl w:val="true"/>
              </w:rPr>
              <w:t xml:space="preserve">دم امرئ مسلم أو </w:t>
            </w:r>
            <w:r>
              <w:rPr>
                <w:rStyle w:val="IndexLink"/>
                <w:rtl w:val="true"/>
              </w:rPr>
              <w:t>(</w:t>
            </w:r>
            <w:r>
              <w:rPr>
                <w:rStyle w:val="IndexLink"/>
                <w:rtl w:val="true"/>
              </w:rPr>
              <w:t>کل مقتول غیر عدوانی تضمن دیتة من بیت المال</w:t>
            </w:r>
            <w:r>
              <w:rPr>
                <w:rStyle w:val="IndexLink"/>
                <w:rtl w:val="true"/>
              </w:rPr>
              <w:t>)</w:t>
              <w:tab/>
            </w:r>
            <w:r>
              <w:rPr>
                <w:rStyle w:val="IndexLink"/>
              </w:rPr>
              <w:t>14</w:t>
            </w:r>
          </w:hyperlink>
        </w:p>
        <w:p>
          <w:pPr>
            <w:pStyle w:val="Contents3"/>
            <w:tabs>
              <w:tab w:val="clear" w:pos="8459"/>
              <w:tab w:val="right" w:pos="9026" w:leader="dot"/>
            </w:tabs>
            <w:rPr/>
          </w:pPr>
          <w:hyperlink w:anchor="__RefHeading___Toc1100940_1468164448">
            <w:r>
              <w:rPr>
                <w:webHidden/>
                <w:rStyle w:val="IndexLink"/>
                <w:rtl w:val="true"/>
              </w:rPr>
              <w:t>محل القاعدة</w:t>
            </w:r>
            <w:r>
              <w:rPr>
                <w:rStyle w:val="IndexLink"/>
                <w:rtl w:val="true"/>
              </w:rPr>
              <w:t>:</w:t>
              <w:tab/>
            </w:r>
            <w:r>
              <w:rPr>
                <w:rStyle w:val="IndexLink"/>
              </w:rPr>
              <w:t>14</w:t>
            </w:r>
          </w:hyperlink>
        </w:p>
        <w:p>
          <w:pPr>
            <w:pStyle w:val="Contents3"/>
            <w:tabs>
              <w:tab w:val="clear" w:pos="8459"/>
              <w:tab w:val="right" w:pos="9026" w:leader="dot"/>
            </w:tabs>
            <w:rPr/>
          </w:pPr>
          <w:hyperlink w:anchor="__RefHeading___Toc1100942_1468164448">
            <w:r>
              <w:rPr>
                <w:webHidden/>
                <w:rStyle w:val="IndexLink"/>
                <w:rtl w:val="true"/>
              </w:rPr>
              <w:t>تحریر المسالة</w:t>
            </w:r>
            <w:r>
              <w:rPr>
                <w:rStyle w:val="IndexLink"/>
                <w:rtl w:val="true"/>
              </w:rPr>
              <w:t>:</w:t>
              <w:tab/>
            </w:r>
            <w:r>
              <w:rPr>
                <w:rStyle w:val="IndexLink"/>
              </w:rPr>
              <w:t>14</w:t>
            </w:r>
          </w:hyperlink>
        </w:p>
        <w:p>
          <w:pPr>
            <w:pStyle w:val="Contents2"/>
            <w:tabs>
              <w:tab w:val="clear" w:pos="8743"/>
              <w:tab w:val="right" w:pos="9026" w:leader="dot"/>
            </w:tabs>
            <w:rPr/>
          </w:pPr>
          <w:hyperlink w:anchor="__RefHeading___Toc1100944_1468164448">
            <w:r>
              <w:rPr>
                <w:webHidden/>
                <w:rStyle w:val="IndexLink"/>
                <w:rtl w:val="true"/>
              </w:rPr>
              <w:t>القاعدة الثانیة</w:t>
            </w:r>
            <w:r>
              <w:rPr>
                <w:rStyle w:val="IndexLink"/>
                <w:rtl w:val="true"/>
              </w:rPr>
              <w:t xml:space="preserve">: </w:t>
            </w:r>
            <w:r>
              <w:rPr>
                <w:rStyle w:val="IndexLink"/>
                <w:rtl w:val="true"/>
              </w:rPr>
              <w:t>فی هدر دم من هتک أو اعتدی</w:t>
            </w:r>
            <w:r>
              <w:rPr>
                <w:rStyle w:val="IndexLink"/>
                <w:rtl w:val="true"/>
              </w:rPr>
              <w:tab/>
            </w:r>
            <w:r>
              <w:rPr>
                <w:rStyle w:val="IndexLink"/>
              </w:rPr>
              <w:t>19</w:t>
            </w:r>
          </w:hyperlink>
        </w:p>
        <w:p>
          <w:pPr>
            <w:pStyle w:val="Contents2"/>
            <w:tabs>
              <w:tab w:val="clear" w:pos="8743"/>
              <w:tab w:val="right" w:pos="9026" w:leader="dot"/>
            </w:tabs>
            <w:rPr/>
          </w:pPr>
          <w:hyperlink w:anchor="__RefHeading___Toc1100946_1468164448">
            <w:r>
              <w:rPr>
                <w:webHidden/>
                <w:rStyle w:val="IndexLink"/>
                <w:rtl w:val="true"/>
              </w:rPr>
              <w:t>القاعدة الثالثة</w:t>
            </w:r>
            <w:r>
              <w:rPr>
                <w:rStyle w:val="IndexLink"/>
                <w:rtl w:val="true"/>
              </w:rPr>
              <w:t xml:space="preserve">: </w:t>
            </w:r>
            <w:r>
              <w:rPr>
                <w:rStyle w:val="IndexLink"/>
                <w:rtl w:val="true"/>
              </w:rPr>
              <w:t xml:space="preserve">قاعدة فی اللوث والتهمة وأثارها القانونیة أو </w:t>
            </w:r>
            <w:r>
              <w:rPr>
                <w:rStyle w:val="IndexLink"/>
                <w:rtl w:val="true"/>
              </w:rPr>
              <w:t>(</w:t>
            </w:r>
            <w:r>
              <w:rPr>
                <w:rStyle w:val="IndexLink"/>
                <w:rtl w:val="true"/>
              </w:rPr>
              <w:t>ضابطة فی اللوث وتحدیده</w:t>
            </w:r>
            <w:r>
              <w:rPr>
                <w:rStyle w:val="IndexLink"/>
                <w:rtl w:val="true"/>
              </w:rPr>
              <w:t>)</w:t>
              <w:tab/>
            </w:r>
            <w:r>
              <w:rPr>
                <w:rStyle w:val="IndexLink"/>
              </w:rPr>
              <w:t>34</w:t>
            </w:r>
          </w:hyperlink>
        </w:p>
        <w:p>
          <w:pPr>
            <w:pStyle w:val="Contents3"/>
            <w:tabs>
              <w:tab w:val="clear" w:pos="8459"/>
              <w:tab w:val="right" w:pos="9026" w:leader="dot"/>
            </w:tabs>
            <w:rPr/>
          </w:pPr>
          <w:hyperlink w:anchor="__RefHeading___Toc1100948_1468164448">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100950_1468164448">
            <w:r>
              <w:rPr>
                <w:webHidden/>
                <w:rStyle w:val="IndexLink"/>
                <w:rtl w:val="true"/>
              </w:rPr>
              <w:t>بعض کلمات الاصحاب والقانونیین</w:t>
            </w:r>
            <w:r>
              <w:rPr>
                <w:rStyle w:val="IndexLink"/>
                <w:rtl w:val="true"/>
              </w:rPr>
              <w:t>:</w:t>
              <w:tab/>
            </w:r>
            <w:r>
              <w:rPr>
                <w:rStyle w:val="IndexLink"/>
              </w:rPr>
              <w:t>34</w:t>
            </w:r>
          </w:hyperlink>
        </w:p>
        <w:p>
          <w:pPr>
            <w:pStyle w:val="Contents3"/>
            <w:tabs>
              <w:tab w:val="clear" w:pos="8459"/>
              <w:tab w:val="right" w:pos="9026" w:leader="dot"/>
            </w:tabs>
            <w:rPr/>
          </w:pPr>
          <w:hyperlink w:anchor="__RefHeading___Toc1100952_1468164448">
            <w:r>
              <w:rPr>
                <w:webHidden/>
                <w:rStyle w:val="IndexLink"/>
                <w:rtl w:val="true"/>
              </w:rPr>
              <w:t>ضابطة موضوعیة للوث</w:t>
            </w:r>
            <w:r>
              <w:rPr>
                <w:rStyle w:val="IndexLink"/>
                <w:rtl w:val="true"/>
              </w:rPr>
              <w:t>:</w:t>
              <w:tab/>
            </w:r>
            <w:r>
              <w:rPr>
                <w:rStyle w:val="IndexLink"/>
              </w:rPr>
              <w:t>35</w:t>
            </w:r>
          </w:hyperlink>
        </w:p>
        <w:p>
          <w:pPr>
            <w:pStyle w:val="Contents3"/>
            <w:tabs>
              <w:tab w:val="clear" w:pos="8459"/>
              <w:tab w:val="right" w:pos="9026" w:leader="dot"/>
            </w:tabs>
            <w:rPr/>
          </w:pPr>
          <w:hyperlink w:anchor="__RefHeading___Toc1100954_1468164448">
            <w:r>
              <w:rPr>
                <w:webHidden/>
                <w:rStyle w:val="IndexLink"/>
                <w:rtl w:val="true"/>
              </w:rPr>
              <w:t>آثار اللوث</w:t>
            </w:r>
            <w:r>
              <w:rPr>
                <w:rStyle w:val="IndexLink"/>
                <w:rtl w:val="true"/>
              </w:rPr>
              <w:t>:</w:t>
              <w:tab/>
            </w:r>
            <w:r>
              <w:rPr>
                <w:rStyle w:val="IndexLink"/>
              </w:rPr>
              <w:t>35</w:t>
            </w:r>
          </w:hyperlink>
        </w:p>
        <w:p>
          <w:pPr>
            <w:pStyle w:val="Contents3"/>
            <w:tabs>
              <w:tab w:val="clear" w:pos="8459"/>
              <w:tab w:val="right" w:pos="9026" w:leader="dot"/>
            </w:tabs>
            <w:rPr/>
          </w:pPr>
          <w:hyperlink w:anchor="__RefHeading___Toc1100956_1468164448">
            <w:r>
              <w:rPr>
                <w:webHidden/>
                <w:rStyle w:val="IndexLink"/>
                <w:rtl w:val="true"/>
              </w:rPr>
              <w:t>درجات اللوث</w:t>
            </w:r>
            <w:r>
              <w:rPr>
                <w:rStyle w:val="IndexLink"/>
                <w:rtl w:val="true"/>
              </w:rPr>
              <w:t>:</w:t>
              <w:tab/>
            </w:r>
            <w:r>
              <w:rPr>
                <w:rStyle w:val="IndexLink"/>
              </w:rPr>
              <w:t>36</w:t>
            </w:r>
          </w:hyperlink>
        </w:p>
        <w:p>
          <w:pPr>
            <w:pStyle w:val="Contents3"/>
            <w:tabs>
              <w:tab w:val="clear" w:pos="8459"/>
              <w:tab w:val="right" w:pos="9026" w:leader="dot"/>
            </w:tabs>
            <w:rPr/>
          </w:pPr>
          <w:hyperlink w:anchor="__RefHeading___Toc1100958_1468164448">
            <w:r>
              <w:rPr>
                <w:webHidden/>
                <w:rStyle w:val="IndexLink"/>
                <w:rtl w:val="true"/>
              </w:rPr>
              <w:t>فائدة فی حقیقة الیمین فی القضاء بالقسامة</w:t>
            </w:r>
            <w:r>
              <w:rPr>
                <w:rStyle w:val="IndexLink"/>
                <w:rtl w:val="true"/>
              </w:rPr>
              <w:t>:</w:t>
              <w:tab/>
            </w:r>
            <w:r>
              <w:rPr>
                <w:rStyle w:val="IndexLink"/>
              </w:rPr>
              <w:t>36</w:t>
            </w:r>
          </w:hyperlink>
        </w:p>
        <w:p>
          <w:pPr>
            <w:pStyle w:val="Contents3"/>
            <w:tabs>
              <w:tab w:val="clear" w:pos="8459"/>
              <w:tab w:val="right" w:pos="9026" w:leader="dot"/>
            </w:tabs>
            <w:rPr/>
          </w:pPr>
          <w:hyperlink w:anchor="__RefHeading___Toc1100960_1468164448">
            <w:r>
              <w:rPr>
                <w:webHidden/>
                <w:rStyle w:val="IndexLink"/>
                <w:rtl w:val="true"/>
              </w:rPr>
              <w:t>شواهد القاعدة</w:t>
            </w:r>
            <w:r>
              <w:rPr>
                <w:rStyle w:val="IndexLink"/>
                <w:rtl w:val="true"/>
              </w:rPr>
              <w:t>:</w:t>
              <w:tab/>
            </w:r>
            <w:r>
              <w:rPr>
                <w:rStyle w:val="IndexLink"/>
              </w:rPr>
              <w:t>37</w:t>
            </w:r>
          </w:hyperlink>
        </w:p>
        <w:p>
          <w:pPr>
            <w:pStyle w:val="Contents3"/>
            <w:tabs>
              <w:tab w:val="clear" w:pos="8459"/>
              <w:tab w:val="right" w:pos="9026" w:leader="dot"/>
            </w:tabs>
            <w:rPr/>
          </w:pPr>
          <w:hyperlink w:anchor="__RefHeading___Toc1100962_1468164448">
            <w:r>
              <w:rPr>
                <w:webHidden/>
                <w:rStyle w:val="IndexLink"/>
                <w:rtl w:val="true"/>
              </w:rPr>
              <w:t>تنظیر لهذا الحکم</w:t>
            </w:r>
            <w:r>
              <w:rPr>
                <w:rStyle w:val="IndexLink"/>
                <w:rtl w:val="true"/>
              </w:rPr>
              <w:t>:</w:t>
              <w:tab/>
            </w:r>
            <w:r>
              <w:rPr>
                <w:rStyle w:val="IndexLink"/>
              </w:rPr>
              <w:t>41</w:t>
            </w:r>
          </w:hyperlink>
        </w:p>
        <w:p>
          <w:pPr>
            <w:pStyle w:val="Contents3"/>
            <w:tabs>
              <w:tab w:val="clear" w:pos="8459"/>
              <w:tab w:val="right" w:pos="9026" w:leader="dot"/>
            </w:tabs>
            <w:rPr/>
          </w:pPr>
          <w:hyperlink w:anchor="__RefHeading___Toc1100964_1468164448">
            <w:r>
              <w:rPr>
                <w:webHidden/>
                <w:rStyle w:val="IndexLink"/>
                <w:rtl w:val="true"/>
              </w:rPr>
              <w:t>فوائد اللوث والتهمة</w:t>
            </w:r>
            <w:r>
              <w:rPr>
                <w:rStyle w:val="IndexLink"/>
                <w:rtl w:val="true"/>
              </w:rPr>
              <w:t>:</w:t>
              <w:tab/>
            </w:r>
            <w:r>
              <w:rPr>
                <w:rStyle w:val="IndexLink"/>
              </w:rPr>
              <w:t>44</w:t>
            </w:r>
          </w:hyperlink>
        </w:p>
        <w:p>
          <w:pPr>
            <w:pStyle w:val="Contents2"/>
            <w:tabs>
              <w:tab w:val="clear" w:pos="8743"/>
              <w:tab w:val="right" w:pos="9026" w:leader="dot"/>
            </w:tabs>
            <w:rPr/>
          </w:pPr>
          <w:hyperlink w:anchor="__RefHeading___Toc1100966_1468164448">
            <w:r>
              <w:rPr>
                <w:webHidden/>
                <w:rStyle w:val="IndexLink"/>
                <w:rtl w:val="true"/>
              </w:rPr>
              <w:t>القاعدة الرابعة</w:t>
            </w:r>
            <w:r>
              <w:rPr>
                <w:rStyle w:val="IndexLink"/>
                <w:rtl w:val="true"/>
              </w:rPr>
              <w:t xml:space="preserve">: </w:t>
            </w:r>
            <w:r>
              <w:rPr>
                <w:rStyle w:val="IndexLink"/>
                <w:rtl w:val="true"/>
              </w:rPr>
              <w:t>فی جواز التحری والفحص من قبل القاضی للمتهم باللوث</w:t>
            </w:r>
            <w:r>
              <w:rPr>
                <w:rStyle w:val="IndexLink"/>
                <w:rtl w:val="true"/>
              </w:rPr>
              <w:tab/>
            </w:r>
            <w:r>
              <w:rPr>
                <w:rStyle w:val="IndexLink"/>
              </w:rPr>
              <w:t>46</w:t>
            </w:r>
          </w:hyperlink>
        </w:p>
        <w:p>
          <w:pPr>
            <w:pStyle w:val="Contents3"/>
            <w:tabs>
              <w:tab w:val="clear" w:pos="8459"/>
              <w:tab w:val="right" w:pos="9026" w:leader="dot"/>
            </w:tabs>
            <w:rPr/>
          </w:pPr>
          <w:hyperlink w:anchor="__RefHeading___Toc1100968_1468164448">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100970_1468164448">
            <w:r>
              <w:rPr>
                <w:webHidden/>
                <w:rStyle w:val="IndexLink"/>
                <w:rtl w:val="true"/>
              </w:rPr>
              <w:t>فائدة جانبیة</w:t>
            </w:r>
            <w:r>
              <w:rPr>
                <w:rStyle w:val="IndexLink"/>
                <w:rtl w:val="true"/>
              </w:rPr>
              <w:t>:</w:t>
              <w:tab/>
            </w:r>
            <w:r>
              <w:rPr>
                <w:rStyle w:val="IndexLink"/>
              </w:rPr>
              <w:t>50</w:t>
            </w:r>
          </w:hyperlink>
        </w:p>
        <w:p>
          <w:pPr>
            <w:pStyle w:val="Contents2"/>
            <w:tabs>
              <w:tab w:val="clear" w:pos="8743"/>
              <w:tab w:val="right" w:pos="9026" w:leader="dot"/>
            </w:tabs>
            <w:rPr/>
          </w:pPr>
          <w:hyperlink w:anchor="__RefHeading___Toc1100972_1468164448">
            <w:r>
              <w:rPr>
                <w:webHidden/>
                <w:rStyle w:val="IndexLink"/>
                <w:rtl w:val="true"/>
              </w:rPr>
              <w:t>القاعدة الخامسة</w:t>
            </w:r>
            <w:r>
              <w:rPr>
                <w:rStyle w:val="IndexLink"/>
                <w:rtl w:val="true"/>
              </w:rPr>
              <w:t xml:space="preserve">: </w:t>
            </w:r>
            <w:r>
              <w:rPr>
                <w:rStyle w:val="IndexLink"/>
                <w:rtl w:val="true"/>
              </w:rPr>
              <w:t>قبول الدعاوی لتعدد المتنازعین عرضا وطولا قاعدة قضائیة</w:t>
            </w:r>
            <w:r>
              <w:rPr>
                <w:rStyle w:val="IndexLink"/>
                <w:rtl w:val="true"/>
              </w:rPr>
              <w:tab/>
            </w:r>
            <w:r>
              <w:rPr>
                <w:rStyle w:val="IndexLink"/>
              </w:rPr>
              <w:t>64</w:t>
            </w:r>
          </w:hyperlink>
        </w:p>
        <w:p>
          <w:pPr>
            <w:pStyle w:val="Contents3"/>
            <w:tabs>
              <w:tab w:val="clear" w:pos="8459"/>
              <w:tab w:val="right" w:pos="9026" w:leader="dot"/>
            </w:tabs>
            <w:rPr/>
          </w:pPr>
          <w:hyperlink w:anchor="__RefHeading___Toc1100974_1468164448">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100976_1468164448">
            <w:r>
              <w:rPr>
                <w:webHidden/>
                <w:rStyle w:val="IndexLink"/>
                <w:rtl w:val="true"/>
              </w:rPr>
              <w:t>فائدة رجالیة</w:t>
            </w:r>
            <w:r>
              <w:rPr>
                <w:rStyle w:val="IndexLink"/>
                <w:rtl w:val="true"/>
              </w:rPr>
              <w:t>:</w:t>
              <w:tab/>
            </w:r>
            <w:r>
              <w:rPr>
                <w:rStyle w:val="IndexLink"/>
              </w:rPr>
              <w:t>67</w:t>
            </w:r>
          </w:hyperlink>
        </w:p>
        <w:p>
          <w:pPr>
            <w:pStyle w:val="Contents2"/>
            <w:tabs>
              <w:tab w:val="clear" w:pos="8743"/>
              <w:tab w:val="right" w:pos="9026" w:leader="dot"/>
            </w:tabs>
            <w:rPr/>
          </w:pPr>
          <w:hyperlink w:anchor="__RefHeading___Toc1100978_1468164448">
            <w:r>
              <w:rPr>
                <w:webHidden/>
                <w:rStyle w:val="IndexLink"/>
                <w:rtl w:val="true"/>
              </w:rPr>
              <w:t>القاعدة السادسة</w:t>
            </w:r>
            <w:r>
              <w:rPr>
                <w:rStyle w:val="IndexLink"/>
                <w:rtl w:val="true"/>
              </w:rPr>
              <w:t xml:space="preserve">: </w:t>
            </w:r>
            <w:r>
              <w:rPr>
                <w:rStyle w:val="IndexLink"/>
                <w:rtl w:val="true"/>
              </w:rPr>
              <w:t>قاعدة فی باب الجنایات تقدیم الأسبق زمنا فی حق الجنایة</w:t>
            </w:r>
            <w:r>
              <w:rPr>
                <w:rStyle w:val="IndexLink"/>
                <w:rtl w:val="true"/>
              </w:rPr>
              <w:tab/>
            </w:r>
            <w:r>
              <w:rPr>
                <w:rStyle w:val="IndexLink"/>
              </w:rPr>
              <w:t>70</w:t>
            </w:r>
          </w:hyperlink>
        </w:p>
        <w:p>
          <w:pPr>
            <w:pStyle w:val="Contents2"/>
            <w:tabs>
              <w:tab w:val="clear" w:pos="8743"/>
              <w:tab w:val="right" w:pos="9026" w:leader="dot"/>
            </w:tabs>
            <w:rPr/>
          </w:pPr>
          <w:hyperlink w:anchor="__RefHeading___Toc1100980_1468164448">
            <w:r>
              <w:rPr>
                <w:webHidden/>
                <w:rStyle w:val="IndexLink"/>
                <w:rtl w:val="true"/>
              </w:rPr>
              <w:t>القاعدة السابعة</w:t>
            </w:r>
            <w:r>
              <w:rPr>
                <w:rStyle w:val="IndexLink"/>
                <w:rtl w:val="true"/>
              </w:rPr>
              <w:t xml:space="preserve">: </w:t>
            </w:r>
            <w:r>
              <w:rPr>
                <w:rStyle w:val="IndexLink"/>
                <w:rtl w:val="true"/>
              </w:rPr>
              <w:t>قاعدة باب الجنایات لا یجنی الجانی علی اکثر من نفسه</w:t>
            </w:r>
            <w:r>
              <w:rPr>
                <w:rStyle w:val="IndexLink"/>
                <w:rtl w:val="true"/>
              </w:rPr>
              <w:tab/>
            </w:r>
            <w:r>
              <w:rPr>
                <w:rStyle w:val="IndexLink"/>
              </w:rPr>
              <w:t>74</w:t>
            </w:r>
          </w:hyperlink>
        </w:p>
        <w:p>
          <w:pPr>
            <w:pStyle w:val="Contents3"/>
            <w:tabs>
              <w:tab w:val="clear" w:pos="8459"/>
              <w:tab w:val="right" w:pos="9026" w:leader="dot"/>
            </w:tabs>
            <w:rPr/>
          </w:pPr>
          <w:hyperlink w:anchor="__RefHeading___Toc1100982_1468164448">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100984_1468164448">
            <w:r>
              <w:rPr>
                <w:webHidden/>
                <w:rStyle w:val="IndexLink"/>
                <w:rtl w:val="true"/>
              </w:rPr>
              <w:t>شبهة معارضة ودفعها</w:t>
            </w:r>
            <w:r>
              <w:rPr>
                <w:rStyle w:val="IndexLink"/>
                <w:rtl w:val="true"/>
              </w:rPr>
              <w:t>:</w:t>
              <w:tab/>
            </w:r>
            <w:r>
              <w:rPr>
                <w:rStyle w:val="IndexLink"/>
              </w:rPr>
              <w:t>76</w:t>
            </w:r>
          </w:hyperlink>
        </w:p>
        <w:p>
          <w:pPr>
            <w:pStyle w:val="Contents2"/>
            <w:tabs>
              <w:tab w:val="clear" w:pos="8743"/>
              <w:tab w:val="right" w:pos="9026" w:leader="dot"/>
            </w:tabs>
            <w:rPr/>
          </w:pPr>
          <w:hyperlink w:anchor="__RefHeading___Toc1100986_1468164448">
            <w:r>
              <w:rPr>
                <w:webHidden/>
                <w:rStyle w:val="IndexLink"/>
                <w:rtl w:val="true"/>
              </w:rPr>
              <w:t>القاعدة الثامنة</w:t>
            </w:r>
            <w:r>
              <w:rPr>
                <w:rStyle w:val="IndexLink"/>
                <w:rtl w:val="true"/>
              </w:rPr>
              <w:t xml:space="preserve">: </w:t>
            </w:r>
            <w:r>
              <w:rPr>
                <w:rStyle w:val="IndexLink"/>
                <w:rtl w:val="true"/>
              </w:rPr>
              <w:t>فی تقدیم حق جنایة العضو علی حق قصاص النفس</w:t>
            </w:r>
            <w:r>
              <w:rPr>
                <w:rStyle w:val="IndexLink"/>
                <w:rtl w:val="true"/>
              </w:rPr>
              <w:tab/>
            </w:r>
            <w:r>
              <w:rPr>
                <w:rStyle w:val="IndexLink"/>
              </w:rPr>
              <w:t>78</w:t>
            </w:r>
          </w:hyperlink>
        </w:p>
        <w:p>
          <w:pPr>
            <w:pStyle w:val="Contents2"/>
            <w:tabs>
              <w:tab w:val="clear" w:pos="8743"/>
              <w:tab w:val="right" w:pos="9026" w:leader="dot"/>
            </w:tabs>
            <w:rPr/>
          </w:pPr>
          <w:hyperlink w:anchor="__RefHeading___Toc1100988_1468164448">
            <w:r>
              <w:rPr>
                <w:webHidden/>
                <w:rStyle w:val="IndexLink"/>
                <w:rtl w:val="true"/>
              </w:rPr>
              <w:t>القاعدة التاسعة</w:t>
            </w:r>
            <w:r>
              <w:rPr>
                <w:rStyle w:val="IndexLink"/>
                <w:rtl w:val="true"/>
              </w:rPr>
              <w:t xml:space="preserve">: </w:t>
            </w:r>
            <w:r>
              <w:rPr>
                <w:rStyle w:val="IndexLink"/>
                <w:rtl w:val="true"/>
              </w:rPr>
              <w:t>هدر دم المعتدی لا یحسب قصاصا لا یسقط الضمان عن المعتدی</w:t>
            </w:r>
            <w:r>
              <w:rPr>
                <w:rStyle w:val="IndexLink"/>
                <w:rtl w:val="true"/>
              </w:rPr>
              <w:tab/>
            </w:r>
            <w:r>
              <w:rPr>
                <w:rStyle w:val="IndexLink"/>
              </w:rPr>
              <w:t>82</w:t>
            </w:r>
          </w:hyperlink>
        </w:p>
        <w:p>
          <w:pPr>
            <w:pStyle w:val="Contents3"/>
            <w:tabs>
              <w:tab w:val="clear" w:pos="8459"/>
              <w:tab w:val="right" w:pos="9026" w:leader="dot"/>
            </w:tabs>
            <w:rPr/>
          </w:pPr>
          <w:hyperlink w:anchor="__RefHeading___Toc1100990_1468164448">
            <w:r>
              <w:rPr>
                <w:webHidden/>
                <w:rStyle w:val="IndexLink"/>
                <w:rtl w:val="true"/>
              </w:rPr>
              <w:t>عبارات الاعلام فی المسالة</w:t>
            </w:r>
            <w:r>
              <w:rPr>
                <w:rStyle w:val="IndexLink"/>
                <w:rtl w:val="true"/>
              </w:rPr>
              <w:t>:</w:t>
              <w:tab/>
            </w:r>
            <w:r>
              <w:rPr>
                <w:rStyle w:val="IndexLink"/>
              </w:rPr>
              <w:t>82</w:t>
            </w:r>
          </w:hyperlink>
        </w:p>
        <w:p>
          <w:pPr>
            <w:pStyle w:val="Contents3"/>
            <w:tabs>
              <w:tab w:val="clear" w:pos="8459"/>
              <w:tab w:val="right" w:pos="9026" w:leader="dot"/>
            </w:tabs>
            <w:rPr/>
          </w:pPr>
          <w:hyperlink w:anchor="__RefHeading___Toc1100992_1468164448">
            <w:r>
              <w:rPr>
                <w:webHidden/>
                <w:rStyle w:val="IndexLink"/>
                <w:rtl w:val="true"/>
              </w:rPr>
              <w:t>الاشکال علی القاعدة ودفعه</w:t>
            </w:r>
            <w:r>
              <w:rPr>
                <w:rStyle w:val="IndexLink"/>
                <w:rtl w:val="true"/>
              </w:rPr>
              <w:t>:</w:t>
              <w:tab/>
            </w:r>
            <w:r>
              <w:rPr>
                <w:rStyle w:val="IndexLink"/>
              </w:rPr>
              <w:t>87</w:t>
            </w:r>
          </w:hyperlink>
        </w:p>
        <w:p>
          <w:pPr>
            <w:pStyle w:val="Contents2"/>
            <w:tabs>
              <w:tab w:val="clear" w:pos="8743"/>
              <w:tab w:val="right" w:pos="9026" w:leader="dot"/>
            </w:tabs>
            <w:rPr/>
          </w:pPr>
          <w:hyperlink w:anchor="__RefHeading___Toc1100994_1468164448">
            <w:r>
              <w:rPr>
                <w:webHidden/>
                <w:rStyle w:val="IndexLink"/>
                <w:rtl w:val="true"/>
              </w:rPr>
              <w:t>القاعدة العاشرة</w:t>
            </w:r>
            <w:r>
              <w:rPr>
                <w:rStyle w:val="IndexLink"/>
                <w:rtl w:val="true"/>
              </w:rPr>
              <w:t xml:space="preserve">: </w:t>
            </w:r>
            <w:r>
              <w:rPr>
                <w:rStyle w:val="IndexLink"/>
                <w:rtl w:val="true"/>
              </w:rPr>
              <w:t>قاعدة فی القصاص العرفی</w:t>
            </w:r>
            <w:r>
              <w:rPr>
                <w:rStyle w:val="IndexLink"/>
                <w:rtl w:val="true"/>
              </w:rPr>
              <w:tab/>
            </w:r>
            <w:r>
              <w:rPr>
                <w:rStyle w:val="IndexLink"/>
              </w:rPr>
              <w:t>90</w:t>
            </w:r>
          </w:hyperlink>
        </w:p>
        <w:p>
          <w:pPr>
            <w:pStyle w:val="Contents2"/>
            <w:tabs>
              <w:tab w:val="clear" w:pos="8743"/>
              <w:tab w:val="right" w:pos="9026" w:leader="dot"/>
            </w:tabs>
            <w:rPr/>
          </w:pPr>
          <w:hyperlink w:anchor="__RefHeading___Toc1100996_1468164448">
            <w:r>
              <w:rPr>
                <w:webHidden/>
                <w:rStyle w:val="IndexLink"/>
                <w:rtl w:val="true"/>
              </w:rPr>
              <w:t>القاعدة الحادیة عشر</w:t>
            </w:r>
            <w:r>
              <w:rPr>
                <w:rStyle w:val="IndexLink"/>
                <w:rtl w:val="true"/>
              </w:rPr>
              <w:t xml:space="preserve">: </w:t>
            </w:r>
            <w:r>
              <w:rPr>
                <w:rStyle w:val="IndexLink"/>
                <w:rtl w:val="true"/>
              </w:rPr>
              <w:t>قاعة المثلیة فی الأطراف والأعضاء والجروح لوحدة العنوان او المحل</w:t>
            </w:r>
            <w:r>
              <w:rPr>
                <w:rStyle w:val="IndexLink"/>
                <w:rtl w:val="true"/>
              </w:rPr>
              <w:tab/>
            </w:r>
            <w:r>
              <w:rPr>
                <w:rStyle w:val="IndexLink"/>
              </w:rPr>
              <w:t>93</w:t>
            </w:r>
          </w:hyperlink>
        </w:p>
        <w:p>
          <w:pPr>
            <w:pStyle w:val="Contents2"/>
            <w:tabs>
              <w:tab w:val="clear" w:pos="8743"/>
              <w:tab w:val="right" w:pos="9026" w:leader="dot"/>
            </w:tabs>
            <w:rPr/>
          </w:pPr>
          <w:hyperlink w:anchor="__RefHeading___Toc1100998_1468164448">
            <w:r>
              <w:rPr>
                <w:webHidden/>
                <w:rStyle w:val="IndexLink"/>
                <w:rtl w:val="true"/>
              </w:rPr>
              <w:t>القاعدة الثانیة عشرة</w:t>
            </w:r>
            <w:r>
              <w:rPr>
                <w:rStyle w:val="IndexLink"/>
                <w:rtl w:val="true"/>
              </w:rPr>
              <w:t xml:space="preserve">: </w:t>
            </w:r>
            <w:r>
              <w:rPr>
                <w:rStyle w:val="IndexLink"/>
                <w:rtl w:val="true"/>
              </w:rPr>
              <w:t>قاعدة فی سقوط القصاص</w:t>
            </w:r>
            <w:r>
              <w:rPr>
                <w:rStyle w:val="IndexLink"/>
                <w:rtl w:val="true"/>
              </w:rPr>
              <w:tab/>
            </w:r>
            <w:r>
              <w:rPr>
                <w:rStyle w:val="IndexLink"/>
              </w:rPr>
              <w:t>99</w:t>
            </w:r>
          </w:hyperlink>
        </w:p>
        <w:p>
          <w:pPr>
            <w:pStyle w:val="Contents2"/>
            <w:tabs>
              <w:tab w:val="clear" w:pos="8743"/>
              <w:tab w:val="right" w:pos="9026" w:leader="dot"/>
            </w:tabs>
            <w:rPr/>
          </w:pPr>
          <w:hyperlink w:anchor="__RefHeading___Toc1101000_1468164448">
            <w:r>
              <w:rPr>
                <w:webHidden/>
                <w:rStyle w:val="IndexLink"/>
                <w:rtl w:val="true"/>
              </w:rPr>
              <w:t>القاعدة الثالثة عشرة</w:t>
            </w:r>
            <w:r>
              <w:rPr>
                <w:rStyle w:val="IndexLink"/>
                <w:rtl w:val="true"/>
              </w:rPr>
              <w:t xml:space="preserve">: </w:t>
            </w:r>
            <w:r>
              <w:rPr>
                <w:rStyle w:val="IndexLink"/>
                <w:rtl w:val="true"/>
              </w:rPr>
              <w:t>قاعدة فی غایة القصاص</w:t>
            </w:r>
            <w:r>
              <w:rPr>
                <w:rStyle w:val="IndexLink"/>
                <w:rtl w:val="true"/>
              </w:rPr>
              <w:tab/>
            </w:r>
            <w:r>
              <w:rPr>
                <w:rStyle w:val="IndexLink"/>
              </w:rPr>
              <w:t>111</w:t>
            </w:r>
          </w:hyperlink>
        </w:p>
        <w:p>
          <w:pPr>
            <w:pStyle w:val="Contents2"/>
            <w:tabs>
              <w:tab w:val="clear" w:pos="8743"/>
              <w:tab w:val="right" w:pos="9026" w:leader="dot"/>
            </w:tabs>
            <w:rPr/>
          </w:pPr>
          <w:hyperlink w:anchor="__RefHeading___Toc1101002_1468164448">
            <w:r>
              <w:rPr>
                <w:webHidden/>
                <w:rStyle w:val="IndexLink"/>
                <w:rtl w:val="true"/>
              </w:rPr>
              <w:t>القاعدة الرابعة عشرة</w:t>
            </w:r>
            <w:r>
              <w:rPr>
                <w:rStyle w:val="IndexLink"/>
                <w:rtl w:val="true"/>
              </w:rPr>
              <w:t xml:space="preserve">: </w:t>
            </w:r>
            <w:r>
              <w:rPr>
                <w:rStyle w:val="IndexLink"/>
                <w:rtl w:val="true"/>
              </w:rPr>
              <w:t>فی قصاص الأطراف أنها لمجرد إبانة العضو أو للشین أیضا</w:t>
            </w:r>
            <w:r>
              <w:rPr>
                <w:rStyle w:val="IndexLink"/>
                <w:rtl w:val="true"/>
              </w:rPr>
              <w:tab/>
            </w:r>
            <w:r>
              <w:rPr>
                <w:rStyle w:val="IndexLink"/>
              </w:rPr>
              <w:t>116</w:t>
            </w:r>
          </w:hyperlink>
        </w:p>
        <w:p>
          <w:pPr>
            <w:pStyle w:val="Contents3"/>
            <w:tabs>
              <w:tab w:val="clear" w:pos="8459"/>
              <w:tab w:val="right" w:pos="9026" w:leader="dot"/>
            </w:tabs>
            <w:rPr/>
          </w:pPr>
          <w:hyperlink w:anchor="__RefHeading___Toc1101004_1468164448">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101006_1468164448">
            <w:r>
              <w:rPr>
                <w:webHidden/>
                <w:rStyle w:val="IndexLink"/>
                <w:rtl w:val="true"/>
              </w:rPr>
              <w:t>تطبیق وشرح للقاعدة</w:t>
            </w:r>
            <w:r>
              <w:rPr>
                <w:rStyle w:val="IndexLink"/>
                <w:rtl w:val="true"/>
              </w:rPr>
              <w:t>:</w:t>
              <w:tab/>
            </w:r>
            <w:r>
              <w:rPr>
                <w:rStyle w:val="IndexLink"/>
              </w:rPr>
              <w:t>118</w:t>
            </w:r>
          </w:hyperlink>
        </w:p>
        <w:p>
          <w:pPr>
            <w:pStyle w:val="Contents2"/>
            <w:tabs>
              <w:tab w:val="clear" w:pos="8743"/>
              <w:tab w:val="right" w:pos="9026" w:leader="dot"/>
            </w:tabs>
            <w:rPr/>
          </w:pPr>
          <w:hyperlink w:anchor="__RefHeading___Toc1101008_1468164448">
            <w:r>
              <w:rPr>
                <w:webHidden/>
                <w:rStyle w:val="IndexLink"/>
                <w:rtl w:val="true"/>
              </w:rPr>
              <w:t>القاعدة الخامسة عشرة</w:t>
            </w:r>
            <w:r>
              <w:rPr>
                <w:rStyle w:val="IndexLink"/>
                <w:rtl w:val="true"/>
              </w:rPr>
              <w:t xml:space="preserve">: </w:t>
            </w:r>
            <w:r>
              <w:rPr>
                <w:rStyle w:val="IndexLink"/>
                <w:rtl w:val="true"/>
              </w:rPr>
              <w:t>قاعدة فی تبعیض القصاص فی الأطراف والجراحات</w:t>
            </w:r>
            <w:r>
              <w:rPr>
                <w:rStyle w:val="IndexLink"/>
                <w:rtl w:val="true"/>
              </w:rPr>
              <w:tab/>
            </w:r>
            <w:r>
              <w:rPr>
                <w:rStyle w:val="IndexLink"/>
              </w:rPr>
              <w:t>123</w:t>
            </w:r>
          </w:hyperlink>
        </w:p>
        <w:p>
          <w:pPr>
            <w:pStyle w:val="Contents3"/>
            <w:tabs>
              <w:tab w:val="clear" w:pos="8459"/>
              <w:tab w:val="right" w:pos="9026" w:leader="dot"/>
            </w:tabs>
            <w:rPr/>
          </w:pPr>
          <w:hyperlink w:anchor="__RefHeading___Toc1101010_1468164448">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101012_1468164448">
            <w:r>
              <w:rPr>
                <w:webHidden/>
                <w:rStyle w:val="IndexLink"/>
                <w:rtl w:val="true"/>
              </w:rPr>
              <w:t>ضابطتان فی التبعیض</w:t>
            </w:r>
            <w:r>
              <w:rPr>
                <w:rStyle w:val="IndexLink"/>
                <w:rtl w:val="true"/>
              </w:rPr>
              <w:t>:</w:t>
              <w:tab/>
            </w:r>
            <w:r>
              <w:rPr>
                <w:rStyle w:val="IndexLink"/>
              </w:rPr>
              <w:t>125</w:t>
            </w:r>
          </w:hyperlink>
        </w:p>
        <w:p>
          <w:pPr>
            <w:pStyle w:val="Contents3"/>
            <w:tabs>
              <w:tab w:val="clear" w:pos="8459"/>
              <w:tab w:val="right" w:pos="9026" w:leader="dot"/>
            </w:tabs>
            <w:rPr/>
          </w:pPr>
          <w:hyperlink w:anchor="__RefHeading___Toc1101014_1468164448">
            <w:r>
              <w:rPr>
                <w:webHidden/>
                <w:rStyle w:val="IndexLink"/>
                <w:rtl w:val="true"/>
              </w:rPr>
              <w:t>فروع فی التبعیض</w:t>
            </w:r>
            <w:r>
              <w:rPr>
                <w:rStyle w:val="IndexLink"/>
                <w:rtl w:val="true"/>
              </w:rPr>
              <w:t>:</w:t>
              <w:tab/>
            </w:r>
            <w:r>
              <w:rPr>
                <w:rStyle w:val="IndexLink"/>
              </w:rPr>
              <w:t>125</w:t>
            </w:r>
          </w:hyperlink>
        </w:p>
        <w:p>
          <w:pPr>
            <w:pStyle w:val="Contents3"/>
            <w:tabs>
              <w:tab w:val="clear" w:pos="8459"/>
              <w:tab w:val="right" w:pos="9026" w:leader="dot"/>
            </w:tabs>
            <w:rPr/>
          </w:pPr>
          <w:hyperlink w:anchor="__RefHeading___Toc1101016_1468164448">
            <w:r>
              <w:rPr>
                <w:webHidden/>
                <w:rStyle w:val="IndexLink"/>
                <w:rtl w:val="true"/>
              </w:rPr>
              <w:t>التبعیض فی الجرحات</w:t>
            </w:r>
            <w:r>
              <w:rPr>
                <w:rStyle w:val="IndexLink"/>
                <w:rtl w:val="true"/>
              </w:rPr>
              <w:t>:</w:t>
              <w:tab/>
            </w:r>
            <w:r>
              <w:rPr>
                <w:rStyle w:val="IndexLink"/>
              </w:rPr>
              <w:t>126</w:t>
            </w:r>
          </w:hyperlink>
        </w:p>
        <w:p>
          <w:pPr>
            <w:pStyle w:val="Contents2"/>
            <w:tabs>
              <w:tab w:val="clear" w:pos="8743"/>
              <w:tab w:val="right" w:pos="9026" w:leader="dot"/>
            </w:tabs>
            <w:rPr/>
          </w:pPr>
          <w:hyperlink w:anchor="__RefHeading___Toc1101018_1468164448">
            <w:r>
              <w:rPr>
                <w:webHidden/>
                <w:rStyle w:val="IndexLink"/>
                <w:rtl w:val="true"/>
              </w:rPr>
              <w:t>القاعدة السادسة عشرة</w:t>
            </w:r>
            <w:r>
              <w:rPr>
                <w:rStyle w:val="IndexLink"/>
                <w:rtl w:val="true"/>
              </w:rPr>
              <w:t xml:space="preserve">: </w:t>
            </w:r>
            <w:r>
              <w:rPr>
                <w:rStyle w:val="IndexLink"/>
                <w:rtl w:val="true"/>
              </w:rPr>
              <w:t>إن الدیة فی طول القصاص استیفاء وفی عرضه موضوعا وموجبا</w:t>
            </w:r>
            <w:r>
              <w:rPr>
                <w:rStyle w:val="IndexLink"/>
                <w:rtl w:val="true"/>
              </w:rPr>
              <w:tab/>
            </w:r>
            <w:r>
              <w:rPr>
                <w:rStyle w:val="IndexLink"/>
              </w:rPr>
              <w:t>129</w:t>
            </w:r>
          </w:hyperlink>
        </w:p>
        <w:p>
          <w:pPr>
            <w:pStyle w:val="Contents2"/>
            <w:tabs>
              <w:tab w:val="clear" w:pos="8743"/>
              <w:tab w:val="right" w:pos="9026" w:leader="dot"/>
            </w:tabs>
            <w:rPr/>
          </w:pPr>
          <w:hyperlink w:anchor="__RefHeading___Toc1101020_1468164448">
            <w:r>
              <w:rPr>
                <w:webHidden/>
                <w:rStyle w:val="IndexLink"/>
                <w:rtl w:val="true"/>
              </w:rPr>
              <w:t>القاعدة السابعة عشرة</w:t>
            </w:r>
            <w:r>
              <w:rPr>
                <w:rStyle w:val="IndexLink"/>
                <w:rtl w:val="true"/>
              </w:rPr>
              <w:t xml:space="preserve">: </w:t>
            </w:r>
            <w:r>
              <w:rPr>
                <w:rStyle w:val="IndexLink"/>
                <w:rtl w:val="true"/>
              </w:rPr>
              <w:t xml:space="preserve">فی إجزاء الاضطراری بعض الوقت </w:t>
            </w:r>
            <w:r>
              <w:rPr>
                <w:rStyle w:val="IndexLink"/>
                <w:rtl w:val="true"/>
              </w:rPr>
              <w:t xml:space="preserve">- </w:t>
            </w:r>
            <w:r>
              <w:rPr>
                <w:rStyle w:val="IndexLink"/>
                <w:rtl w:val="true"/>
              </w:rPr>
              <w:t xml:space="preserve">قاعدة فی باب الصلاة </w:t>
            </w:r>
            <w:r>
              <w:rPr>
                <w:rStyle w:val="IndexLink"/>
                <w:rtl w:val="true"/>
              </w:rPr>
              <w:t>-</w:t>
              <w:tab/>
            </w:r>
            <w:r>
              <w:rPr>
                <w:rStyle w:val="IndexLink"/>
              </w:rPr>
              <w:t>134</w:t>
            </w:r>
          </w:hyperlink>
        </w:p>
        <w:p>
          <w:pPr>
            <w:pStyle w:val="Contents2"/>
            <w:tabs>
              <w:tab w:val="clear" w:pos="8743"/>
              <w:tab w:val="right" w:pos="9026" w:leader="dot"/>
            </w:tabs>
            <w:rPr/>
          </w:pPr>
          <w:hyperlink w:anchor="__RefHeading___Toc1101022_1468164448">
            <w:r>
              <w:rPr>
                <w:webHidden/>
                <w:rStyle w:val="IndexLink"/>
                <w:rtl w:val="true"/>
              </w:rPr>
              <w:t>القاعدة الثامنة عشرة</w:t>
            </w:r>
            <w:r>
              <w:rPr>
                <w:rStyle w:val="IndexLink"/>
                <w:rtl w:val="true"/>
              </w:rPr>
              <w:t xml:space="preserve">: </w:t>
            </w:r>
            <w:r>
              <w:rPr>
                <w:rStyle w:val="IndexLink"/>
                <w:rtl w:val="true"/>
              </w:rPr>
              <w:t>التوسل عبادة توحیدیة</w:t>
            </w:r>
            <w:r>
              <w:rPr>
                <w:rStyle w:val="IndexLink"/>
                <w:rtl w:val="true"/>
              </w:rPr>
              <w:tab/>
            </w:r>
            <w:r>
              <w:rPr>
                <w:rStyle w:val="IndexLink"/>
              </w:rPr>
              <w:t>138</w:t>
            </w:r>
          </w:hyperlink>
        </w:p>
        <w:p>
          <w:pPr>
            <w:pStyle w:val="Contents3"/>
            <w:tabs>
              <w:tab w:val="clear" w:pos="8459"/>
              <w:tab w:val="right" w:pos="9026" w:leader="dot"/>
            </w:tabs>
            <w:rPr/>
          </w:pPr>
          <w:hyperlink w:anchor="__RefHeading___Toc1101024_1468164448">
            <w:r>
              <w:rPr>
                <w:webHidden/>
                <w:rStyle w:val="IndexLink"/>
                <w:rtl w:val="true"/>
              </w:rPr>
              <w:t>توطئة</w:t>
            </w:r>
            <w:r>
              <w:rPr>
                <w:rStyle w:val="IndexLink"/>
                <w:rtl w:val="true"/>
              </w:rPr>
              <w:t>:</w:t>
              <w:tab/>
            </w:r>
            <w:r>
              <w:rPr>
                <w:rStyle w:val="IndexLink"/>
              </w:rPr>
              <w:t>138</w:t>
            </w:r>
          </w:hyperlink>
        </w:p>
        <w:p>
          <w:pPr>
            <w:pStyle w:val="Contents3"/>
            <w:tabs>
              <w:tab w:val="clear" w:pos="8459"/>
              <w:tab w:val="right" w:pos="9026" w:leader="dot"/>
            </w:tabs>
            <w:rPr/>
          </w:pPr>
          <w:hyperlink w:anchor="__RefHeading___Toc1101026_1468164448">
            <w:r>
              <w:rPr>
                <w:webHidden/>
                <w:rStyle w:val="IndexLink"/>
                <w:rtl w:val="true"/>
              </w:rPr>
              <w:t>تقدیم</w:t>
            </w:r>
            <w:r>
              <w:rPr>
                <w:rStyle w:val="IndexLink"/>
                <w:rtl w:val="true"/>
              </w:rPr>
              <w:t>:</w:t>
              <w:tab/>
            </w:r>
            <w:r>
              <w:rPr>
                <w:rStyle w:val="IndexLink"/>
              </w:rPr>
              <w:t>140</w:t>
            </w:r>
          </w:hyperlink>
        </w:p>
        <w:p>
          <w:pPr>
            <w:pStyle w:val="Contents3"/>
            <w:tabs>
              <w:tab w:val="clear" w:pos="8459"/>
              <w:tab w:val="right" w:pos="9026" w:leader="dot"/>
            </w:tabs>
            <w:rPr/>
          </w:pPr>
          <w:hyperlink w:anchor="__RefHeading___Toc1101028_1468164448">
            <w:r>
              <w:rPr>
                <w:webHidden/>
                <w:rStyle w:val="IndexLink"/>
                <w:rtl w:val="true"/>
              </w:rPr>
              <w:t>شبهة و إثارة</w:t>
            </w:r>
            <w:r>
              <w:rPr>
                <w:rStyle w:val="IndexLink"/>
                <w:rtl w:val="true"/>
              </w:rPr>
              <w:t>:</w:t>
              <w:tab/>
            </w:r>
            <w:r>
              <w:rPr>
                <w:rStyle w:val="IndexLink"/>
              </w:rPr>
              <w:t>151</w:t>
            </w:r>
          </w:hyperlink>
        </w:p>
        <w:p>
          <w:pPr>
            <w:pStyle w:val="Contents3"/>
            <w:tabs>
              <w:tab w:val="clear" w:pos="8459"/>
              <w:tab w:val="right" w:pos="9026" w:leader="dot"/>
            </w:tabs>
            <w:rPr/>
          </w:pPr>
          <w:hyperlink w:anchor="__RefHeading___Toc1101030_1468164448">
            <w:r>
              <w:rPr>
                <w:webHidden/>
                <w:rStyle w:val="IndexLink"/>
                <w:rtl w:val="true"/>
              </w:rPr>
              <w:t>أدلة القائلین بعدم جواز التوسل بغیر الله تعالی</w:t>
            </w:r>
            <w:r>
              <w:rPr>
                <w:rStyle w:val="IndexLink"/>
                <w:rtl w:val="true"/>
              </w:rPr>
              <w:t>:</w:t>
              <w:tab/>
            </w:r>
            <w:r>
              <w:rPr>
                <w:rStyle w:val="IndexLink"/>
              </w:rPr>
              <w:t>151</w:t>
            </w:r>
          </w:hyperlink>
        </w:p>
        <w:p>
          <w:pPr>
            <w:pStyle w:val="Contents3"/>
            <w:tabs>
              <w:tab w:val="clear" w:pos="8459"/>
              <w:tab w:val="right" w:pos="9026" w:leader="dot"/>
            </w:tabs>
            <w:rPr/>
          </w:pPr>
          <w:hyperlink w:anchor="__RefHeading___Toc1101032_1468164448">
            <w:r>
              <w:rPr>
                <w:webHidden/>
                <w:rStyle w:val="IndexLink"/>
                <w:rtl w:val="true"/>
              </w:rPr>
              <w:t>معنی الإله فی اللغة</w:t>
            </w:r>
            <w:r>
              <w:rPr>
                <w:rStyle w:val="IndexLink"/>
                <w:rtl w:val="true"/>
              </w:rPr>
              <w:t>:</w:t>
              <w:tab/>
            </w:r>
            <w:r>
              <w:rPr>
                <w:rStyle w:val="IndexLink"/>
              </w:rPr>
              <w:t>153</w:t>
            </w:r>
          </w:hyperlink>
        </w:p>
        <w:p>
          <w:pPr>
            <w:pStyle w:val="Contents3"/>
            <w:tabs>
              <w:tab w:val="clear" w:pos="8459"/>
              <w:tab w:val="right" w:pos="9026" w:leader="dot"/>
            </w:tabs>
            <w:rPr/>
          </w:pPr>
          <w:hyperlink w:anchor="__RefHeading___Toc1101034_1468164448">
            <w:r>
              <w:rPr>
                <w:webHidden/>
                <w:rStyle w:val="IndexLink"/>
                <w:rtl w:val="true"/>
              </w:rPr>
              <w:t>وجه ان من الوسائط ما هو مأمور بها من قبل الله عزّ و جل</w:t>
            </w:r>
            <w:r>
              <w:rPr>
                <w:rStyle w:val="IndexLink"/>
                <w:rtl w:val="true"/>
              </w:rPr>
              <w:t>:</w:t>
              <w:tab/>
            </w:r>
            <w:r>
              <w:rPr>
                <w:rStyle w:val="IndexLink"/>
              </w:rPr>
              <w:t>156</w:t>
            </w:r>
          </w:hyperlink>
        </w:p>
        <w:p>
          <w:pPr>
            <w:pStyle w:val="Contents3"/>
            <w:tabs>
              <w:tab w:val="clear" w:pos="8459"/>
              <w:tab w:val="right" w:pos="9026" w:leader="dot"/>
            </w:tabs>
            <w:rPr/>
          </w:pPr>
          <w:hyperlink w:anchor="__RefHeading___Toc1101036_1468164448">
            <w:r>
              <w:rPr>
                <w:webHidden/>
                <w:rStyle w:val="IndexLink"/>
                <w:rtl w:val="true"/>
              </w:rPr>
              <w:t>مفهوم العبادة</w:t>
            </w:r>
            <w:r>
              <w:rPr>
                <w:rStyle w:val="IndexLink"/>
                <w:rtl w:val="true"/>
              </w:rPr>
              <w:t>:</w:t>
              <w:tab/>
            </w:r>
            <w:r>
              <w:rPr>
                <w:rStyle w:val="IndexLink"/>
              </w:rPr>
              <w:t>160</w:t>
            </w:r>
          </w:hyperlink>
        </w:p>
        <w:p>
          <w:pPr>
            <w:pStyle w:val="Contents3"/>
            <w:tabs>
              <w:tab w:val="clear" w:pos="8459"/>
              <w:tab w:val="right" w:pos="9026" w:leader="dot"/>
            </w:tabs>
            <w:rPr/>
          </w:pPr>
          <w:hyperlink w:anchor="__RefHeading___Toc1101038_1468164448">
            <w:r>
              <w:rPr>
                <w:webHidden/>
                <w:rStyle w:val="IndexLink"/>
                <w:rtl w:val="true"/>
              </w:rPr>
              <w:t>قصة آدم علیه السلام مع إبلیس</w:t>
            </w:r>
            <w:r>
              <w:rPr>
                <w:rStyle w:val="IndexLink"/>
                <w:rtl w:val="true"/>
              </w:rPr>
              <w:t>:</w:t>
              <w:tab/>
            </w:r>
            <w:r>
              <w:rPr>
                <w:rStyle w:val="IndexLink"/>
              </w:rPr>
              <w:t>161</w:t>
            </w:r>
          </w:hyperlink>
        </w:p>
        <w:p>
          <w:pPr>
            <w:pStyle w:val="Contents3"/>
            <w:tabs>
              <w:tab w:val="clear" w:pos="8459"/>
              <w:tab w:val="right" w:pos="9026" w:leader="dot"/>
            </w:tabs>
            <w:rPr/>
          </w:pPr>
          <w:hyperlink w:anchor="__RefHeading___Toc1101040_1468164448">
            <w:r>
              <w:rPr>
                <w:webHidden/>
                <w:rStyle w:val="IndexLink"/>
                <w:rtl w:val="true"/>
              </w:rPr>
              <w:t>نفی الوسائط یؤول الی التجسیم</w:t>
            </w:r>
            <w:r>
              <w:rPr>
                <w:rStyle w:val="IndexLink"/>
                <w:rtl w:val="true"/>
              </w:rPr>
              <w:t>:</w:t>
              <w:tab/>
            </w:r>
            <w:r>
              <w:rPr>
                <w:rStyle w:val="IndexLink"/>
              </w:rPr>
              <w:t>163</w:t>
            </w:r>
          </w:hyperlink>
        </w:p>
        <w:p>
          <w:pPr>
            <w:pStyle w:val="Contents3"/>
            <w:tabs>
              <w:tab w:val="clear" w:pos="8459"/>
              <w:tab w:val="right" w:pos="9026" w:leader="dot"/>
            </w:tabs>
            <w:rPr/>
          </w:pPr>
          <w:hyperlink w:anchor="__RefHeading___Toc1101042_1468164448">
            <w:r>
              <w:rPr>
                <w:webHidden/>
                <w:rStyle w:val="IndexLink"/>
                <w:rtl w:val="true"/>
              </w:rPr>
              <w:t>الرد علی أدلة المانعین من التوسل</w:t>
            </w:r>
            <w:r>
              <w:rPr>
                <w:rStyle w:val="IndexLink"/>
                <w:rtl w:val="true"/>
              </w:rPr>
              <w:t>:</w:t>
              <w:tab/>
            </w:r>
            <w:r>
              <w:rPr>
                <w:rStyle w:val="IndexLink"/>
              </w:rPr>
              <w:t>166</w:t>
            </w:r>
          </w:hyperlink>
        </w:p>
        <w:p>
          <w:pPr>
            <w:pStyle w:val="Contents3"/>
            <w:tabs>
              <w:tab w:val="clear" w:pos="8459"/>
              <w:tab w:val="right" w:pos="9026" w:leader="dot"/>
            </w:tabs>
            <w:rPr/>
          </w:pPr>
          <w:hyperlink w:anchor="__RefHeading___Toc1101044_1468164448">
            <w:r>
              <w:rPr>
                <w:webHidden/>
                <w:rStyle w:val="IndexLink"/>
                <w:rtl w:val="true"/>
              </w:rPr>
              <w:t>ملامح من التوسل فی الشعائر العبادیة</w:t>
            </w:r>
            <w:r>
              <w:rPr>
                <w:rStyle w:val="IndexLink"/>
                <w:rtl w:val="true"/>
              </w:rPr>
              <w:t>:</w:t>
              <w:tab/>
            </w:r>
            <w:r>
              <w:rPr>
                <w:rStyle w:val="IndexLink"/>
              </w:rPr>
              <w:t>173</w:t>
            </w:r>
          </w:hyperlink>
        </w:p>
        <w:p>
          <w:pPr>
            <w:pStyle w:val="Contents3"/>
            <w:tabs>
              <w:tab w:val="clear" w:pos="8459"/>
              <w:tab w:val="right" w:pos="9026" w:leader="dot"/>
            </w:tabs>
            <w:rPr/>
          </w:pPr>
          <w:hyperlink w:anchor="__RefHeading___Toc1101046_1468164448">
            <w:r>
              <w:rPr>
                <w:webHidden/>
                <w:rStyle w:val="IndexLink"/>
                <w:rtl w:val="true"/>
              </w:rPr>
              <w:t>موارد أخری فی التوسل</w:t>
            </w:r>
            <w:r>
              <w:rPr>
                <w:rStyle w:val="IndexLink"/>
                <w:rtl w:val="true"/>
              </w:rPr>
              <w:t>:</w:t>
              <w:tab/>
            </w:r>
            <w:r>
              <w:rPr>
                <w:rStyle w:val="IndexLink"/>
              </w:rPr>
              <w:t>176</w:t>
            </w:r>
          </w:hyperlink>
        </w:p>
        <w:p>
          <w:pPr>
            <w:pStyle w:val="Contents3"/>
            <w:tabs>
              <w:tab w:val="clear" w:pos="8459"/>
              <w:tab w:val="right" w:pos="9026" w:leader="dot"/>
            </w:tabs>
            <w:rPr/>
          </w:pPr>
          <w:hyperlink w:anchor="__RefHeading___Toc1101048_1468164448">
            <w:r>
              <w:rPr>
                <w:webHidden/>
                <w:rStyle w:val="IndexLink"/>
                <w:rtl w:val="true"/>
              </w:rPr>
              <w:t>موارد عقلیة علی التوسّل</w:t>
            </w:r>
            <w:r>
              <w:rPr>
                <w:rStyle w:val="IndexLink"/>
                <w:rtl w:val="true"/>
              </w:rPr>
              <w:t>:</w:t>
              <w:tab/>
            </w:r>
            <w:r>
              <w:rPr>
                <w:rStyle w:val="IndexLink"/>
              </w:rPr>
              <w:t>184</w:t>
            </w:r>
          </w:hyperlink>
        </w:p>
        <w:p>
          <w:pPr>
            <w:pStyle w:val="Contents3"/>
            <w:tabs>
              <w:tab w:val="clear" w:pos="8459"/>
              <w:tab w:val="right" w:pos="9026" w:leader="dot"/>
            </w:tabs>
            <w:rPr/>
          </w:pPr>
          <w:hyperlink w:anchor="__RefHeading___Toc1101050_1468164448">
            <w:r>
              <w:rPr>
                <w:webHidden/>
                <w:rStyle w:val="IndexLink"/>
                <w:rtl w:val="true"/>
              </w:rPr>
              <w:t>خاتمة فی التوسل</w:t>
            </w:r>
            <w:r>
              <w:rPr>
                <w:rStyle w:val="IndexLink"/>
                <w:rtl w:val="true"/>
              </w:rPr>
              <w:t>:</w:t>
              <w:tab/>
            </w:r>
            <w:r>
              <w:rPr>
                <w:rStyle w:val="IndexLink"/>
              </w:rPr>
              <w:t>185</w:t>
            </w:r>
          </w:hyperlink>
        </w:p>
        <w:p>
          <w:pPr>
            <w:pStyle w:val="Contents3"/>
            <w:tabs>
              <w:tab w:val="clear" w:pos="8459"/>
              <w:tab w:val="right" w:pos="9026" w:leader="dot"/>
            </w:tabs>
            <w:rPr/>
          </w:pPr>
          <w:hyperlink w:anchor="__RefHeading___Toc1101052_1468164448">
            <w:r>
              <w:rPr>
                <w:webHidden/>
                <w:rStyle w:val="IndexLink"/>
                <w:rtl w:val="true"/>
              </w:rPr>
              <w:t>الوسائط مظهر قدرة البارئ</w:t>
            </w:r>
            <w:r>
              <w:rPr>
                <w:rStyle w:val="IndexLink"/>
                <w:rtl w:val="true"/>
              </w:rPr>
              <w:t>:</w:t>
              <w:tab/>
            </w:r>
            <w:r>
              <w:rPr>
                <w:rStyle w:val="IndexLink"/>
              </w:rPr>
              <w:t>185</w:t>
            </w:r>
          </w:hyperlink>
        </w:p>
        <w:p>
          <w:pPr>
            <w:pStyle w:val="Contents2"/>
            <w:tabs>
              <w:tab w:val="clear" w:pos="8743"/>
              <w:tab w:val="right" w:pos="9026" w:leader="dot"/>
            </w:tabs>
            <w:rPr/>
          </w:pPr>
          <w:hyperlink w:anchor="__RefHeading___Toc1101054_1468164448">
            <w:r>
              <w:rPr>
                <w:webHidden/>
                <w:rStyle w:val="IndexLink"/>
                <w:rtl w:val="true"/>
              </w:rPr>
              <w:t>القاعدة التاسعة عشرة</w:t>
            </w:r>
            <w:r>
              <w:rPr>
                <w:rStyle w:val="IndexLink"/>
                <w:rtl w:val="true"/>
              </w:rPr>
              <w:t xml:space="preserve">: </w:t>
            </w:r>
            <w:r>
              <w:rPr>
                <w:rStyle w:val="IndexLink"/>
                <w:rtl w:val="true"/>
              </w:rPr>
              <w:t xml:space="preserve">فی الفقه الاجتماعی والسیاسی قاعدة التعایش السلمی </w:t>
            </w:r>
            <w:r>
              <w:rPr>
                <w:rStyle w:val="IndexLink"/>
                <w:rtl w:val="true"/>
              </w:rPr>
              <w:t>(</w:t>
            </w:r>
            <w:r>
              <w:rPr>
                <w:rStyle w:val="IndexLink"/>
                <w:rtl w:val="true"/>
              </w:rPr>
              <w:t>التقریب بین المذاهب</w:t>
            </w:r>
            <w:r>
              <w:rPr>
                <w:rStyle w:val="IndexLink"/>
                <w:rtl w:val="true"/>
              </w:rPr>
              <w:t>)</w:t>
              <w:tab/>
            </w:r>
            <w:r>
              <w:rPr>
                <w:rStyle w:val="IndexLink"/>
              </w:rPr>
              <w:t>197</w:t>
            </w:r>
          </w:hyperlink>
        </w:p>
        <w:p>
          <w:pPr>
            <w:pStyle w:val="Contents3"/>
            <w:tabs>
              <w:tab w:val="clear" w:pos="8459"/>
              <w:tab w:val="right" w:pos="9026" w:leader="dot"/>
            </w:tabs>
            <w:rPr/>
          </w:pPr>
          <w:hyperlink w:anchor="__RefHeading___Toc1101056_1468164448">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101058_1468164448">
            <w:r>
              <w:rPr>
                <w:webHidden/>
                <w:rStyle w:val="IndexLink"/>
                <w:rtl w:val="true"/>
              </w:rPr>
              <w:t>خطّة البحث</w:t>
            </w:r>
            <w:r>
              <w:rPr>
                <w:rStyle w:val="IndexLink"/>
                <w:rtl w:val="true"/>
              </w:rPr>
              <w:t>:</w:t>
              <w:tab/>
            </w:r>
            <w:r>
              <w:rPr>
                <w:rStyle w:val="IndexLink"/>
              </w:rPr>
              <w:t>201</w:t>
            </w:r>
          </w:hyperlink>
        </w:p>
        <w:p>
          <w:pPr>
            <w:pStyle w:val="Contents3"/>
            <w:tabs>
              <w:tab w:val="clear" w:pos="8459"/>
              <w:tab w:val="right" w:pos="9026" w:leader="dot"/>
            </w:tabs>
            <w:rPr/>
          </w:pPr>
          <w:hyperlink w:anchor="__RefHeading___Toc1101060_1468164448">
            <w:r>
              <w:rPr>
                <w:webHidden/>
                <w:rStyle w:val="IndexLink"/>
                <w:rtl w:val="true"/>
              </w:rPr>
              <w:t>تمهید</w:t>
            </w:r>
            <w:r>
              <w:rPr>
                <w:rStyle w:val="IndexLink"/>
                <w:rtl w:val="true"/>
              </w:rPr>
              <w:t>:</w:t>
              <w:tab/>
            </w:r>
            <w:r>
              <w:rPr>
                <w:rStyle w:val="IndexLink"/>
              </w:rPr>
              <w:t>202</w:t>
            </w:r>
          </w:hyperlink>
        </w:p>
        <w:p>
          <w:pPr>
            <w:pStyle w:val="Contents3"/>
            <w:tabs>
              <w:tab w:val="clear" w:pos="8459"/>
              <w:tab w:val="right" w:pos="9026" w:leader="dot"/>
            </w:tabs>
            <w:rPr/>
          </w:pPr>
          <w:hyperlink w:anchor="__RefHeading___Toc1101062_1468164448">
            <w:r>
              <w:rPr>
                <w:webHidden/>
                <w:rStyle w:val="IndexLink"/>
                <w:rtl w:val="true"/>
              </w:rPr>
              <w:t>النظم القرآنیّة فی نبذ الفرقة والتنازع</w:t>
            </w:r>
            <w:r>
              <w:rPr>
                <w:rStyle w:val="IndexLink"/>
                <w:rtl w:val="true"/>
              </w:rPr>
              <w:t>:</w:t>
              <w:tab/>
            </w:r>
            <w:r>
              <w:rPr>
                <w:rStyle w:val="IndexLink"/>
              </w:rPr>
              <w:t>202</w:t>
            </w:r>
          </w:hyperlink>
        </w:p>
        <w:p>
          <w:pPr>
            <w:pStyle w:val="Contents3"/>
            <w:tabs>
              <w:tab w:val="clear" w:pos="8459"/>
              <w:tab w:val="right" w:pos="9026" w:leader="dot"/>
            </w:tabs>
            <w:rPr/>
          </w:pPr>
          <w:hyperlink w:anchor="__RefHeading___Toc1101064_1468164448">
            <w:r>
              <w:rPr>
                <w:webHidden/>
                <w:rStyle w:val="IndexLink"/>
                <w:rtl w:val="true"/>
              </w:rPr>
              <w:t>الفصل الأول</w:t>
            </w:r>
            <w:r>
              <w:rPr>
                <w:rStyle w:val="IndexLink"/>
                <w:rtl w:val="true"/>
              </w:rPr>
              <w:t xml:space="preserve">: </w:t>
            </w:r>
            <w:r>
              <w:rPr>
                <w:rStyle w:val="IndexLink"/>
                <w:rtl w:val="true"/>
              </w:rPr>
              <w:t>نظام الوحدة</w:t>
            </w:r>
            <w:r>
              <w:rPr>
                <w:rStyle w:val="IndexLink"/>
                <w:rtl w:val="true"/>
              </w:rPr>
              <w:tab/>
            </w:r>
            <w:r>
              <w:rPr>
                <w:rStyle w:val="IndexLink"/>
              </w:rPr>
              <w:t>203</w:t>
            </w:r>
          </w:hyperlink>
        </w:p>
        <w:p>
          <w:pPr>
            <w:pStyle w:val="Contents4"/>
            <w:tabs>
              <w:tab w:val="clear" w:pos="8176"/>
              <w:tab w:val="right" w:pos="9026" w:leader="dot"/>
            </w:tabs>
            <w:rPr/>
          </w:pPr>
          <w:hyperlink w:anchor="__RefHeading___Toc1101066_1468164448">
            <w:r>
              <w:rPr>
                <w:webHidden/>
                <w:rStyle w:val="IndexLink"/>
                <w:rtl w:val="true"/>
              </w:rPr>
              <w:t>تعریف الوحدة</w:t>
            </w:r>
            <w:r>
              <w:rPr>
                <w:rStyle w:val="IndexLink"/>
                <w:rtl w:val="true"/>
              </w:rPr>
              <w:t>:</w:t>
              <w:tab/>
            </w:r>
            <w:r>
              <w:rPr>
                <w:rStyle w:val="IndexLink"/>
              </w:rPr>
              <w:t>203</w:t>
            </w:r>
          </w:hyperlink>
        </w:p>
        <w:p>
          <w:pPr>
            <w:pStyle w:val="Contents4"/>
            <w:tabs>
              <w:tab w:val="clear" w:pos="8176"/>
              <w:tab w:val="right" w:pos="9026" w:leader="dot"/>
            </w:tabs>
            <w:rPr/>
          </w:pPr>
          <w:hyperlink w:anchor="__RefHeading___Toc1101068_1468164448">
            <w:r>
              <w:rPr>
                <w:webHidden/>
                <w:rStyle w:val="IndexLink"/>
                <w:rtl w:val="true"/>
              </w:rPr>
              <w:t>أقسام الوحدة</w:t>
            </w:r>
            <w:r>
              <w:rPr>
                <w:rStyle w:val="IndexLink"/>
                <w:rtl w:val="true"/>
              </w:rPr>
              <w:t>:</w:t>
              <w:tab/>
            </w:r>
            <w:r>
              <w:rPr>
                <w:rStyle w:val="IndexLink"/>
              </w:rPr>
              <w:t>203</w:t>
            </w:r>
          </w:hyperlink>
        </w:p>
        <w:p>
          <w:pPr>
            <w:pStyle w:val="Contents4"/>
            <w:tabs>
              <w:tab w:val="clear" w:pos="8176"/>
              <w:tab w:val="right" w:pos="9026" w:leader="dot"/>
            </w:tabs>
            <w:rPr/>
          </w:pPr>
          <w:hyperlink w:anchor="__RefHeading___Toc1101070_1468164448">
            <w:r>
              <w:rPr>
                <w:webHidden/>
                <w:rStyle w:val="IndexLink"/>
                <w:rtl w:val="true"/>
              </w:rPr>
              <w:t>دلیل مانعی البحث فی التاریخ الإسلامی</w:t>
            </w:r>
            <w:r>
              <w:rPr>
                <w:rStyle w:val="IndexLink"/>
                <w:rtl w:val="true"/>
              </w:rPr>
              <w:t>:</w:t>
              <w:tab/>
            </w:r>
            <w:r>
              <w:rPr>
                <w:rStyle w:val="IndexLink"/>
              </w:rPr>
              <w:t>210</w:t>
            </w:r>
          </w:hyperlink>
        </w:p>
        <w:p>
          <w:pPr>
            <w:pStyle w:val="Contents4"/>
            <w:tabs>
              <w:tab w:val="clear" w:pos="8176"/>
              <w:tab w:val="right" w:pos="9026" w:leader="dot"/>
            </w:tabs>
            <w:rPr/>
          </w:pPr>
          <w:hyperlink w:anchor="__RefHeading___Toc1101072_1468164448">
            <w:r>
              <w:rPr>
                <w:webHidden/>
                <w:rStyle w:val="IndexLink"/>
                <w:rtl w:val="true"/>
              </w:rPr>
              <w:t>الجواب علی دلیل المانعین</w:t>
            </w:r>
            <w:r>
              <w:rPr>
                <w:rStyle w:val="IndexLink"/>
                <w:rtl w:val="true"/>
              </w:rPr>
              <w:t>:</w:t>
              <w:tab/>
            </w:r>
            <w:r>
              <w:rPr>
                <w:rStyle w:val="IndexLink"/>
              </w:rPr>
              <w:t>211</w:t>
            </w:r>
          </w:hyperlink>
        </w:p>
        <w:p>
          <w:pPr>
            <w:pStyle w:val="Contents4"/>
            <w:tabs>
              <w:tab w:val="clear" w:pos="8176"/>
              <w:tab w:val="right" w:pos="9026" w:leader="dot"/>
            </w:tabs>
            <w:rPr/>
          </w:pPr>
          <w:hyperlink w:anchor="__RefHeading___Toc1101074_1468164448">
            <w:r>
              <w:rPr>
                <w:webHidden/>
                <w:rStyle w:val="IndexLink"/>
                <w:rtl w:val="true"/>
              </w:rPr>
              <w:t>تداعیات وسلبیّات القول بالمنع</w:t>
            </w:r>
            <w:r>
              <w:rPr>
                <w:rStyle w:val="IndexLink"/>
                <w:rtl w:val="true"/>
              </w:rPr>
              <w:t>:</w:t>
              <w:tab/>
            </w:r>
            <w:r>
              <w:rPr>
                <w:rStyle w:val="IndexLink"/>
              </w:rPr>
              <w:t>212</w:t>
            </w:r>
          </w:hyperlink>
        </w:p>
        <w:p>
          <w:pPr>
            <w:pStyle w:val="Contents4"/>
            <w:tabs>
              <w:tab w:val="clear" w:pos="8176"/>
              <w:tab w:val="right" w:pos="9026" w:leader="dot"/>
            </w:tabs>
            <w:rPr/>
          </w:pPr>
          <w:hyperlink w:anchor="__RefHeading___Toc1101076_1468164448">
            <w:r>
              <w:rPr>
                <w:webHidden/>
                <w:rStyle w:val="IndexLink"/>
                <w:rtl w:val="true"/>
              </w:rPr>
              <w:t>ما یوجب الخروج عن الإسلام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1101078_1468164448">
            <w:r>
              <w:rPr>
                <w:webHidden/>
                <w:rStyle w:val="IndexLink"/>
                <w:rtl w:val="true"/>
              </w:rPr>
              <w:t>الفروق الرئیسیّة بین السیرة فی صدر الإسلام</w:t>
            </w:r>
            <w:r>
              <w:rPr>
                <w:rStyle w:val="IndexLink"/>
                <w:rtl w:val="true"/>
              </w:rPr>
              <w:tab/>
            </w:r>
            <w:r>
              <w:rPr>
                <w:rStyle w:val="IndexLink"/>
              </w:rPr>
              <w:t>228</w:t>
            </w:r>
          </w:hyperlink>
        </w:p>
        <w:p>
          <w:pPr>
            <w:pStyle w:val="Contents4"/>
            <w:tabs>
              <w:tab w:val="clear" w:pos="8176"/>
              <w:tab w:val="right" w:pos="9026" w:leader="dot"/>
            </w:tabs>
            <w:rPr/>
          </w:pPr>
          <w:hyperlink w:anchor="__RefHeading___Toc1101080_1468164448">
            <w:r>
              <w:rPr>
                <w:webHidden/>
                <w:rStyle w:val="IndexLink"/>
                <w:rtl w:val="true"/>
              </w:rPr>
              <w:t>وبین سیرة بنی امیّة</w:t>
            </w:r>
            <w:r>
              <w:rPr>
                <w:rStyle w:val="IndexLink"/>
                <w:rtl w:val="true"/>
              </w:rPr>
              <w:t>:</w:t>
              <w:tab/>
            </w:r>
            <w:r>
              <w:rPr>
                <w:rStyle w:val="IndexLink"/>
              </w:rPr>
              <w:t>228</w:t>
            </w:r>
          </w:hyperlink>
        </w:p>
        <w:p>
          <w:pPr>
            <w:pStyle w:val="Contents5"/>
            <w:tabs>
              <w:tab w:val="clear" w:pos="7892"/>
              <w:tab w:val="right" w:pos="9026" w:leader="dot"/>
            </w:tabs>
            <w:rPr/>
          </w:pPr>
          <w:hyperlink w:anchor="__RefHeading___Toc1101082_1468164448">
            <w:r>
              <w:rPr>
                <w:webHidden/>
                <w:rStyle w:val="IndexLink"/>
                <w:rtl w:val="true"/>
              </w:rPr>
              <w:t>الفارق الأوّل</w:t>
            </w:r>
            <w:r>
              <w:rPr>
                <w:rStyle w:val="IndexLink"/>
                <w:rtl w:val="true"/>
              </w:rPr>
              <w:t xml:space="preserve">: </w:t>
            </w:r>
            <w:r>
              <w:rPr>
                <w:rStyle w:val="IndexLink"/>
                <w:rtl w:val="true"/>
              </w:rPr>
              <w:t>فی طریق إقامة الحکم</w:t>
            </w:r>
            <w:r>
              <w:rPr>
                <w:rStyle w:val="IndexLink"/>
                <w:rtl w:val="true"/>
              </w:rPr>
              <w:t>:</w:t>
              <w:tab/>
            </w:r>
            <w:r>
              <w:rPr>
                <w:rStyle w:val="IndexLink"/>
              </w:rPr>
              <w:t>228</w:t>
            </w:r>
          </w:hyperlink>
        </w:p>
        <w:p>
          <w:pPr>
            <w:pStyle w:val="Contents5"/>
            <w:tabs>
              <w:tab w:val="clear" w:pos="7892"/>
              <w:tab w:val="right" w:pos="9026" w:leader="dot"/>
            </w:tabs>
            <w:rPr/>
          </w:pPr>
          <w:hyperlink w:anchor="__RefHeading___Toc1101084_1468164448">
            <w:r>
              <w:rPr>
                <w:webHidden/>
                <w:rStyle w:val="IndexLink"/>
                <w:rtl w:val="true"/>
              </w:rPr>
              <w:t>الفارق الثانی</w:t>
            </w:r>
            <w:r>
              <w:rPr>
                <w:rStyle w:val="IndexLink"/>
                <w:rtl w:val="true"/>
              </w:rPr>
              <w:t xml:space="preserve">: </w:t>
            </w:r>
            <w:r>
              <w:rPr>
                <w:rStyle w:val="IndexLink"/>
                <w:rtl w:val="true"/>
              </w:rPr>
              <w:t>منهج النقد والرقابة للحاکم والحکم</w:t>
            </w:r>
            <w:r>
              <w:rPr>
                <w:rStyle w:val="IndexLink"/>
                <w:rtl w:val="true"/>
              </w:rPr>
              <w:t>:</w:t>
              <w:tab/>
            </w:r>
            <w:r>
              <w:rPr>
                <w:rStyle w:val="IndexLink"/>
              </w:rPr>
              <w:t>229</w:t>
            </w:r>
          </w:hyperlink>
        </w:p>
        <w:p>
          <w:pPr>
            <w:pStyle w:val="Contents5"/>
            <w:tabs>
              <w:tab w:val="clear" w:pos="7892"/>
              <w:tab w:val="right" w:pos="9026" w:leader="dot"/>
            </w:tabs>
            <w:rPr/>
          </w:pPr>
          <w:hyperlink w:anchor="__RefHeading___Toc1101086_1468164448">
            <w:r>
              <w:rPr>
                <w:webHidden/>
                <w:rStyle w:val="IndexLink"/>
                <w:rtl w:val="true"/>
              </w:rPr>
              <w:t>الفارق الثالث</w:t>
            </w:r>
            <w:r>
              <w:rPr>
                <w:rStyle w:val="IndexLink"/>
                <w:rtl w:val="true"/>
              </w:rPr>
              <w:t xml:space="preserve">: </w:t>
            </w:r>
            <w:r>
              <w:rPr>
                <w:rStyle w:val="IndexLink"/>
                <w:rtl w:val="true"/>
              </w:rPr>
              <w:t>مشروعیّة طاعة السلطان الجائر</w:t>
            </w:r>
            <w:r>
              <w:rPr>
                <w:rStyle w:val="IndexLink"/>
                <w:rtl w:val="true"/>
              </w:rPr>
              <w:t>:</w:t>
              <w:tab/>
            </w:r>
            <w:r>
              <w:rPr>
                <w:rStyle w:val="IndexLink"/>
              </w:rPr>
              <w:t>230</w:t>
            </w:r>
          </w:hyperlink>
        </w:p>
        <w:p>
          <w:pPr>
            <w:pStyle w:val="Contents5"/>
            <w:tabs>
              <w:tab w:val="clear" w:pos="7892"/>
              <w:tab w:val="right" w:pos="9026" w:leader="dot"/>
            </w:tabs>
            <w:rPr/>
          </w:pPr>
          <w:hyperlink w:anchor="__RefHeading___Toc1101088_1468164448">
            <w:r>
              <w:rPr>
                <w:webHidden/>
                <w:rStyle w:val="IndexLink"/>
                <w:rtl w:val="true"/>
              </w:rPr>
              <w:t>الفارق الرابع</w:t>
            </w:r>
            <w:r>
              <w:rPr>
                <w:rStyle w:val="IndexLink"/>
                <w:rtl w:val="true"/>
              </w:rPr>
              <w:t xml:space="preserve">: </w:t>
            </w:r>
            <w:r>
              <w:rPr>
                <w:rStyle w:val="IndexLink"/>
                <w:rtl w:val="true"/>
              </w:rPr>
              <w:t>الموالاة للمسلمین دون الکافرین</w:t>
            </w:r>
            <w:r>
              <w:rPr>
                <w:rStyle w:val="IndexLink"/>
                <w:rtl w:val="true"/>
              </w:rPr>
              <w:t>:</w:t>
              <w:tab/>
            </w:r>
            <w:r>
              <w:rPr>
                <w:rStyle w:val="IndexLink"/>
              </w:rPr>
              <w:t>233</w:t>
            </w:r>
          </w:hyperlink>
        </w:p>
        <w:p>
          <w:pPr>
            <w:pStyle w:val="Contents5"/>
            <w:tabs>
              <w:tab w:val="clear" w:pos="7892"/>
              <w:tab w:val="right" w:pos="9026" w:leader="dot"/>
            </w:tabs>
            <w:rPr/>
          </w:pPr>
          <w:hyperlink w:anchor="__RefHeading___Toc1101090_1468164448">
            <w:r>
              <w:rPr>
                <w:webHidden/>
                <w:rStyle w:val="IndexLink"/>
                <w:rtl w:val="true"/>
              </w:rPr>
              <w:t>الفارق الخامس</w:t>
            </w:r>
            <w:r>
              <w:rPr>
                <w:rStyle w:val="IndexLink"/>
                <w:rtl w:val="true"/>
              </w:rPr>
              <w:t xml:space="preserve">: </w:t>
            </w:r>
            <w:r>
              <w:rPr>
                <w:rStyle w:val="IndexLink"/>
                <w:rtl w:val="true"/>
              </w:rPr>
              <w:t>استباحة المحرّمات</w:t>
            </w:r>
            <w:r>
              <w:rPr>
                <w:rStyle w:val="IndexLink"/>
                <w:rtl w:val="true"/>
              </w:rPr>
              <w:t>:</w:t>
              <w:tab/>
            </w:r>
            <w:r>
              <w:rPr>
                <w:rStyle w:val="IndexLink"/>
              </w:rPr>
              <w:t>236</w:t>
            </w:r>
          </w:hyperlink>
        </w:p>
        <w:p>
          <w:pPr>
            <w:pStyle w:val="Contents4"/>
            <w:tabs>
              <w:tab w:val="clear" w:pos="8176"/>
              <w:tab w:val="right" w:pos="9026" w:leader="dot"/>
            </w:tabs>
            <w:rPr/>
          </w:pPr>
          <w:hyperlink w:anchor="__RefHeading___Toc1101092_1468164448">
            <w:r>
              <w:rPr>
                <w:webHidden/>
                <w:rStyle w:val="IndexLink"/>
                <w:rtl w:val="true"/>
              </w:rPr>
              <w:t>القاعدة الخامسة</w:t>
            </w:r>
            <w:r>
              <w:rPr>
                <w:rStyle w:val="IndexLink"/>
                <w:rtl w:val="true"/>
              </w:rPr>
              <w:t xml:space="preserve">: </w:t>
            </w:r>
            <w:r>
              <w:rPr>
                <w:rStyle w:val="IndexLink"/>
                <w:rtl w:val="true"/>
              </w:rPr>
              <w:t>ضرورة تنقیح مصادر التراث الإسلامی</w:t>
            </w:r>
            <w:r>
              <w:rPr>
                <w:rStyle w:val="IndexLink"/>
                <w:rtl w:val="true"/>
              </w:rPr>
              <w:t>:</w:t>
              <w:tab/>
            </w:r>
            <w:r>
              <w:rPr>
                <w:rStyle w:val="IndexLink"/>
              </w:rPr>
              <w:t>243</w:t>
            </w:r>
          </w:hyperlink>
        </w:p>
        <w:p>
          <w:pPr>
            <w:pStyle w:val="Contents4"/>
            <w:tabs>
              <w:tab w:val="clear" w:pos="8176"/>
              <w:tab w:val="right" w:pos="9026" w:leader="dot"/>
            </w:tabs>
            <w:rPr/>
          </w:pPr>
          <w:hyperlink w:anchor="__RefHeading___Toc1101094_1468164448">
            <w:r>
              <w:rPr>
                <w:webHidden/>
                <w:rStyle w:val="IndexLink"/>
                <w:rtl w:val="true"/>
              </w:rPr>
              <w:t>اسس نظام الوحدة الاسلامیة وضماناتها</w:t>
            </w:r>
            <w:r>
              <w:rPr>
                <w:rStyle w:val="IndexLink"/>
                <w:rtl w:val="true"/>
              </w:rPr>
              <w:t>:</w:t>
              <w:tab/>
            </w:r>
            <w:r>
              <w:rPr>
                <w:rStyle w:val="IndexLink"/>
              </w:rPr>
              <w:t>246</w:t>
            </w:r>
          </w:hyperlink>
        </w:p>
        <w:p>
          <w:pPr>
            <w:pStyle w:val="Contents5"/>
            <w:tabs>
              <w:tab w:val="clear" w:pos="7892"/>
              <w:tab w:val="right" w:pos="9026" w:leader="dot"/>
            </w:tabs>
            <w:rPr/>
          </w:pPr>
          <w:hyperlink w:anchor="__RefHeading___Toc1101096_1468164448">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101098_1468164448">
            <w:r>
              <w:rPr>
                <w:webHidden/>
                <w:rStyle w:val="IndexLink"/>
                <w:rtl w:val="true"/>
              </w:rPr>
              <w:t>الأوّل</w:t>
            </w:r>
            <w:r>
              <w:rPr>
                <w:rStyle w:val="IndexLink"/>
                <w:rtl w:val="true"/>
              </w:rPr>
              <w:t xml:space="preserve">: </w:t>
            </w:r>
            <w:r>
              <w:rPr>
                <w:rStyle w:val="IndexLink"/>
                <w:rtl w:val="true"/>
              </w:rPr>
              <w:t>ضمان الوحدة</w:t>
            </w:r>
            <w:r>
              <w:rPr>
                <w:rStyle w:val="IndexLink"/>
                <w:rtl w:val="true"/>
              </w:rPr>
              <w:t>:</w:t>
              <w:tab/>
            </w:r>
            <w:r>
              <w:rPr>
                <w:rStyle w:val="IndexLink"/>
              </w:rPr>
              <w:t>247</w:t>
            </w:r>
          </w:hyperlink>
        </w:p>
        <w:p>
          <w:pPr>
            <w:pStyle w:val="Contents5"/>
            <w:tabs>
              <w:tab w:val="clear" w:pos="7892"/>
              <w:tab w:val="right" w:pos="9026" w:leader="dot"/>
            </w:tabs>
            <w:rPr/>
          </w:pPr>
          <w:hyperlink w:anchor="__RefHeading___Toc1101100_1468164448">
            <w:r>
              <w:rPr>
                <w:webHidden/>
                <w:rStyle w:val="IndexLink"/>
                <w:rtl w:val="true"/>
              </w:rPr>
              <w:t>الثانی</w:t>
            </w:r>
            <w:r>
              <w:rPr>
                <w:rStyle w:val="IndexLink"/>
                <w:rtl w:val="true"/>
              </w:rPr>
              <w:t xml:space="preserve">: </w:t>
            </w:r>
            <w:r>
              <w:rPr>
                <w:rStyle w:val="IndexLink"/>
                <w:rtl w:val="true"/>
              </w:rPr>
              <w:t>العدالة والعدل</w:t>
            </w:r>
            <w:r>
              <w:rPr>
                <w:rStyle w:val="IndexLink"/>
                <w:rtl w:val="true"/>
              </w:rPr>
              <w:t>:</w:t>
              <w:tab/>
            </w:r>
            <w:r>
              <w:rPr>
                <w:rStyle w:val="IndexLink"/>
              </w:rPr>
              <w:t>248</w:t>
            </w:r>
          </w:hyperlink>
        </w:p>
        <w:p>
          <w:pPr>
            <w:pStyle w:val="Contents5"/>
            <w:tabs>
              <w:tab w:val="clear" w:pos="7892"/>
              <w:tab w:val="right" w:pos="9026" w:leader="dot"/>
            </w:tabs>
            <w:rPr/>
          </w:pPr>
          <w:hyperlink w:anchor="__RefHeading___Toc1101102_1468164448">
            <w:r>
              <w:rPr>
                <w:webHidden/>
                <w:rStyle w:val="IndexLink"/>
                <w:rtl w:val="true"/>
              </w:rPr>
              <w:t>الثالث</w:t>
            </w:r>
            <w:r>
              <w:rPr>
                <w:rStyle w:val="IndexLink"/>
                <w:rtl w:val="true"/>
              </w:rPr>
              <w:t xml:space="preserve">: </w:t>
            </w:r>
            <w:r>
              <w:rPr>
                <w:rStyle w:val="IndexLink"/>
                <w:rtl w:val="true"/>
              </w:rPr>
              <w:t>تقدیس جمیع الأنبیاء علیهم السلام</w:t>
            </w:r>
            <w:r>
              <w:rPr>
                <w:rStyle w:val="IndexLink"/>
                <w:rtl w:val="true"/>
              </w:rPr>
              <w:t>:</w:t>
              <w:tab/>
            </w:r>
            <w:r>
              <w:rPr>
                <w:rStyle w:val="IndexLink"/>
              </w:rPr>
              <w:t>250</w:t>
            </w:r>
          </w:hyperlink>
        </w:p>
        <w:p>
          <w:pPr>
            <w:pStyle w:val="Contents5"/>
            <w:tabs>
              <w:tab w:val="clear" w:pos="7892"/>
              <w:tab w:val="right" w:pos="9026" w:leader="dot"/>
            </w:tabs>
            <w:rPr/>
          </w:pPr>
          <w:hyperlink w:anchor="__RefHeading___Toc1101104_1468164448">
            <w:r>
              <w:rPr>
                <w:webHidden/>
                <w:rStyle w:val="IndexLink"/>
                <w:rtl w:val="true"/>
              </w:rPr>
              <w:t>الرابع</w:t>
            </w:r>
            <w:r>
              <w:rPr>
                <w:rStyle w:val="IndexLink"/>
                <w:rtl w:val="true"/>
              </w:rPr>
              <w:t xml:space="preserve">: </w:t>
            </w:r>
            <w:r>
              <w:rPr>
                <w:rStyle w:val="IndexLink"/>
                <w:rtl w:val="true"/>
              </w:rPr>
              <w:t>إنّ الوحدة لا تتمّ إلا بالمحبّة والمودّة</w:t>
            </w:r>
            <w:r>
              <w:rPr>
                <w:rStyle w:val="IndexLink"/>
                <w:rtl w:val="true"/>
              </w:rPr>
              <w:t>:</w:t>
              <w:tab/>
            </w:r>
            <w:r>
              <w:rPr>
                <w:rStyle w:val="IndexLink"/>
              </w:rPr>
              <w:t>251</w:t>
            </w:r>
          </w:hyperlink>
        </w:p>
        <w:p>
          <w:pPr>
            <w:pStyle w:val="Contents3"/>
            <w:tabs>
              <w:tab w:val="clear" w:pos="8459"/>
              <w:tab w:val="right" w:pos="9026" w:leader="dot"/>
            </w:tabs>
            <w:rPr/>
          </w:pPr>
          <w:hyperlink w:anchor="__RefHeading___Toc1101106_1468164448">
            <w:r>
              <w:rPr>
                <w:webHidden/>
                <w:rStyle w:val="IndexLink"/>
                <w:rtl w:val="true"/>
              </w:rPr>
              <w:t>الفصل الثانی</w:t>
            </w:r>
            <w:r>
              <w:rPr>
                <w:rStyle w:val="IndexLink"/>
                <w:rtl w:val="true"/>
              </w:rPr>
              <w:t xml:space="preserve">: </w:t>
            </w:r>
            <w:r>
              <w:rPr>
                <w:rStyle w:val="IndexLink"/>
                <w:rtl w:val="true"/>
              </w:rPr>
              <w:t>فی نظام التقریب والحوار والاتحاد</w:t>
            </w:r>
            <w:r>
              <w:rPr>
                <w:rStyle w:val="IndexLink"/>
                <w:rtl w:val="true"/>
              </w:rPr>
              <w:tab/>
            </w:r>
            <w:r>
              <w:rPr>
                <w:rStyle w:val="IndexLink"/>
              </w:rPr>
              <w:t>254</w:t>
            </w:r>
          </w:hyperlink>
        </w:p>
        <w:p>
          <w:pPr>
            <w:pStyle w:val="Contents4"/>
            <w:tabs>
              <w:tab w:val="clear" w:pos="8176"/>
              <w:tab w:val="right" w:pos="9026" w:leader="dot"/>
            </w:tabs>
            <w:rPr/>
          </w:pPr>
          <w:hyperlink w:anchor="__RefHeading___Toc1101108_1468164448">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101110_1468164448">
            <w:r>
              <w:rPr>
                <w:webHidden/>
                <w:rStyle w:val="IndexLink"/>
                <w:rtl w:val="true"/>
              </w:rPr>
              <w:t>أصالة حقن الدم الإنسانی</w:t>
            </w:r>
            <w:r>
              <w:rPr>
                <w:rStyle w:val="IndexLink"/>
                <w:rtl w:val="true"/>
              </w:rPr>
              <w:t>:</w:t>
              <w:tab/>
            </w:r>
            <w:r>
              <w:rPr>
                <w:rStyle w:val="IndexLink"/>
              </w:rPr>
              <w:t>260</w:t>
            </w:r>
          </w:hyperlink>
        </w:p>
        <w:p>
          <w:pPr>
            <w:pStyle w:val="Contents4"/>
            <w:tabs>
              <w:tab w:val="clear" w:pos="8176"/>
              <w:tab w:val="right" w:pos="9026" w:leader="dot"/>
            </w:tabs>
            <w:rPr/>
          </w:pPr>
          <w:hyperlink w:anchor="__RefHeading___Toc1101112_1468164448">
            <w:r>
              <w:rPr>
                <w:webHidden/>
                <w:rStyle w:val="IndexLink"/>
                <w:rtl w:val="true"/>
              </w:rPr>
              <w:t>هل الحوار یقاطع الوحدة؟</w:t>
            </w:r>
            <w:r>
              <w:rPr>
                <w:rStyle w:val="IndexLink"/>
                <w:rtl w:val="true"/>
              </w:rPr>
              <w:tab/>
            </w:r>
            <w:r>
              <w:rPr>
                <w:rStyle w:val="IndexLink"/>
              </w:rPr>
              <w:t>261</w:t>
            </w:r>
          </w:hyperlink>
        </w:p>
        <w:p>
          <w:pPr>
            <w:pStyle w:val="Contents4"/>
            <w:tabs>
              <w:tab w:val="clear" w:pos="8176"/>
              <w:tab w:val="right" w:pos="9026" w:leader="dot"/>
            </w:tabs>
            <w:rPr/>
          </w:pPr>
          <w:hyperlink w:anchor="__RefHeading___Toc1101114_1468164448">
            <w:r>
              <w:rPr>
                <w:webHidden/>
                <w:rStyle w:val="IndexLink"/>
                <w:rtl w:val="true"/>
              </w:rPr>
              <w:t>أهداف التقریب</w:t>
            </w:r>
            <w:r>
              <w:rPr>
                <w:rStyle w:val="IndexLink"/>
                <w:rtl w:val="true"/>
              </w:rPr>
              <w:t>:</w:t>
              <w:tab/>
            </w:r>
            <w:r>
              <w:rPr>
                <w:rStyle w:val="IndexLink"/>
              </w:rPr>
              <w:t>264</w:t>
            </w:r>
          </w:hyperlink>
        </w:p>
        <w:p>
          <w:pPr>
            <w:pStyle w:val="Contents4"/>
            <w:tabs>
              <w:tab w:val="clear" w:pos="8176"/>
              <w:tab w:val="right" w:pos="9026" w:leader="dot"/>
            </w:tabs>
            <w:rPr/>
          </w:pPr>
          <w:hyperlink w:anchor="__RefHeading___Toc1101116_1468164448">
            <w:r>
              <w:rPr>
                <w:webHidden/>
                <w:rStyle w:val="IndexLink"/>
                <w:rtl w:val="true"/>
              </w:rPr>
              <w:t>أهمّ القواعد فی نظام التقریب</w:t>
            </w:r>
            <w:r>
              <w:rPr>
                <w:rStyle w:val="IndexLink"/>
                <w:rtl w:val="true"/>
              </w:rPr>
              <w:t>:</w:t>
              <w:tab/>
            </w:r>
            <w:r>
              <w:rPr>
                <w:rStyle w:val="IndexLink"/>
              </w:rPr>
              <w:t>266</w:t>
            </w:r>
          </w:hyperlink>
        </w:p>
        <w:p>
          <w:pPr>
            <w:pStyle w:val="Contents4"/>
            <w:tabs>
              <w:tab w:val="clear" w:pos="8176"/>
              <w:tab w:val="right" w:pos="9026" w:leader="dot"/>
            </w:tabs>
            <w:rPr/>
          </w:pPr>
          <w:hyperlink w:anchor="__RefHeading___Toc1101118_1468164448">
            <w:r>
              <w:rPr>
                <w:webHidden/>
                <w:rStyle w:val="IndexLink"/>
                <w:rtl w:val="true"/>
              </w:rPr>
              <w:t>معالجة إلتباس</w:t>
            </w:r>
            <w:r>
              <w:rPr>
                <w:rStyle w:val="IndexLink"/>
                <w:rtl w:val="true"/>
              </w:rPr>
              <w:t>:</w:t>
              <w:tab/>
            </w:r>
            <w:r>
              <w:rPr>
                <w:rStyle w:val="IndexLink"/>
              </w:rPr>
              <w:t>269</w:t>
            </w:r>
          </w:hyperlink>
        </w:p>
        <w:p>
          <w:pPr>
            <w:pStyle w:val="Contents4"/>
            <w:tabs>
              <w:tab w:val="clear" w:pos="8176"/>
              <w:tab w:val="right" w:pos="9026" w:leader="dot"/>
            </w:tabs>
            <w:rPr/>
          </w:pPr>
          <w:hyperlink w:anchor="__RefHeading___Toc1101120_1468164448">
            <w:r>
              <w:rPr>
                <w:webHidden/>
                <w:rStyle w:val="IndexLink"/>
                <w:rtl w:val="true"/>
              </w:rPr>
              <w:t>القاعدة الخامسة</w:t>
            </w:r>
            <w:r>
              <w:rPr>
                <w:rStyle w:val="IndexLink"/>
                <w:rtl w:val="true"/>
              </w:rPr>
              <w:t xml:space="preserve">: </w:t>
            </w:r>
            <w:r>
              <w:rPr>
                <w:rStyle w:val="IndexLink"/>
                <w:rtl w:val="true"/>
              </w:rPr>
              <w:t>فی النظام السیاسیّ والمواطَنة</w:t>
            </w:r>
            <w:r>
              <w:rPr>
                <w:rStyle w:val="IndexLink"/>
                <w:rtl w:val="true"/>
              </w:rPr>
              <w:t>:</w:t>
              <w:tab/>
            </w:r>
            <w:r>
              <w:rPr>
                <w:rStyle w:val="IndexLink"/>
              </w:rPr>
              <w:t>277</w:t>
            </w:r>
          </w:hyperlink>
        </w:p>
        <w:p>
          <w:pPr>
            <w:pStyle w:val="Contents4"/>
            <w:tabs>
              <w:tab w:val="clear" w:pos="8176"/>
              <w:tab w:val="right" w:pos="9026" w:leader="dot"/>
            </w:tabs>
            <w:rPr/>
          </w:pPr>
          <w:hyperlink w:anchor="__RefHeading___Toc1101122_1468164448">
            <w:r>
              <w:rPr>
                <w:webHidden/>
                <w:rStyle w:val="IndexLink"/>
                <w:rtl w:val="true"/>
              </w:rPr>
              <w:t>القاعدة السادسة</w:t>
            </w:r>
            <w:r>
              <w:rPr>
                <w:rStyle w:val="IndexLink"/>
                <w:rtl w:val="true"/>
              </w:rPr>
              <w:t xml:space="preserve">: </w:t>
            </w:r>
            <w:r>
              <w:rPr>
                <w:rStyle w:val="IndexLink"/>
                <w:rtl w:val="true"/>
              </w:rPr>
              <w:t>لزوم إعطاء حقّ المواطَنة</w:t>
            </w:r>
            <w:r>
              <w:rPr>
                <w:rStyle w:val="IndexLink"/>
                <w:rtl w:val="true"/>
              </w:rPr>
              <w:tab/>
            </w:r>
            <w:r>
              <w:rPr>
                <w:rStyle w:val="IndexLink"/>
              </w:rPr>
              <w:t>282</w:t>
            </w:r>
          </w:hyperlink>
        </w:p>
        <w:p>
          <w:pPr>
            <w:pStyle w:val="Contents4"/>
            <w:tabs>
              <w:tab w:val="clear" w:pos="8176"/>
              <w:tab w:val="right" w:pos="9026" w:leader="dot"/>
            </w:tabs>
            <w:rPr/>
          </w:pPr>
          <w:hyperlink w:anchor="__RefHeading___Toc1101124_1468164448">
            <w:r>
              <w:rPr>
                <w:webHidden/>
                <w:rStyle w:val="IndexLink"/>
                <w:rtl w:val="true"/>
              </w:rPr>
              <w:t>حدیث الفرقة الناجیة والتعایش السلمیّ بین المسلمین</w:t>
            </w:r>
            <w:r>
              <w:rPr>
                <w:rStyle w:val="IndexLink"/>
                <w:rtl w:val="true"/>
              </w:rPr>
              <w:t>:</w:t>
              <w:tab/>
            </w:r>
            <w:r>
              <w:rPr>
                <w:rStyle w:val="IndexLink"/>
              </w:rPr>
              <w:t>283</w:t>
            </w:r>
          </w:hyperlink>
        </w:p>
        <w:p>
          <w:pPr>
            <w:pStyle w:val="Contents3"/>
            <w:tabs>
              <w:tab w:val="clear" w:pos="8459"/>
              <w:tab w:val="right" w:pos="9026" w:leader="dot"/>
            </w:tabs>
            <w:rPr/>
          </w:pPr>
          <w:hyperlink w:anchor="__RefHeading___Toc1101126_1468164448">
            <w:r>
              <w:rPr>
                <w:webHidden/>
                <w:rStyle w:val="IndexLink"/>
                <w:rtl w:val="true"/>
              </w:rPr>
              <w:t>الفصل الثالث</w:t>
            </w:r>
            <w:r>
              <w:rPr>
                <w:rStyle w:val="IndexLink"/>
                <w:rtl w:val="true"/>
              </w:rPr>
              <w:t xml:space="preserve">: </w:t>
            </w:r>
            <w:r>
              <w:rPr>
                <w:rStyle w:val="IndexLink"/>
                <w:rtl w:val="true"/>
              </w:rPr>
              <w:t>نظام التنسیق والتوافقات الوقتیة</w:t>
            </w:r>
            <w:r>
              <w:rPr>
                <w:rStyle w:val="IndexLink"/>
                <w:rtl w:val="true"/>
              </w:rPr>
              <w:tab/>
            </w:r>
            <w:r>
              <w:rPr>
                <w:rStyle w:val="IndexLink"/>
              </w:rPr>
              <w:t>287</w:t>
            </w:r>
          </w:hyperlink>
        </w:p>
        <w:p>
          <w:pPr>
            <w:pStyle w:val="Contents4"/>
            <w:tabs>
              <w:tab w:val="clear" w:pos="8176"/>
              <w:tab w:val="right" w:pos="9026" w:leader="dot"/>
            </w:tabs>
            <w:rPr/>
          </w:pPr>
          <w:hyperlink w:anchor="__RefHeading___Toc1101128_1468164448">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101130_1468164448">
            <w:r>
              <w:rPr>
                <w:webHidden/>
                <w:rStyle w:val="IndexLink"/>
                <w:rtl w:val="true"/>
              </w:rPr>
              <w:t>غایات نظام التنسیق والانسجام والتوافق</w:t>
            </w:r>
            <w:r>
              <w:rPr>
                <w:rStyle w:val="IndexLink"/>
                <w:rtl w:val="true"/>
              </w:rPr>
              <w:t>:</w:t>
              <w:tab/>
            </w:r>
            <w:r>
              <w:rPr>
                <w:rStyle w:val="IndexLink"/>
              </w:rPr>
              <w:t>287</w:t>
            </w:r>
          </w:hyperlink>
        </w:p>
        <w:p>
          <w:pPr>
            <w:pStyle w:val="Contents4"/>
            <w:tabs>
              <w:tab w:val="clear" w:pos="8176"/>
              <w:tab w:val="right" w:pos="9026" w:leader="dot"/>
            </w:tabs>
            <w:rPr/>
          </w:pPr>
          <w:hyperlink w:anchor="__RefHeading___Toc1101132_1468164448">
            <w:r>
              <w:rPr>
                <w:webHidden/>
                <w:rStyle w:val="IndexLink"/>
                <w:rtl w:val="true"/>
              </w:rPr>
              <w:t>امتیاز نظام التنسیق عن نظام الوحدة ونظام التقریب</w:t>
            </w:r>
            <w:r>
              <w:rPr>
                <w:rStyle w:val="IndexLink"/>
                <w:rtl w:val="true"/>
              </w:rPr>
              <w:t>:</w:t>
              <w:tab/>
            </w:r>
            <w:r>
              <w:rPr>
                <w:rStyle w:val="IndexLink"/>
              </w:rPr>
              <w:t>287</w:t>
            </w:r>
          </w:hyperlink>
        </w:p>
        <w:p>
          <w:pPr>
            <w:pStyle w:val="Contents4"/>
            <w:tabs>
              <w:tab w:val="clear" w:pos="8176"/>
              <w:tab w:val="right" w:pos="9026" w:leader="dot"/>
            </w:tabs>
            <w:rPr/>
          </w:pPr>
          <w:hyperlink w:anchor="__RefHeading___Toc1101134_1468164448">
            <w:r>
              <w:rPr>
                <w:webHidden/>
                <w:rStyle w:val="IndexLink"/>
                <w:rtl w:val="true"/>
              </w:rPr>
              <w:t>علاقة نظام التنسیق مع نظام الوحدة والتقریب</w:t>
            </w:r>
            <w:r>
              <w:rPr>
                <w:rStyle w:val="IndexLink"/>
                <w:rtl w:val="true"/>
              </w:rPr>
              <w:t>:</w:t>
              <w:tab/>
            </w:r>
            <w:r>
              <w:rPr>
                <w:rStyle w:val="IndexLink"/>
              </w:rPr>
              <w:t>288</w:t>
            </w:r>
          </w:hyperlink>
        </w:p>
        <w:p>
          <w:pPr>
            <w:pStyle w:val="Contents4"/>
            <w:tabs>
              <w:tab w:val="clear" w:pos="8176"/>
              <w:tab w:val="right" w:pos="9026" w:leader="dot"/>
            </w:tabs>
            <w:rPr/>
          </w:pPr>
          <w:hyperlink w:anchor="__RefHeading___Toc1101136_1468164448">
            <w:r>
              <w:rPr>
                <w:webHidden/>
                <w:rStyle w:val="IndexLink"/>
                <w:rtl w:val="true"/>
              </w:rPr>
              <w:t>نظام التنسیق یمثّل الحدّ الأدنی للوحدة</w:t>
            </w:r>
            <w:r>
              <w:rPr>
                <w:rStyle w:val="IndexLink"/>
                <w:rtl w:val="true"/>
              </w:rPr>
              <w:t>:</w:t>
              <w:tab/>
            </w:r>
            <w:r>
              <w:rPr>
                <w:rStyle w:val="IndexLink"/>
              </w:rPr>
              <w:t>288</w:t>
            </w:r>
          </w:hyperlink>
        </w:p>
        <w:p>
          <w:pPr>
            <w:pStyle w:val="Contents4"/>
            <w:tabs>
              <w:tab w:val="clear" w:pos="8176"/>
              <w:tab w:val="right" w:pos="9026" w:leader="dot"/>
            </w:tabs>
            <w:rPr/>
          </w:pPr>
          <w:hyperlink w:anchor="__RefHeading___Toc1101138_1468164448">
            <w:r>
              <w:rPr>
                <w:webHidden/>
                <w:rStyle w:val="IndexLink"/>
                <w:rtl w:val="true"/>
              </w:rPr>
              <w:t>بعض ممارسات حکّام المسلمین سبب للفرقة</w:t>
            </w:r>
            <w:r>
              <w:rPr>
                <w:rStyle w:val="IndexLink"/>
                <w:rtl w:val="true"/>
              </w:rPr>
              <w:t>:</w:t>
              <w:tab/>
            </w:r>
            <w:r>
              <w:rPr>
                <w:rStyle w:val="IndexLink"/>
              </w:rPr>
              <w:t>291</w:t>
            </w:r>
          </w:hyperlink>
        </w:p>
        <w:p>
          <w:pPr>
            <w:pStyle w:val="Contents4"/>
            <w:tabs>
              <w:tab w:val="clear" w:pos="8176"/>
              <w:tab w:val="right" w:pos="9026" w:leader="dot"/>
            </w:tabs>
            <w:rPr/>
          </w:pPr>
          <w:hyperlink w:anchor="__RefHeading___Toc1101140_1468164448">
            <w:r>
              <w:rPr>
                <w:webHidden/>
                <w:rStyle w:val="IndexLink"/>
                <w:rtl w:val="true"/>
              </w:rPr>
              <w:t>قاعدة فی بیان حقیقة المذهبیّة العقائدیّة والفقهیّة</w:t>
            </w:r>
            <w:r>
              <w:rPr>
                <w:rStyle w:val="IndexLink"/>
                <w:rtl w:val="true"/>
              </w:rPr>
              <w:t>:</w:t>
              <w:tab/>
            </w:r>
            <w:r>
              <w:rPr>
                <w:rStyle w:val="IndexLink"/>
              </w:rPr>
              <w:t>292</w:t>
            </w:r>
          </w:hyperlink>
        </w:p>
        <w:p>
          <w:pPr>
            <w:pStyle w:val="Contents4"/>
            <w:tabs>
              <w:tab w:val="clear" w:pos="8176"/>
              <w:tab w:val="right" w:pos="9026" w:leader="dot"/>
            </w:tabs>
            <w:rPr/>
          </w:pPr>
          <w:hyperlink w:anchor="__RefHeading___Toc1101142_1468164448">
            <w:r>
              <w:rPr>
                <w:webHidden/>
                <w:rStyle w:val="IndexLink"/>
                <w:rtl w:val="true"/>
              </w:rPr>
              <w:t>حقیقة المذهبیّة العقائدیّة عند المسلمین</w:t>
            </w:r>
            <w:r>
              <w:rPr>
                <w:rStyle w:val="IndexLink"/>
                <w:rtl w:val="true"/>
              </w:rPr>
              <w:t>:</w:t>
              <w:tab/>
            </w:r>
            <w:r>
              <w:rPr>
                <w:rStyle w:val="IndexLink"/>
              </w:rPr>
              <w:t>293</w:t>
            </w:r>
          </w:hyperlink>
        </w:p>
        <w:p>
          <w:pPr>
            <w:pStyle w:val="Contents4"/>
            <w:tabs>
              <w:tab w:val="clear" w:pos="8176"/>
              <w:tab w:val="right" w:pos="9026" w:leader="dot"/>
            </w:tabs>
            <w:rPr/>
          </w:pPr>
          <w:hyperlink w:anchor="__RefHeading___Toc1101144_1468164448">
            <w:r>
              <w:rPr>
                <w:webHidden/>
                <w:rStyle w:val="IndexLink"/>
                <w:rtl w:val="true"/>
              </w:rPr>
              <w:t>میزان المذهبیّة العقائدیّة</w:t>
            </w:r>
            <w:r>
              <w:rPr>
                <w:rStyle w:val="IndexLink"/>
                <w:rtl w:val="true"/>
              </w:rPr>
              <w:t>:</w:t>
              <w:tab/>
            </w:r>
            <w:r>
              <w:rPr>
                <w:rStyle w:val="IndexLink"/>
              </w:rPr>
              <w:t>294</w:t>
            </w:r>
          </w:hyperlink>
        </w:p>
        <w:p>
          <w:pPr>
            <w:pStyle w:val="Contents4"/>
            <w:tabs>
              <w:tab w:val="clear" w:pos="8176"/>
              <w:tab w:val="right" w:pos="9026" w:leader="dot"/>
            </w:tabs>
            <w:rPr/>
          </w:pPr>
          <w:hyperlink w:anchor="__RefHeading___Toc1101146_1468164448">
            <w:r>
              <w:rPr>
                <w:webHidden/>
                <w:rStyle w:val="IndexLink"/>
                <w:rtl w:val="true"/>
              </w:rPr>
              <w:t>حقیقة وموقعیّة عملیّة التأصیل العقائدیّ من الدین</w:t>
            </w:r>
            <w:r>
              <w:rPr>
                <w:rStyle w:val="IndexLink"/>
                <w:rtl w:val="true"/>
              </w:rPr>
              <w:t>:</w:t>
              <w:tab/>
            </w:r>
            <w:r>
              <w:rPr>
                <w:rStyle w:val="IndexLink"/>
              </w:rPr>
              <w:t>295</w:t>
            </w:r>
          </w:hyperlink>
        </w:p>
        <w:p>
          <w:pPr>
            <w:pStyle w:val="Contents5"/>
            <w:tabs>
              <w:tab w:val="clear" w:pos="7892"/>
              <w:tab w:val="right" w:pos="9026" w:leader="dot"/>
            </w:tabs>
            <w:rPr/>
          </w:pPr>
          <w:hyperlink w:anchor="__RefHeading___Toc1101148_1468164448">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101150_1468164448">
            <w:r>
              <w:rPr>
                <w:webHidden/>
                <w:rStyle w:val="IndexLink"/>
                <w:rtl w:val="true"/>
              </w:rPr>
              <w:t>الدلیل الأوّل</w:t>
            </w:r>
            <w:r>
              <w:rPr>
                <w:rStyle w:val="IndexLink"/>
                <w:rtl w:val="true"/>
              </w:rPr>
              <w:t xml:space="preserve">: </w:t>
            </w:r>
            <w:r>
              <w:rPr>
                <w:rStyle w:val="IndexLink"/>
                <w:rtl w:val="true"/>
              </w:rPr>
              <w:t>بیان ثوابت الدین</w:t>
            </w:r>
            <w:r>
              <w:rPr>
                <w:rStyle w:val="IndexLink"/>
                <w:rtl w:val="true"/>
              </w:rPr>
              <w:t>:</w:t>
              <w:tab/>
            </w:r>
            <w:r>
              <w:rPr>
                <w:rStyle w:val="IndexLink"/>
              </w:rPr>
              <w:t>296</w:t>
            </w:r>
          </w:hyperlink>
        </w:p>
        <w:p>
          <w:pPr>
            <w:pStyle w:val="Contents5"/>
            <w:tabs>
              <w:tab w:val="clear" w:pos="7892"/>
              <w:tab w:val="right" w:pos="9026" w:leader="dot"/>
            </w:tabs>
            <w:rPr/>
          </w:pPr>
          <w:hyperlink w:anchor="__RefHeading___Toc1101152_1468164448">
            <w:r>
              <w:rPr>
                <w:webHidden/>
                <w:rStyle w:val="IndexLink"/>
                <w:rtl w:val="true"/>
              </w:rPr>
              <w:t>الدلیل الثالث</w:t>
            </w:r>
            <w:r>
              <w:rPr>
                <w:rStyle w:val="IndexLink"/>
                <w:rtl w:val="true"/>
              </w:rPr>
              <w:t xml:space="preserve">: </w:t>
            </w:r>
            <w:r>
              <w:rPr>
                <w:rStyle w:val="IndexLink"/>
                <w:rtl w:val="true"/>
              </w:rPr>
              <w:t>القیام بدور التفصیل فی القواعد الاعتقادیّة</w:t>
            </w:r>
            <w:r>
              <w:rPr>
                <w:rStyle w:val="IndexLink"/>
                <w:rtl w:val="true"/>
              </w:rPr>
              <w:t>:</w:t>
              <w:tab/>
            </w:r>
            <w:r>
              <w:rPr>
                <w:rStyle w:val="IndexLink"/>
              </w:rPr>
              <w:t>299</w:t>
            </w:r>
          </w:hyperlink>
        </w:p>
        <w:p>
          <w:pPr>
            <w:pStyle w:val="Contents5"/>
            <w:tabs>
              <w:tab w:val="clear" w:pos="7892"/>
              <w:tab w:val="right" w:pos="9026" w:leader="dot"/>
            </w:tabs>
            <w:rPr/>
          </w:pPr>
          <w:hyperlink w:anchor="__RefHeading___Toc1101154_1468164448">
            <w:r>
              <w:rPr>
                <w:webHidden/>
                <w:rStyle w:val="IndexLink"/>
                <w:rtl w:val="true"/>
              </w:rPr>
              <w:t>حقیقة المذهبیّة الفقهیّة</w:t>
            </w:r>
            <w:r>
              <w:rPr>
                <w:rStyle w:val="IndexLink"/>
                <w:rtl w:val="true"/>
              </w:rPr>
              <w:t>:</w:t>
              <w:tab/>
            </w:r>
            <w:r>
              <w:rPr>
                <w:rStyle w:val="IndexLink"/>
              </w:rPr>
              <w:t>300</w:t>
            </w:r>
          </w:hyperlink>
        </w:p>
        <w:p>
          <w:pPr>
            <w:pStyle w:val="Contents5"/>
            <w:tabs>
              <w:tab w:val="clear" w:pos="7892"/>
              <w:tab w:val="right" w:pos="9026" w:leader="dot"/>
            </w:tabs>
            <w:rPr/>
          </w:pPr>
          <w:hyperlink w:anchor="__RefHeading___Toc1101156_1468164448">
            <w:r>
              <w:rPr>
                <w:webHidden/>
                <w:rStyle w:val="IndexLink"/>
                <w:rtl w:val="true"/>
              </w:rPr>
              <w:t>السبب فی سدّ باب الاجتهاد لدی أهل السنّة</w:t>
            </w:r>
            <w:r>
              <w:rPr>
                <w:rStyle w:val="IndexLink"/>
                <w:rtl w:val="true"/>
              </w:rPr>
              <w:t>:</w:t>
              <w:tab/>
            </w:r>
            <w:r>
              <w:rPr>
                <w:rStyle w:val="IndexLink"/>
              </w:rPr>
              <w:t>300</w:t>
            </w:r>
          </w:hyperlink>
        </w:p>
        <w:p>
          <w:pPr>
            <w:pStyle w:val="Contents5"/>
            <w:tabs>
              <w:tab w:val="clear" w:pos="7892"/>
              <w:tab w:val="right" w:pos="9026" w:leader="dot"/>
            </w:tabs>
            <w:rPr/>
          </w:pPr>
          <w:hyperlink w:anchor="__RefHeading___Toc1101158_1468164448">
            <w:r>
              <w:rPr>
                <w:webHidden/>
                <w:rStyle w:val="IndexLink"/>
                <w:rtl w:val="true"/>
              </w:rPr>
              <w:t>إجابات لا تخلو من تأمّل</w:t>
            </w:r>
            <w:r>
              <w:rPr>
                <w:rStyle w:val="IndexLink"/>
                <w:rtl w:val="true"/>
              </w:rPr>
              <w:t>:</w:t>
              <w:tab/>
            </w:r>
            <w:r>
              <w:rPr>
                <w:rStyle w:val="IndexLink"/>
              </w:rPr>
              <w:t>302</w:t>
            </w:r>
          </w:hyperlink>
        </w:p>
        <w:p>
          <w:pPr>
            <w:pStyle w:val="Contents5"/>
            <w:tabs>
              <w:tab w:val="clear" w:pos="7892"/>
              <w:tab w:val="right" w:pos="9026" w:leader="dot"/>
            </w:tabs>
            <w:rPr/>
          </w:pPr>
          <w:hyperlink w:anchor="__RefHeading___Toc1101160_1468164448">
            <w:r>
              <w:rPr>
                <w:webHidden/>
                <w:rStyle w:val="IndexLink"/>
                <w:rtl w:val="true"/>
              </w:rPr>
              <w:t>فتح باب الاجتهاد لدی مذهب الإمامیّة</w:t>
            </w:r>
            <w:r>
              <w:rPr>
                <w:rStyle w:val="IndexLink"/>
                <w:rtl w:val="true"/>
              </w:rPr>
              <w:t>:</w:t>
              <w:tab/>
            </w:r>
            <w:r>
              <w:rPr>
                <w:rStyle w:val="IndexLink"/>
              </w:rPr>
              <w:t>302</w:t>
            </w:r>
          </w:hyperlink>
        </w:p>
        <w:p>
          <w:pPr>
            <w:pStyle w:val="Contents5"/>
            <w:tabs>
              <w:tab w:val="clear" w:pos="7892"/>
              <w:tab w:val="right" w:pos="9026" w:leader="dot"/>
            </w:tabs>
            <w:rPr/>
          </w:pPr>
          <w:hyperlink w:anchor="__RefHeading___Toc1101162_1468164448">
            <w:r>
              <w:rPr>
                <w:webHidden/>
                <w:rStyle w:val="IndexLink"/>
                <w:rtl w:val="true"/>
              </w:rPr>
              <w:t>موقعیّة عملیّة استنباط أئمّة المذاهب الأربعة من الدین</w:t>
            </w:r>
            <w:r>
              <w:rPr>
                <w:rStyle w:val="IndexLink"/>
                <w:rtl w:val="true"/>
              </w:rPr>
              <w:t>:</w:t>
              <w:tab/>
            </w:r>
            <w:r>
              <w:rPr>
                <w:rStyle w:val="IndexLink"/>
              </w:rPr>
              <w:t>302</w:t>
            </w:r>
          </w:hyperlink>
        </w:p>
        <w:p>
          <w:pPr>
            <w:pStyle w:val="Contents5"/>
            <w:tabs>
              <w:tab w:val="clear" w:pos="7892"/>
              <w:tab w:val="right" w:pos="9026" w:leader="dot"/>
            </w:tabs>
            <w:rPr/>
          </w:pPr>
          <w:hyperlink w:anchor="__RefHeading___Toc1101164_1468164448">
            <w:r>
              <w:rPr>
                <w:webHidden/>
                <w:rStyle w:val="IndexLink"/>
                <w:rtl w:val="true"/>
              </w:rPr>
              <w:t>الاستدلال القانونیّ‌علی ضرورة مرحلة الوصایة فی الدین</w:t>
            </w:r>
            <w:r>
              <w:rPr>
                <w:rStyle w:val="IndexLink"/>
                <w:rtl w:val="true"/>
              </w:rPr>
              <w:t>:</w:t>
              <w:tab/>
            </w:r>
            <w:r>
              <w:rPr>
                <w:rStyle w:val="IndexLink"/>
              </w:rPr>
              <w:t>304</w:t>
            </w:r>
          </w:hyperlink>
        </w:p>
        <w:p>
          <w:pPr>
            <w:pStyle w:val="Contents5"/>
            <w:tabs>
              <w:tab w:val="clear" w:pos="7892"/>
              <w:tab w:val="right" w:pos="9026" w:leader="dot"/>
            </w:tabs>
            <w:rPr/>
          </w:pPr>
          <w:hyperlink w:anchor="__RefHeading___Toc1101166_1468164448">
            <w:r>
              <w:rPr>
                <w:webHidden/>
                <w:rStyle w:val="IndexLink"/>
                <w:rtl w:val="true"/>
              </w:rPr>
              <w:t>الأدلّة علی ضرورة عصمة الوصیّ فی الدین</w:t>
            </w:r>
            <w:r>
              <w:rPr>
                <w:rStyle w:val="IndexLink"/>
                <w:rtl w:val="true"/>
              </w:rPr>
              <w:t>:</w:t>
              <w:tab/>
            </w:r>
            <w:r>
              <w:rPr>
                <w:rStyle w:val="IndexLink"/>
              </w:rPr>
              <w:t>306</w:t>
            </w:r>
          </w:hyperlink>
        </w:p>
        <w:p>
          <w:pPr>
            <w:pStyle w:val="Contents2"/>
            <w:tabs>
              <w:tab w:val="clear" w:pos="8743"/>
              <w:tab w:val="right" w:pos="9026" w:leader="dot"/>
            </w:tabs>
            <w:rPr/>
          </w:pPr>
          <w:hyperlink w:anchor="__RefHeading___Toc1101168_1468164448">
            <w:r>
              <w:rPr>
                <w:webHidden/>
                <w:rStyle w:val="IndexLink"/>
                <w:rtl w:val="true"/>
              </w:rPr>
              <w:t>القاعدة العشرون</w:t>
            </w:r>
            <w:r>
              <w:rPr>
                <w:rStyle w:val="IndexLink"/>
                <w:rtl w:val="true"/>
              </w:rPr>
              <w:t xml:space="preserve">: </w:t>
            </w:r>
            <w:r>
              <w:rPr>
                <w:rStyle w:val="IndexLink"/>
                <w:rtl w:val="true"/>
              </w:rPr>
              <w:t>قاعدة فی شرطیة الولایة فی صحة التوبة وصحة العبادات وقبولها والتقرب</w:t>
            </w:r>
            <w:r>
              <w:rPr>
                <w:rStyle w:val="IndexLink"/>
                <w:rtl w:val="true"/>
              </w:rPr>
              <w:tab/>
            </w:r>
            <w:r>
              <w:rPr>
                <w:rStyle w:val="IndexLink"/>
              </w:rPr>
              <w:t>309</w:t>
            </w:r>
          </w:hyperlink>
        </w:p>
        <w:p>
          <w:pPr>
            <w:pStyle w:val="Contents3"/>
            <w:tabs>
              <w:tab w:val="clear" w:pos="8459"/>
              <w:tab w:val="right" w:pos="9026" w:leader="dot"/>
            </w:tabs>
            <w:rPr/>
          </w:pPr>
          <w:hyperlink w:anchor="__RefHeading___Toc1101170_1468164448">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101172_1468164448">
            <w:r>
              <w:rPr>
                <w:webHidden/>
                <w:rStyle w:val="IndexLink"/>
                <w:rtl w:val="true"/>
              </w:rPr>
              <w:t>الدلیل الأول</w:t>
            </w:r>
            <w:r>
              <w:rPr>
                <w:rStyle w:val="IndexLink"/>
                <w:rtl w:val="true"/>
              </w:rPr>
              <w:t xml:space="preserve">: </w:t>
            </w:r>
            <w:r>
              <w:rPr>
                <w:rStyle w:val="IndexLink"/>
                <w:rtl w:val="true"/>
              </w:rPr>
              <w:t>معطیات الشهادة الثانیة</w:t>
            </w:r>
            <w:r>
              <w:rPr>
                <w:rStyle w:val="IndexLink"/>
                <w:rtl w:val="true"/>
              </w:rPr>
              <w:t>:</w:t>
              <w:tab/>
            </w:r>
            <w:r>
              <w:rPr>
                <w:rStyle w:val="IndexLink"/>
              </w:rPr>
              <w:t>310</w:t>
            </w:r>
          </w:hyperlink>
        </w:p>
        <w:p>
          <w:pPr>
            <w:pStyle w:val="Contents3"/>
            <w:tabs>
              <w:tab w:val="clear" w:pos="8459"/>
              <w:tab w:val="right" w:pos="9026" w:leader="dot"/>
            </w:tabs>
            <w:rPr/>
          </w:pPr>
          <w:hyperlink w:anchor="__RefHeading___Toc1101174_1468164448">
            <w:r>
              <w:rPr>
                <w:webHidden/>
                <w:rStyle w:val="IndexLink"/>
                <w:rtl w:val="true"/>
              </w:rPr>
              <w:t>الدلیل الثانی</w:t>
            </w:r>
            <w:r>
              <w:rPr>
                <w:rStyle w:val="IndexLink"/>
                <w:rtl w:val="true"/>
              </w:rPr>
              <w:t xml:space="preserve">: </w:t>
            </w:r>
            <w:r>
              <w:rPr>
                <w:rStyle w:val="IndexLink"/>
                <w:rtl w:val="true"/>
              </w:rPr>
              <w:t>التوسّل ضرورة عقلیة</w:t>
            </w:r>
            <w:r>
              <w:rPr>
                <w:rStyle w:val="IndexLink"/>
                <w:rtl w:val="true"/>
              </w:rPr>
              <w:t>:</w:t>
              <w:tab/>
            </w:r>
            <w:r>
              <w:rPr>
                <w:rStyle w:val="IndexLink"/>
              </w:rPr>
              <w:t>312</w:t>
            </w:r>
          </w:hyperlink>
        </w:p>
        <w:p>
          <w:pPr>
            <w:pStyle w:val="Contents4"/>
            <w:tabs>
              <w:tab w:val="clear" w:pos="8176"/>
              <w:tab w:val="right" w:pos="9026" w:leader="dot"/>
            </w:tabs>
            <w:rPr/>
          </w:pPr>
          <w:hyperlink w:anchor="__RefHeading___Toc1101176_1468164448">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101178_1468164448">
            <w:r>
              <w:rPr>
                <w:webHidden/>
                <w:rStyle w:val="IndexLink"/>
                <w:rtl w:val="true"/>
              </w:rPr>
              <w:t>بیان الملازمة</w:t>
            </w:r>
            <w:r>
              <w:rPr>
                <w:rStyle w:val="IndexLink"/>
                <w:rtl w:val="true"/>
              </w:rPr>
              <w:t>:</w:t>
              <w:tab/>
            </w:r>
            <w:r>
              <w:rPr>
                <w:rStyle w:val="IndexLink"/>
              </w:rPr>
              <w:t>313</w:t>
            </w:r>
          </w:hyperlink>
        </w:p>
        <w:p>
          <w:pPr>
            <w:pStyle w:val="Contents4"/>
            <w:tabs>
              <w:tab w:val="clear" w:pos="8176"/>
              <w:tab w:val="right" w:pos="9026" w:leader="dot"/>
            </w:tabs>
            <w:rPr/>
          </w:pPr>
          <w:hyperlink w:anchor="__RefHeading___Toc1101180_1468164448">
            <w:r>
              <w:rPr>
                <w:webHidden/>
                <w:rStyle w:val="IndexLink"/>
                <w:rtl w:val="true"/>
              </w:rPr>
              <w:t>التوسّل فی کل النشآت ولأصناف المخلوقات</w:t>
            </w:r>
            <w:r>
              <w:rPr>
                <w:rStyle w:val="IndexLink"/>
                <w:rtl w:val="true"/>
              </w:rPr>
              <w:t>:</w:t>
              <w:tab/>
            </w:r>
            <w:r>
              <w:rPr>
                <w:rStyle w:val="IndexLink"/>
              </w:rPr>
              <w:t>315</w:t>
            </w:r>
          </w:hyperlink>
        </w:p>
        <w:p>
          <w:pPr>
            <w:pStyle w:val="Contents3"/>
            <w:tabs>
              <w:tab w:val="clear" w:pos="8459"/>
              <w:tab w:val="right" w:pos="9026" w:leader="dot"/>
            </w:tabs>
            <w:rPr/>
          </w:pPr>
          <w:hyperlink w:anchor="__RefHeading___Toc1101182_1468164448">
            <w:r>
              <w:rPr>
                <w:webHidden/>
                <w:rStyle w:val="IndexLink"/>
                <w:rtl w:val="true"/>
              </w:rPr>
              <w:t>الدلیل الثالث</w:t>
            </w:r>
            <w:r>
              <w:rPr>
                <w:rStyle w:val="IndexLink"/>
                <w:rtl w:val="true"/>
              </w:rPr>
              <w:t xml:space="preserve">: </w:t>
            </w:r>
            <w:r>
              <w:rPr>
                <w:rStyle w:val="IndexLink"/>
                <w:rtl w:val="true"/>
              </w:rPr>
              <w:t>عموم طاعة الله ورسوله وأولی الأمر</w:t>
            </w:r>
            <w:r>
              <w:rPr>
                <w:rStyle w:val="IndexLink"/>
                <w:rtl w:val="true"/>
              </w:rPr>
              <w:t>:</w:t>
              <w:tab/>
            </w:r>
            <w:r>
              <w:rPr>
                <w:rStyle w:val="IndexLink"/>
              </w:rPr>
              <w:t>316</w:t>
            </w:r>
          </w:hyperlink>
        </w:p>
        <w:p>
          <w:pPr>
            <w:pStyle w:val="Contents4"/>
            <w:tabs>
              <w:tab w:val="clear" w:pos="8176"/>
              <w:tab w:val="right" w:pos="9026" w:leader="dot"/>
            </w:tabs>
            <w:rPr/>
          </w:pPr>
          <w:hyperlink w:anchor="__RefHeading___Toc1101184_1468164448">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101186_1468164448">
            <w:r>
              <w:rPr>
                <w:webHidden/>
                <w:rStyle w:val="IndexLink"/>
                <w:rtl w:val="true"/>
              </w:rPr>
              <w:t>فذلکة صناعیة لأخذ التوسّل فی نیة القربة</w:t>
            </w:r>
            <w:r>
              <w:rPr>
                <w:rStyle w:val="IndexLink"/>
                <w:rtl w:val="true"/>
              </w:rPr>
              <w:t>:</w:t>
              <w:tab/>
            </w:r>
            <w:r>
              <w:rPr>
                <w:rStyle w:val="IndexLink"/>
              </w:rPr>
              <w:t>319</w:t>
            </w:r>
          </w:hyperlink>
        </w:p>
        <w:p>
          <w:pPr>
            <w:pStyle w:val="Contents3"/>
            <w:tabs>
              <w:tab w:val="clear" w:pos="8459"/>
              <w:tab w:val="right" w:pos="9026" w:leader="dot"/>
            </w:tabs>
            <w:rPr/>
          </w:pPr>
          <w:hyperlink w:anchor="__RefHeading___Toc1101188_1468164448">
            <w:r>
              <w:rPr>
                <w:webHidden/>
                <w:rStyle w:val="IndexLink"/>
                <w:rtl w:val="true"/>
              </w:rPr>
              <w:t>الدلیل الرابع</w:t>
            </w:r>
            <w:r>
              <w:rPr>
                <w:rStyle w:val="IndexLink"/>
                <w:rtl w:val="true"/>
              </w:rPr>
              <w:t xml:space="preserve">: </w:t>
            </w:r>
            <w:r>
              <w:rPr>
                <w:rStyle w:val="IndexLink"/>
                <w:rtl w:val="true"/>
              </w:rPr>
              <w:t>إقتران اسم النبی صلی الله علیه و آله وأهل بیته</w:t>
            </w:r>
            <w:r>
              <w:rPr>
                <w:rStyle w:val="IndexLink"/>
                <w:rtl w:val="true"/>
              </w:rPr>
              <w:t>:</w:t>
              <w:tab/>
            </w:r>
            <w:r>
              <w:rPr>
                <w:rStyle w:val="IndexLink"/>
              </w:rPr>
              <w:t>326</w:t>
            </w:r>
          </w:hyperlink>
        </w:p>
        <w:p>
          <w:pPr>
            <w:pStyle w:val="Contents4"/>
            <w:tabs>
              <w:tab w:val="clear" w:pos="8176"/>
              <w:tab w:val="right" w:pos="9026" w:leader="dot"/>
            </w:tabs>
            <w:rPr/>
          </w:pPr>
          <w:hyperlink w:anchor="__RefHeading___Toc1101190_1468164448">
            <w:r>
              <w:rPr>
                <w:webHidden/>
                <w:rStyle w:val="IndexLink"/>
                <w:rtl w:val="true"/>
              </w:rPr>
              <w:t>بأعظم العبادات</w:t>
            </w:r>
            <w:r>
              <w:rPr>
                <w:rStyle w:val="IndexLink"/>
                <w:rtl w:val="true"/>
              </w:rPr>
              <w:t>:</w:t>
              <w:tab/>
            </w:r>
            <w:r>
              <w:rPr>
                <w:rStyle w:val="IndexLink"/>
              </w:rPr>
              <w:t>326</w:t>
            </w:r>
          </w:hyperlink>
        </w:p>
        <w:p>
          <w:pPr>
            <w:pStyle w:val="Contents3"/>
            <w:tabs>
              <w:tab w:val="clear" w:pos="8459"/>
              <w:tab w:val="right" w:pos="9026" w:leader="dot"/>
            </w:tabs>
            <w:rPr/>
          </w:pPr>
          <w:hyperlink w:anchor="__RefHeading___Toc1101192_1468164448">
            <w:r>
              <w:rPr>
                <w:webHidden/>
                <w:rStyle w:val="IndexLink"/>
                <w:rtl w:val="true"/>
              </w:rPr>
              <w:t>الدلیل الخامس</w:t>
            </w:r>
            <w:r>
              <w:rPr>
                <w:rStyle w:val="IndexLink"/>
                <w:rtl w:val="true"/>
              </w:rPr>
              <w:t xml:space="preserve">: </w:t>
            </w:r>
            <w:r>
              <w:rPr>
                <w:rStyle w:val="IndexLink"/>
                <w:rtl w:val="true"/>
              </w:rPr>
              <w:t>ابتغاء الوسیلة ضرورة قرآنیة</w:t>
            </w:r>
            <w:r>
              <w:rPr>
                <w:rStyle w:val="IndexLink"/>
                <w:rtl w:val="true"/>
              </w:rPr>
              <w:t>:</w:t>
              <w:tab/>
            </w:r>
            <w:r>
              <w:rPr>
                <w:rStyle w:val="IndexLink"/>
              </w:rPr>
              <w:t>337</w:t>
            </w:r>
          </w:hyperlink>
        </w:p>
        <w:p>
          <w:pPr>
            <w:pStyle w:val="Contents4"/>
            <w:tabs>
              <w:tab w:val="clear" w:pos="8176"/>
              <w:tab w:val="right" w:pos="9026" w:leader="dot"/>
            </w:tabs>
            <w:rPr/>
          </w:pPr>
          <w:hyperlink w:anchor="__RefHeading___Toc1101194_1468164448">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101196_1468164448">
            <w:r>
              <w:rPr>
                <w:webHidden/>
                <w:rStyle w:val="IndexLink"/>
                <w:rtl w:val="true"/>
              </w:rPr>
              <w:t>قرب الله وقرب العبد</w:t>
            </w:r>
            <w:r>
              <w:rPr>
                <w:rStyle w:val="IndexLink"/>
                <w:rtl w:val="true"/>
              </w:rPr>
              <w:t>:</w:t>
              <w:tab/>
            </w:r>
            <w:r>
              <w:rPr>
                <w:rStyle w:val="IndexLink"/>
              </w:rPr>
              <w:t>339</w:t>
            </w:r>
          </w:hyperlink>
        </w:p>
        <w:p>
          <w:pPr>
            <w:pStyle w:val="Contents4"/>
            <w:tabs>
              <w:tab w:val="clear" w:pos="8176"/>
              <w:tab w:val="right" w:pos="9026" w:leader="dot"/>
            </w:tabs>
            <w:rPr/>
          </w:pPr>
          <w:hyperlink w:anchor="__RefHeading___Toc1101198_1468164448">
            <w:r>
              <w:rPr>
                <w:webHidden/>
                <w:rStyle w:val="IndexLink"/>
                <w:rtl w:val="true"/>
              </w:rPr>
              <w:t>الوسیلة معنی الشفاعة</w:t>
            </w:r>
            <w:r>
              <w:rPr>
                <w:rStyle w:val="IndexLink"/>
                <w:rtl w:val="true"/>
              </w:rPr>
              <w:t>:</w:t>
              <w:tab/>
            </w:r>
            <w:r>
              <w:rPr>
                <w:rStyle w:val="IndexLink"/>
              </w:rPr>
              <w:t>342</w:t>
            </w:r>
          </w:hyperlink>
        </w:p>
        <w:p>
          <w:pPr>
            <w:pStyle w:val="Contents4"/>
            <w:tabs>
              <w:tab w:val="clear" w:pos="8176"/>
              <w:tab w:val="right" w:pos="9026" w:leader="dot"/>
            </w:tabs>
            <w:rPr/>
          </w:pPr>
          <w:hyperlink w:anchor="__RefHeading___Toc1101200_1468164448">
            <w:r>
              <w:rPr>
                <w:webHidden/>
                <w:rStyle w:val="IndexLink"/>
                <w:rtl w:val="true"/>
              </w:rPr>
              <w:t>ترامی الوسائل وتعاقبها</w:t>
            </w:r>
            <w:r>
              <w:rPr>
                <w:rStyle w:val="IndexLink"/>
                <w:rtl w:val="true"/>
              </w:rPr>
              <w:t>:</w:t>
              <w:tab/>
            </w:r>
            <w:r>
              <w:rPr>
                <w:rStyle w:val="IndexLink"/>
              </w:rPr>
              <w:t>343</w:t>
            </w:r>
          </w:hyperlink>
        </w:p>
        <w:p>
          <w:pPr>
            <w:pStyle w:val="Contents3"/>
            <w:tabs>
              <w:tab w:val="clear" w:pos="8459"/>
              <w:tab w:val="right" w:pos="9026" w:leader="dot"/>
            </w:tabs>
            <w:rPr/>
          </w:pPr>
          <w:hyperlink w:anchor="__RefHeading___Toc1101202_1468164448">
            <w:r>
              <w:rPr>
                <w:webHidden/>
                <w:rStyle w:val="IndexLink"/>
                <w:rtl w:val="true"/>
              </w:rPr>
              <w:t>الدلیل السادس</w:t>
            </w:r>
            <w:r>
              <w:rPr>
                <w:rStyle w:val="IndexLink"/>
                <w:rtl w:val="true"/>
              </w:rPr>
              <w:t xml:space="preserve">: </w:t>
            </w:r>
            <w:r>
              <w:rPr>
                <w:rStyle w:val="IndexLink"/>
                <w:rtl w:val="true"/>
              </w:rPr>
              <w:t>شرطیة الاستجارة بالنبی صلی الله علیه و آله</w:t>
            </w:r>
            <w:r>
              <w:rPr>
                <w:rStyle w:val="IndexLink"/>
                <w:rtl w:val="true"/>
              </w:rPr>
              <w:tab/>
            </w:r>
            <w:r>
              <w:rPr>
                <w:rStyle w:val="IndexLink"/>
              </w:rPr>
              <w:t>344</w:t>
            </w:r>
          </w:hyperlink>
        </w:p>
        <w:p>
          <w:pPr>
            <w:pStyle w:val="Contents4"/>
            <w:tabs>
              <w:tab w:val="clear" w:pos="8176"/>
              <w:tab w:val="right" w:pos="9026" w:leader="dot"/>
            </w:tabs>
            <w:rPr/>
          </w:pPr>
          <w:hyperlink w:anchor="__RefHeading___Toc1101204_1468164448">
            <w:r>
              <w:rPr>
                <w:webHidden/>
                <w:rStyle w:val="IndexLink"/>
                <w:rtl w:val="true"/>
              </w:rPr>
              <w:t>فی طلب المغفرة</w:t>
            </w:r>
            <w:r>
              <w:rPr>
                <w:rStyle w:val="IndexLink"/>
                <w:rtl w:val="true"/>
              </w:rPr>
              <w:t>:</w:t>
              <w:tab/>
            </w:r>
            <w:r>
              <w:rPr>
                <w:rStyle w:val="IndexLink"/>
              </w:rPr>
              <w:t>344</w:t>
            </w:r>
          </w:hyperlink>
        </w:p>
        <w:p>
          <w:pPr>
            <w:pStyle w:val="Contents3"/>
            <w:tabs>
              <w:tab w:val="clear" w:pos="8459"/>
              <w:tab w:val="right" w:pos="9026" w:leader="dot"/>
            </w:tabs>
            <w:rPr/>
          </w:pPr>
          <w:hyperlink w:anchor="__RefHeading___Toc1101206_1468164448">
            <w:r>
              <w:rPr>
                <w:webHidden/>
                <w:rStyle w:val="IndexLink"/>
                <w:rtl w:val="true"/>
              </w:rPr>
              <w:t>الدلیل السابع</w:t>
            </w:r>
            <w:r>
              <w:rPr>
                <w:rStyle w:val="IndexLink"/>
                <w:rtl w:val="true"/>
              </w:rPr>
              <w:t xml:space="preserve">: </w:t>
            </w:r>
            <w:r>
              <w:rPr>
                <w:rStyle w:val="IndexLink"/>
                <w:rtl w:val="true"/>
              </w:rPr>
              <w:t>التوسّل بالرسول صلی الله علیه و آله میثاق الأنبیاء</w:t>
            </w:r>
            <w:r>
              <w:rPr>
                <w:rStyle w:val="IndexLink"/>
                <w:rtl w:val="true"/>
              </w:rPr>
              <w:t>:</w:t>
              <w:tab/>
            </w:r>
            <w:r>
              <w:rPr>
                <w:rStyle w:val="IndexLink"/>
              </w:rPr>
              <w:t>355</w:t>
            </w:r>
          </w:hyperlink>
        </w:p>
        <w:p>
          <w:pPr>
            <w:pStyle w:val="Contents4"/>
            <w:tabs>
              <w:tab w:val="clear" w:pos="8176"/>
              <w:tab w:val="right" w:pos="9026" w:leader="dot"/>
            </w:tabs>
            <w:rPr/>
          </w:pPr>
          <w:hyperlink w:anchor="__RefHeading___Toc1101208_1468164448">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101210_1468164448">
            <w:r>
              <w:rPr>
                <w:webHidden/>
                <w:rStyle w:val="IndexLink"/>
                <w:rtl w:val="true"/>
              </w:rPr>
              <w:t>الأنبیاء علی دین النبی الأکرم صلی الله علیه و آله</w:t>
            </w:r>
            <w:r>
              <w:rPr>
                <w:rStyle w:val="IndexLink"/>
                <w:rtl w:val="true"/>
              </w:rPr>
              <w:t>:</w:t>
              <w:tab/>
            </w:r>
            <w:r>
              <w:rPr>
                <w:rStyle w:val="IndexLink"/>
              </w:rPr>
              <w:t>355</w:t>
            </w:r>
          </w:hyperlink>
        </w:p>
        <w:p>
          <w:pPr>
            <w:pStyle w:val="Contents4"/>
            <w:tabs>
              <w:tab w:val="clear" w:pos="8176"/>
              <w:tab w:val="right" w:pos="9026" w:leader="dot"/>
            </w:tabs>
            <w:rPr/>
          </w:pPr>
          <w:hyperlink w:anchor="__RefHeading___Toc1101212_1468164448">
            <w:r>
              <w:rPr>
                <w:webHidden/>
                <w:rStyle w:val="IndexLink"/>
                <w:rtl w:val="true"/>
              </w:rPr>
              <w:t>أهل البیت علیهم السلام شرکاء النبیّ صلی الله علیه و آله فی المیثاق</w:t>
            </w:r>
            <w:r>
              <w:rPr>
                <w:rStyle w:val="IndexLink"/>
                <w:rtl w:val="true"/>
              </w:rPr>
              <w:t>:</w:t>
              <w:tab/>
            </w:r>
            <w:r>
              <w:rPr>
                <w:rStyle w:val="IndexLink"/>
              </w:rPr>
              <w:t>360</w:t>
            </w:r>
          </w:hyperlink>
        </w:p>
        <w:p>
          <w:pPr>
            <w:pStyle w:val="Contents3"/>
            <w:tabs>
              <w:tab w:val="clear" w:pos="8459"/>
              <w:tab w:val="right" w:pos="9026" w:leader="dot"/>
            </w:tabs>
            <w:rPr/>
          </w:pPr>
          <w:hyperlink w:anchor="__RefHeading___Toc1101214_1468164448">
            <w:r>
              <w:rPr>
                <w:webHidden/>
                <w:rStyle w:val="IndexLink"/>
                <w:rtl w:val="true"/>
              </w:rPr>
              <w:t>الدلیل الثامن</w:t>
            </w:r>
            <w:r>
              <w:rPr>
                <w:rStyle w:val="IndexLink"/>
                <w:rtl w:val="true"/>
              </w:rPr>
              <w:t>:</w:t>
              <w:tab/>
            </w:r>
            <w:r>
              <w:rPr>
                <w:rStyle w:val="IndexLink"/>
              </w:rPr>
              <w:t>380</w:t>
            </w:r>
          </w:hyperlink>
        </w:p>
        <w:p>
          <w:pPr>
            <w:pStyle w:val="Contents3"/>
            <w:tabs>
              <w:tab w:val="clear" w:pos="8459"/>
              <w:tab w:val="right" w:pos="9026" w:leader="dot"/>
            </w:tabs>
            <w:rPr/>
          </w:pPr>
          <w:hyperlink w:anchor="__RefHeading___Toc1101216_1468164448">
            <w:r>
              <w:rPr>
                <w:webHidden/>
                <w:rStyle w:val="IndexLink"/>
                <w:rtl w:val="true"/>
              </w:rPr>
              <w:t>الدلیل العاشر</w:t>
            </w:r>
            <w:r>
              <w:rPr>
                <w:rStyle w:val="IndexLink"/>
                <w:rtl w:val="true"/>
              </w:rPr>
              <w:t xml:space="preserve">: </w:t>
            </w:r>
            <w:r>
              <w:rPr>
                <w:rStyle w:val="IndexLink"/>
                <w:rtl w:val="true"/>
              </w:rPr>
              <w:t>خضوع الملائکة لآدم علیه السلام</w:t>
            </w:r>
            <w:r>
              <w:rPr>
                <w:rStyle w:val="IndexLink"/>
                <w:rtl w:val="true"/>
              </w:rPr>
              <w:tab/>
            </w:r>
            <w:r>
              <w:rPr>
                <w:rStyle w:val="IndexLink"/>
              </w:rPr>
              <w:t>385</w:t>
            </w:r>
          </w:hyperlink>
        </w:p>
        <w:p>
          <w:pPr>
            <w:pStyle w:val="Contents4"/>
            <w:tabs>
              <w:tab w:val="clear" w:pos="8176"/>
              <w:tab w:val="right" w:pos="9026" w:leader="dot"/>
            </w:tabs>
            <w:rPr/>
          </w:pPr>
          <w:hyperlink w:anchor="__RefHeading___Toc1101218_1468164448">
            <w:r>
              <w:rPr>
                <w:webHidden/>
                <w:rStyle w:val="IndexLink"/>
                <w:rtl w:val="true"/>
              </w:rPr>
              <w:t>کلّ خلیفة الله الباب الأعظم لملائکته</w:t>
            </w:r>
            <w:r>
              <w:rPr>
                <w:rStyle w:val="IndexLink"/>
                <w:rtl w:val="true"/>
              </w:rPr>
              <w:tab/>
            </w:r>
            <w:r>
              <w:rPr>
                <w:rStyle w:val="IndexLink"/>
              </w:rPr>
              <w:t>385</w:t>
            </w:r>
          </w:hyperlink>
        </w:p>
        <w:p>
          <w:pPr>
            <w:pStyle w:val="Contents4"/>
            <w:tabs>
              <w:tab w:val="clear" w:pos="8176"/>
              <w:tab w:val="right" w:pos="9026" w:leader="dot"/>
            </w:tabs>
            <w:rPr/>
          </w:pPr>
          <w:hyperlink w:anchor="__RefHeading___Toc1101220_1468164448">
            <w:r>
              <w:rPr>
                <w:webHidden/>
                <w:rStyle w:val="IndexLink"/>
                <w:rtl w:val="true"/>
              </w:rPr>
              <w:t>جحود التوسّل سنّة إبلیس فی الاستکبار</w:t>
            </w:r>
            <w:r>
              <w:rPr>
                <w:rStyle w:val="IndexLink"/>
                <w:rtl w:val="true"/>
              </w:rPr>
              <w:t>:</w:t>
              <w:tab/>
            </w:r>
            <w:r>
              <w:rPr>
                <w:rStyle w:val="IndexLink"/>
              </w:rPr>
              <w:t>388</w:t>
            </w:r>
          </w:hyperlink>
        </w:p>
        <w:p>
          <w:pPr>
            <w:pStyle w:val="Contents3"/>
            <w:tabs>
              <w:tab w:val="clear" w:pos="8459"/>
              <w:tab w:val="right" w:pos="9026" w:leader="dot"/>
            </w:tabs>
            <w:rPr/>
          </w:pPr>
          <w:hyperlink w:anchor="__RefHeading___Toc1101222_1468164448">
            <w:r>
              <w:rPr>
                <w:webHidden/>
                <w:rStyle w:val="IndexLink"/>
                <w:rtl w:val="true"/>
              </w:rPr>
              <w:t>الفصل الرابع</w:t>
            </w:r>
            <w:r>
              <w:rPr>
                <w:rStyle w:val="IndexLink"/>
                <w:rtl w:val="true"/>
              </w:rPr>
              <w:t xml:space="preserve">: </w:t>
            </w:r>
            <w:r>
              <w:rPr>
                <w:rStyle w:val="IndexLink"/>
                <w:rtl w:val="true"/>
              </w:rPr>
              <w:t>شبهات وردود</w:t>
            </w:r>
            <w:r>
              <w:rPr>
                <w:rStyle w:val="IndexLink"/>
                <w:rtl w:val="true"/>
              </w:rPr>
              <w:tab/>
            </w:r>
            <w:r>
              <w:rPr>
                <w:rStyle w:val="IndexLink"/>
              </w:rPr>
              <w:t>390</w:t>
            </w:r>
          </w:hyperlink>
        </w:p>
        <w:p>
          <w:pPr>
            <w:pStyle w:val="Contents4"/>
            <w:tabs>
              <w:tab w:val="clear" w:pos="8176"/>
              <w:tab w:val="right" w:pos="9026" w:leader="dot"/>
            </w:tabs>
            <w:rPr/>
          </w:pPr>
          <w:hyperlink w:anchor="__RefHeading___Toc1101224_1468164448">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1101226_1468164448">
            <w:r>
              <w:rPr>
                <w:webHidden/>
                <w:rStyle w:val="IndexLink"/>
                <w:rtl w:val="true"/>
              </w:rPr>
              <w:t>شبهات وردود</w:t>
            </w:r>
            <w:r>
              <w:rPr>
                <w:rStyle w:val="IndexLink"/>
                <w:rtl w:val="true"/>
              </w:rPr>
              <w:t>:</w:t>
              <w:tab/>
            </w:r>
            <w:r>
              <w:rPr>
                <w:rStyle w:val="IndexLink"/>
              </w:rPr>
              <w:t>390</w:t>
            </w:r>
          </w:hyperlink>
        </w:p>
        <w:p>
          <w:pPr>
            <w:pStyle w:val="Contents4"/>
            <w:tabs>
              <w:tab w:val="clear" w:pos="8176"/>
              <w:tab w:val="right" w:pos="9026" w:leader="dot"/>
            </w:tabs>
            <w:rPr/>
          </w:pPr>
          <w:hyperlink w:anchor="__RefHeading___Toc1101228_1468164448">
            <w:r>
              <w:rPr>
                <w:webHidden/>
                <w:rStyle w:val="IndexLink"/>
                <w:rtl w:val="true"/>
              </w:rPr>
              <w:t>شبهات المنکرین لجواز التوسّل</w:t>
            </w:r>
            <w:r>
              <w:rPr>
                <w:rStyle w:val="IndexLink"/>
                <w:rtl w:val="true"/>
              </w:rPr>
              <w:t>:</w:t>
              <w:tab/>
            </w:r>
            <w:r>
              <w:rPr>
                <w:rStyle w:val="IndexLink"/>
              </w:rPr>
              <w:t>392</w:t>
            </w:r>
          </w:hyperlink>
        </w:p>
        <w:p>
          <w:pPr>
            <w:pStyle w:val="Contents5"/>
            <w:tabs>
              <w:tab w:val="clear" w:pos="7892"/>
              <w:tab w:val="right" w:pos="9026" w:leader="dot"/>
            </w:tabs>
            <w:rPr/>
          </w:pPr>
          <w:hyperlink w:anchor="__RefHeading___Toc1101230_1468164448">
            <w:r>
              <w:rPr>
                <w:webHidden/>
                <w:rStyle w:val="IndexLink"/>
                <w:rtl w:val="true"/>
              </w:rPr>
              <w:t>الشبهة الأولی</w:t>
            </w:r>
            <w:r>
              <w:rPr>
                <w:rStyle w:val="IndexLink"/>
                <w:rtl w:val="true"/>
              </w:rPr>
              <w:t xml:space="preserve">: </w:t>
            </w:r>
            <w:r>
              <w:rPr>
                <w:rStyle w:val="IndexLink"/>
                <w:rtl w:val="true"/>
              </w:rPr>
              <w:t>التوسّل عبادة لغیر الله تعالی</w:t>
            </w:r>
            <w:r>
              <w:rPr>
                <w:rStyle w:val="IndexLink"/>
                <w:rtl w:val="true"/>
              </w:rPr>
              <w:t>:</w:t>
              <w:tab/>
            </w:r>
            <w:r>
              <w:rPr>
                <w:rStyle w:val="IndexLink"/>
              </w:rPr>
              <w:t>392</w:t>
            </w:r>
          </w:hyperlink>
        </w:p>
        <w:p>
          <w:pPr>
            <w:pStyle w:val="Contents6"/>
            <w:tabs>
              <w:tab w:val="clear" w:pos="7609"/>
              <w:tab w:val="right" w:pos="9026" w:leader="dot"/>
            </w:tabs>
            <w:rPr/>
          </w:pPr>
          <w:hyperlink w:anchor="__RefHeading___Toc1101232_1468164448">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1101234_1468164448">
            <w:r>
              <w:rPr>
                <w:webHidden/>
                <w:rStyle w:val="IndexLink"/>
                <w:rtl w:val="true"/>
              </w:rPr>
              <w:t>دفع الجوابین</w:t>
            </w:r>
            <w:r>
              <w:rPr>
                <w:rStyle w:val="IndexLink"/>
                <w:rtl w:val="true"/>
              </w:rPr>
              <w:t xml:space="preserve">: </w:t>
            </w:r>
            <w:r>
              <w:rPr>
                <w:rStyle w:val="IndexLink"/>
                <w:rtl w:val="true"/>
              </w:rPr>
              <w:t>جحود التوسّل یستند إلی التفویض</w:t>
            </w:r>
            <w:r>
              <w:rPr>
                <w:rStyle w:val="IndexLink"/>
                <w:rtl w:val="true"/>
              </w:rPr>
              <w:t>:</w:t>
              <w:tab/>
            </w:r>
            <w:r>
              <w:rPr>
                <w:rStyle w:val="IndexLink"/>
              </w:rPr>
              <w:t>395</w:t>
            </w:r>
          </w:hyperlink>
        </w:p>
        <w:p>
          <w:pPr>
            <w:pStyle w:val="Contents6"/>
            <w:tabs>
              <w:tab w:val="clear" w:pos="7609"/>
              <w:tab w:val="right" w:pos="9026" w:leader="dot"/>
            </w:tabs>
            <w:rPr/>
          </w:pPr>
          <w:hyperlink w:anchor="__RefHeading___Toc1101236_1468164448">
            <w:r>
              <w:rPr>
                <w:webHidden/>
                <w:rStyle w:val="IndexLink"/>
                <w:rtl w:val="true"/>
              </w:rPr>
              <w:t>جحود التوسّل یستند إلی المذاهب الحسیّة المادیة</w:t>
            </w:r>
            <w:r>
              <w:rPr>
                <w:rStyle w:val="IndexLink"/>
                <w:rtl w:val="true"/>
              </w:rPr>
              <w:t>:</w:t>
              <w:tab/>
            </w:r>
            <w:r>
              <w:rPr>
                <w:rStyle w:val="IndexLink"/>
              </w:rPr>
              <w:t>396</w:t>
            </w:r>
          </w:hyperlink>
        </w:p>
        <w:p>
          <w:pPr>
            <w:pStyle w:val="Contents6"/>
            <w:tabs>
              <w:tab w:val="clear" w:pos="7609"/>
              <w:tab w:val="right" w:pos="9026" w:leader="dot"/>
            </w:tabs>
            <w:rPr/>
          </w:pPr>
          <w:hyperlink w:anchor="__RefHeading___Toc1101238_1468164448">
            <w:r>
              <w:rPr>
                <w:webHidden/>
                <w:rStyle w:val="IndexLink"/>
                <w:rtl w:val="true"/>
              </w:rPr>
              <w:t>تفصیل الجاحدین للتوسّل فی الوسائط</w:t>
            </w:r>
            <w:r>
              <w:rPr>
                <w:rStyle w:val="IndexLink"/>
                <w:rtl w:val="true"/>
              </w:rPr>
              <w:t>:</w:t>
              <w:tab/>
            </w:r>
            <w:r>
              <w:rPr>
                <w:rStyle w:val="IndexLink"/>
              </w:rPr>
              <w:t>397</w:t>
            </w:r>
          </w:hyperlink>
        </w:p>
        <w:p>
          <w:pPr>
            <w:pStyle w:val="Contents5"/>
            <w:tabs>
              <w:tab w:val="clear" w:pos="7892"/>
              <w:tab w:val="right" w:pos="9026" w:leader="dot"/>
            </w:tabs>
            <w:rPr/>
          </w:pPr>
          <w:hyperlink w:anchor="__RefHeading___Toc1101240_1468164448">
            <w:r>
              <w:rPr>
                <w:webHidden/>
                <w:rStyle w:val="IndexLink"/>
                <w:rtl w:val="true"/>
              </w:rPr>
              <w:t>الشبهة الثانیة</w:t>
            </w:r>
            <w:r>
              <w:rPr>
                <w:rStyle w:val="IndexLink"/>
                <w:rtl w:val="true"/>
              </w:rPr>
              <w:t xml:space="preserve">: </w:t>
            </w:r>
            <w:r>
              <w:rPr>
                <w:rStyle w:val="IndexLink"/>
                <w:rtl w:val="true"/>
              </w:rPr>
              <w:t>التوسّل خلاف کلمة التوحید</w:t>
            </w:r>
            <w:r>
              <w:rPr>
                <w:rStyle w:val="IndexLink"/>
                <w:rtl w:val="true"/>
              </w:rPr>
              <w:t>:</w:t>
              <w:tab/>
            </w:r>
            <w:r>
              <w:rPr>
                <w:rStyle w:val="IndexLink"/>
              </w:rPr>
              <w:t>399</w:t>
            </w:r>
          </w:hyperlink>
        </w:p>
        <w:p>
          <w:pPr>
            <w:pStyle w:val="Contents5"/>
            <w:tabs>
              <w:tab w:val="clear" w:pos="7892"/>
              <w:tab w:val="right" w:pos="9026" w:leader="dot"/>
            </w:tabs>
            <w:rPr/>
          </w:pPr>
          <w:hyperlink w:anchor="__RefHeading___Toc1101242_1468164448">
            <w:r>
              <w:rPr>
                <w:webHidden/>
                <w:rStyle w:val="IndexLink"/>
                <w:rtl w:val="true"/>
              </w:rPr>
              <w:t>الشبهة الثالثة</w:t>
            </w:r>
            <w:r>
              <w:rPr>
                <w:rStyle w:val="IndexLink"/>
                <w:rtl w:val="true"/>
              </w:rPr>
              <w:t xml:space="preserve">: </w:t>
            </w:r>
            <w:r>
              <w:rPr>
                <w:rStyle w:val="IndexLink"/>
                <w:rtl w:val="true"/>
              </w:rPr>
              <w:t>التوسّل مخالف للآیات القرآنیة</w:t>
            </w:r>
            <w:r>
              <w:rPr>
                <w:rStyle w:val="IndexLink"/>
                <w:rtl w:val="true"/>
              </w:rPr>
              <w:t>:</w:t>
              <w:tab/>
            </w:r>
            <w:r>
              <w:rPr>
                <w:rStyle w:val="IndexLink"/>
              </w:rPr>
              <w:t>403</w:t>
            </w:r>
          </w:hyperlink>
        </w:p>
        <w:p>
          <w:pPr>
            <w:pStyle w:val="Contents6"/>
            <w:tabs>
              <w:tab w:val="clear" w:pos="7609"/>
              <w:tab w:val="right" w:pos="9026" w:leader="dot"/>
            </w:tabs>
            <w:rPr/>
          </w:pPr>
          <w:hyperlink w:anchor="__RefHeading___Toc1101244_1468164448">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1101246_1468164448">
            <w:r>
              <w:rPr>
                <w:webHidden/>
                <w:rStyle w:val="IndexLink"/>
                <w:rtl w:val="true"/>
              </w:rPr>
              <w:t>الجواب عن الشبهة الثالثة</w:t>
            </w:r>
            <w:r>
              <w:rPr>
                <w:rStyle w:val="IndexLink"/>
                <w:rtl w:val="true"/>
              </w:rPr>
              <w:t>:</w:t>
              <w:tab/>
            </w:r>
            <w:r>
              <w:rPr>
                <w:rStyle w:val="IndexLink"/>
              </w:rPr>
              <w:t>406</w:t>
            </w:r>
          </w:hyperlink>
        </w:p>
        <w:p>
          <w:pPr>
            <w:pStyle w:val="Contents6"/>
            <w:tabs>
              <w:tab w:val="clear" w:pos="7609"/>
              <w:tab w:val="right" w:pos="9026" w:leader="dot"/>
            </w:tabs>
            <w:rPr/>
          </w:pPr>
          <w:hyperlink w:anchor="__RefHeading___Toc1101248_1468164448">
            <w:r>
              <w:rPr>
                <w:webHidden/>
                <w:rStyle w:val="IndexLink"/>
                <w:rtl w:val="true"/>
              </w:rPr>
              <w:t>الجواب الأول</w:t>
            </w:r>
            <w:r>
              <w:rPr>
                <w:rStyle w:val="IndexLink"/>
                <w:rtl w:val="true"/>
              </w:rPr>
              <w:t xml:space="preserve">: </w:t>
            </w:r>
            <w:r>
              <w:rPr>
                <w:rStyle w:val="IndexLink"/>
                <w:rtl w:val="true"/>
              </w:rPr>
              <w:t>حقیقة الأسماء الالهیة مستند للتوسّل</w:t>
            </w:r>
            <w:r>
              <w:rPr>
                <w:rStyle w:val="IndexLink"/>
                <w:rtl w:val="true"/>
              </w:rPr>
              <w:t>:</w:t>
              <w:tab/>
            </w:r>
            <w:r>
              <w:rPr>
                <w:rStyle w:val="IndexLink"/>
              </w:rPr>
              <w:t>407</w:t>
            </w:r>
          </w:hyperlink>
        </w:p>
        <w:p>
          <w:pPr>
            <w:pStyle w:val="Contents6"/>
            <w:tabs>
              <w:tab w:val="clear" w:pos="7609"/>
              <w:tab w:val="right" w:pos="9026" w:leader="dot"/>
            </w:tabs>
            <w:rPr/>
          </w:pPr>
          <w:hyperlink w:anchor="__RefHeading___Toc1101250_1468164448">
            <w:r>
              <w:rPr>
                <w:webHidden/>
                <w:rStyle w:val="IndexLink"/>
                <w:rtl w:val="true"/>
              </w:rPr>
              <w:t>الجواب الثانی</w:t>
            </w:r>
            <w:r>
              <w:rPr>
                <w:rStyle w:val="IndexLink"/>
                <w:rtl w:val="true"/>
              </w:rPr>
              <w:t xml:space="preserve">: </w:t>
            </w:r>
            <w:r>
              <w:rPr>
                <w:rStyle w:val="IndexLink"/>
                <w:rtl w:val="true"/>
              </w:rPr>
              <w:t>الکلمة والآیة</w:t>
            </w:r>
            <w:r>
              <w:rPr>
                <w:rStyle w:val="IndexLink"/>
                <w:rtl w:val="true"/>
              </w:rPr>
              <w:t>:</w:t>
              <w:tab/>
            </w:r>
            <w:r>
              <w:rPr>
                <w:rStyle w:val="IndexLink"/>
              </w:rPr>
              <w:t>408</w:t>
            </w:r>
          </w:hyperlink>
        </w:p>
        <w:p>
          <w:pPr>
            <w:pStyle w:val="Contents6"/>
            <w:tabs>
              <w:tab w:val="clear" w:pos="7609"/>
              <w:tab w:val="right" w:pos="9026" w:leader="dot"/>
            </w:tabs>
            <w:rPr/>
          </w:pPr>
          <w:hyperlink w:anchor="__RefHeading___Toc1101252_1468164448">
            <w:r>
              <w:rPr>
                <w:webHidden/>
                <w:rStyle w:val="IndexLink"/>
                <w:rtl w:val="true"/>
              </w:rPr>
              <w:t>الکلمات التامّات</w:t>
            </w:r>
            <w:r>
              <w:rPr>
                <w:rStyle w:val="IndexLink"/>
                <w:rtl w:val="true"/>
              </w:rPr>
              <w:t>:</w:t>
              <w:tab/>
            </w:r>
            <w:r>
              <w:rPr>
                <w:rStyle w:val="IndexLink"/>
              </w:rPr>
              <w:t>415</w:t>
            </w:r>
          </w:hyperlink>
        </w:p>
        <w:p>
          <w:pPr>
            <w:pStyle w:val="Contents6"/>
            <w:tabs>
              <w:tab w:val="clear" w:pos="7609"/>
              <w:tab w:val="right" w:pos="9026" w:leader="dot"/>
            </w:tabs>
            <w:rPr/>
          </w:pPr>
          <w:hyperlink w:anchor="__RefHeading___Toc1101254_1468164448">
            <w:r>
              <w:rPr>
                <w:webHidden/>
                <w:rStyle w:val="IndexLink"/>
                <w:rtl w:val="true"/>
              </w:rPr>
              <w:t>الجواب الثالث</w:t>
            </w:r>
            <w:r>
              <w:rPr>
                <w:rStyle w:val="IndexLink"/>
                <w:rtl w:val="true"/>
              </w:rPr>
              <w:t xml:space="preserve">: </w:t>
            </w:r>
            <w:r>
              <w:rPr>
                <w:rStyle w:val="IndexLink"/>
                <w:rtl w:val="true"/>
              </w:rPr>
              <w:t>الآیات القرآنیة</w:t>
            </w:r>
            <w:r>
              <w:rPr>
                <w:rStyle w:val="IndexLink"/>
                <w:rtl w:val="true"/>
              </w:rPr>
              <w:t>:</w:t>
              <w:tab/>
            </w:r>
            <w:r>
              <w:rPr>
                <w:rStyle w:val="IndexLink"/>
              </w:rPr>
              <w:t>422</w:t>
            </w:r>
          </w:hyperlink>
        </w:p>
        <w:p>
          <w:pPr>
            <w:pStyle w:val="Contents6"/>
            <w:tabs>
              <w:tab w:val="clear" w:pos="7609"/>
              <w:tab w:val="right" w:pos="9026" w:leader="dot"/>
            </w:tabs>
            <w:rPr/>
          </w:pPr>
          <w:hyperlink w:anchor="__RefHeading___Toc1101256_1468164448">
            <w:r>
              <w:rPr>
                <w:webHidden/>
                <w:rStyle w:val="IndexLink"/>
                <w:rtl w:val="true"/>
              </w:rPr>
              <w:t>ولیست الأصنام إلّا الوسائل والوسائط المقترحة</w:t>
            </w:r>
            <w:r>
              <w:rPr>
                <w:rStyle w:val="IndexLink"/>
                <w:rtl w:val="true"/>
              </w:rPr>
              <w:t>:</w:t>
              <w:tab/>
            </w:r>
            <w:r>
              <w:rPr>
                <w:rStyle w:val="IndexLink"/>
              </w:rPr>
              <w:t>424</w:t>
            </w:r>
          </w:hyperlink>
        </w:p>
        <w:p>
          <w:pPr>
            <w:pStyle w:val="Contents5"/>
            <w:tabs>
              <w:tab w:val="clear" w:pos="7892"/>
              <w:tab w:val="right" w:pos="9026" w:leader="dot"/>
            </w:tabs>
            <w:rPr/>
          </w:pPr>
          <w:hyperlink w:anchor="__RefHeading___Toc1101258_1468164448">
            <w:r>
              <w:rPr>
                <w:webHidden/>
                <w:rStyle w:val="IndexLink"/>
                <w:rtl w:val="true"/>
              </w:rPr>
              <w:t>الشبهة الرابعة</w:t>
            </w:r>
            <w:r>
              <w:rPr>
                <w:rStyle w:val="IndexLink"/>
                <w:rtl w:val="true"/>
              </w:rPr>
              <w:t xml:space="preserve">: </w:t>
            </w:r>
            <w:r>
              <w:rPr>
                <w:rStyle w:val="IndexLink"/>
                <w:rtl w:val="true"/>
              </w:rPr>
              <w:t>الأعمال الصالحة هی الوسیلة</w:t>
            </w:r>
            <w:r>
              <w:rPr>
                <w:rStyle w:val="IndexLink"/>
                <w:rtl w:val="true"/>
              </w:rPr>
              <w:tab/>
            </w:r>
            <w:r>
              <w:rPr>
                <w:rStyle w:val="IndexLink"/>
              </w:rPr>
              <w:t>425</w:t>
            </w:r>
          </w:hyperlink>
        </w:p>
        <w:p>
          <w:pPr>
            <w:pStyle w:val="Contents6"/>
            <w:tabs>
              <w:tab w:val="clear" w:pos="7609"/>
              <w:tab w:val="right" w:pos="9026" w:leader="dot"/>
            </w:tabs>
            <w:rPr/>
          </w:pPr>
          <w:hyperlink w:anchor="__RefHeading___Toc1101260_1468164448">
            <w:r>
              <w:rPr>
                <w:webHidden/>
                <w:rStyle w:val="IndexLink"/>
                <w:rtl w:val="true"/>
              </w:rPr>
              <w:t>التوسّل والوسیلة حقیقة العقیدة بالنبوّة والرسالة</w:t>
            </w:r>
            <w:r>
              <w:rPr>
                <w:rStyle w:val="IndexLink"/>
                <w:rtl w:val="true"/>
              </w:rPr>
              <w:t>:</w:t>
              <w:tab/>
            </w:r>
            <w:r>
              <w:rPr>
                <w:rStyle w:val="IndexLink"/>
              </w:rPr>
              <w:t>425</w:t>
            </w:r>
          </w:hyperlink>
        </w:p>
        <w:p>
          <w:pPr>
            <w:pStyle w:val="Contents6"/>
            <w:tabs>
              <w:tab w:val="clear" w:pos="7609"/>
              <w:tab w:val="right" w:pos="9026" w:leader="dot"/>
            </w:tabs>
            <w:rPr/>
          </w:pPr>
          <w:hyperlink w:anchor="__RefHeading___Toc1101262_1468164448">
            <w:r>
              <w:rPr>
                <w:webHidden/>
                <w:rStyle w:val="IndexLink"/>
                <w:rtl w:val="true"/>
              </w:rPr>
              <w:t>الجواب عن الشبهة الرابعة</w:t>
            </w:r>
            <w:r>
              <w:rPr>
                <w:rStyle w:val="IndexLink"/>
                <w:rtl w:val="true"/>
              </w:rPr>
              <w:t>:</w:t>
              <w:tab/>
            </w:r>
            <w:r>
              <w:rPr>
                <w:rStyle w:val="IndexLink"/>
              </w:rPr>
              <w:t>425</w:t>
            </w:r>
          </w:hyperlink>
        </w:p>
        <w:p>
          <w:pPr>
            <w:pStyle w:val="Contents6"/>
            <w:tabs>
              <w:tab w:val="clear" w:pos="7609"/>
              <w:tab w:val="right" w:pos="9026" w:leader="dot"/>
            </w:tabs>
            <w:rPr/>
          </w:pPr>
          <w:hyperlink w:anchor="__RefHeading___Toc1101264_1468164448">
            <w:r>
              <w:rPr>
                <w:webHidden/>
                <w:rStyle w:val="IndexLink"/>
                <w:rtl w:val="true"/>
              </w:rPr>
              <w:t>النقطة الأولی</w:t>
            </w:r>
            <w:r>
              <w:rPr>
                <w:rStyle w:val="IndexLink"/>
                <w:rtl w:val="true"/>
              </w:rPr>
              <w:t xml:space="preserve">: </w:t>
            </w:r>
            <w:r>
              <w:rPr>
                <w:rStyle w:val="IndexLink"/>
                <w:rtl w:val="true"/>
              </w:rPr>
              <w:t>ما هو المراد من الوسیلة؟</w:t>
            </w:r>
            <w:r>
              <w:rPr>
                <w:rStyle w:val="IndexLink"/>
                <w:rtl w:val="true"/>
              </w:rPr>
              <w:tab/>
            </w:r>
            <w:r>
              <w:rPr>
                <w:rStyle w:val="IndexLink"/>
              </w:rPr>
              <w:t>426</w:t>
            </w:r>
          </w:hyperlink>
        </w:p>
        <w:p>
          <w:pPr>
            <w:pStyle w:val="Contents6"/>
            <w:tabs>
              <w:tab w:val="clear" w:pos="7609"/>
              <w:tab w:val="right" w:pos="9026" w:leader="dot"/>
            </w:tabs>
            <w:rPr/>
          </w:pPr>
          <w:hyperlink w:anchor="__RefHeading___Toc1101266_1468164448">
            <w:r>
              <w:rPr>
                <w:webHidden/>
                <w:rStyle w:val="IndexLink"/>
                <w:rtl w:val="true"/>
              </w:rPr>
              <w:t>النقطة الثانیة</w:t>
            </w:r>
            <w:r>
              <w:rPr>
                <w:rStyle w:val="IndexLink"/>
                <w:rtl w:val="true"/>
              </w:rPr>
              <w:t xml:space="preserve">: </w:t>
            </w:r>
            <w:r>
              <w:rPr>
                <w:rStyle w:val="IndexLink"/>
                <w:rtl w:val="true"/>
              </w:rPr>
              <w:t>الرابطة بین الشفاعة والتوسّل</w:t>
            </w:r>
            <w:r>
              <w:rPr>
                <w:rStyle w:val="IndexLink"/>
                <w:rtl w:val="true"/>
              </w:rPr>
              <w:t>:</w:t>
              <w:tab/>
            </w:r>
            <w:r>
              <w:rPr>
                <w:rStyle w:val="IndexLink"/>
              </w:rPr>
              <w:t>429</w:t>
            </w:r>
          </w:hyperlink>
        </w:p>
        <w:p>
          <w:pPr>
            <w:pStyle w:val="Contents6"/>
            <w:tabs>
              <w:tab w:val="clear" w:pos="7609"/>
              <w:tab w:val="right" w:pos="9026" w:leader="dot"/>
            </w:tabs>
            <w:rPr/>
          </w:pPr>
          <w:hyperlink w:anchor="__RefHeading___Toc1101268_1468164448">
            <w:r>
              <w:rPr>
                <w:webHidden/>
                <w:rStyle w:val="IndexLink"/>
                <w:rtl w:val="true"/>
              </w:rPr>
              <w:t>النقطة الثالثة</w:t>
            </w:r>
            <w:r>
              <w:rPr>
                <w:rStyle w:val="IndexLink"/>
                <w:rtl w:val="true"/>
              </w:rPr>
              <w:t xml:space="preserve">: </w:t>
            </w:r>
            <w:r>
              <w:rPr>
                <w:rStyle w:val="IndexLink"/>
                <w:rtl w:val="true"/>
              </w:rPr>
              <w:t>عموم تشریع الشفاعة</w:t>
            </w:r>
            <w:r>
              <w:rPr>
                <w:rStyle w:val="IndexLink"/>
                <w:rtl w:val="true"/>
              </w:rPr>
              <w:t>:</w:t>
              <w:tab/>
            </w:r>
            <w:r>
              <w:rPr>
                <w:rStyle w:val="IndexLink"/>
              </w:rPr>
              <w:t>431</w:t>
            </w:r>
          </w:hyperlink>
        </w:p>
        <w:p>
          <w:pPr>
            <w:pStyle w:val="Contents5"/>
            <w:tabs>
              <w:tab w:val="clear" w:pos="7892"/>
              <w:tab w:val="right" w:pos="9026" w:leader="dot"/>
            </w:tabs>
            <w:rPr/>
          </w:pPr>
          <w:hyperlink w:anchor="__RefHeading___Toc1101270_1468164448">
            <w:r>
              <w:rPr>
                <w:webHidden/>
                <w:rStyle w:val="IndexLink"/>
                <w:rtl w:val="true"/>
              </w:rPr>
              <w:t>الشبهة الخامسة</w:t>
            </w:r>
            <w:r>
              <w:rPr>
                <w:rStyle w:val="IndexLink"/>
                <w:rtl w:val="true"/>
              </w:rPr>
              <w:t xml:space="preserve">: </w:t>
            </w:r>
            <w:r>
              <w:rPr>
                <w:rStyle w:val="IndexLink"/>
                <w:rtl w:val="true"/>
              </w:rPr>
              <w:t>التوحید الإبراهیمیّ یأبی التوسّل بغیر الله</w:t>
            </w:r>
            <w:r>
              <w:rPr>
                <w:rStyle w:val="IndexLink"/>
                <w:rtl w:val="true"/>
              </w:rPr>
              <w:t>:</w:t>
              <w:tab/>
            </w:r>
            <w:r>
              <w:rPr>
                <w:rStyle w:val="IndexLink"/>
              </w:rPr>
              <w:t>437</w:t>
            </w:r>
          </w:hyperlink>
        </w:p>
        <w:p>
          <w:pPr>
            <w:pStyle w:val="Contents6"/>
            <w:tabs>
              <w:tab w:val="clear" w:pos="7609"/>
              <w:tab w:val="right" w:pos="9026" w:leader="dot"/>
            </w:tabs>
            <w:rPr/>
          </w:pPr>
          <w:hyperlink w:anchor="__RefHeading___Toc1101272_1468164448">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1101274_1468164448">
            <w:r>
              <w:rPr>
                <w:webHidden/>
                <w:rStyle w:val="IndexLink"/>
                <w:rtl w:val="true"/>
              </w:rPr>
              <w:t>الجواب عن الشبهة الخامسة</w:t>
            </w:r>
            <w:r>
              <w:rPr>
                <w:rStyle w:val="IndexLink"/>
                <w:rtl w:val="true"/>
              </w:rPr>
              <w:t>:</w:t>
              <w:tab/>
            </w:r>
            <w:r>
              <w:rPr>
                <w:rStyle w:val="IndexLink"/>
              </w:rPr>
              <w:t>438</w:t>
            </w:r>
          </w:hyperlink>
        </w:p>
        <w:p>
          <w:pPr>
            <w:pStyle w:val="Contents6"/>
            <w:tabs>
              <w:tab w:val="clear" w:pos="7609"/>
              <w:tab w:val="right" w:pos="9026" w:leader="dot"/>
            </w:tabs>
            <w:rPr/>
          </w:pPr>
          <w:hyperlink w:anchor="__RefHeading___Toc1101276_1468164448">
            <w:r>
              <w:rPr>
                <w:webHidden/>
                <w:rStyle w:val="IndexLink"/>
                <w:rtl w:val="true"/>
              </w:rPr>
              <w:t>الردّ الثالث</w:t>
            </w:r>
            <w:r>
              <w:rPr>
                <w:rStyle w:val="IndexLink"/>
                <w:rtl w:val="true"/>
              </w:rPr>
              <w:t xml:space="preserve">: </w:t>
            </w:r>
            <w:r>
              <w:rPr>
                <w:rStyle w:val="IndexLink"/>
                <w:rtl w:val="true"/>
              </w:rPr>
              <w:t>أنه ینقض علیهم بموارد</w:t>
            </w:r>
            <w:r>
              <w:rPr>
                <w:rStyle w:val="IndexLink"/>
                <w:rtl w:val="true"/>
              </w:rPr>
              <w:t>:</w:t>
              <w:tab/>
            </w:r>
            <w:r>
              <w:rPr>
                <w:rStyle w:val="IndexLink"/>
              </w:rPr>
              <w:t>440</w:t>
            </w:r>
          </w:hyperlink>
        </w:p>
        <w:p>
          <w:pPr>
            <w:pStyle w:val="Contents5"/>
            <w:tabs>
              <w:tab w:val="clear" w:pos="7892"/>
              <w:tab w:val="right" w:pos="9026" w:leader="dot"/>
            </w:tabs>
            <w:rPr/>
          </w:pPr>
          <w:hyperlink w:anchor="__RefHeading___Toc1101278_1468164448">
            <w:r>
              <w:rPr>
                <w:webHidden/>
                <w:rStyle w:val="IndexLink"/>
                <w:rtl w:val="true"/>
              </w:rPr>
              <w:t>الشبهة السادسة</w:t>
            </w:r>
            <w:r>
              <w:rPr>
                <w:rStyle w:val="IndexLink"/>
                <w:rtl w:val="true"/>
              </w:rPr>
              <w:t xml:space="preserve">: </w:t>
            </w:r>
            <w:r>
              <w:rPr>
                <w:rStyle w:val="IndexLink"/>
                <w:rtl w:val="true"/>
              </w:rPr>
              <w:t>التوسّل یعنی التفویض وعجز الله تعالی</w:t>
            </w:r>
            <w:r>
              <w:rPr>
                <w:rStyle w:val="IndexLink"/>
                <w:rtl w:val="true"/>
              </w:rPr>
              <w:t>:</w:t>
              <w:tab/>
            </w:r>
            <w:r>
              <w:rPr>
                <w:rStyle w:val="IndexLink"/>
              </w:rPr>
              <w:t>441</w:t>
            </w:r>
          </w:hyperlink>
        </w:p>
        <w:p>
          <w:pPr>
            <w:pStyle w:val="Contents6"/>
            <w:tabs>
              <w:tab w:val="clear" w:pos="7609"/>
              <w:tab w:val="right" w:pos="9026" w:leader="dot"/>
            </w:tabs>
            <w:rPr/>
          </w:pPr>
          <w:hyperlink w:anchor="__RefHeading___Toc1101280_1468164448">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1101282_1468164448">
            <w:r>
              <w:rPr>
                <w:webHidden/>
                <w:rStyle w:val="IndexLink"/>
                <w:rtl w:val="true"/>
              </w:rPr>
              <w:t>فی مقام ردّ هذه الشبهة نجیب بعدّة أجوبة</w:t>
            </w:r>
            <w:r>
              <w:rPr>
                <w:rStyle w:val="IndexLink"/>
                <w:rtl w:val="true"/>
              </w:rPr>
              <w:t>:</w:t>
              <w:tab/>
            </w:r>
            <w:r>
              <w:rPr>
                <w:rStyle w:val="IndexLink"/>
              </w:rPr>
              <w:t>441</w:t>
            </w:r>
          </w:hyperlink>
        </w:p>
        <w:p>
          <w:pPr>
            <w:pStyle w:val="Contents6"/>
            <w:tabs>
              <w:tab w:val="clear" w:pos="7609"/>
              <w:tab w:val="right" w:pos="9026" w:leader="dot"/>
            </w:tabs>
            <w:rPr/>
          </w:pPr>
          <w:hyperlink w:anchor="__RefHeading___Toc1101284_1468164448">
            <w:r>
              <w:rPr>
                <w:webHidden/>
                <w:rStyle w:val="IndexLink"/>
                <w:rtl w:val="true"/>
              </w:rPr>
              <w:t>الجاحدین للتوسّل بنوا جحودهم علی التفویض الأکبر</w:t>
            </w:r>
            <w:r>
              <w:rPr>
                <w:rStyle w:val="IndexLink"/>
                <w:rtl w:val="true"/>
              </w:rPr>
              <w:t>:</w:t>
              <w:tab/>
            </w:r>
            <w:r>
              <w:rPr>
                <w:rStyle w:val="IndexLink"/>
              </w:rPr>
              <w:t>443</w:t>
            </w:r>
          </w:hyperlink>
        </w:p>
        <w:p>
          <w:pPr>
            <w:pStyle w:val="Contents6"/>
            <w:tabs>
              <w:tab w:val="clear" w:pos="7609"/>
              <w:tab w:val="right" w:pos="9026" w:leader="dot"/>
            </w:tabs>
            <w:rPr/>
          </w:pPr>
          <w:hyperlink w:anchor="__RefHeading___Toc1101286_1468164448">
            <w:r>
              <w:rPr>
                <w:webHidden/>
                <w:rStyle w:val="IndexLink"/>
                <w:rtl w:val="true"/>
              </w:rPr>
              <w:t>الجواب عن الشبهة السابعة</w:t>
            </w:r>
            <w:r>
              <w:rPr>
                <w:rStyle w:val="IndexLink"/>
                <w:rtl w:val="true"/>
              </w:rPr>
              <w:t>:</w:t>
              <w:tab/>
            </w:r>
            <w:r>
              <w:rPr>
                <w:rStyle w:val="IndexLink"/>
              </w:rPr>
              <w:t>446</w:t>
            </w:r>
          </w:hyperlink>
        </w:p>
        <w:p>
          <w:pPr>
            <w:pStyle w:val="Contents6"/>
            <w:tabs>
              <w:tab w:val="clear" w:pos="7609"/>
              <w:tab w:val="right" w:pos="9026" w:leader="dot"/>
            </w:tabs>
            <w:rPr/>
          </w:pPr>
          <w:hyperlink w:anchor="__RefHeading___Toc1101288_1468164448">
            <w:r>
              <w:rPr>
                <w:webHidden/>
                <w:rStyle w:val="IndexLink"/>
                <w:rtl w:val="true"/>
              </w:rPr>
              <w:t>سبب جحود التوسّل القصور</w:t>
            </w:r>
            <w:r>
              <w:rPr>
                <w:rStyle w:val="IndexLink"/>
                <w:rtl w:val="true"/>
              </w:rPr>
              <w:tab/>
            </w:r>
            <w:r>
              <w:rPr>
                <w:rStyle w:val="IndexLink"/>
              </w:rPr>
              <w:t>448</w:t>
            </w:r>
          </w:hyperlink>
        </w:p>
        <w:p>
          <w:pPr>
            <w:pStyle w:val="Contents6"/>
            <w:tabs>
              <w:tab w:val="clear" w:pos="7609"/>
              <w:tab w:val="right" w:pos="9026" w:leader="dot"/>
            </w:tabs>
            <w:rPr/>
          </w:pPr>
          <w:hyperlink w:anchor="__RefHeading___Toc1101290_1468164448">
            <w:r>
              <w:rPr>
                <w:webHidden/>
                <w:rStyle w:val="IndexLink"/>
                <w:rtl w:val="true"/>
              </w:rPr>
              <w:t>فی معرفة کنه ذوات المسبّبات والأسباب</w:t>
            </w:r>
            <w:r>
              <w:rPr>
                <w:rStyle w:val="IndexLink"/>
                <w:rtl w:val="true"/>
              </w:rPr>
              <w:t>:</w:t>
              <w:tab/>
            </w:r>
            <w:r>
              <w:rPr>
                <w:rStyle w:val="IndexLink"/>
              </w:rPr>
              <w:t>448</w:t>
            </w:r>
          </w:hyperlink>
        </w:p>
        <w:p>
          <w:pPr>
            <w:pStyle w:val="Contents6"/>
            <w:tabs>
              <w:tab w:val="clear" w:pos="7609"/>
              <w:tab w:val="right" w:pos="9026" w:leader="dot"/>
            </w:tabs>
            <w:rPr/>
          </w:pPr>
          <w:hyperlink w:anchor="__RefHeading___Toc1101292_1468164448">
            <w:r>
              <w:rPr>
                <w:webHidden/>
                <w:rStyle w:val="IndexLink"/>
                <w:rtl w:val="true"/>
              </w:rPr>
              <w:t>الاسناد الثالث</w:t>
            </w:r>
            <w:r>
              <w:rPr>
                <w:rStyle w:val="IndexLink"/>
                <w:rtl w:val="true"/>
              </w:rPr>
              <w:t xml:space="preserve">: </w:t>
            </w:r>
            <w:r>
              <w:rPr>
                <w:rStyle w:val="IndexLink"/>
                <w:rtl w:val="true"/>
              </w:rPr>
              <w:t>إسناد التوفّی إلی ملک الموت</w:t>
            </w:r>
            <w:r>
              <w:rPr>
                <w:rStyle w:val="IndexLink"/>
                <w:rtl w:val="true"/>
              </w:rPr>
              <w:t>:</w:t>
              <w:tab/>
            </w:r>
            <w:r>
              <w:rPr>
                <w:rStyle w:val="IndexLink"/>
              </w:rPr>
              <w:t>451</w:t>
            </w:r>
          </w:hyperlink>
        </w:p>
        <w:p>
          <w:pPr>
            <w:pStyle w:val="Contents6"/>
            <w:tabs>
              <w:tab w:val="clear" w:pos="7609"/>
              <w:tab w:val="right" w:pos="9026" w:leader="dot"/>
            </w:tabs>
            <w:rPr/>
          </w:pPr>
          <w:hyperlink w:anchor="__RefHeading___Toc1101294_1468164448">
            <w:r>
              <w:rPr>
                <w:webHidden/>
                <w:rStyle w:val="IndexLink"/>
                <w:rtl w:val="true"/>
              </w:rPr>
              <w:t>خلاصة البحث</w:t>
            </w:r>
            <w:r>
              <w:rPr>
                <w:rStyle w:val="IndexLink"/>
                <w:rtl w:val="true"/>
              </w:rPr>
              <w:t>:</w:t>
              <w:tab/>
            </w:r>
            <w:r>
              <w:rPr>
                <w:rStyle w:val="IndexLink"/>
              </w:rPr>
              <w:t>469</w:t>
            </w:r>
          </w:hyperlink>
        </w:p>
        <w:p>
          <w:pPr>
            <w:pStyle w:val="Contents2"/>
            <w:tabs>
              <w:tab w:val="clear" w:pos="8743"/>
              <w:tab w:val="right" w:pos="9026" w:leader="dot"/>
            </w:tabs>
            <w:rPr/>
          </w:pPr>
          <w:hyperlink w:anchor="__RefHeading___Toc1101296_1468164448">
            <w:r>
              <w:rPr>
                <w:webHidden/>
                <w:rStyle w:val="IndexLink"/>
                <w:rtl w:val="true"/>
              </w:rPr>
              <w:t>فهرس الموضوعات</w:t>
            </w:r>
            <w:r>
              <w:rPr>
                <w:rStyle w:val="IndexLink"/>
                <w:rtl w:val="true"/>
              </w:rPr>
              <w:tab/>
            </w:r>
            <w:r>
              <w:rPr>
                <w:rStyle w:val="IndexLink"/>
              </w:rPr>
              <w:t>471</w:t>
            </w:r>
          </w:hyperlink>
        </w:p>
        <w:p>
          <w:pPr>
            <w:pStyle w:val="Contents2"/>
            <w:tabs>
              <w:tab w:val="clear" w:pos="8743"/>
              <w:tab w:val="right" w:pos="9026" w:leader="dot"/>
            </w:tabs>
            <w:rPr/>
          </w:pPr>
          <w:hyperlink w:anchor="__RefHeading___Toc1101298_1468164448">
            <w:r>
              <w:rPr>
                <w:webHidden/>
                <w:rStyle w:val="IndexLink"/>
                <w:rtl w:val="true"/>
              </w:rPr>
              <w:t>فهرست إجمالی لکتاب بحوث فی القواعد الفقهیة فی أجزائه الخمسة</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03_133507"/>
      <w:bookmarkStart w:id="1" w:name="pg13703_133507"/>
      <w:bookmarkEnd w:id="1"/>
    </w:p>
    <w:p>
      <w:pPr>
        <w:pStyle w:val="Heading2"/>
        <w:numPr>
          <w:ilvl w:val="1"/>
          <w:numId w:val="1"/>
        </w:numPr>
        <w:rPr/>
      </w:pPr>
      <w:bookmarkStart w:id="2" w:name="pg13703_133507"/>
      <w:bookmarkStart w:id="3" w:name="__RefHeading___Toc1100930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فی‌القواعد‌الفقهیه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محمدالسند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مشتاق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محکمات‌الثقلین؛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صادق،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چهارم،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 اساس تقریرات محمد السند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 *Formulae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ساعدی، مشتاق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۴۸۰۳۲۹۰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0932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بحوث فی‌القواعد‌الفقهیه المجلد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تقریرات محمدالسند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مشتاق الساعدی</w:t>
      </w:r>
      <w:bookmarkStart w:id="7" w:name="pg13703_133509"/>
    </w:p>
    <w:p>
      <w:pPr>
        <w:pStyle w:val="Heading2"/>
        <w:numPr>
          <w:ilvl w:val="1"/>
          <w:numId w:val="1"/>
        </w:numPr>
        <w:rPr/>
      </w:pPr>
      <w:bookmarkStart w:id="8" w:name="__RefHeading___Toc1100934_1468164448"/>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فِی القواعد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تقریرا لأبحاث المرجع الدینی المحقق الشَّیْخ مُحمَّد السَّنَد</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مشتاق الساعدی</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p>
    <w:p>
      <w:pPr>
        <w:pStyle w:val="BookText"/>
        <w:rPr/>
      </w:pPr>
      <w:r>
        <w:rPr>
          <w:rFonts w:ascii="IRNazanin" w:hAnsi="IRNazanin" w:eastAsia="IRNazanin"/>
          <w:color w:val="111111"/>
          <w:sz w:val="28"/>
          <w:sz w:val="28"/>
          <w:szCs w:val="28"/>
          <w:rtl w:val="true"/>
          <w:lang w:bidi="fa-IR"/>
        </w:rPr>
        <w:t>عدد صفحات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عبدالله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w:t>
      </w:r>
      <w:bookmarkStart w:id="10" w:name="pg13703_133511"/>
    </w:p>
    <w:p>
      <w:pPr>
        <w:pStyle w:val="Heading2"/>
        <w:numPr>
          <w:ilvl w:val="1"/>
          <w:numId w:val="1"/>
        </w:numPr>
        <w:rPr/>
      </w:pPr>
      <w:bookmarkStart w:id="11" w:name="__RefHeading___Toc1100936_1468164448"/>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الخلق اجمعین محمد النبی الامین واله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یدی القارئ العزیز نطرح الجزء الخامس من 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نتاج استاذنا المحقق سماحة المرجع الدینی الشیخ محمد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هذا الجزء متمما للاجزاء الاربعة الماضیة التی بحث فیها مجموعة من القواعد الفقهیة فی ابحاث الخارج الفقهیة والاصولیة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الی فوائد لها صلة بتلک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هذا الجزء حاویا لقواعد متنوعة اکثرها من باب القصاص والقضاء بالاضافة لقواعد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وقواعد هذا الجزء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لا یبطل دم امرئ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هدر دم من هتک او اعتدی علی غیره دفعا او عقوبة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اللوث والتهمة واثارها القانونیة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جواز التحری والفحص من قبل القاضی للمتهم باللوث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قضائیة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الدعاوی لتعدد المتنازعین عرضا وطولا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باب الجنایات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الأسبق زمنا فی حق الجنایة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باب الجنایات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یجنی الجانی علی اکثر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حق جنایة العضو علی حق قصاص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هدر دم المعتدی لا یحسب قصاصا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القصاص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المثلیة فی الاطراف والاعضاء والجروح لوحدة العنوان او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سقوط 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غایة 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قصاص الاطراف وانها لمجرد ابانة العضو او للشین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تبعیض القصاص فی الاطراف والجراحات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الدیة فی طول القصاص استیفاء وفی عرضه موضوعا وموجبا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باب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إجزاء الاضطراری بَعْض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فقه العقیدة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 عبادة 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تقریر فضیلة الاخ الشیخ محمد عیسی ال مکباس دام توفیقه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الفقه الاجتماعی والسیاسی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التعایش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p>
    <w:p>
      <w:pPr>
        <w:pStyle w:val="BookText"/>
        <w:rPr/>
      </w:pPr>
      <w:r>
        <w:rPr>
          <w:rFonts w:ascii="IRNazanin" w:hAnsi="IRNazanin" w:eastAsia="IRNazanin"/>
          <w:color w:val="111111"/>
          <w:sz w:val="28"/>
          <w:sz w:val="28"/>
          <w:szCs w:val="28"/>
          <w:rtl w:val="true"/>
          <w:lang w:bidi="fa-IR"/>
        </w:rPr>
        <w:t>بین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تقریر فضیلة الاخ الشیخ علی حمود العبادی دام توفیقه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الولایة فی صحة التوبة والعبادات وقبولها ونیة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تقریر فضیلة الاخ الشیخ قیصر التمیمی دام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القواعد التی بحثها سماحة الشیخ الاستاذ دام ظله فی هذا الجزء راجیا من الله تعالی ان یمد بعمره الشریف لخدمة الاسلام والمسلمین انه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الفراغ منه فی جوار مولی الموحدین</w:t>
      </w:r>
    </w:p>
    <w:p>
      <w:pPr>
        <w:pStyle w:val="BookText"/>
        <w:rPr/>
      </w:pPr>
      <w:r>
        <w:rPr>
          <w:rFonts w:ascii="IRNazanin" w:hAnsi="IRNazanin" w:eastAsia="IRNazanin"/>
          <w:color w:val="111111"/>
          <w:sz w:val="28"/>
          <w:sz w:val="28"/>
          <w:szCs w:val="28"/>
          <w:rtl w:val="true"/>
          <w:lang w:bidi="fa-IR"/>
        </w:rPr>
        <w:t xml:space="preserve">وسید الوصیین علیه السلام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القعدة </w:t>
      </w:r>
      <w:r>
        <w:rPr>
          <w:rFonts w:eastAsia="IRNazanin" w:cs="IRNazanin"/>
          <w:color w:val="111111"/>
          <w:sz w:val="28"/>
          <w:szCs w:val="28"/>
          <w:lang w:bidi="fa-IR"/>
        </w:rPr>
        <w:t>1437</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مشتاق الساعدی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امرئ مسلم</w:t>
      </w:r>
      <w:bookmarkStart w:id="13" w:name="pg13703_133517"/>
    </w:p>
    <w:p>
      <w:pPr>
        <w:pStyle w:val="Heading2"/>
        <w:numPr>
          <w:ilvl w:val="1"/>
          <w:numId w:val="1"/>
        </w:numPr>
        <w:rPr/>
      </w:pPr>
      <w:bookmarkStart w:id="14" w:name="__RefHeading___Toc1100938_1468164448"/>
      <w:bookmarkStart w:id="15" w:name="_Toc5"/>
      <w:bookmarkEnd w:id="13"/>
      <w:bookmarkEnd w:id="14"/>
      <w:r>
        <w:rPr>
          <w:rtl w:val="true"/>
        </w:rPr>
        <w:t>القاعدة الاولی</w:t>
      </w:r>
      <w:r>
        <w:rPr>
          <w:rtl w:val="true"/>
        </w:rPr>
        <w:t xml:space="preserve">: </w:t>
      </w:r>
      <w:r>
        <w:rPr>
          <w:rtl w:val="true"/>
        </w:rPr>
        <w:t xml:space="preserve">لا یطل أو </w:t>
      </w:r>
      <w:r>
        <w:rPr>
          <w:rtl w:val="true"/>
        </w:rPr>
        <w:t>(</w:t>
      </w:r>
      <w:r>
        <w:rPr>
          <w:rtl w:val="true"/>
        </w:rPr>
        <w:t>لا یبطل</w:t>
      </w:r>
      <w:r>
        <w:rPr>
          <w:rtl w:val="true"/>
        </w:rPr>
        <w:t xml:space="preserve">) </w:t>
      </w:r>
      <w:r>
        <w:rPr>
          <w:rtl w:val="true"/>
        </w:rPr>
        <w:t xml:space="preserve">دم امرئ مسلم أو </w:t>
      </w:r>
      <w:r>
        <w:rPr>
          <w:rtl w:val="true"/>
        </w:rPr>
        <w:t>(</w:t>
      </w:r>
      <w:r>
        <w:rPr>
          <w:rtl w:val="true"/>
        </w:rPr>
        <w:t>کل مقتول غیر عدوانی تضمن دیتة من بیت المال</w:t>
      </w:r>
      <w:r>
        <w:rPr>
          <w:rtl w:val="true"/>
        </w:rPr>
        <w:t>)</w:t>
      </w:r>
      <w:bookmarkEnd w:id="15"/>
    </w:p>
    <w:p>
      <w:pPr>
        <w:pStyle w:val="Heading3"/>
        <w:numPr>
          <w:ilvl w:val="2"/>
          <w:numId w:val="1"/>
        </w:numPr>
        <w:rPr/>
      </w:pPr>
      <w:bookmarkStart w:id="16" w:name="__RefHeading___Toc1100940_1468164448"/>
      <w:bookmarkStart w:id="17" w:name="_Toc6"/>
      <w:bookmarkEnd w:id="16"/>
      <w:r>
        <w:rPr>
          <w:rtl w:val="true"/>
        </w:rPr>
        <w:t>محل القاعدة</w:t>
      </w:r>
      <w:r>
        <w:rPr>
          <w:rtl w:val="true"/>
        </w:rPr>
        <w:t>:</w:t>
      </w:r>
      <w:bookmarkEnd w:id="17"/>
    </w:p>
    <w:p>
      <w:pPr>
        <w:pStyle w:val="BookText"/>
        <w:rPr/>
      </w:pPr>
      <w:r>
        <w:rPr>
          <w:rFonts w:ascii="IRNazanin" w:hAnsi="IRNazanin" w:eastAsia="IRNazanin"/>
          <w:color w:val="111111"/>
          <w:sz w:val="28"/>
          <w:sz w:val="28"/>
          <w:szCs w:val="28"/>
          <w:rtl w:val="true"/>
          <w:lang w:bidi="fa-IR"/>
        </w:rPr>
        <w:t>مورد القاعدة فیما اذا استند القتل الی انسان قاتل ولکن اما عدوانی لم یعثر علیه او کان القاتل معذورا کالمدافع مع قصور المقتول او المقتول بحکم القاضی المعذور ومن ثم فما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الهدر انما استند القتل الی غیر انسان قاتل وسیاتی ذکر جملة روایات دالة علی تحدید موضوع القاعدة</w:t>
      </w:r>
      <w:r>
        <w:rPr>
          <w:rFonts w:eastAsia="IRNazanin" w:cs="IRNazanin"/>
          <w:color w:val="111111"/>
          <w:sz w:val="28"/>
          <w:szCs w:val="28"/>
          <w:rtl w:val="true"/>
          <w:lang w:bidi="fa-IR"/>
        </w:rPr>
        <w:t>.</w:t>
      </w:r>
    </w:p>
    <w:p>
      <w:pPr>
        <w:pStyle w:val="Heading3"/>
        <w:numPr>
          <w:ilvl w:val="2"/>
          <w:numId w:val="1"/>
        </w:numPr>
        <w:rPr/>
      </w:pPr>
      <w:bookmarkStart w:id="18" w:name="__RefHeading___Toc1100942_1468164448"/>
      <w:bookmarkStart w:id="19" w:name="_Toc7"/>
      <w:bookmarkEnd w:id="18"/>
      <w:r>
        <w:rPr>
          <w:rtl w:val="true"/>
        </w:rPr>
        <w:t>تحریر المسالة</w:t>
      </w:r>
      <w:r>
        <w:rPr>
          <w:rtl w:val="true"/>
        </w:rPr>
        <w:t>:</w:t>
      </w:r>
      <w:bookmarkEnd w:id="19"/>
    </w:p>
    <w:p>
      <w:pPr>
        <w:pStyle w:val="BookText"/>
        <w:rPr/>
      </w:pPr>
      <w:r>
        <w:rPr>
          <w:rFonts w:ascii="IRNazanin" w:hAnsi="IRNazanin" w:eastAsia="IRNazanin"/>
          <w:color w:val="111111"/>
          <w:sz w:val="28"/>
          <w:sz w:val="28"/>
          <w:szCs w:val="28"/>
          <w:rtl w:val="true"/>
          <w:lang w:bidi="fa-IR"/>
        </w:rPr>
        <w:t>ان دیة المجنون المقتول مدافعة من القاتل یمکن تقریر ثبوتها بعدة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ابی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قَتَلَ رَجُلًا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کَانَ الْمَجْنُونُ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عَنْ نَفْسِهِ فَلَا شَیْ‌ءَ عَلَیْهِ مِنْ قَوَدٍ وَلَا 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وَیُعْطَی وَرَثَتُهُ دِیَتَهُ مِنْ بَیْتِ مَالِ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وَإِنْ کَانَ قَتَلَهُ مِنْ غَیْرِ أَنْ یَکُونَ الْمَجْنُونُ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قَوَدَ لِمَنْ لَا یُقَادُ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وَأَرَی أَنَّ عَلَی قَاتِلِهِ الدِّیَةَ فِیمَالِهِ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یَدْفَعُهَا إِلَی وَرَثَةِ الْمَجْنُونِ وَیَسْتَغْفِرُ الله وَیَتُوبُ إِلَیْهِ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الروایة الصحیحة الی ابی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أَوْ أَبِی</w:t>
      </w:r>
    </w:p>
    <w:p>
      <w:pPr>
        <w:pStyle w:val="BookText"/>
        <w:rPr/>
      </w:pPr>
      <w:r>
        <w:rPr>
          <w:rFonts w:ascii="Amiri" w:hAnsi="Amiri" w:eastAsia="Amiri" w:cs="Amiri"/>
          <w:color w:val="111111"/>
          <w:sz w:val="28"/>
          <w:sz w:val="28"/>
          <w:szCs w:val="28"/>
          <w:rtl w:val="true"/>
          <w:lang w:bidi="ar-SA"/>
        </w:rPr>
        <w:t xml:space="preserve">جَعْفَرٍ علیهما السلام أَصْلَحَکَ الله رَجُلٌ حَمَلَ عَلَیْهِ رَجُلٌ مَجْنُونٌ فَضَرَبَهُ الْمَجْنُونُ ضَرْبَةً فَتَنَاوَلَ الرَّجُلُ السَّیْفَ مِنَ الْمَجْنُونِ فَضَرَبَهُ فَقَتَلَهُ فَقَالَ أَرَی أَنْ لَا یُقْتَلَ بِهِ وَلَا یُغْرَمَ دِیَتَهُ وَتَکُونُ دِیَتُهُ عَلَی الْإِمَامِ وَلَا یَبْطُلُ دَمُهُ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امرئ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روایة بُرَیْدِ بْنِ مُعَاوِیَةَ الْعِجْلِیِّ قَالَ سُئِلَ أَبُو جَعْفَرٍ علیه السلام عَنْ رَجُلٍ قَتَلَ رَجُلًا عَمْداً فَلَمْ یُقَمْ عَلَیْهِ الْحَدُّ وَلَمْ تَصِحَّ الشَّهَادَةُ حَتَّی خُولِطَ وَذَهَبَ عَقْلُهُ ثُمَّ إِنَّ قَوْماً آخَرِینَ شَهِدُوا عَلَیْهِ بَعْدَ مَا خُولِطَ أَنَّهُ قَتَلَهُ فَقَالَ إِنْ شَهِدُوا عَلَیْهِ أَنَّهُ قَتَلَ حِینَ قَتَلَ وَهُوَ صَحِیحٌ لَیْسَ بِهِ عِلَّةٌ مِنْ فَسَادِ عَقْلٍ قُتِلَ بِهِ وَإِنْ لَمْ یَشْهَدُوا عَلَیْهِ بِذَلِکَ وَکَانَ لَهُ مَالٌ یُعْرَفُ دُفِعَ إِلَی وَرَثَةِ الْمَقْتُولِ الدِّیَةُ مِنْ مَالِ الْقَاتِلِ وَإِنْ لَمْ یَتْرُکْ مَالًا أُعْطِیَ الدِّیَةُ مِنْ بَیْتِ الْمَالِ وَلَا یُطَلُّ دَمُ امْرِئٍ مُسْلِمٍ‌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الضمان باللوث مع احتمال عدم ضمان المتهم لیس الا حیطة علی حرمة دم المسلم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ابی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ادَّعَی الرَّجُلُ عَلَی الْقَوْمِ أَنَّهُمْ قَتَلُوا کَانَتِ الْیَمِینُ لِمُدَّعِی الدَّمِ قَبْلَ الْمُدَّعَی عَلَیْهِمْ فَعَلَی الْمُدَّعِی أَنْ یَجِیءَ بِخَمْسِینَ یَحْلِفُونَ أَنَّ فُلَاناً قَتَلَ فُلَاناً فَیُدْفَعُ إِلَیْهِمُ الَّذِی حُلِفَ عَلَیْهِ فَإِنْ شَاءُوا عَفَوْا وَإِنْ شَاءُوا قَبِلُوا الدِّیَةَ وَإِنْ لَمْ یُقْسِمُوا کَانَ عَلَی الَّذِینَ ادُّعِیَ عَلَیْهِمْ أَنْ یَحْلِفَ مِنْهُمْ</w:t>
      </w:r>
    </w:p>
    <w:p>
      <w:pPr>
        <w:pStyle w:val="BookText"/>
        <w:rPr/>
      </w:pPr>
      <w:r>
        <w:rPr>
          <w:rFonts w:ascii="Amiri" w:hAnsi="Amiri" w:eastAsia="Amiri" w:cs="Amiri"/>
          <w:color w:val="111111"/>
          <w:sz w:val="28"/>
          <w:sz w:val="28"/>
          <w:szCs w:val="28"/>
          <w:rtl w:val="true"/>
          <w:lang w:bidi="ar-SA"/>
        </w:rPr>
        <w:t xml:space="preserve">خَمْسُونَ مَا قَتَلْنَا وَلَا عَلِمْنَا لَهُ قَاتِلًا فَإِنْ فَعَلُوا أَدَّی أَهْلُ الْقَرْیَةِ الَّذِینَ وُجِدَ فِیهِمْ وَإِنْ کَانَ بِأَرْضِ فَلَاةٍ أُدِّیَتْ دِیَتُهُ مِنْ بَیْتِ مَالِ الْمُسْلِمِینَ فَإِنَّ أَمِیرَ الْمُؤْمِنِینَ علیه السلام کَانَ یَقُولُ لَا یُطَلَّ دَمُ امْرِئٍ مُسْلِمٍ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جَمِیلِ بْنِ دَرَّاجٍ وَابْنِ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أَ تَجُوزُ شَهَادَةُ النِّسَاءِ فِی الْحُدُودِ قَالَ فِی الْقَتْلِ وَحْدَهُ إِنَّ عَلِیّاً علیه السلام کَانَ یَقُولُ لَا یُطَلُّ دَمُ امْرِئٍ مُسْلِمٍ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موثقة ابی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غَشِیَهُ رَجُلٌ عَلَی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یَطَأَهُ فَزَجَرَ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فَنَفَرَتْ بِصَاحِبِهَا فَطَرَحَتْهُ وَکَانَ جِرَاحَةٌ أَوْ غَیْرُهَا فَقَالَ لَیْسَ عَلَیْهِ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زَجَرَ عَنْ نَفْسِهِ وَهِیَ الْجُبَارُ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الروایة نافیة للضمان من بیت المال نظرا لقوله علیه السلام وهی الجبار؟</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انها نافیة للضمان عن القاتل المدافع وعن تسبیبه فلم یبق الا فعل الدابة وهی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 کلا المقدمتین وهی نفی الضمان عن نفسه وهو الزاجر واسناد الفعل للدابة ینتج عدم الدیة لا من الزاجر ولا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w:t>
      </w:r>
    </w:p>
    <w:p>
      <w:pPr>
        <w:pStyle w:val="BookText"/>
        <w:rPr/>
      </w:pPr>
      <w:r>
        <w:rPr>
          <w:rFonts w:ascii="IRNazanin" w:hAnsi="IRNazanin" w:eastAsia="IRNazanin"/>
          <w:color w:val="111111"/>
          <w:sz w:val="28"/>
          <w:sz w:val="28"/>
          <w:szCs w:val="28"/>
          <w:rtl w:val="true"/>
          <w:lang w:bidi="fa-IR"/>
        </w:rPr>
        <w:t>ذلک انه لو لم یکن الفعل مستندا للعجماء ونحوها من أفعال السوانح الطبیعیة لتقرر الضمان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جملة من الروایات حصر المهدور دمه من المسلمین بالمعتدی بوصفه دمه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ومفهومها هو ان دم المسلم محترم ومع عدم ضمان دمه لاحد فلا محال ان ضمانه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روایة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قَتَلَهُ الْحَدُّ فِی الْقِصَاصِ فَلَا دِیَةَ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أَیُّمَا رَجُلٍ عَدَا عَلَی رَجُلٍ لِیَضْرِبَهُ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عَنْ نَفْسِهِ فَجَرَحَهُ أَوْ قَتَلَهُ فَلَا شَیْ‌ءَ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أَیُّمَا رَجُلٍ اطَّلَعَ عَلَی قَوْمٍ فِی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لِیَنْظُرَ إِلَی عَوْرَاتِهِمْفَفَقَئُوا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جَرَحُوهُ فَلَا دِیَةَ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 بَدَأَ فَاعْتَدَی فَاعْتُدِیَ عَلَیْهِ فَلَا قَوَدَ 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وروایة السَّکُونِیِّ عَنْ جَعْفَرٍ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مَنْ شَهَرَ سَیْفاً فَدَمُهُ هَدَرٌ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ویقرب بان عمومات احترام دم المسلم تدل علی ان دمه محترم وبضمیمة عدم ضمان القاتل بموجب ما یسقط الضمان والمفروض ان المقتول فی قتله لم یکن عدوانیا فلا محالة یکون مقتضی اطلاق حرمة دمه ضمان دیته من بیت المال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هدر دم من هتک او اعتدی علی غیره دفعا او عقوبة</w:t>
      </w:r>
      <w:bookmarkStart w:id="20" w:name="pg13703_133523"/>
    </w:p>
    <w:p>
      <w:pPr>
        <w:pStyle w:val="Heading2"/>
        <w:numPr>
          <w:ilvl w:val="1"/>
          <w:numId w:val="1"/>
        </w:numPr>
        <w:rPr/>
      </w:pPr>
      <w:bookmarkStart w:id="21" w:name="__RefHeading___Toc1100944_1468164448"/>
      <w:bookmarkStart w:id="22" w:name="_Toc8"/>
      <w:bookmarkEnd w:id="20"/>
      <w:bookmarkEnd w:id="21"/>
      <w:r>
        <w:rPr>
          <w:rtl w:val="true"/>
        </w:rPr>
        <w:t>القاعدة الثانیة</w:t>
      </w:r>
      <w:r>
        <w:rPr>
          <w:rtl w:val="true"/>
        </w:rPr>
        <w:t xml:space="preserve">: </w:t>
      </w:r>
      <w:r>
        <w:rPr>
          <w:rtl w:val="true"/>
        </w:rPr>
        <w:t>فی هدر دم من هتک أو اعتدی</w:t>
      </w:r>
      <w:bookmarkEnd w:id="22"/>
    </w:p>
    <w:p>
      <w:pPr>
        <w:pStyle w:val="BookText"/>
        <w:rPr/>
      </w:pPr>
      <w:r>
        <w:rPr>
          <w:rFonts w:ascii="IRNazanin" w:hAnsi="IRNazanin" w:eastAsia="IRNazanin"/>
          <w:color w:val="111111"/>
          <w:sz w:val="28"/>
          <w:sz w:val="28"/>
          <w:szCs w:val="28"/>
          <w:rtl w:val="true"/>
          <w:lang w:bidi="fa-IR"/>
        </w:rPr>
        <w:t>علی غیره دفعا أو عقوبة</w:t>
      </w:r>
    </w:p>
    <w:p>
      <w:pPr>
        <w:pStyle w:val="BookText"/>
        <w:rPr/>
      </w:pPr>
      <w:r>
        <w:rPr>
          <w:rFonts w:ascii="IRNazanin" w:hAnsi="IRNazanin" w:eastAsia="IRNazanin"/>
          <w:color w:val="111111"/>
          <w:sz w:val="28"/>
          <w:sz w:val="28"/>
          <w:szCs w:val="28"/>
          <w:rtl w:val="true"/>
          <w:lang w:bidi="fa-IR"/>
        </w:rPr>
        <w:t>تحریر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وتحریر القاعدة فی مقامین مع ذکر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القاعدة فتدرس حیثیة عامة وهی وظیفة الزوج تجاه المعتدی علی زوجته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الفائدة فتذکر حیثیة خاصة وهی حکم ووظیفة الزوج تجاه زوجته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فی النهایة وابن ادریس السرائر قیدا الحکم بکون الزانی والزانیة محصنین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هذا القید انه من باب الترخیص فی إقامة الحد بینهما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والمحقق الحلی فی النکت جزم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روینا فیما سلف</w:t>
      </w:r>
    </w:p>
    <w:p>
      <w:pPr>
        <w:pStyle w:val="BookText"/>
        <w:rPr/>
      </w:pP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دخل داراً للتلصّص أو الزنا، فدمه هدر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 العلامة فی التحریر عن الشیخ قد رخص فی الغیبة إقامة الحدود علی المملوک والولد والزوجة ان امن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الفقه علی المذاهب الأربعة ان قتل الزانی بامراته مما اتفقت علیه کل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وتدل علی ذلک عدة 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سَیِّئَةٍ سَیِّئَةٌ مِثْلُها فَمَنْ عَفا وَ أَصْلَحَ فَأَجْرُهُ عَلَی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فالایات کما تشرع الرد علی الاعتداء بعد وقوعه کذلک یمکن استفادة</w:t>
      </w:r>
    </w:p>
    <w:p>
      <w:pPr>
        <w:pStyle w:val="BookText"/>
        <w:rPr/>
      </w:pPr>
      <w:r>
        <w:rPr>
          <w:rFonts w:ascii="IRNazanin" w:hAnsi="IRNazanin" w:eastAsia="IRNazanin"/>
          <w:color w:val="111111"/>
          <w:sz w:val="28"/>
          <w:sz w:val="28"/>
          <w:szCs w:val="28"/>
          <w:rtl w:val="true"/>
          <w:lang w:bidi="fa-IR"/>
        </w:rPr>
        <w:t>شمولها لما قبل وقوع الاعتداء بالقتل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من استباح حریم الغیر بالمخاطرة والمعرضیة للقتل او مادونه فقد قام بالاعتداء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فللغیر ان یقابل ذلک بالمثل لدفع المخاطر فهو نحو من انحاء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یکون علی صعید فردی فهو قد یکون علی صعید جماعی کما حصل من الرسول الأعظم مع بنی النظیر وبنی قریظة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مصححة عَبْدِ الله بْنِ سِنَانٍ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تَزَوَّجَ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لَیْلَةُ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الْمَرْأَةُ إِلَی رَجُلٍ صَدِیقٍ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فَأَدْخَلَتْهُ الْحَجَلَةَ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الرَّجُلُ یُبَاضِعُ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الصَّدِیقُ فَاقْتَتَلَا فِی الْبَیْتِ فَقَتَلَ الزَّوْجُ الصَّدِیقَ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الْمَرْأَةُ فَضَرَبَتِ الرَّجُلَ فَقَتَلَتْهُ بِالصَّدِیقِ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تَضْمَنُ الْمَرْأَةُ دِیَةَ الصَّدِیقِ وَتُقْتَلُ بِالزَّوْجِ‌</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الشیخ الطوسی والکلینی باسناد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انه من اطلع علی دار قوم لینظر عوراتهم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نقاط</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هذه الطائفة لیس جواز ذلک للدفاع بل ظاهرها انه جزاء وحد</w:t>
      </w:r>
    </w:p>
    <w:p>
      <w:pPr>
        <w:pStyle w:val="BookText"/>
        <w:rPr/>
      </w:pPr>
      <w:r>
        <w:rPr>
          <w:rFonts w:ascii="IRNazanin" w:hAnsi="IRNazanin" w:eastAsia="IRNazanin"/>
          <w:color w:val="111111"/>
          <w:sz w:val="28"/>
          <w:sz w:val="28"/>
          <w:szCs w:val="28"/>
          <w:rtl w:val="true"/>
          <w:lang w:bidi="fa-IR"/>
        </w:rPr>
        <w:t>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عدم کونه دفعا بحسب اطلاق هذه الروایات المرخصة بفقأ العین من دون انذار وزجر مسبق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کثیر منها 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للاطلاع علی العورات مراتب منها ما یصل الی اباحة 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الحکم بجواز العقوبة غیر متوقف علی اثبات ذلک بالبینة وان کان الاثبات هو لدرء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عدة 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 حَمَّادِ بْنِ عِیسَی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فِی بَعْضِ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اطَّلَعَ رَجُلٌ فِی شَقِّ الْبَابِ وَبِیَدِ رَسُولِ الله صلی الله علیه و آله مِدْرَاةٌ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 کُنْتُ قَرِیباً مِنْکَ لَفَقَأْتُ بِهِ عَیْنَکَ‌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عَلَی الْمُؤْمِنِ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اطَّلَعَ عَلَی مُؤْمِنٍ فِی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فَعَیْنَاهُ مُبَاحَةٌ لِلْمُؤْمِنِ فِی تِلْکَ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دَمَرَ عَلَی مُؤْمِنٍ بِغَیْرِ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فَدَمُهُ مُبَاحٌ لِلْمُؤْمِنِ فِی تِلْکَ الْحَالَةِ الْحَدِیثَ‌</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معتبرة عُبَیْدِ بْنِ زُرَارَةَ قَالَ سَمِعْتُ أَبَا عَبْدِ الله علیه السلام یَقُولُ بَیْنَمَا رَسُولُ الله صلی الله علیه و آله فِی حُجُرَاتِهِ مَعَ بَعْضِ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مَغَازِلُ یَقْلِبُهَا إِذْ بَصُرَ بِعَیْنَیْنِ تَطَّلِعَانِ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 أَعْلَمُ أَنَّکَ تَثْبُتُ لِی لَقُمْتُ حَتَّی أَنْخُسَکَ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نَفْعَلُ نَحْنُ مِثْلَ هَذَا إِنْ فُعِلَ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خَفِیَ لَکَ فَافْعَلْهُ‌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الْعَلَاءِ بْنِ الْفُضَیْلِ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اطَّلَعَ رَجُلٌ عَلَی قَوْمٍ یُشْرِفُ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یَنْظُرُ مِنْ خَلَلِ شَیْ‌ءٍ لَهُمْ فَرَمَوْهُ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فَأَصَابُوهُ فَقَتَلُوهُ أَوْ فَقَئُوا عَیْنَیْهِ فَلَیْسَ عَلَیْهِمْ 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 رَجُلًا اطَّلَعَ مِنْ خَلَلِ حُجْرَةِ رَسُولِ الله صلی الله علیه و آله فَجَاءَ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بِمِشْقَصٍ لِیَفْقَأَ عَیْنَهُ فَوَجَدَهُ قَدِ 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أَیْ خَبِیثُ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ثَبَتَّ لِی لَفَقَأْتُ عَیْنَکَ‌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صحیح الْحَلَبِیِّ عَنْ أَبِی عَبْدِ الله علیه السلام فِی حَدِیثٍ أَیُّمَا رَجُلٍ اطَّلَعَ عَلَی قَوْمٍ فِی دَارِهِمْ لِیَنْظُرَ إِلَی عَوْرَاتِهِمْ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فَفَقَئُوا عَیْنَهُ أَوْ جَرَحُوهُ فَلَا دِیَةَ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 اعْتَدَیفَاعْتُدِیَ عَلَیْهِ فَلَا قَوَدَ لَهُ‌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ورد فی جواز قتال اللص والمحارب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 السَّکُونِیِّ عَنْ جَعْفَرٍ عَنْ أَبِیهِ عَنْ عَلِیٍّ علیه السلام أَنَّهُ أَتَاهُ رَجُلٌ فَقَالَ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 دَخَلَ عَلَی امْرَأَتِی فَسَرَقَ حُلِیَّهَا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إِنَّهُ لَوْ دَخَلَ عَلَی ابْنِ صَفِیَّةَ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رَضِیَ بِذَلِکَ حَتَّی یَعُمَّهُ بِالسَّیْفِ‌</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روایة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لَیَمْقُتُ الْعَبْدَ یُدْخَلُ عَلَیْهِ فِی بَیْتِهِ فَلَا یُقَاتِلُ</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روایة وَهْبٍ عَنْ جَعْفَرٍ عَنْ أَبِیهِ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عَلَیْکَ رَجُلٌ یُرِیدُ</w:t>
      </w:r>
    </w:p>
    <w:p>
      <w:pPr>
        <w:pStyle w:val="BookText"/>
        <w:rPr/>
      </w:pPr>
      <w:r>
        <w:rPr>
          <w:rFonts w:ascii="Amiri" w:hAnsi="Amiri" w:eastAsia="Amiri" w:cs="Amiri"/>
          <w:color w:val="111111"/>
          <w:sz w:val="28"/>
          <w:sz w:val="28"/>
          <w:szCs w:val="28"/>
          <w:rtl w:val="true"/>
          <w:lang w:bidi="ar-SA"/>
        </w:rPr>
        <w:t xml:space="preserve">أَهْلَکَ وَمَالَکَ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فَابْدُرْهُ بِالضَّرْبَةِ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اللِّصَّ مُحَارِبٌ 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تَبِعَکَ مِنْهُ شَیْ‌ءٌ فَهُوَ عَلَیَّ‌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ومثلها قویة الحسین بن علوان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ابْنِ أَبِی عُمَیْرٍ عَنْ أَبَانِ بْنِ عُثْمَانَ عَنْ رَجُلٍ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إِذَا دَخَلَ عَلَیْکَ اللِّصُّ الْمُحَارِبُ فَاقْتُلْهُ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أَصَابَکَ فَدَمُهُ فِی عُنُقِی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یُقَاتِلُ دُونَ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مَنْ قُتِلَ دُونَ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بِمَنْزِلَةِ الشَّهِیدِ فَقُلْتُ أَ یُقَاتِلُ أَفْضَلُ أَوْ لَایُقَاتِلُ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فَقَالَأَمَّا أَنَا فَلَوْ کُنْتُ لَمْ أُقَاتِلْ وَتَرَکْتُهُ‌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الْفَضْلِ بْنِ شَاذَانَ عَنِ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دُونَ مَالِهِ فَهُوَ شَهِیدٌ</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بِأَسَانِیدَ تَقَدَّمَتْ فِی إِسْبَاغِ الْوُضُوءِعَنْ رَسُولِ الله صلوات الله علیه وعلی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یُبْغِضُ الله تَبَارَکَ وَتَعَالَی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عَلَیْهِ فِی بَیْتِهِ فَلَا یُقَاتِلُ‌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جاء فی السارق الداخل علی امراة او کابرها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سَارِقٍ دَخَلَ عَلَی امْرَأَةٍ لِیَسْرِقَ مَتَاعَهَا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جَمَعَ الثِّیَابَ تَبِعَتْهَا نَفْسُهُ فَوَاقَعَهَا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فَتَحَرَّکَ ابْنُهَا فَقَامَ فَقَتَلَهُ بِفَأْسٍ کَانَ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حَمَلَ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لِیَخْرُجَ حَمَلَتْ عَلَیْهِ بِالْفَأْسِ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أَهْلُهُ یَطْلُبُونَ بِدَمِهِ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یَضْمَنُ مَوَالِیهِ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طَلَبُوا بِدَمِهِ دِیَةَ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وَیَضْمَنُ السَّارِقُ فِیمَا تَرَکَ أَرْبَعَةَ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کَابَرَهَا عَلَی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زَانٍ وَهُوَ فِی مَالِهِ یَغْرَمُهُ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عَلَیْهَا فِی قَتْلِهَا إِیَّاهُ شَیْ‌ءٌ لِأَنَّهُ سَارِقٌ‌</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روایة عَبْدِ الله بْنِ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سَارِقٍ دَخَلَ عَلَی امْرَأَةٍ لِیَسْرِقَ مَتَاعَهَا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جَمَعَ الثِّیَابَ تَابَعَتْهُ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فَکَابَرَهَا عَلَی نَفْسِهَا فَوَاقَعَهَا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فَتَحَرَّکَ ابْنُهَا فَقَامَ فَقَتَلَهُ بِفَأْسٍ کَانَ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حَمَلَ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لِیَخْرُجَ حَمَلَتْ عَلَیْهِ بِالْفَأْسِ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أَهْلُهُ یَطْلُبُونَ بِدَمِهِ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اقْضِ عَلَی هَذَا کَمَا وَصَفْتُ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یَضْمَنُ مَوَالِیهِ الَّذِینَ طَلَبُوا بِدَمِهِ دِیَةَ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وَیَضْمَنُ السَّارِقُ فِیمَا تَرَکَ أَرْبَعَةَ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بِمُکَابَرَتِهَا عَلَی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زَانٍ وَهُوَ فِی مَالِهِ عَزِیمَةٌ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عَلَیْهَا فِی قَتْلِهَا إِیَّاهُ شَیْ‌ءٌ قَالَ رَسُولُ الله صلی الله علیه و آله مَنْ کَابَرَ امْرَأَةً لِیَفْجُرَ بِهَا فَقَتَلَتْهُ فَلَا دِیَةَ لَهُ وَلَا قَوَدَ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روایة مُحَمَّدِ بْنِ الْفُضَیْلِ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لِصٍّ دَخَلَ عَلَی</w:t>
      </w:r>
    </w:p>
    <w:p>
      <w:pPr>
        <w:pStyle w:val="BookText"/>
        <w:rPr/>
      </w:pPr>
      <w:r>
        <w:rPr>
          <w:rFonts w:ascii="Amiri" w:hAnsi="Amiri" w:eastAsia="Amiri" w:cs="Amiri"/>
          <w:color w:val="111111"/>
          <w:sz w:val="28"/>
          <w:sz w:val="28"/>
          <w:szCs w:val="28"/>
          <w:rtl w:val="true"/>
          <w:lang w:bidi="ar-SA"/>
        </w:rPr>
        <w:t xml:space="preserve">امْرَأَةٍ وَهِیَ 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مَا فِی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الْمَرْأَةُ إِلَی سِکِّینٍ فَوَجَأَتْهُ بِهَا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هَدَرٌ دَمُ اللِّصِّ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معتبرة عبْدِ الله بْنِ سِنَانٍ قَالَ سَمِعْتُ أَبَا عَبْدِ الله علیه السلام یَقُولُ فِی رَجُلٍ أَرَادَ امْرَأَةً عَلَی نَفْسِهَا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فَرَمَتْهُ بِحَجَرٍ فَأَصَابَتْ مِنْهُ مَقْتَلًا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لَیْسَ عَلَیْهَا شَیْ ءٌ فِیمَا بَیْنَهَا وَبَیْنَ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قُدِّمَتْ إِلَی إِمَامٍ عَادِلٍ أَهْدَرَ دَمَهُ‌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هدر دم مطلق المعتدی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فی هدر دم من اعتدی علی الامن المدنی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 سُلَیْمَانَ بْنِ خَالِدٍ عَنْ أَبِی عَبْدِ الله علیه السلام قَالَ سَمِعْتُهُ یَقُولُ مَنْ بَدَأَ فَاعْتَدَی فَاعْتُدِیَ عَلَیْهِ فَلَا قَوَدَ 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الروایة قاعدة عامة مفادها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المعتدی لا حرمة له وضعا ولا تکلیفا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مدافعته مشروعة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هذه المدافعة لو استلزمت او توقفت علی ما یزید علی عدوان المعتدی فلا قود فیها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هذه القاعدة لا تختص بحق الفرد بل تشمل الحق العام وحق عامة الناس أی انها لا تختص بالفقه الفردی بل تشمل الفقه الاجتماعی والسیاسی لا</w:t>
      </w:r>
    </w:p>
    <w:p>
      <w:pPr>
        <w:pStyle w:val="BookText"/>
        <w:rPr/>
      </w:pPr>
      <w:r>
        <w:rPr>
          <w:rFonts w:ascii="IRNazanin" w:hAnsi="IRNazanin" w:eastAsia="IRNazanin"/>
          <w:color w:val="111111"/>
          <w:sz w:val="28"/>
          <w:sz w:val="28"/>
          <w:szCs w:val="28"/>
          <w:rtl w:val="true"/>
          <w:lang w:bidi="fa-IR"/>
        </w:rPr>
        <w:t>سیما مع الإشارة فی الصحیح الی وهب عن جعفر عن ابیه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علیک رجل یرید اهلک ومالک فابدره بالضربة ان استطعت فان اللص محارب لله ولرسوله صلی الله علیه و آله فما تبعک منه من شی فهو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لها طریق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طریق الشیخ الطوسی مثله الا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فاقتله فما تبعک منه من شی فهو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المضمون هو ما فی موثق ابان عن رجل عن الحلبی عن ابی عبد الله قال امیر المومنین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علیک اللص المحارب فاقتله فما اصابک فدمه فی عنقی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 یمکن استفادة تقریر القاعدة بالتقریر التالی ان المعتدی اذا اعتدی ولو علی ما هو دون النفس ودون العرض کالمال لکنه کان لا یبالی بحرمة النفس والعرض وباقی الحرمات فی الوصول الی غایته فانه یکون محاربا وان الحرابة لا تختص بقطاع الطرق بل تشمل کل من یقوم بعدوان ولا یبالی فی عدوانه بالاعتداء علی الحرمات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یعتدی علی ما یسمی فی عصرنا الحاضر بالامن المدنی وهو حرمة النفس والعرض والمال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یتبین الوجه فی ما مر من قضیة بنی قریظة والقصاص الجماعی وهو الذی جری من رسول الله تجاه الیهود من بنی النظیر وبنی قریظة وغیرهم وانها من قاعدة هدر حرمة المعتدی علی الامن المدنی والمتجاوز والهاتک للحرمات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والعرض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کل ذلک ینطوی تحت عموم الایة من اعتدی علیکم فاعتدوا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قاعدة المحارب فی الحقیقة قاعدة غیر مختصة بقطاع الطرق والسراق بل موضوعها کل من یزعزع امن الحرمات الثلاثة المدنیة کما فی المخاطرة البالغة فی الأموال العامة او افشاء الارجاف المربک للامن العام فی شتی الأصعدة سواء کانت امنیة او عسکریة او اقتصادیة او أخلاقیة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ان درجة الحرابة لقطاع الطرق واللصوص بالمعنی المعهود لا تبلغ درجات الافساد الضارة بالمجتمع فی مجالات عدیدة وهذا ما یعرف فی القانون الوضعی بعقوبات الإعدام المسجلة علی الخیانة العظمی للوطن او الامن القومی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عقوبة المحارب علی درجات کما ذکر فی حد المحارب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الْحَلَبِیِّ عَنْ أَبِی عَبْدِ الله علیه السلام فِی حَدِیثٍ أَیُّمَا رَجُلٍ اطَّلَعَ عَلَی قَوْمٍ فِی دَارِهِمْ لِیَنْظُرَ إِلَی عَوْرَاتِهِمْ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فَفَقَئُوا عَیْنَهُ أَوْ جَرَحُوهُ فَلَا دِیَةَ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 اعْتَدَی فَاعْتُدِیَ عَلَیْهِ فَلَا قَوَدَ 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إِذَا أَرَادَ الرَّجُلُ أَنْ یَضْرِبَ رَجُلًا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فَاتَّقَاهُ الرَّجُلُ أَوْ دَفَعَهُ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ضَرَرٌ فَلَا شَیْ‌ءَ عَلَیْهِ‌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فائدة بمثابة صغری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إقامة الزوج الحد علی الزوجة بلا رجوع للحاکم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الأدلة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تقدم فی القاعدة من اثبات إقامة الحد علی المعتدی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بتقریب دلالتها علی جواز إقامة الحد من قبل الأزواج علی زوجاتهم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الخطاب فی الظاهر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وصدر الایة دالة علی ولایة الزوج علی زوجته وذیلها ترخیص فی التعزیر والتعزیر نحو من انحاء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 هذا المفاد ما ورد فی جملة من الروایات من لزوم طاعة الزوجة للزوج وان ولایته علی المراة اجمالا کولایة المراة علی العبد فی جواز اجراء الحدود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روایة سَعِیدِ بْنِ الْمُسَیَّبِ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مُعَاوِیَةَ کَتَبَ إِلَی أَبِی مُوسَی الْأَشْعَرِیِّ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أَبِی الْجِسْرَیْنِ وَجَدَ رَجُلًا مَعَ امْرَأَتِهِ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لِی عَلِیّاً عَنْ هَذَاقَالَ أَبُو</w:t>
      </w:r>
    </w:p>
    <w:p>
      <w:pPr>
        <w:pStyle w:val="BookText"/>
        <w:rPr/>
      </w:pP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فَلَقِیتُ عَلِیّاً علیه السلام فَسَأَلْتُهُ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أَبُو الْحَسَنِ إِنْ جَاءَ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یَشْهَدُونَ عَلَی مَا شَهِدَ وَإِلَّا دُفِعَ بِرُمَّتِهِ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رواها العامة فی مصادرهم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ومفادها ان الشهود الأربعة لدرء القصاص لا لاصل اجراء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 الزانی من البیت فبقاء الحکم غیر معلوم الا ان یکون محصنا مع توفر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وصحیح عَبَّادِ بْنِ صُهَیْبٍ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یُمْسِکَ الرَّجُلُ امْرَأَتَهُ إِنْ رَآهَا تَزْنِی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تَزْنِی وَإِنْ لَمْ یُقَمْ عَلَیْهَا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عَلَیْهِ مِنْ إِثْمِهَا شَیْ‌ءٌ</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وحَدَّثَنِی مُوسَی قَالَ حَدَّثَنَا أَبِی عَنْ أَبِیهِ عَنْ جَدِّهِ عَنْ عَلِیٍّ صلوات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صلی الله علیه و آله قَالَ لِرَجُلٍ مِنَ الْأَنْصَارِ وَهُوَ سَعْدُ بْنُ عُبَادَةَ أَ رَأَیْتَ لَوْ وَجَدْتَ رَجُلًا مَعَ امْرَأَةٍ فِی ثَوْبٍ وَاحِدٍ مَا کُنْتَ صَانِعاً بِهِمَا قَالَ سَعْدٌ أَقْتُلُهُمَا یَا رَسُولَ الله فَقَالَ رَسُولُ الله صلی الله علیه و آله فَأَیْنَ الشُّهَدَاءُ الْأَرْبَعَةُ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رواها العامة بطرق 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وتُؤیِّد هذه الأدلة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صلی الله علیه و آله أنّه قال من جهد البلاء أن یقدّم الرّجل فیقتل صبراً والأسیر ما دام فی الوثاق والرّجل یجد علی بطن امرأته</w:t>
      </w:r>
    </w:p>
    <w:p>
      <w:pPr>
        <w:pStyle w:val="BookText"/>
        <w:rPr/>
      </w:pPr>
      <w:r>
        <w:rPr>
          <w:rFonts w:ascii="Amiri" w:hAnsi="Amiri" w:eastAsia="Amiri" w:cs="Amiri"/>
          <w:color w:val="111111"/>
          <w:sz w:val="28"/>
          <w:sz w:val="28"/>
          <w:szCs w:val="28"/>
          <w:rtl w:val="true"/>
          <w:lang w:bidi="ar-SA"/>
        </w:rPr>
        <w:t>رجلاً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مَکِّیٍّ الشَّهِیدُ فِی الدُّرُوسِ قَالَ رُوِیَ أَنَّ مَنْ رَأَی زَوْجَتَهُ تَزْنِی فَلَهُ قَتْلُهُمَا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فی عوالی اللئالی العزیزیة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الْحَدِیثِ أَنَّ هِلَالَ بْنَ أُمَیَّةَ قَذَفَ زَوْجَتَهُ بِشَرِیکِ بْنِ شَحْمَاءَ فَقَالَ النَّبِیُّ صلی الله علیه و آله الْبَیِّنَةَ وَإِلَّا حُدَّ فِی ظَهْرِکَ فَقَالَ یَا رَسُولَ الله یَجِدُ أَحَدُنَا مَعَ امْرَأَتِهِ رَجُلًا یَلْتَمِسُ الْبَیِّنَةَ فَجَعَلَ رَسُولُ الله صلی الله علیه و آله یَقُولُ الْبَیِّنَةَ وَإِلَّا فَحُدَّ فِی ظَهْرِکَ فَقَالَ وَالَّذِی بَعَثَکَ بِالْحَقِّ إِنَّنِی لَصَادِقٌ وَسَیُنْزِلُ الله مَا یُبْرِئُ ظَهْرِی مِنَ الْجَلْدِ فَنَزَلَ قَوْلُهُ تَعَالَی وَالَّذِینَ یَرْمُونَ أَزْواجَهُمْ الْآیَةَ‌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اللعان ان قوله مقبول فی اثبات الحد علیها الا تشهد بتکذیبه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جَعْفَرٍ علیه السلام یَقُولُ لَمَّا مَاتَ إِبْرَاهِیمُ بْنُ رَسُولِ الله صلی الله علیه و آله حَزِنَ عَلَیْهِ حُزْناً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مَا الَّذِی یَحْزُنُکَ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ابْنَ جَرِیحٍ، فَبَعَثَ رَسُولُ الله صلی الله علیه و آله عَلِیّاً وَأَمَرَهُ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عَلِیٌّ علیه السلام إِلَیْهِ وَمَعَهُ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جَرِیحٌ الْقِبْطِیُّ فِی حَائِطٍ وَضَرَبَ عَلِیٌّ علیه السلام بَابَ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إِلَیْهِ جَرِیحٌ لِیَفْتَحَ لَهُ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عَلِیّاً علیه السلام عَرَفَ فِی وَجْهِهِ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 رَاجِعاً وَلَمْ یَفْتَحِ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عَلِیٌّ علیه السلام عَلَی الْحَائِطِ وَنَزَلَ إِلَی الْبُسْتَانِ وَاتَّبَعَهُ وَوَلَّی جَرِیحٌ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خَشِیَ أَنْ یُرْهِقَهُ صَعِدَ فِی نَخْلَةٍ وَصَعِدَ عَلِیٌّ علیه السلام فِی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 رَمَی بِنَفْسِهِ مِنْ فَوْقِ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فَبَدَتْ عَوْرَتُهُ فَإِذَا لَیْسَ</w:t>
      </w:r>
    </w:p>
    <w:p>
      <w:pPr>
        <w:pStyle w:val="BookText"/>
        <w:rPr/>
      </w:pPr>
      <w:r>
        <w:rPr>
          <w:rFonts w:ascii="Amiri" w:hAnsi="Amiri" w:eastAsia="Amiri" w:cs="Amiri"/>
          <w:color w:val="111111"/>
          <w:sz w:val="28"/>
          <w:sz w:val="28"/>
          <w:szCs w:val="28"/>
          <w:rtl w:val="true"/>
          <w:lang w:bidi="ar-SA"/>
        </w:rPr>
        <w:t xml:space="preserve">لَهُ مَا لِلرِّجَالِ وَلَا مَا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عَلِیٌّ علیه السلام إِلَی النَّبِیِّ صلی الله علیه و آله فَقَالَ‌یَا رَسُولَ الله إِذَا بَعَثْتَنِی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أَکُونُ فِیهِ کَالْمِسْمَارِ الْمُحْمَی فِی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أَثَّبَّتُ قَالَ فَقَالَ لَا بَلِ اثَّبِّتْ، فَقَالَ وَالَّذِی بَعَثَکَ بِالْحَقِّ مَا لَهُ مَا لِلرِّجَالِ وَلَا مَا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الْحَمْدُ لله الَّذِی یَصْرِفُ عَنَّا السُّوءَ أَهْلَ الْبَیْتِ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الموثقة وان کان محمولا علی محامل أراد بها رسول الله ان یفضح افک المنافقین الا انه متضمن لقاعدة استحقاق إقامة الزوج الحد علی الزانی بزوجته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من مجموع ما ذکرنا استفادة صحة ما ذهب الیه المشهور المنصور فی مسالة ان من رای زوجته یزنی بها رجل وهی مطاوعة جاز له قتلهما وهو الأقوی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فی اللوث والتهمة واثارها القانونیة</w:t>
      </w:r>
      <w:bookmarkStart w:id="23" w:name="pg13703_133539"/>
    </w:p>
    <w:p>
      <w:pPr>
        <w:pStyle w:val="Heading2"/>
        <w:numPr>
          <w:ilvl w:val="1"/>
          <w:numId w:val="1"/>
        </w:numPr>
        <w:rPr/>
      </w:pPr>
      <w:bookmarkStart w:id="24" w:name="__RefHeading___Toc1100946_1468164448"/>
      <w:bookmarkStart w:id="25" w:name="_Toc9"/>
      <w:bookmarkEnd w:id="23"/>
      <w:bookmarkEnd w:id="24"/>
      <w:r>
        <w:rPr>
          <w:rtl w:val="true"/>
        </w:rPr>
        <w:t>القاعدة الثالثة</w:t>
      </w:r>
      <w:r>
        <w:rPr>
          <w:rtl w:val="true"/>
        </w:rPr>
        <w:t xml:space="preserve">: </w:t>
      </w:r>
      <w:r>
        <w:rPr>
          <w:rtl w:val="true"/>
        </w:rPr>
        <w:t xml:space="preserve">قاعدة فی اللوث والتهمة وأثارها القانونیة أو </w:t>
      </w:r>
      <w:r>
        <w:rPr>
          <w:rtl w:val="true"/>
        </w:rPr>
        <w:t>(</w:t>
      </w:r>
      <w:r>
        <w:rPr>
          <w:rtl w:val="true"/>
        </w:rPr>
        <w:t>ضابطة فی اللوث وتحدیده</w:t>
      </w:r>
      <w:r>
        <w:rPr>
          <w:rtl w:val="true"/>
        </w:rPr>
        <w:t>)</w:t>
      </w:r>
      <w:bookmarkEnd w:id="25"/>
    </w:p>
    <w:p>
      <w:pPr>
        <w:pStyle w:val="Heading3"/>
        <w:numPr>
          <w:ilvl w:val="2"/>
          <w:numId w:val="1"/>
        </w:numPr>
        <w:rPr/>
      </w:pPr>
      <w:bookmarkStart w:id="26" w:name="__RefHeading___Toc1100948_1468164448"/>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والبحث فی القاعدة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 فی المسالة وآثار اللوث وموضوعه ودرجاته مع بیان فائدة فی المقام</w:t>
      </w:r>
      <w:r>
        <w:rPr>
          <w:rFonts w:eastAsia="IRNazanin" w:cs="IRNazanin"/>
          <w:color w:val="111111"/>
          <w:sz w:val="28"/>
          <w:szCs w:val="28"/>
          <w:rtl w:val="true"/>
          <w:lang w:bidi="fa-IR"/>
        </w:rPr>
        <w:t>:</w:t>
      </w:r>
    </w:p>
    <w:p>
      <w:pPr>
        <w:pStyle w:val="Heading3"/>
        <w:numPr>
          <w:ilvl w:val="2"/>
          <w:numId w:val="1"/>
        </w:numPr>
        <w:rPr/>
      </w:pPr>
      <w:bookmarkStart w:id="28" w:name="__RefHeading___Toc1100950_1468164448"/>
      <w:bookmarkStart w:id="29" w:name="_Toc11"/>
      <w:bookmarkEnd w:id="28"/>
      <w:r>
        <w:rPr>
          <w:rtl w:val="true"/>
        </w:rPr>
        <w:t>بعض کلمات الاصحاب والقانونیین</w:t>
      </w:r>
      <w:r>
        <w:rPr>
          <w:rtl w:val="true"/>
        </w:rPr>
        <w:t>:</w:t>
      </w:r>
      <w:bookmarkEnd w:id="29"/>
    </w:p>
    <w:p>
      <w:pPr>
        <w:pStyle w:val="BookText"/>
        <w:rPr/>
      </w:pPr>
      <w:r>
        <w:rPr>
          <w:rFonts w:ascii="IRNazanin" w:hAnsi="IRNazanin" w:eastAsia="IRNazanin"/>
          <w:color w:val="111111"/>
          <w:sz w:val="28"/>
          <w:sz w:val="28"/>
          <w:szCs w:val="28"/>
          <w:rtl w:val="true"/>
          <w:lang w:bidi="fa-IR"/>
        </w:rPr>
        <w:t>ظاهر الشیخ فی التهذیبین والنهایة وابن البراج والوسیلة والشرائع ان قتیل القریة علی مقتضی قاعدة اللوث ومن ثم ترتب القسامة لا انه تعبد خاص</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ظاهر الصدوق والدعائم فی ثبوت اللوث والقسامة بمجرد وجود القتیل بین ظهرانیهم وان الحلف لدفع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 خلافا</w:t>
      </w:r>
      <w:bookmarkStart w:id="30" w:name="pg13703_133540"/>
    </w:p>
    <w:p>
      <w:pPr>
        <w:pStyle w:val="BookText"/>
        <w:rPr/>
      </w:pPr>
      <w:bookmarkEnd w:id="30"/>
      <w:r>
        <w:rPr>
          <w:rFonts w:ascii="IRNazanin" w:hAnsi="IRNazanin" w:eastAsia="IRNazanin"/>
          <w:color w:val="111111"/>
          <w:sz w:val="28"/>
          <w:sz w:val="28"/>
          <w:szCs w:val="28"/>
          <w:rtl w:val="true"/>
          <w:lang w:bidi="fa-IR"/>
        </w:rPr>
        <w:t>لجملة من اطلاقات الروایات الموهمة لذلک وخلافا لظاهر المفید وابی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فی القانون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قد تکون مصطنعة مرتبة بقصد تضلیل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یجب علی القاضی اتقاء الوقوع فی الخطا ان یظهر کثیرا من الحکمة والحذر فیما یستنتجه من الظروف وقرائن الأحوال فعلیه ان یتحقق لیس من ان القرینة ثابتة ثبوتا تاما فقط ولکن تتفق من عناصر الدعوی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القانون الوضعی عموم اللوث لکل الجنایات لا خصوص القتل والطرف بل لمثل الزنا ونحوه من الجرائم</w:t>
      </w:r>
      <w:r>
        <w:rPr>
          <w:rFonts w:eastAsia="IRNazanin" w:cs="IRNazanin"/>
          <w:color w:val="111111"/>
          <w:sz w:val="28"/>
          <w:szCs w:val="28"/>
          <w:rtl w:val="true"/>
          <w:lang w:bidi="fa-IR"/>
        </w:rPr>
        <w:t>.</w:t>
      </w:r>
    </w:p>
    <w:p>
      <w:pPr>
        <w:pStyle w:val="Heading3"/>
        <w:numPr>
          <w:ilvl w:val="2"/>
          <w:numId w:val="1"/>
        </w:numPr>
        <w:rPr/>
      </w:pPr>
      <w:bookmarkStart w:id="31" w:name="__RefHeading___Toc1100952_1468164448"/>
      <w:bookmarkStart w:id="32" w:name="_Toc12"/>
      <w:bookmarkEnd w:id="31"/>
      <w:r>
        <w:rPr>
          <w:rtl w:val="true"/>
        </w:rPr>
        <w:t>ضابطة موضوعیة للوث</w:t>
      </w:r>
      <w:r>
        <w:rPr>
          <w:rtl w:val="true"/>
        </w:rPr>
        <w:t>:</w:t>
      </w:r>
      <w:bookmarkEnd w:id="32"/>
    </w:p>
    <w:p>
      <w:pPr>
        <w:pStyle w:val="BookText"/>
        <w:rPr/>
      </w:pPr>
      <w:r>
        <w:rPr>
          <w:rFonts w:ascii="IRNazanin" w:hAnsi="IRNazanin" w:eastAsia="IRNazanin"/>
          <w:color w:val="111111"/>
          <w:sz w:val="28"/>
          <w:sz w:val="28"/>
          <w:szCs w:val="28"/>
          <w:rtl w:val="true"/>
          <w:lang w:bidi="fa-IR"/>
        </w:rPr>
        <w:t>لا یخفی ان اللوث وان کان ناشئا من قرائن دالة ظنا علی وقوع الجنایة من المتهم ولیست دلالتها بالظن المعتبر فضلا عن الیقین الا انها تکون اجمالا لوثا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بلحاظ دلالة القرائن الموجبة للوث علی صدور القتل من المتهم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اصل وجود القرائن فلا بد من العلم بها لا الظن والا لترامی الظن وکانت سلسلة من رجوم الظن فلا یعد لوثا بل یکون تظنیا وتمحلا للظن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لا بد منه فی قرائن اللوث</w:t>
      </w:r>
      <w:r>
        <w:rPr>
          <w:rFonts w:eastAsia="IRNazanin" w:cs="IRNazanin"/>
          <w:color w:val="111111"/>
          <w:sz w:val="28"/>
          <w:szCs w:val="28"/>
          <w:rtl w:val="true"/>
          <w:lang w:bidi="fa-IR"/>
        </w:rPr>
        <w:t>.</w:t>
      </w:r>
    </w:p>
    <w:p>
      <w:pPr>
        <w:pStyle w:val="Heading3"/>
        <w:numPr>
          <w:ilvl w:val="2"/>
          <w:numId w:val="1"/>
        </w:numPr>
        <w:rPr/>
      </w:pPr>
      <w:bookmarkStart w:id="33" w:name="__RefHeading___Toc1100954_1468164448"/>
      <w:bookmarkStart w:id="34" w:name="_Toc13"/>
      <w:bookmarkEnd w:id="33"/>
      <w:r>
        <w:rPr>
          <w:rtl w:val="true"/>
        </w:rPr>
        <w:t>آثار اللوث</w:t>
      </w:r>
      <w:r>
        <w:rPr>
          <w:rtl w:val="true"/>
        </w:rPr>
        <w:t>:</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للوث آثارا وان لم یکن بدرجة البینة ویدل علی ذلک روایات اتیة فی بیان اللوث واثاره کما یدل علیه صحیح زرارة والحلبی</w:t>
      </w:r>
      <w:r>
        <w:rPr>
          <w:rFonts w:eastAsia="IRNazanin" w:cs="IRNazanin"/>
          <w:color w:val="111111"/>
          <w:sz w:val="28"/>
          <w:szCs w:val="28"/>
          <w:rtl w:val="true"/>
          <w:lang w:bidi="fa-IR"/>
        </w:rPr>
        <w:t>:</w:t>
      </w:r>
      <w:bookmarkStart w:id="35" w:name="pg13703_133541"/>
    </w:p>
    <w:p>
      <w:pPr>
        <w:pStyle w:val="BookText"/>
        <w:rPr/>
      </w:pPr>
      <w:bookmarkEnd w:id="35"/>
      <w:r>
        <w:rPr>
          <w:rFonts w:ascii="Amiri" w:hAnsi="Amiri" w:eastAsia="Amiri" w:cs="Amiri"/>
          <w:color w:val="111111"/>
          <w:sz w:val="28"/>
          <w:sz w:val="28"/>
          <w:szCs w:val="28"/>
          <w:rtl w:val="true"/>
          <w:lang w:bidi="ar-SA"/>
        </w:rPr>
        <w:t xml:space="preserve">فصحیح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الْقَسَامَةُ احْتِیَاطاً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لِکَیْمَا إِذَا أَرَادَ الْفَاسِقُ أَنْ یَقْتُلَ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یَغْتَالَ رَجُلًا حَیْثُ لَا یَرَاهُ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ذَلِکَ فَامْتَنَعَ مِنَ الْقَتْلِ</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یراه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وجود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وصحیح الْحَلَبِیِّ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الْقَسَامَةِ کَیْفَ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هِیَ حَقٌّ وَ هِیَ مَکْتُوبَةٌ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ذَلِکَ لَقَتَلَ النَّاسُ بَعْضُهُمْ بَعْضاً ثُمَّ لَمْ یَکُنْ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الْقَسَامَةُ نَجَاةٌ لِلنَّاسِ‌</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ذلک لقتل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هناک مثبت یدینهم</w:t>
      </w:r>
      <w:r>
        <w:rPr>
          <w:rFonts w:eastAsia="IRNazanin" w:cs="IRNazanin"/>
          <w:color w:val="111111"/>
          <w:sz w:val="28"/>
          <w:szCs w:val="28"/>
          <w:rtl w:val="true"/>
          <w:lang w:bidi="fa-IR"/>
        </w:rPr>
        <w:t>.</w:t>
      </w:r>
    </w:p>
    <w:p>
      <w:pPr>
        <w:pStyle w:val="Heading3"/>
        <w:numPr>
          <w:ilvl w:val="2"/>
          <w:numId w:val="1"/>
        </w:numPr>
        <w:rPr/>
      </w:pPr>
      <w:bookmarkStart w:id="36" w:name="__RefHeading___Toc1100956_1468164448"/>
      <w:bookmarkStart w:id="37" w:name="_Toc14"/>
      <w:bookmarkEnd w:id="36"/>
      <w:r>
        <w:rPr>
          <w:rtl w:val="true"/>
        </w:rPr>
        <w:t>درجات اللوث</w:t>
      </w:r>
      <w:r>
        <w:rPr>
          <w:rtl w:val="true"/>
        </w:rPr>
        <w:t>:</w:t>
      </w:r>
      <w:bookmarkEnd w:id="37"/>
    </w:p>
    <w:p>
      <w:pPr>
        <w:pStyle w:val="BookText"/>
        <w:rPr/>
      </w:pPr>
      <w:r>
        <w:rPr>
          <w:rFonts w:ascii="IRNazanin" w:hAnsi="IRNazanin" w:eastAsia="IRNazanin"/>
          <w:color w:val="111111"/>
          <w:sz w:val="28"/>
          <w:sz w:val="28"/>
          <w:szCs w:val="28"/>
          <w:rtl w:val="true"/>
          <w:lang w:bidi="fa-IR"/>
        </w:rPr>
        <w:t>قد یقرر من روایات قتیل القریة ان اللوث فی الدیة یکفی فیه درجة اقل من درجة اللوث فی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اثبات القتل علی قاتل مبهم اجمالی فی القریة غایته اثبات الدیة فقط لعدم تعین القاتل بخلاف القصاص علی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یعرف ان إقامة القسامة علی اهل قریة لا یثبت القصاص بل غایته اثبات الدیة</w:t>
      </w:r>
      <w:r>
        <w:rPr>
          <w:rFonts w:eastAsia="IRNazanin" w:cs="IRNazanin"/>
          <w:color w:val="111111"/>
          <w:sz w:val="28"/>
          <w:szCs w:val="28"/>
          <w:rtl w:val="true"/>
          <w:lang w:bidi="fa-IR"/>
        </w:rPr>
        <w:t>.</w:t>
      </w:r>
    </w:p>
    <w:p>
      <w:pPr>
        <w:pStyle w:val="Heading3"/>
        <w:numPr>
          <w:ilvl w:val="2"/>
          <w:numId w:val="1"/>
        </w:numPr>
        <w:rPr/>
      </w:pPr>
      <w:bookmarkStart w:id="38" w:name="__RefHeading___Toc1100958_1468164448"/>
      <w:bookmarkStart w:id="39" w:name="_Toc15"/>
      <w:bookmarkEnd w:id="38"/>
      <w:r>
        <w:rPr>
          <w:rtl w:val="true"/>
        </w:rPr>
        <w:t>فائدة فی حقیقة الیمین فی القضاء بالقسامة</w:t>
      </w:r>
      <w:r>
        <w:rPr>
          <w:rtl w:val="true"/>
        </w:rPr>
        <w:t>:</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هذا التشریع النبوی مستل من قوله تعالی فی اللعان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أَزْواجَهُمْ وَ لَمْ یَکُنْ لَهُمْ شُهَداءُ إِلاّ أَنْفُسُهُمْ فَشَهادَةُ أَحَدِهِمْ</w:t>
      </w:r>
      <w:bookmarkStart w:id="40" w:name="pg13703_133542"/>
    </w:p>
    <w:p>
      <w:pPr>
        <w:pStyle w:val="BookText"/>
        <w:rPr/>
      </w:pPr>
      <w:bookmarkEnd w:id="40"/>
      <w:r>
        <w:rPr>
          <w:rFonts w:ascii="Amiri" w:hAnsi="Amiri" w:eastAsia="Amiri" w:cs="Amiri"/>
          <w:color w:val="111111"/>
          <w:sz w:val="28"/>
          <w:sz w:val="28"/>
          <w:szCs w:val="28"/>
          <w:rtl w:val="true"/>
          <w:lang w:bidi="ar-SA"/>
        </w:rPr>
        <w:t>أَرْبَعُ شَهاداتٍ بِاللّهِ إِنَّهُ لَمِنَ الصّادِقِینَ وَ الْخامِسَةُ أَنَّ لَعْنَتَ اللّهِ عَلَیْهِ إِنْ کانَ مِنَ الْکاذِبِینَ وَ یَدْرَؤُا عَنْهَا الْعَذابَ أَنْ تَشْهَدَ أَرْبَعَ شَهاداتٍ بِاللّهِ إِنَّهُ لَمِنَ الْکاذِبِینَ وَ الْخامِسَةَ أَنَّ غَضَبَ اللّهِ عَلَیْها إِنْ کانَ مِنَ الصّادِقِینَ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فعبر فی الایة عن الیمین فی اللعان انه شهادة مغلظة فی الحلف وقید موضوع الیمین بعدم البینة واعتبرت شهادة المراة فی نفی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القسامة کثرة فی العدد وتغلیظ فلیست هی مجرد شهادة وتغلیظ بالیمین کالذی فی اللعان بل تکرار للتاکید فتکون کالتواتر والاستفاضة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تکرار القسم فی القسامة من عدد قلیل او من شخص واحد یکون من تشدید التغلیظ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Heading3"/>
        <w:numPr>
          <w:ilvl w:val="2"/>
          <w:numId w:val="1"/>
        </w:numPr>
        <w:rPr/>
      </w:pPr>
      <w:bookmarkStart w:id="41" w:name="__RefHeading___Toc1100960_1468164448"/>
      <w:bookmarkStart w:id="42" w:name="_Toc16"/>
      <w:bookmarkEnd w:id="41"/>
      <w:r>
        <w:rPr>
          <w:rtl w:val="true"/>
        </w:rPr>
        <w:t>شواهد القاعدة</w:t>
      </w:r>
      <w:r>
        <w:rPr>
          <w:rtl w:val="true"/>
        </w:rPr>
        <w:t>:</w:t>
      </w:r>
      <w:bookmarkEnd w:id="42"/>
    </w:p>
    <w:p>
      <w:pPr>
        <w:pStyle w:val="BookText"/>
        <w:rPr/>
      </w:pPr>
      <w:r>
        <w:rPr>
          <w:rFonts w:ascii="IRNazanin" w:hAnsi="IRNazanin" w:eastAsia="IRNazanin"/>
          <w:color w:val="111111"/>
          <w:sz w:val="28"/>
          <w:sz w:val="28"/>
          <w:szCs w:val="28"/>
          <w:rtl w:val="true"/>
          <w:lang w:bidi="fa-IR"/>
        </w:rPr>
        <w:t>علی ان اللوث هو مطلق ویثبت بمجرد وجود القتیل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اللغویین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المصباح المنیر فی غریب الشرح الکبیر للرافعی</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البَیِّنَةُ الضَّعِیفَةُ غَیْرُ الْکَامِلَةِ قَالَهُ الْأَزْهَرِیُّ وَ مِنْهُ قِیلَ لِلرَّجُلِ الضَّعِیفِ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أَیْ حَمَاقَةٌ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الاسْتِرْخَاءُ و الحُبْسَةُ فِی اللِّسَانَ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بِالطِّینِ لَطَخَهُ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الثَّوْبُ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مجمع البحرین</w:t>
      </w:r>
      <w:r>
        <w:rPr>
          <w:rStyle w:val="FootnoteAnchor"/>
          <w:rtl w:val="true"/>
        </w:rPr>
        <w:footnoteReference w:id="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اللوث أمارة یظن بها صدق المدعی فیما ادعاه من القتل کوجود ذی سلاح ملطخ بالدم عند قتیل فی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اللوث هو أن یشهد شاهد واحد علی إقرار المقتول قبل أن یموت أن فلانا قتلنی، أو یشهد شاهدان علی عداوة بینهما أو تهدید منه له أو نحو ذلک، و هو من التلوث التلطخ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تاج العروس من جواهر القاموس</w:t>
      </w:r>
      <w:r>
        <w:rPr>
          <w:rStyle w:val="FootnoteAnchor"/>
          <w:rtl w:val="true"/>
        </w:rPr>
        <w:footnoteReference w:id="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اللَّوْثُ عند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الدَّلَالَةِ و لا یکونُ بَیِّنَةً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کتاب العین</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إدارة الإزار و العمامة و نحوهما مرتین، و الکور فی العمامة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البینة اذا کانت غیر واجدة للشروط او غیر کاملة فانها بمثابة القرینة علی التهمة واللوث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مطرد فی کل موارد عدم استتمام شروط البینة فلا تکون البینة غیر الواجدة الشروط عدیمة الأثر بل موجبة للوث والتهمة</w:t>
      </w:r>
    </w:p>
    <w:p>
      <w:pPr>
        <w:pStyle w:val="BookText"/>
        <w:rPr/>
      </w:pPr>
      <w:r>
        <w:rPr>
          <w:rFonts w:ascii="IRNazanin" w:hAnsi="IRNazanin" w:eastAsia="IRNazanin"/>
          <w:color w:val="111111"/>
          <w:sz w:val="28"/>
          <w:sz w:val="28"/>
          <w:szCs w:val="28"/>
          <w:rtl w:val="true"/>
          <w:lang w:bidi="fa-IR"/>
        </w:rPr>
        <w:t>وهو اثر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 الطریحی ان مطلق الامارة لیس لوث لانه قیدها بکونها موجبة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اللوث ما یلتصق ویحیط بالشخص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الایات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هِیَ راوَدَتْنِی عَنْ نَفْسِی وَ شَهِدَ شاهِدٌ مِنْ أَهْلِها إِنْ کانَ قَمِیصُهُ قُدَّ مِنْ قُبُلٍ فَصَدَقَتْ وَ هُوَ مِنَ الْکاذِبِینَ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قَمِیصُهُ قُدَّ مِنْ دُبُرٍ فَکَذَبَتْ وَ هُوَ مِنَ الصّادِقِینَ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الایة فیها بیان للاعتداد بالقرائن الحالیة وشاهد الحال وانها قد تصل الی درجة العلم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جاؤُ عَلی قَمِیصِهِ بِدَمٍ کَذِبٍ قالَ بَلْ سَوَّلَتْ لَکُمْ أَنْفُسُکُمْ أَمْراً فَصَبْرٌ جَمِیلٌ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وورد فی تفسیرها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عن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یَا رَبِّ اکْتُمْ عَلَیْنَا هَذَا ثُمَّ جَاءُوا إِلَی أَبِیهِمْ عِشاءً یَبْکُونَ وَ مَعَهُمُ الْقَمِیصُ قَدْ لَطَّخُوهُ</w:t>
      </w:r>
    </w:p>
    <w:p>
      <w:pPr>
        <w:pStyle w:val="BookText"/>
        <w:rPr/>
      </w:pPr>
      <w:r>
        <w:rPr>
          <w:rFonts w:ascii="Amiri" w:hAnsi="Amiri" w:eastAsia="Amiri" w:cs="Amiri"/>
          <w:color w:val="111111"/>
          <w:sz w:val="28"/>
          <w:sz w:val="28"/>
          <w:szCs w:val="28"/>
          <w:rtl w:val="true"/>
          <w:lang w:bidi="ar-SA"/>
        </w:rPr>
        <w:t>بِالدَّمِ فَ قالُوا یا أَبانا إِنَّا ذَهَبْنا نَسْتَبِقُ أَیْ نَعْدُو وَ تَرَکْنا یُوسُفَ عِنْدَ مَتاعِنا فَأَکَلَهُ الذِّئْبُ إِلَی قَوْلِهِ عَلی ما تَصِفُونَ ثُمَّ قَالَ یَعْقُوبُ مَا کَانَ أَشَدَّ غَضَبَ ذَلِکَ الذِّئْبِ عَلَی یُوسُفَ وَ أَشْفَقَهُ عَلَی قَمِیصِهِ حَیْثُ أَکَلَ یُوسُفَ وَ لَمْ یَمْزِقْ قَمِیصَهُ قَالَ فَحَمَلُوا یُوسُفَ إِلَی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وبقرینة الروایة یفهم تکذیب دعوی اخوة یوسف من قبل ابیهم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تمزق قمیصه بالرغم من انها امارة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الْقَسَامَةُ لِیُغَلَّظَ بِهَا فِی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بِالشَّرِّ الْمُتَّهَمِ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شَهِدُوا عَلَیْهِ جَازَتْ شَهَادَتُهُمْ‌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وتقیید الموثق موضوع القسامة بالمتهم دال علی اخذ اللوث فی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اعم من بصمات القتل بل یشمل العداوة وکذا القید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الفقیه والوسائل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ضمیمة لقوة اللوث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 مَسْعَدَةَ بْنِ زِیَادٍ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رَضِیَ الله عَنْهُ إِذَا لَمْ</w:t>
      </w:r>
      <w:bookmarkStart w:id="43" w:name="pg13703_133546"/>
    </w:p>
    <w:p>
      <w:pPr>
        <w:pStyle w:val="BookText"/>
        <w:rPr/>
      </w:pPr>
      <w:bookmarkEnd w:id="43"/>
      <w:r>
        <w:rPr>
          <w:rFonts w:ascii="Amiri" w:hAnsi="Amiri" w:eastAsia="Amiri" w:cs="Amiri"/>
          <w:color w:val="111111"/>
          <w:sz w:val="28"/>
          <w:sz w:val="28"/>
          <w:szCs w:val="28"/>
          <w:rtl w:val="true"/>
          <w:lang w:bidi="ar-SA"/>
        </w:rPr>
        <w:t xml:space="preserve">یُقِمِ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التهذیب یقسم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الْمُدَّعُونَ الْبَیِّنَةَ عَلَی قَتْلِ قَتِیلِهِمْ وَ لَمْ یُقْسِمُوا بِأَنَّ الْمُتَّهَمِینَ قَتَلُوهُ حَلَّفَ الْمُتَّهَمِینَ بِالْقَتْلِ خَمْسِینَ یَمِیناً بِالله مَا قَتَلْنَاهُ وَ لَا عَلِمْنَا لَهُ قَاتِلًا ثُمَّ تُؤَدَّی الدِّیَةُ إِلَی أَوْلِیَاءِ الْقَتِیلِ وَ ذَلِکَ إِذَا قُتِلَ فِی حَیٍّ وَاحِدٍ فَأَمَّا إِذَا قُتِلَ فِی عَسْکَرٍ أَوْ سُوقٍ أَوْ مَدِینَةٍ فَدِیَتُهُ تُدْفَعُ إِلَی أَوْلِیَائِهِ مِنْ بَیْتِ الْمَالِ‌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کثیر من الروایات التی وقع فیها المقابلة بین القتیل فی القریة وفی السوق والمکان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ذکره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العمدة ما عرفته من الإجماع السابق، ضرورة منع الإجمال فی الإطلاقات المزبورة الفارقة بین الدماء و الأموال، و صحیح مسعدة لا ظهور فیه فی الاشتراط علی وجه إن لم تحصل أمارة للحاکم لم تشرع القسامة، و لا الخبر الآخر و الفرق المزبور بین قتیل الزحام و غیره إنما هو بالنسبة إلی أداء الدیة لا فی اللوث، کما ستعرفه فی نصوصه، فتأمل جیدا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یتم اذ ان التفصیل فی الموثقة والروایات ناظر الی کل من القتل وثبوت الدیة لا خصوص دفع الدیة</w:t>
      </w:r>
      <w:r>
        <w:rPr>
          <w:rFonts w:eastAsia="IRNazanin" w:cs="IRNazanin"/>
          <w:color w:val="111111"/>
          <w:sz w:val="28"/>
          <w:szCs w:val="28"/>
          <w:rtl w:val="true"/>
          <w:lang w:bidi="fa-IR"/>
        </w:rPr>
        <w:t>.</w:t>
      </w:r>
    </w:p>
    <w:p>
      <w:pPr>
        <w:pStyle w:val="Heading3"/>
        <w:numPr>
          <w:ilvl w:val="2"/>
          <w:numId w:val="1"/>
        </w:numPr>
        <w:rPr/>
      </w:pPr>
      <w:bookmarkStart w:id="44" w:name="__RefHeading___Toc1100962_1468164448"/>
      <w:bookmarkStart w:id="45" w:name="_Toc17"/>
      <w:bookmarkEnd w:id="44"/>
      <w:r>
        <w:rPr>
          <w:rtl w:val="true"/>
        </w:rPr>
        <w:t>تنظیر لهذا الحکم</w:t>
      </w:r>
      <w:r>
        <w:rPr>
          <w:rtl w:val="true"/>
        </w:rPr>
        <w:t>:</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ونظیر هذا التفصیل والتقیید ما رواه علی بن فضیل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رَجُلٌ مَقْتُولٌ فِی قَبِیلَةِ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حَلَفُوا جَمِیعاً مَا قَتَلُوهُ وَ لَا یَعْلَمُونَ</w:t>
      </w:r>
    </w:p>
    <w:p>
      <w:pPr>
        <w:pStyle w:val="BookText"/>
        <w:rPr/>
      </w:pPr>
      <w:r>
        <w:rPr>
          <w:rFonts w:ascii="Amiri" w:hAnsi="Amiri" w:eastAsia="Amiri" w:cs="Amiri"/>
          <w:color w:val="111111"/>
          <w:sz w:val="28"/>
          <w:sz w:val="28"/>
          <w:szCs w:val="28"/>
          <w:rtl w:val="true"/>
          <w:lang w:bidi="ar-SA"/>
        </w:rPr>
        <w:t xml:space="preserve">لَهُ 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أَبَوْا أَنْ یَحْلِفُوا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أُغْرِمُوا الدِّیَةَ فِیمَا بَیْنَهُمْ فِی أَمْوَالِهِمْ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جَمِیعِ الْقَبِیلَةِ مِنَ الرِّجَالِ الْمُدْرِکِینَ‌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وصحیح برید عن ابی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حُقِنَ دِمَاءُ الْمُسْلِمِینَ بِالْقَسَامَةِ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إِذَا رَأَی الْفَاجِرُ الْفَاسِقُ فُرْصَةً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حَجَزَهُ مَخَافَةُ الْقَسَامَةِ أَنْ یُقْتَلَ بِهِ فَکَفَّ عَنْ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حَلَّفَ الْمُدَّعَی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قَسَامَةَ خَمْسِینَ رَجُلًا مَا قَتَلْنَا وَ لَا عَلِمْنَا 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أُغْرِمُوا الدِّیَةَ إِذَا وَجَدُوا قَتِیلًا بَیْنَ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یُقْسِمِ الْمُدَّعُونَ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ومعتبرة أبی بصیر 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فَعَلُوا أَدَّی أَهْلُ الْقَرْیَةِ الَّذِینَ وُجِدَ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بِأَرْضِ فَلَاةٍ أُدِّیَتْ دِیَتُهُ مِنْ بَیْتِ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أَمِیرَ الْمُؤْمِنِینَ علیه السلام کَانَ یَقُولُ لَا یَبْطُلُ دَمُ امْرِئٍ مُسْلِمٍ‌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وجملة من روایات أخری کما فی الباب الثامن والعاشر من أبواب دعوی القتل من کتاب قصاص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زرارة قَالَ أَبُو عَبْدِ الله علیه السلام إِنَّمَا جُعِلَتِ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احْتِیَاطاً لِدِمَاءِ النَّاسِ کَیْمَا إِذَا أَرَادَ الْفَاسِقُ أَنْ یَقْتُلَ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یَغْتَالَ رَجُلًا حَیْثُ لَا یَرَاهُ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ذَلِکَ فَامْتَنَعَ مِنَ الْقَتْلِ‌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صحیح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 الفسق فی الروایة والذی معناه من برز عصیانه وشره یوجب التهمة واللوث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التقیید بالخوف دال علی وجود راس خیط وبصمة کقرینة علی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وَ أَبِی عَبْدِالله علیه السلام أَنَّهُمْ قَالُوا فِی حَدِیثٍ وَ لَا یَجُوزُ شَهَادَةُ النِّسَاءِ فِی الطَّلَاقِ وَ لَا فِی الْحُدُودِ إِلَی أَنْ قَالُوا وَ شَهَادَةُ النِّسَاءِ فِی الْقَتْلِ لَطْخٌ یَکُونُ مَعَ الْقَسَامَةِ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دالة علی ان الشهادة غیر کاملة الشروط وان لم تکن معتبرة فی اثبات القصاص الا انها توجب اللوث کما تدل الروایة علی ان اللوث ماهیته لطخ والتصاق بصمات واثار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یقرر من الروایات الوارة فی القسامة فی لوث اهل القریة ونحوها ان اللوث فی الدیة یکفی فیه درجة اقل من اللوث فی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اثبات القتل بالقسامة علی قاتل مجمل مبهم فی القریة غایته اثبات الدیة لعدم تعین القاتل بخلاف القصاص حیث ان الدعوة فیه لابد ان تکون علی معین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والمحصل فی تعریف اللوث والتهمة انها قرائن مادیة تلصق جنایة القتل وغیره بشخص او اشخاص سواء اکان بوصف العمل ام الاعم منه ومن الخطا</w:t>
      </w:r>
      <w:r>
        <w:rPr>
          <w:rFonts w:eastAsia="IRNazanin" w:cs="IRNazanin"/>
          <w:color w:val="111111"/>
          <w:sz w:val="28"/>
          <w:szCs w:val="28"/>
          <w:rtl w:val="true"/>
          <w:lang w:bidi="fa-IR"/>
        </w:rPr>
        <w:t>.</w:t>
      </w:r>
      <w:bookmarkStart w:id="46" w:name="pg13703_133549"/>
    </w:p>
    <w:p>
      <w:pPr>
        <w:pStyle w:val="Heading3"/>
        <w:numPr>
          <w:ilvl w:val="2"/>
          <w:numId w:val="1"/>
        </w:numPr>
        <w:rPr/>
      </w:pPr>
      <w:bookmarkStart w:id="47" w:name="__RefHeading___Toc1100964_1468164448"/>
      <w:bookmarkStart w:id="48" w:name="_Toc18"/>
      <w:bookmarkEnd w:id="46"/>
      <w:bookmarkEnd w:id="47"/>
      <w:r>
        <w:rPr>
          <w:rtl w:val="true"/>
        </w:rPr>
        <w:t>فوائد اللوث والتهمة</w:t>
      </w:r>
      <w:r>
        <w:rPr>
          <w:rtl w:val="true"/>
        </w:rPr>
        <w:t>:</w:t>
      </w:r>
      <w:bookmarkEnd w:id="48"/>
    </w:p>
    <w:p>
      <w:pPr>
        <w:pStyle w:val="BookText"/>
        <w:rPr/>
      </w:pPr>
      <w:r>
        <w:rPr>
          <w:rFonts w:ascii="IRNazanin" w:hAnsi="IRNazanin" w:eastAsia="IRNazanin"/>
          <w:color w:val="111111"/>
          <w:sz w:val="28"/>
          <w:sz w:val="28"/>
          <w:szCs w:val="28"/>
          <w:rtl w:val="true"/>
          <w:lang w:bidi="fa-IR"/>
        </w:rPr>
        <w:t>من فوائد اللوث والتهمة فی غیر القتل کفائدته فی القتل موضوعا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تقلب المدعی منکرا والمنکر 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القتل یختص بحکم قضائی بالقسامة کما ذکرنا فی بحث القسامة من سند 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ذکروه فی باب الاجارة ونحوها فی باب المعاملات کالودیعة والعاریة ان المتهم ضامن للعین مع التلف او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یخرج بان ید المتهم علی العین لیست مضمونة فهی ضامنة ما لم یثبت عدم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مامونة ولا ماذونة بل العقد والتعاقد بنی علی ضمانها ما لم یثبت عدم التقصیر وهو مضمون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اجیر یعطی الاجرة علی ان یصلح فیفسد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شرط ضمنی لا انه من باب ضمان المتهم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جواز التحری والاستدراج والفحص والمسالة من قبل القاضی للمنکر المتهم مع اللوث وعدم جوازه 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فصلنا ذلک فی تنبیهات بحث القسامة واللوث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یمکن للمنکر اقامة البینة دون الیمین لدفع التهمة عن نفسه بخلاف غیر موارد التهمة فان المتعین علیه الیمین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اللوث والریبة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المتتبع لکلمات اللغویین یقف علی ان الریبة ما تکون منشأ للشک وان لم یکن بدرجة اللوث فالریبة دون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والتهمة اعم منهما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التحری والفحص من قبل القاضی للمتهم باللوث</w:t>
      </w:r>
      <w:bookmarkStart w:id="49" w:name="pg13703_133553"/>
    </w:p>
    <w:p>
      <w:pPr>
        <w:pStyle w:val="Heading2"/>
        <w:numPr>
          <w:ilvl w:val="1"/>
          <w:numId w:val="1"/>
        </w:numPr>
        <w:rPr/>
      </w:pPr>
      <w:bookmarkStart w:id="50" w:name="__RefHeading___Toc1100966_1468164448"/>
      <w:bookmarkStart w:id="51" w:name="_Toc19"/>
      <w:bookmarkEnd w:id="49"/>
      <w:bookmarkEnd w:id="50"/>
      <w:r>
        <w:rPr>
          <w:rtl w:val="true"/>
        </w:rPr>
        <w:t>القاعدة الرابعة</w:t>
      </w:r>
      <w:r>
        <w:rPr>
          <w:rtl w:val="true"/>
        </w:rPr>
        <w:t xml:space="preserve">: </w:t>
      </w:r>
      <w:r>
        <w:rPr>
          <w:rtl w:val="true"/>
        </w:rPr>
        <w:t>فی جواز التحری والفحص من قبل القاضی للمتهم باللوث</w:t>
      </w:r>
      <w:bookmarkEnd w:id="51"/>
    </w:p>
    <w:p>
      <w:pPr>
        <w:pStyle w:val="Heading3"/>
        <w:numPr>
          <w:ilvl w:val="2"/>
          <w:numId w:val="1"/>
        </w:numPr>
        <w:rPr/>
      </w:pPr>
      <w:bookmarkStart w:id="52" w:name="__RefHeading___Toc1100968_1468164448"/>
      <w:bookmarkStart w:id="53" w:name="_Toc20"/>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ادلة القاعدة مع بیان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صحیحة أَبِی بَصِیرٍ یَعْنِی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یُضَمَّنُ الصَّائِغُ وَ لَا الْقَصَّارُ وَ لَا الْحَائِکُ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یَکُونُوا مُتَّهَمِینَ فَیُخَوِّفُ بِالْبَیِّنَةِ وَ یَسْتَحْلِفُ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یَسْتَخْرِجُ مِنْهُ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رَجُلٍ اسْتَأْجَرَ جَمَّالًا فَیَکْسِرُ الَّذِی یَحْمِلُ أَوْ یُهَرِیقُهُ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نَحْوٍ مِنَ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مَأْمُوناً فَلَیْسَ عَلَیْهِ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غَیْرَ مَأْمُونٍ فَهُوَ ضَامِنٌ‌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سَرَقَ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فَکَابَرَ عَنْهَا فَضُرِبَ فَجَاءَ بِهَا بِعَیْنِهَا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یَجِبُ عَلَیْهِ الْقَطْعُ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لَوِ اعْتَرَفَ وَ لَمْ یَجِئْ بِالسَّرِقَةِ لَمْ تُقْطَعْ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اعْتَرَفَ عَلَی الْعَذَابِ‌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وان نفت الحد او فصلت الا ان سکوته عن تعذیب المتهم بلوث یفید بالفحوی انه 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ان استخراج حقیقة الحال باستخراج المستندات المورثه للعلم من المتهم امر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موثق إِسْحَاقَ بْنِ عَمَّارٍ عَنْ جَعْفَرٍ عَنْ أَبِیهِ أَنَّ عَلِیّاً علیه السلام کَانَ یَقُولُ لَا قَطْعَ عَلَی أَحَدٍ یُخَوَّفُ مِنْ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قَیْدٍ وَ لَا سِجْنٍ وَ لَا تَعْنِیفٍ إِلَّا أَنْ یَعْتَرِفَ فَإِنِ اعْتَرَفَ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یَعْتَرِفْ سَقَطَ عَنْهُ لِمَکَانِ التَّخْوِیفِ‌</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وموردها هو ان الاعتراف بعد الاقرار اکراها یعتد به فالاعتراف الطوعی ولو جاء عقب الإقرار الاکراهی لا یخدش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معتبرة عَمْرِو بْنِ أَبِی الْمِقْدَامِ أَنَّ رَجُلًا قَالَ لِأَبِی جَعْفَرٍ الْمَنْصُورِ وَهُوَ یَطُوفُ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إِنَّ هَذَیْنِ الرَّجُلَیْنِ طَرَقَا أَخِی 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فَأَخْرَجَاهُ مِنْ مَنْزِلِهِ فَلَمْ یَرْجِعْ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الله مَا أَدْرِی مَا صَنَعَا بِهِ فَقَالَ لَهُمَا مَا صَنَعْتُمَا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یَا أَمِیرَ الْمُؤْمِنِینَ کَلَّمْنَاهُ ثُمَّ رَجَعَ إِلَی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فَقَالَ لِأَبِی عَبْدِ الله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بَیْنَهُمْ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غُلَامُ اکْتُبْ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کُلُّ مَنْ طَرَقَ رَجُلًا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مِنْ مَنْزِلِهِ فَهُوَ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یُقِیمَ عَلَیْهِ الْبَیِّنَةَ أَنَّهُ قَدْ رَدَّهُ إِلَی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نَحِّ</w:t>
      </w:r>
    </w:p>
    <w:p>
      <w:pPr>
        <w:pStyle w:val="BookText"/>
        <w:rPr/>
      </w:pPr>
      <w:r>
        <w:rPr>
          <w:rFonts w:ascii="Amiri" w:hAnsi="Amiri" w:eastAsia="Amiri" w:cs="Amiri"/>
          <w:color w:val="111111"/>
          <w:sz w:val="28"/>
          <w:sz w:val="28"/>
          <w:szCs w:val="28"/>
          <w:rtl w:val="true"/>
          <w:lang w:bidi="ar-SA"/>
        </w:rPr>
        <w:t xml:space="preserve">هَذَا فَاضْرِبْ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أَنَا قَتَلْتُهُ وَ لَکِنِّی أَمْسَکْتُهُ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هَذَا فَوَجَأَهُ فَقَتَلَهُ فَقَالَ أَنَا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نَحِّ هَذَا فَاضْرِبْ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عُنُقَهُ لِلْآخَرِ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یَا ابْنَ رَسُولِ الله مَا عَذَّبْتُهُ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لَکِنِّی قَتَلْتُهُ بِضَرْبَةٍ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أَخَاهُ فَضَرَبَ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بِالْآخَرِ فَضَرَبَ جَنْبَیْهِ وَ حَبَسَهُ فِی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عَلَی رَأْسِهِ یُحْبَسُ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یُضْرَبُ فِی کُلِّ سَنَةٍ خَمْسِینَ جَلْدَةً‌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الروایة انه علیه السلام هدده واوهمه بحکم القتل فاعترف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معتبرة سَعْدُ بْنُ طَرِیفٍ عَنِ الْأَصْبَغِ بْنِ نُبَاتَةَ قَالَ أُتِیَ عُمَرُ بْنُ الْخَطَّابِ بِجَارِیَةٍ فَشَهِدَ عَلَیْهَا شُهُودٌ أَنَّهَا بَغَتْ وَ کَانَ مِنْ قِصَّتِهَا أَنَّهَا کَانَتْ یَتِیمَةً عِنْدَ رَجُلٍ وَ کَانَ لِلرَّجُلِ امْرَأَةٌ وَ کَانَ الرَّجُلُ کَثِیراً مَا یَغِیبُ عَنْ أَهْلِهِ فَشَبَّتِ الْیَتِیمَةُ وَ کَانَتْ جَمِیلَةً فَتَخَوَّفَتِ الْمَرْأَةُ أَنْ یَتَزَوَّجَهَا زَوْجُهَا إِذَا رَجَعَ إِلَی مَنْزِلِهِ فَدَعَتْ بِنِسْوَةٍ مِنْ جِیرَانِهَا فَأَمْسَکْنَهَا ثُمَّ اقْتَضَّتْهَا بِإِصْبَعِهَا فَلَمَّا قَدِمَ زَوْجُهَا سَأَلَ امْرَأَتَهُ عَنِ الْیَتِیمَةِ فَرَمَتْهَا بِالْفَاحِشَةِ وَ أَقَامَتِ الْبَیِّنَةَ مِنْ جِیرَانِهَا عَلَی ذَلِکَ قَالَ فَرُفِعَ ذَلِکَ إِلَی عُمَرَ بْنِ الْخَطَّابِ فَلَمْ یَدْرِ کَیْفَ یَقْضِی فِی ذَلِکَ فَقَالَ لِلرَّجُلِ اذْهَبْ بِهَا إِلَی عَلِیِّ بْنِ أَبِی طَالِبٍ فَأَتَوْا عَلِیّاً وَ قَصُّوا عَلَیْهِ الْقِصَّةَ فَقَالَ لِامْرَأَةِ الرَّجُلِ أَ لَکِ بَیِّنَةٌ قَالَتْ نَعَمْ هَؤُلَاءِ جِیرَان یَشْهَدْنَ عَلَیْهَا بِمَا أَقُولُ فَأَخْرَجَ عَلِیٌّ علیه السلام السَّیْفَ مِنْ غِمْدِهِ وَ طَرَحَهُ بَیْنَ یَدَیْهِ ثُمَّ أَمَرَ بِکُلِّ وَاحِدَةٍ مِنَ الشُّهُودِ</w:t>
      </w:r>
    </w:p>
    <w:p>
      <w:pPr>
        <w:pStyle w:val="BookText"/>
        <w:rPr/>
      </w:pPr>
      <w:r>
        <w:rPr>
          <w:rFonts w:ascii="Amiri" w:hAnsi="Amiri" w:eastAsia="Amiri" w:cs="Amiri"/>
          <w:color w:val="111111"/>
          <w:sz w:val="28"/>
          <w:sz w:val="28"/>
          <w:szCs w:val="28"/>
          <w:rtl w:val="true"/>
          <w:lang w:bidi="ar-SA"/>
        </w:rPr>
        <w:t>فَأُدْخِلَتْ بَیْتاً ثُمَّ دَعَا بِامْرَأَةِ الرَّجُلِ فَأَدَارَهَا بِکُلِّ وَجْهٍ فَأَبَتْ أَنْ تَزُولَ عَنْ قَوْلِهَا فَرَدَّهَا إِلَی الْبَیْتِ الَّذِی کَانَتْ فِیهِ ثُمَّ دَعَا بِإِحْدَی الشُّهُودِ وَ جَثَا عَلَی رُکْبَتَیْهِ وَ قَالَ لَهَا أَ تَعْرِفِینِی أَنَا عَلِیُّ بْنُ أَبِی طَالِبٍ وَ هَذَا سَیْفِی وَ قَدْ قَالَتِ امْرَأَةُ الرَّجُلِ مَا قَالَتْ وَ رَجَعَتْ إِلَی الْحَقِّ وَ أَعْطَیْتُهَا الْأَمَانَ فَاصْدُقِینِی وَ إِلَّا مَلَأْتُ سَیْفِی مِنْکِ فَالْتَفَتَتِ الْمَرْأَةُ إِلَی عَلِیٍّ فَقَالَتْ یَا أَمِیرَ الْمُؤْمِنِینَ الْأَمَانَ عَلَی الصِّدْقِ فَقَالَ لَهَا عَلِیٌّ علیه السلام فَاصْدُقِی فَقَالَتْ لَا وَ الله مَا زَنَتِ الْیَتِیمَةُ وَ لَکِنِ امْرَأَةُ الرَّجُلِ لَمَّا رَأَتْ حُسْنَهَا وَ جَمَالَهَا وَ هَیْئَتَهَا خَافَتْ فَسَادَ زَوْجِهَا فَسَقَتْهَا الْمُسْکِرَ وَ دَعَتْنَا فَأَمْسَکْنَاهَا فَاقْتَضَّتْهَا بِإِصْبَعِهَا فَقَالَ عَلِیٌّ علیه السلام الله أَکْبَرُ الله أَکْبَرُ أَنَا أَوَّلُ مَنْ فَرَّقَ بَیْنَ الشُّهُودِ إِلَّا دَانِیَال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وروها الشیخ الکلینی بسند صحیح عن معاویة بن وهب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الروایة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بِأَسَانِیدِهِ السَّابِقَةِ إِلَی کِتَابِ ظَرِیفٍ عَنْ أَمِیرِ الْمُؤْمِنِینَ علیه السلام مِثْلَهُ إِلَّا أَنَّهُ قَالَ وَ أَفْتَی علیه السلام فِیمَنْ لَمْ یَکُنْ لَهُ مَنْ یَحْلِفُ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یُوثَقْ بِهِ عَلَی مَا ذَهَبَ مِنْ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یُضَاعَفُ عَلَیْهِ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سُدُسَ بَصَرِهِ حَلَفَ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الثُّلُثَ حَلَفَ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النِّصْفَ حَلَفَ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الثُّلُثَیْنِ حَلَفَ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خَمْسَةَ أَسْدَاسٍ حَلَفَ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بَصَرَهُ کُلَّهُ حَلَفَ سِتَّ مَرَّاتٍ ثُمَّ یُعْطِی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أَبَی أَنْ یَحْلِفَ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یُعْطَ إِلَّا مَا حَلَفَ عَلَیْهِ وَ وُثِقَ مِنْهُ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الْوَالِی یَسْتَعِینُ فِی ذَلِکَ بِالسُّؤَالِ وَ النَّظَرِ وَ 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الْقِصَاصِ وَ الْحُدُودِ وَ الْقَوَدِ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54" w:name="pg13703_133557"/>
    </w:p>
    <w:p>
      <w:pPr>
        <w:pStyle w:val="BookText"/>
        <w:rPr/>
      </w:pPr>
      <w:bookmarkEnd w:id="54"/>
      <w:r>
        <w:rPr>
          <w:rFonts w:ascii="IRNazanin" w:hAnsi="IRNazanin" w:eastAsia="IRNazanin"/>
          <w:color w:val="111111"/>
          <w:sz w:val="28"/>
          <w:sz w:val="28"/>
          <w:szCs w:val="28"/>
          <w:rtl w:val="true"/>
          <w:lang w:bidi="fa-IR"/>
        </w:rPr>
        <w:t>ومفادها مشروعیة تحری القاضی بتوسط الوالی ابتداء فی باب القصاص والحدود والدیات سواء فی النفوس ام الجروح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یستفاد منها استعانة القاضی بالوالی فی التحری کما هو الحال فی القانون الوضعی الجاری</w:t>
      </w:r>
      <w:r>
        <w:rPr>
          <w:rFonts w:eastAsia="IRNazanin" w:cs="IRNazanin"/>
          <w:color w:val="111111"/>
          <w:sz w:val="28"/>
          <w:szCs w:val="28"/>
          <w:rtl w:val="true"/>
          <w:lang w:bidi="fa-IR"/>
        </w:rPr>
        <w:t>.</w:t>
      </w:r>
    </w:p>
    <w:p>
      <w:pPr>
        <w:pStyle w:val="Heading3"/>
        <w:numPr>
          <w:ilvl w:val="2"/>
          <w:numId w:val="1"/>
        </w:numPr>
        <w:rPr/>
      </w:pPr>
      <w:bookmarkStart w:id="55" w:name="__RefHeading___Toc1100970_1468164448"/>
      <w:bookmarkStart w:id="56" w:name="_Toc21"/>
      <w:bookmarkEnd w:id="55"/>
      <w:r>
        <w:rPr>
          <w:rtl w:val="true"/>
        </w:rPr>
        <w:t>فائدة جانبیة</w:t>
      </w:r>
      <w:r>
        <w:rPr>
          <w:rtl w:val="true"/>
        </w:rPr>
        <w:t>:</w:t>
      </w:r>
      <w:bookmarkEnd w:id="5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امیر المومنین علیه السلام جلها تحریات وتحقیقات ومفادها ظاهر بوضوح انها فی مقام استخراج الحال والحقیقة فی موارد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یظهر من بعض اقضیة امیر المومنین جواز تحری القاضی وان لم یکن فی البین لوث بقرینة خاصة فتکفی ادنی درجات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هذه الروایة والروایات الاتیة جواز الاخافة والتهدید النفسی والارعاب النفسانی فی مورد التحری القضائی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المکایدة لاجل استلال حقیقة الحال من لسان المتهم والشهود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التدقیق بالقرائن والتثبت بدقة منها ومقارنة إفادات الشهود الاخرین لاستکشاف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تفریق الشهود لاجل استکشاف صدق افاداتهم وتطابقها او عدم تطابقها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 استفادة واستعمال مطلق الطرق المحللة العقلائیة لاستکشاف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علیه السلام اعتمد علی الیات متعددة بحسب الموضوعات لکشف الخداع والتلبیس وإظهار الحقیقة فی کل مورد وموضوع وکل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النقاط وغیرها واضحة فی الروایات التی تنقل جملة من قضایا امیر المومنین علیه السلام فی أسالیب التحری القضائی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منها مع تعلیق علی 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مرفوعة علی بن إبراهیم عن بعض أصحابه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أُتِیَ أَمِیرُ الْمُؤْمِنِینَ علیه السلام بِرَجُلٍ وُجِدَ فِی 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بِیَدِهِ سِکِّینٌ مُلَطَّخٌ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رَجُلٌ مَذْبُوحٌ یَتَشَحَّطُ فِی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قَتَلْتُهُ قَالَ اذْهَبُوا بِهِ فَأَقِیدُوهُ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أَقْبَلَ رَجُلٌ مُسْرِعٌ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حَمَلَکَ عَلَی إِقْرَارِکَ عَلَی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مَا کُنْتُ أَسْتَطِیعُ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شَهِدَ عَلَیَّ أَمْثَالُ هَؤُلَاءِ الرِّجَالِ وَ أَخَذُونِی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بِیَدِی سِکِّینٌ مُلَطَّخٌ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یَتَشَحَّطُ فِی دَمِهِ وَ أَنَا قَائِمٌ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الضَّرْبَ فَأَقْرَرْتُ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رَجُلٌ کُنْتُ ذَبَحْتُ بِجَنْبِ هَذِهِ الْخَرِبَةِ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أَخَذَنِی الْبَوْلُ فَدَخَلْتُ الْخَرِبَةَ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الرَّجُلَ مُتَشَحِّطاً فِی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مُتَعَجِّباً فَدَخَلَ عَلَیَّ هَؤُلَاءِ فَأَخَذُونِی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خُذُوا هَذَیْنِ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فَاذْهَبُوا بِهِمَا إِلَی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لَهُ مَا الْحُکْمُ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فَذَهَبُوا إِلَی الْحَسَنِ وَ قَصُّوا عَلَیْهِ قِصَّتَهُمَا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علیه السلام قُولُوا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هَذَا ذَبَحَ ذَاکَ فَقَدْ أَحْیَا هَذَا وَ قَدْ قَالَ الله عَزَّ وَ جَلَّ وَ مَنْ أَحْیاها فَکَأَنَّما</w:t>
      </w:r>
    </w:p>
    <w:p>
      <w:pPr>
        <w:pStyle w:val="BookText"/>
        <w:rPr/>
      </w:pPr>
      <w:r>
        <w:rPr>
          <w:rFonts w:ascii="Amiri" w:hAnsi="Amiri" w:eastAsia="Amiri" w:cs="Amiri"/>
          <w:color w:val="111111"/>
          <w:sz w:val="28"/>
          <w:sz w:val="28"/>
          <w:szCs w:val="28"/>
          <w:rtl w:val="true"/>
          <w:lang w:bidi="ar-SA"/>
        </w:rPr>
        <w:t xml:space="preserve">أَحْیَا النّاسَ جَمِیعاً یُخَلَّی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دِیَةُ الْمَذْبُوحِ مِنْ بَیْتِ الْمَالِ</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شرح شطر من الروایة اذ انها احد وجوه قاعدة اخذ المتهم باللوث بالدیة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سند القصاص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واجمالا یستفاد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مفاد الروایة ما ذکرنا من نظیره فی مسالة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القصاص من ان بعض الافعال ینزلها الشارع منزلة فعل اخر نظیر قصاص ولی المقتول من الجانی بضربة علی رقبته ولم تزهق روحه فجعل هذا الفعل بمنزلة قصاص النفس کما فی روایة ابان التی افتی بها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فی الهارب الذی اقر بالزنا فان اقراره بالزنا وتمکینه نفسه توطینا علی الحد اعتبره الشارع بمثابة اقامة للحد وکذا فی المقام فان اقرار الثانی وتمکینه نفسه بمثابة قصاص تنزیلی فتثبت الدیة من بیت المال لانقاذ المقر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معتبرة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أَمِیرُ الْمُؤْمِنِینَ علیه السلام الْمَسْجِدَ فَاسْتَقْبَلَهُ شَابٌّ یَبْکِی وَ حَوْلَهُ قَوْمٌ یُسْکِتُونَهُ فَقَالَ عَلِیٌّ علیه السلام مَا أَبْکَاکَ فَقَالَ یَا أَمِیرَ الْمُؤْمِنِینَ إِنَّ شُرَیْحاً قَضَی عَلَیَّ بِقَضِیَّةٍ مَا أَدْرِی مَا هِیَ إِنَّ هَؤُلَاءِ النَّفَرَ خَرَجُوا بِأَبِی مَعَهُمْ فِی السَّفَرِ فَرَجَعُوا وَ لَمْ یَرْجِعْ أَبِی فَسَأَلْتُهُمْ عَنْهُ فَقَالُوا مَاتَ فَسَأَلْتُهُمْ عَنْ مَالِهِ فَقَالُوا مَا تَرَکَ مَالًا فَقَدَّمْتُهُمْ إِلَی شُرَیْحٍ فَاسْتَحْلَفَهُمْ وَ قَدْ عَلِمْتُ یَا أَمِیرَ الْمُؤْمِنِینَ أَنَّ أَبِی خَرَجَ وَ مَعَهُ مَالٌ کَثِیرٌ فَقَالَ لَهُمْ أَمِیرُ الْمُؤْمِنِینَ علیه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ارْجِعُوا فَرَجَعُوا وَ الْفَتَی مَعَهُمْ إِلَی شُرَیْحٍ فَقَالَ لَهُ أَمِیرُ الْمُؤْمِنِینَ علیه السلام یَا شُرَیْحُ کَیْفَ قَضَیْتَ بَیْنَ هَؤُلَاءِ فَقَالَ یَا أَمِیرَ الْمُؤْمِنِینَ ادَّعَی هَذَا الْفَتَی عَلَی هَؤُلَاءِ النَّفَرِ أَنَّهُمْ خَرَجُوا فِی سَفَرٍ وَ أَبُوهُ مَعَهُمْ فَرَجَعُوا وَ لَمْ یَرْجِعْ أَبُوهُ فَسَأَلْتُهُمْ عَنْهُ فَقَالُوا مَاتَ فَسَأَلْتُهُمْ عَنْ مَالِهِ فَقَالُوا مَا خَلَّفَ مَالًا فَقُلْتُ لِلْفَتَی هَلْ لَکَ بَیِّنَةٌ عَلَی مَا تَدَّعِی فَقَالَ لَا فَاسْتَحْلَفْتُهُمْ فَحَلَفُوا فَقَالَ أَمِیرُ الْمُؤْمِنِینَ علیه السلام هَیْهَاتَ یَا شُرَیْحُ هَکَذَا تَحْکُمُ فِی مِثْلِ هَذَا فَقَالَ یَا أَمِیرَ الْمُؤْمِنِینَ فَکَیْفَ فَقَالَ أَمِیرُ الْمُؤْمِنِینَ علیه السلام وَ الله لَأَحْکُمَنَّ فِیهِمْ بِحُکْمٍ مَا حَکَمَ بِهِ خَلْقٌ قَبْلِی إِلَّا دَاوُدُ النَّبِیُّ علیه السلام یَا قَنْبَرُ ادْعُ لِی شُرْطَةَ الْخَمِیسِ فَدَعَاهُمْ فَوَکَّلَ بِکُلِّ رَجُلٍ مِنْهُمْ رَجُلًا مِنَ الشُّرْطَةِ ثُمَّ نَظَرَ إِلَی وُجُوهِهِمْ فَقَالَ مَا ذَا تَقُولُونَ أَ تَقُولُونَ إِنِّی لَا أَعْلَمُ مَا صَنَعْتُمْ بِأَبِی هَذَا الْفَتَی إِنِّی إِذاً لَجَاهِلٌ ثُمَّ قَالَ فَرِّقُوهُمْ وَ غَطُّوا رُءُوسَهُمْ قَالَ فَفُرِّقَ بَیْنَهُمْ وَ أُقِیمَ کُلُّ رَجُلٍ مِنْهُمْ إِلَی أُسْطُوَانَةٍ مِنْ أَسَاطِینِ الْمَسْجِدِ وَ رُءُوسُهُمْ مُغَطَّاةٌ بِثِیَابِهِمْ ثُمَّ دَعَا بِعُبَیْدِ الله بْنِ أَبِی رَافِعٍ کَاتِبِهِ فَقَالَ هَاتِ صَحِیفَةً وَ دَوَاةً وَ جَلَسَ أَمِیرُ الْمُؤْمِنِینَ صَلَوَاتُ الله عَلَیْهِ فِی مَجْلِسِ الْقَضَاءِ وَ جَلَسَ النَّاسُ إِلَیْهِ فَقَالَ لَهُمْ إِذَا أَنَا کَبَّرْتُ فَکَبِّرُوا ثُمَّ قَالَ لِلنَّاسِ اخْرُجُوا ثُمَّ دَعَا بِوَاحِدٍ مِنْهُمْ فَأَجْلَسَهُ بَیْنَ یَدَیْهِ وَ کَشَفَ عَنْ وَجْهِهِ ثُمَّ قَالَ لِعُبَیْدِ الله بْنِ أَبِی رَافِعٍ اکْتُبْ إِقْرَارَهُ وَ مَا یَقُولُ ثُمَّ أَقْبَلَ عَلَیْهِ بِالسُّؤَالِ فَقَالَ لَهُ أَمِیرُ الْمُؤْمِنِینَ علیه السلام فِی أَیِّ یَوْمٍ خَرَجْتُمْ مِنْ مَنَازِلِکُمْ وَ أَبُو هَذَا الْفَتَی مَعَکُمْ فَقَالَ الرَّجُلُ فِی یَوْمِ کَذَا وَ کَذَا قَالَ وَ فِی أَیِّ شَهْرٍ قَالَ فِی شَهْرِ کَذَا وَ کَذَا قَالَ فِی أَیِّ سَنَةٍ قَالَ فِی سَنَةِ کَذَا وَ کَذَا قَالَ وَ إِلَی أَیْنَ بَلَغْتُمْ فِی سَفَرِکُمْ حَتَّی مَاتَ أَبُو هَذَا الْفَتَی قَالَ إِلَی مَوْضِعِ کَذَا وَ کَذَا قَالَ وَ فِی مَنْزِلِ مَنْ مَاتَ قَالَ فِی مَنْزِلِ فُلَانِ بْنِ فُلَانٍ قَالَ وَ مَا کَانَ مَرَضُهُ قَالَ کَذَا وَ کَذَا قَالَ وَ کَمْ یَوْماً مَرِضَ قَالَ کَذَا وَ کَذَا قَالَ فَفِی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یَوْمٍ مَاتَ وَ مَنْ غَسَّلَهُ وَ مَنْ کَفَّنَهُ وَ بِمَا کَفَّنْتُمُوهُ وَ مَنْ صَلَّی عَلَیْهِ وَ مَنْ نَزَلَ قَبْرَهُ فَلَمَّا سَأَلَهُ عَنْ جَمِیعِ مَا یُرِیدُ کَبَّرَ أَمِیرُ الْمُؤْمِنِینَ علیه السلام وَ کَبَّرَ النَّاسُ جَمِیعاً فَارْتَابَ أُولَئِکَ الْبَاقُونَ وَ لَمْ یَشُکُّوا أَنَّ صَاحِبَهُمْ قَدْ أَقَرَّ عَلَیْهِمْ وَ عَلَی نَفْسِهِ فَأَمَرَ أَنْ یُغَطَّی رَأْسُهُ وَ یُنْطَلَقَ بِهِ إِلَی السِّجْنِ ثُمَّ دَعَا بِآخَرَ فَأَجْلَسَهُ بَیْنَ یَدَیْهِ وَ کَشَفَ عَنْ وَجْهِهِ ثُمَّ قَالَ کَلَّا زَعَمْتُمْ أَنِّی لَا أَعْلَمُ مَا صَنَعْتُمْ فَقَالَ یَا أَمِیرَ الْمُؤْمِنِینَ مَا أَنَا إِلَّا وَاحِدٌ مِنَ الْقَوْمِ وَ لَقَدْ کُنْتُ کَارِهاً لِقَتْلِهِ فَأَقَرَّ ثُمَّ دَعَا بِوَاحِدٍ بَعْدَ وَاحِدٍ کُلُّهُمْ یُقِرُّ بِالْقَتْلِ وَ أَخْذِ الْمَالِ ثُمَّ رَدَّ الَّذِی کَانَ أَمَرَ بِهِ إِلَی السِّجْنِ فَأَقَرَّ أَیْضاً فَأَلْزَمَهُمُ الْمَالَ وَ الدَّمَ فَقَالَ شُرَیْحٌ یَا أَمِیرَ الْمُؤْمِنِینَ وَ کَیْفَ حَکَمَ دَاوُدُ النَّبِیُّ علیه السلام فَقَالَ إِنَّ دَاوُدَ النَّبِیَّ علیه السلام مَرَّ بِغِلْمَةٍ یَلْعَبُونَ وَ یُنَادُونَ بَعْضَهُمْ بِیَا مَاتَ الدِّینُ فَیُجِیبُ مِنْهُمْ غُلَامٌ فَدَعَاهُمْ دَاوُدُ علیه السلام فَقَالَ یَا غُلَامُ مَا اسْمُکَ قَالَ مَاتَ الدِّینُ فَقَالَ لَهُ دَاوُدُ علیه السلام مَنْ سَمَّاکَ بِهَذَا الِاسْمِ فَقَالَ أُمِّی فَانْطَلَقَ دَاوُدُ علیه السلام إِلَی أُمِّهِ فَقَالَ لَهَا یَا أَیَّتُهَا الْمَرْأَةُ مَا اسْمُ ابْنِکِ هَذَا قَالَتْ مَاتَ الدِّینُ فَقَالَ لَهَا وَ مَنْ سَمَّاهُ بِهَذَا قَالَتْ أَبُوهُ قَالَ وَ کَیْفَ کَانَ ذَاکِ قَالَتْ إِنَّ أَبَاهُ خَرَجَ فِی سَفَرٍ لَهُ وَ مَعَهُ قَوْمٌ وَ هَذَا الصَّبِیُّ حَمْلٌ فِی بَطْنِی فَانْصَرَفَ الْقَوْمُ وَ لَمْ یَنْصَرِفْ زَوْجِی فَسَأَلْتُهُمْ عَنْهُ فَقَالُوا مَاتَ فَقُلْتُ لَهُمْ فَأَیْنَ مَا تَرَکَ قَالُوا لَمْ یُخَلِّفْ شَیْئاً فَقُلْتُ هَلْ أَوْصَاکُمْ بِوَصِیَّةٍ قَالُوا نَعَمْ زَعَمَ أَنَّکِ حُبْلَی فَمَا وَلَدْتِ مِنْ وَلَدٍ جَارِیَةٍ أَوْ غُلَامٍ فَسَمِّیهِ مَاتَ الدِّینُ فَسَمَّیْتُهُ قَالَ دَاوُدُ علیه السلام وَ تَعْرِفِینَ الْقَوْمَ الَّذِینَ کَانُوا خَرَجُوا مَعَ زَوْجِکِ قَالَتْ نَعَمْ قَالَ فَأَحْیَاءٌ هُمْ أَمْ أَمْوَاتٌ قَالَتْ بَلْ أَحْیَاءٌ قَالَ فَانْطَلِقِی بِنَا إِلَیْهِمْ ثُمَّ مَضَی مَعَهَا فَاسْتَخْرَجَهُمْ مِنْ مَنَازِلِهِمْ فَحَکَمَ بَیْنَهُمْ بِهَذَا الْحُکْمِ بِعَیْنِهِ وَ أَثْبَتَ عَلَیْهِمُ الْمَالَ وَ الدَّمَ وَ قَالَ لِلْمَرْأَةِ سَمِّی ابْنَکِ هَذَا عَاشَ الدِّینُ ثُمَّ إِنَّ الْفَتَی وَ الْقَوْمَ اخْتَلَفُوا فِی مَالِ الْفَتَی کَمْ کَانَ فَأَخَذَ أَمِیرُ الْمُؤْمِنِینَ علیه السلام خَاتَمَهُ و</w:t>
      </w:r>
    </w:p>
    <w:p>
      <w:pPr>
        <w:pStyle w:val="BookText"/>
        <w:rPr/>
      </w:pPr>
      <w:r>
        <w:rPr>
          <w:rFonts w:ascii="Amiri" w:hAnsi="Amiri" w:eastAsia="Amiri" w:cs="Amiri"/>
          <w:color w:val="111111"/>
          <w:sz w:val="28"/>
          <w:sz w:val="28"/>
          <w:szCs w:val="28"/>
          <w:rtl w:val="true"/>
          <w:lang w:bidi="ar-SA"/>
        </w:rPr>
        <w:t xml:space="preserve">َجَمِیعَ خَوَاتِیمِ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أَجِیلُوا هَذَا السِّهَامَ فَأَیُّکُمْ أَخْرَجَ خَاتَمِی فَهُوَ صَادِقٌ فِی دَعْوَاهُ لِأَنَّهُ سَهْمُ الله وَ سَهْمُ الله لَا یَخِیبُ</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الروایة تدل ان علم التحری ومهارة التحری علم ممضی من الشارع فی موارد الریبة مع کونه طرفا 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قاعدة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الصحیح الی عمر بن یزید عن أَبِی الْمُعَلَّی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بْنُ الْخَطَّابِ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تَعَلَّقَتْ بِرَجُلٍ مِنَ الْأَنْصَارِ وَ کَانَتْ تَهْوَاهُ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تَقْدِرْ لَهُ عَلَی حِیلَةٍ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وَ أَخَذَتْ 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مِنْهَا الصُّفْرَةَ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صَبَّتِ الْبَیَاضَ عَلَی ثِیَابِهَا بَیْنَ فَخِذَیْهَا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إِلَی عُمَرَ فَقَالَتْ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أَخَذَنِی فِی مَوْضِعِ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فَفَضَحَنِی قَالَ فَهَمَّ عُمَرُ أَنْ یُعَاقِبَ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الْأَنْصَارِیُّ یَحْلِفُ وَ أَمِیرُ الْمُؤْمِنِینَ علیه السلام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یَا أَمِیرَ الْمُؤْمِنِینَ تَثَبَّتْ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أَکْثَرَ الْفَتَی قَالَ عُمَرُ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 یَا أَبَا الْحَسَنِ فَنَظَرَ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بَیَاضٍ عَلَی ثَوْبِ الْمَرْأَةِ وَ بَیْنَ فَخِذَیْهَا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فَاتَّهَمَهَا أَنْ تَکُونَ احْتَالَتْ 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ائْتُونِی بِمَاءٍ حَارٍّ قَدْ أُغْلِیَ غَلَیَاناً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فَلَمَّا أُتِیَ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فَصَبُّوا عَلَی مَوْضِعِ الْبَیَاضِ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فَاشْتَوَی ذَلِکَ الْبَیَاضُ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أَمِیرُ الْمُؤْمِنِینَ علیه السلام فَأَلْقَاهُ فِی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طَعْمَهُ أَلْقَاهُ مِنْ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عَلَی الْمَرْأَةِ حَتَّی أَقَرَّتْ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الله عَزَّ وَ جَلَّ عَنِ الْأَنْصَارِیِّ عُقُوبَةَ عُمَرَ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فَاتَّهَمَهَا أَنْ تَکُونَ احْتَالَتْ 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دلالة علی ان التحریات والتحقیقات موضوعها المسوغ لها ادنی الاسترابة والریبة الحادثة للقاضی من دعوی احد المتنازعین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روایة عَاصِمِ بْنِ ضَمْرَةَ السَّلُولِیِّ فِی حَدِیثٍ أَنَّ غُلَاماً ادَّعَی عَلَی امْرَأَةٍ أَنَّهَا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فَأَنْکَرَتْ فَقَالَ عُمَرُ عَلَیَّ بِأُمِّ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بِهَا مَعَ أَرْبَعِ إِخْوَةٍ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أَرْبَعِینَ قَسَامَةً یَشْهَدُونَ أَنَّهَا لَا تَعْرِفُ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الْغُلَامَ غُلَامٌ مُدَّعٍ غَشُومٌ 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یَفْضَحَهَا فِی عَشِیرَتِهَا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هَذِهِ جَارِیَةٌ مِنْ قُرَیْشٍ لَمْ تَتَزَوَّجْ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بِخَاتَمِ رَبِّهَا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لِی أَنْ أَقْضِیَ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سُبْحَانَ الله کَیْفَ لَا وَ قَدْ سَمِعْتُ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أَعْلَمُکُمْ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لِلْمَرْأَةِ أَ لَکِ شُهُودٌ قَالَتْ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الْأَرْبَعُونَ قَسَامَةً فَشَهِدُوا بِالشَّهَادَةِ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لَأَقْضِیَنَّ الْیَوْمَ بَیْنَکُمْ بِقَضِیَّةٍ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مَرْضَاةُ الرَّبِّ مِنْ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عَلَّمَنِیهَا حَبِیبِی رَسُولُ الله صلی الله علیه و آله ثُمَّ قَالَ لَهَا أَ لَکِ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نَعَمْ هَؤُلَاءِ إِخْوَتِی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لِإِخْوَتِهَا أَمْرِی فِیکُمْ وَ فِی أُخْتِکُمْ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نَعَمْ قَالَ 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مَنْ حَضَرَ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قَدْ زَوَّجْتُ هَذِهِ الْجَارِیَةَ مِنْ هَذَا الْغُلَامِ بِأَرْبَعِمِائَةِ دِرْهَمٍ وَ النَّقْدُ مِنْ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قَنْبَرُ عَلَیَّ بِالدَّرَاهِمِ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قَنْبَرُ بِهَا فَصَبَّهَا فِی یَدِ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خُذْهَا فَصُبَّهَا فِی حَجْرِ امْرَأَتِکَ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تَأْتِنِی إِلَّا وَ بِکَ أَثَرُ الْعُرْسِ یَعْنِی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الْغُلَامُ فَصَبَّ الدَّرَاهِمَ فِی حَجْرِ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تَلَبَّبَهَا فَقَالَ لَهَا قُومِی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 الْمَرْأَةُ النَّارَ النَّارَ یَا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أَنْ تُزَوِّجَنِی مِنْ وَلَدِی</w:t>
      </w:r>
    </w:p>
    <w:p>
      <w:pPr>
        <w:pStyle w:val="BookText"/>
        <w:rPr/>
      </w:pPr>
      <w:r>
        <w:rPr>
          <w:rFonts w:ascii="Amiri" w:hAnsi="Amiri" w:eastAsia="Amiri" w:cs="Amiri"/>
          <w:color w:val="111111"/>
          <w:sz w:val="28"/>
          <w:sz w:val="28"/>
          <w:szCs w:val="28"/>
          <w:rtl w:val="true"/>
          <w:lang w:bidi="ar-SA"/>
        </w:rPr>
        <w:t xml:space="preserve">هَذَا وَ الله وَلَدِی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زَوَّجَنِی إِخْوَتِی هَجِیناً فَوَلَدْتُ مِنْهُ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تَرَعْرَعَ وَ شَبَّ أَمَرُونِی أَنْ أَنْتَفِیَ مِنْهُ وَ أَطْرُدَهُ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الله وَلَدِی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 لعمر اتاذن لی ان اقضی بینهم تسمیة وتوصیف للتحری والتحقیق الجنائی بالقضاء لانه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قوله علیه السلام لاقضین الیوم علیکم بقضیة هی مرضاة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اجراء التحقیق من احکام ولایة القاضی وانه شان وعمل قضائی ونحو اجراء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 من القاضی علی الیة کاشفة لواقع الحال والنزاع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یقوم بسلسلة التحقیقات بالزامات وظیفیة عملیة للمتنازعین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الحادیة عشر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مصحح ابی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بِامْرَأَةٍ قَدْ تَزَوَّجَهَا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وَاقَعَهَا مَاتَ عَلَی بَطْنِهَا فَجَاءَتْ بِوَلَدٍ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فَادَّعَی بَنُوهُ أَنَّهَا فَجَرَتْ وَ تَشَاهَدُوا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عُمَرُ أَنْ تُرْجَمَ فَمُرَّ بِهَا عَلَی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یَا ابْنَ عَمِّ رَسُولِ الله إِنَّ لِی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هَاتِی حُجَّتَکِ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إِلَیْهِ کِتَاباً فَقَرَأَهُ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هَذِهِ الْمَرْأَةُ تُعْلِمُکُمْ بِیَوْمَ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وَاقَعَهَا وَ کَیْفَ کَانَ جِمَاعُهُ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الْمَرْأَةَ فَلَمَّا کَانَ مِنَ الْغَدِ دَعَا بِصِبْیَانٍ أَتْرَابٍ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بِالصَّبِیِّ مَعَهُمْ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الْعَبُوا حَتَّی إِذَا أَلْهَاهُمُ 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اجْلِسُوا حَتَّی إِذَا تَمَکَّنُوا 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الصِّبْیَانُ وَ قَامَ الْغُلَامُ فَاتَّکَی عَلَی رَاحَتَیْهِ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عَلِیٌّ علیه السلام وَ وَرَّثَهُ مِنْ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إِخْوَتَهُ الْمُفْتَرِینَ حَدّاً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p>
    <w:p>
      <w:pPr>
        <w:pStyle w:val="BookText"/>
        <w:rPr/>
      </w:pPr>
      <w:r>
        <w:rPr>
          <w:rFonts w:ascii="Amiri" w:hAnsi="Amiri" w:eastAsia="Amiri" w:cs="Amiri"/>
          <w:color w:val="111111"/>
          <w:sz w:val="28"/>
          <w:sz w:val="28"/>
          <w:szCs w:val="28"/>
          <w:rtl w:val="true"/>
          <w:lang w:bidi="ar-SA"/>
        </w:rPr>
        <w:t>کَیْفَ صَنَعْتَ فَقَالَ عَرَفْتُ ضَعْفَ الشَّیْخِ فِی تُکَأَةِ الْغُلَامِ عَلَی رَاحَتَیْهِ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اعتماد علی علم الوراثة واحکامها فی التحریات والتحقیقات الجنائیة وان العلوم المرتبطة بالعلوم المختلفة تعتمد نتائجها بالحریات اذا أوصلت الی العلم او الاطمئنان صلی الله علیه و آله اذ قوله علیه السلام عرفت ضعف الشیخ فی تکاة الغلام علی راحته تعلیل لوجه حصول العلم من هذه الالیة فی التحقق بتوسط قواعد علم الوراثة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عشر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مرسلة عَبْدِ الله بْنِ عُثْمَانَ عَنْ أَبِی عَبْدِالله علیه السلام أَنَّ رَجُلًا أَقْبَلَ عَلَی عَهْدِ عَلِیٍّ علیه السلام مِنَ الْجَبَلِ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غُلَامٌ لَهُ فَأَذْنَبَ فَضَرَبَهُ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أَنْتَ مَوْلَایَ بَلْ أَنَا مَوْلَاکَ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ذَا یَتَوَعَّدُ ذَا وَ ذَا یَتَوَعَّدُ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کَمَا أَنْتَ حَتَّی نَأْتِیَ الْکُوفَةَ یَا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فَأَذْهَبَ بِکَ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أَتَیَا الْکُوفَةَ أَتَیَا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الَّذِی ضَرَبَ الْغُلَامَ أَصْلَحَکَ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لِی وَ إِنَّهُ أَذْنَبَ فَضَرَبْتُهُ فَوَثَبَ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الْآخَرُ هُوَ وَ الله غُلَامٌ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أَرْسَلَنِی مَعَهُ لِیُعَلِّمَنِی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وَثَبَ عَلَیَّ یَدَّعِینِی لِیَذْهَبَ بِمَالِی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فَأَخَذَ هَذَا یَحْلِفُ وَ هَذَا یَحْلِفُ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یُکَذِّبُ هَذَا وَ هَذَا یُکَذِّبُ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انْطَلِقَا فَتَصَادَقَا فِی لَیْلَتِکُمَا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تَجِیئَانِی إِلَّا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أَصْبَحَ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لِقَنْبَرٍ اثْقُبْ فِی الْحَائِطِ ثَقْبَیْنِ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حَتَّی تَصِیرَ الشَّمْسُ عَلَی رُمْحٍ یُسَبِّحُ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الرَّجُلَانِ وَ اجْتَمَعَ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قَدْ وَرَدَ عَلَیْهِ قَضِیَّةٌ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عَلَیْهِ مِثْلُهَا لَا یَخْرُجُ مِنْهَا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تَقُولَانِ فَحَلَفَ هَذَا أَنَّ هَذَا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حَلَفَ هَذَا أَنَّ هَذَا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p>
    <w:p>
      <w:pPr>
        <w:pStyle w:val="BookText"/>
        <w:rPr/>
      </w:pPr>
      <w:r>
        <w:rPr>
          <w:rFonts w:ascii="Amiri" w:hAnsi="Amiri" w:eastAsia="Amiri" w:cs="Amiri"/>
          <w:color w:val="111111"/>
          <w:sz w:val="28"/>
          <w:sz w:val="28"/>
          <w:szCs w:val="28"/>
          <w:rtl w:val="true"/>
          <w:lang w:bidi="ar-SA"/>
        </w:rPr>
        <w:t xml:space="preserve">قُومَا فَإِنِّی لَسْتُ أَرَاکُمَا تَصْدُقَانِ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لِأَحَدِهِمَا أَدْخِلْ رَأْسَکَ فِی هَذَا الثَّقْبِ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لِلْآخَرِ أَدْخِلْ رَأْسَکَ فِی هَذَا الثَّقْبِ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یَا قَنْبَرُ عَلَیَّ بِسَیْفِ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أَضْرِبْ رَقَبَةَ الْعَبْدِ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فَأَخْرَجَ الْغُلَامُ رَأْسَهُ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تَزْعُمُ أَنَّکَ لَسْتَ بِعَبْدٍ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مَکَثَ الْآخَرُ فِی الثَّقْبِ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بَلَی إِنَّهُ ضَرَبَنِی وَ تَعَدَّی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فَتَوَثَّقَ لَهُ أَمِیرُ الْمُؤْمِنِینَ علیه السلام وَ دَفَعَهُ إِلَیْهِ‌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الروایة بیان لجواز استخدام المکیدة فی التحری القضائی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 عشر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صحیحة عَبْدِ الرَّحْمَنِ بْنِ الْحَجَّاجِ قَالَ سَمِعْتُ ابْنَ أَبِی لَیْلَی یُحَدِّثُ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بَیْنَ رَجُلَیْنِ اصْطَحَبَا فِی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الْغَدَاءَ أَخْرَجَ أَحَدُهُمَا مِنْ زَادِهِ خَمْسَةَ 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الْآخَرُ ثَلَاثَةَ 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بِهِمَا عَابِرُ سَبِیلٍ فَدَعَوَاهُ إِلَی طَعَامِهِمَا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 الرَّجُلُ مَعَهُمَا حَتَّی لَمْ یَبْقَ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أَعْطَاهُمَا الْمُعْتَرُّ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دَرَاهِمَ ثَوَابَ مَا أَکَلَهُ مِنْ طَعَامِهِمَا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صَاحِبُ الثَّلَاثَةِ أَرْغِفَةٍ لِصَاحِبِ الْخَمْسَةِ 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اقْسِمْهَا نِصْفَیْنِ بَیْنِی وَ بَیْنَکَ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الْخَمْسَةِ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یَأْخُذُ کُلُّ وَاحِدٍ مِنَّا مِنَ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عَدَدِ مَا أَخْرَجَ مِنَ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أَمِیرَ الْمُؤْمِنِینَ علیه السلام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مَقَالَتَهُمَا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اصْطَلِحَا فَإِنَّ قَضِیَّتَکُمَا دَنِیَّةٌ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اقْضِ بَیْنَنَا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فَأَعْطَی صَاحِبَ الْخَمْسَةِ أَرْغِفَةٍ سَبْعَةَ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صَاحِبَ الثَّلَاثَةِ أَرْغِفَةٍ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 لَیْسَ أَخْرَجَ أَحَدُکُمَا مِنْ زَادِهِ خَمْسَةَ 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الْآخَرُ ثَلَاثَةً قَالا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أَکَلَ ضَیْفُکُمَا مَعَکُمَا مِثْلَ مَا أَکَلْتُمَا قَالا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لَیْسَ أَکَلَ کُلُّ وَاحِدٍ مِنْکُمَا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أَرْغِفَةٍ غَیْرَ ثُلُثٍ قَالا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لَیْسَ أَکَلْتَ أَنْتَ یَا صَاحِبَ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أَرْغِفَةٍ غَیْرَ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أَکَلْتَ أَنْتَ یَا صَاحِبَ الْخَمْسَةِ ثَلَاثَةَ أَرْغِفَةٍ غَیْرَ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أَکَلَ الضَّیْفُ ثَلَاثَةَ أَرْغِفَةٍ غَیْرَ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قَدْ بَقِیَ لَکَ یَا صَاحِبَ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رَغِیفٍ مِنْ زَادِکَ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بَقِیَ لَکَ یَا صَاحِبَ الْخَمْسَةِ رَغِیفَانِ وَ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أَکَلْتَ ثَلَاثَةً غَیْرَ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فَأَعْطَاکُمَا لِکُلِّ ثُلُثِ رَغِیفٍ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فَأَعْطَی صَاحِبَ الرَّغِیفَیْنِ وَ ثُلُثٍ سَبْعَةَ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صَاحِبَ الثُّلُثِ رَغِیفٍ دِرْهَماً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الصحیحة بیان لاعتماد النظم الریاضیة الحسابیة لکشف الأسهم بالمداقة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معتبرة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لِرَجُلٍ عَلَی عَهْدِ عَلِیٍّ علیه السلام جَارِیَتَانِ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فَوَلَدَتَا جَمِیعاً فِی لَیْلَةٍ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إِحْدَاهُمَا ابْناً وَ الْأُخْرَی 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صَاحِبَةُ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بِنْتَهَا فِی الْمَهْدِ الَّذِی فِیهِ الِابْنُ وَ أَخَذَتْ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صَاحِبَةُ الْبِنْتِ الِابْنُ ابْنِی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صَاحِبَةُ الِابْنِ الِابْنُ ابْنِی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فَتَحَاکَمَا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یُوزَنَ لَبَنُهُمَا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أَیَّتُهُمَا کَانَتْ أَثْقَلَ لَبَناً فَالابْنُ لَهَا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تدل علی اعتماد العلوم المختصة بالموضوعات لتحری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روایة حفص بن غالب فی نفس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مُحَمَّدُ بْنُ مُحَمَّدٍ الْمُفِیدُ فِی الْإِرْشَادِ قَالَ رَوَتِ الْعَامَّةُ وَ الْخَاصَّةُ أَنَّ امْرَأَتَیْنِ تَنَازَعَتَا عَلَی عَهْدِ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طِفْلٍ ادَّعَتْهُ کُلُّ وَاحِدَةٍ مِنْهُمَا وَلَداً لَهَا بِغَیْرِ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یُنَازِعْهُمَا فِیهِ 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فَالْتَبَسَ الْحُکْمُ فِی ذَلِکَ عَلَی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فِیهِ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فَاسْتَدْعَی الْمَرْأَتَیْنِ وَ وَعَظَهُمَا وَ خَوَّفَهُمَا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فَأَقَامَتَا عَلَی التَّنَازُعِ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ائْتُونِی بِمِنْشَارٍ فَقَالَتِ الْمَرْأَتَانِ فَمَا تَصْنَعُ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أَقُدُّهُ نِصْفَیْنِ لِکُلِّ وَاحِدَةٍ مِنْکُمَا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فَسَکَتَتْ إِحْدَاهُمَا وَ قَالَتِ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یَا أَبَا الْحَسَنِ علیه السلام إِنْ کَانَ لَا بُدَّ مِنْ ذَلِکَ فَقَدْ سَمَحْتُ بِهِ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أَکْبَرُ هَذَا ابْنُکِ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ابْنَهَا لَرَقَّتْ عَلَیْهِ وَ أَشْفَقَتْ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اعْتَرَفَتِ الْأُخْرَی أَنَّ الْحَقَّ لِصَاحِبَتِهَا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الْوَلَدَ لَهَا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جَاءَهُ رَجُلٌ فَقَالَ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بَیْنَ یَدَیَّ تَمْرٌ فَبَدَرَتْ زَوْجَتِی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مِنْهُ وَاحِدَةً فَأَلْقَتْهَا فِی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فَحَلَفْتُ أَنَّهَا لَا تَأْکُلُهَا وَ لَا تَلْفِظُهَا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تَأْکُلُ نِصْفَهَا وَ تَلْفِظُ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تَخَلَّصْتَ مِنْ یَمِینِکَ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من أسالیب الکید المحلل الذی یتخذه القاضی لکشف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السادسة عشر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یَحْبِسُ فِی تُهَمَةِ</w:t>
      </w:r>
    </w:p>
    <w:p>
      <w:pPr>
        <w:pStyle w:val="BookText"/>
        <w:rPr/>
      </w:pPr>
      <w:r>
        <w:rPr>
          <w:rFonts w:ascii="Amiri" w:hAnsi="Amiri" w:eastAsia="Amiri" w:cs="Amiri"/>
          <w:color w:val="111111"/>
          <w:sz w:val="28"/>
          <w:sz w:val="28"/>
          <w:szCs w:val="28"/>
          <w:rtl w:val="true"/>
          <w:lang w:bidi="ar-SA"/>
        </w:rPr>
        <w:t xml:space="preserve">الدَّمِ سِتَّةَ 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أَوْلِیَاءُ الْمَقْتُولِ بِثَبَتٍ وَ إِلَّا خَلَّی سَبِیلَهُ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والحبس اجراء تنفیذی کما لا یخفی ولو کان المتهم برئ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 کما یتعلق بقاعدة التحری للقاضی والوالی فهو یتعلق أیضا باثار التهمة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الخامسة، قاعدة قضائیة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الدعاوی لتعدد المتنازعین عرضا وطولا</w:t>
      </w:r>
      <w:bookmarkStart w:id="57" w:name="pg13703_133573"/>
    </w:p>
    <w:p>
      <w:pPr>
        <w:pStyle w:val="Heading2"/>
        <w:numPr>
          <w:ilvl w:val="1"/>
          <w:numId w:val="1"/>
        </w:numPr>
        <w:rPr/>
      </w:pPr>
      <w:bookmarkStart w:id="58" w:name="__RefHeading___Toc1100972_1468164448"/>
      <w:bookmarkStart w:id="59" w:name="_Toc22"/>
      <w:bookmarkEnd w:id="57"/>
      <w:bookmarkEnd w:id="58"/>
      <w:r>
        <w:rPr>
          <w:rtl w:val="true"/>
        </w:rPr>
        <w:t>القاعدة الخامسة</w:t>
      </w:r>
      <w:r>
        <w:rPr>
          <w:rtl w:val="true"/>
        </w:rPr>
        <w:t xml:space="preserve">: </w:t>
      </w:r>
      <w:r>
        <w:rPr>
          <w:rtl w:val="true"/>
        </w:rPr>
        <w:t>قبول الدعاوی لتعدد المتنازعین عرضا وطولا قاعدة قضائیة</w:t>
      </w:r>
      <w:bookmarkEnd w:id="59"/>
    </w:p>
    <w:p>
      <w:pPr>
        <w:pStyle w:val="Heading3"/>
        <w:numPr>
          <w:ilvl w:val="2"/>
          <w:numId w:val="1"/>
        </w:numPr>
        <w:rPr/>
      </w:pPr>
      <w:bookmarkStart w:id="60" w:name="__RefHeading___Toc1100974_1468164448"/>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یستدل لتکرار الیمین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اطلاق النصوص المتضمنة لحلف الخمسین وان حلف الخمسین کالفعل فی الواجب الکفائی بالنسبة للولی وقومه من غیر فرق بین صدورها منهم فی جمع علی التوزیع او علی التفریق ولا بین الولی وغیره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التقریب من کون الیمین وظیفة کفائیة علی المجموع ذکره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الخمسین کافیة لکل المتهمین والمدعی علیهم اذا تعددوا مع کون الدعوی مشترکة علیهم فی الفعل لاسیما ان مضمون مفاد عنوان لفظ المحلوف علیه المتکرر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قتلناه ولا علمنا له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فالنفی لاسناد القتل للمجموع وبضمیر الجمع ولیس بضمیر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النفی اعم من نفی اسناده لهم کمتهمین او نفی اسناده للغیر مما یدل علی جواز حلف غیر المتهمین عن المتهمین لکن مع کونهم من اولیائهم وارحامهم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نظیر صحیح مَسْعَدَةَ بْنِ زِیَادٍ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رَضِیَ الله عَنْهُ إِذَا لَمْ یُقِمِ الْقَوْمُ الْمُدَّعُونَ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الْبَیِّنَةَ عَلَی قَتْلِ قَتِیلِهِمْ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یُقْسِمُوا بِأَنَّ الْمُتَّهَمِینَ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الْمُتَّهَمِینَ بِالْقَتْلِ خَمْسِینَ یَمِیناً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قَتَلْنَاهُ وَ لَا عَلِمْنَا لَهُ 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یُؤَدِّی الدِّیَةَ إِلَی أَوْلِیَاءِ الْقَتِیلِ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إِذَا قُتِلَ فِی حَیٍّ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قُتِلَ فِی عَسْکَرٍ أَوْ سُوقِ 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فَدِیَتُهُ تُدْفَعُ إِلَی أَوْلِیَائِهِ مِنْ بَیْتِ الْمَالِ‌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ورد فیها حلف المتهمین بالقتل خمسین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 خمسین علی الاطلاق فقد لا یکونوا خمسین شخصا قد حلفوا بل لعلهم عشرة وحلفوا خمسین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الدیة تتوزع علیهم لو کانوا دون الخمسین فکذا الامر بالحلف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فالاسناد فی الدیة والحلف علی نسق واحد الی مجموعهم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ویدعم الاطلاق ان الیمین فی الأصل کما مر انه علی المتهم لا غیره وانما شمل ذویه لانهم اولیائه فی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روایة علی بن فضیل فی نفس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ویوید ذلک ما بیناه فی مسالة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سند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المتهمین عن غیر المتهمین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ما ورد من جواز استعانة المتهم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 بالقسم لکان المقتضی الاولی ان القسم کله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بنفسه خمسین قسما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فی جملة من الروایات من وصف القسامة بخمسین رجلا لیس قیدا بل مورد وسبب صدور وبدء هذه السنة النبویة کما فی روایة ابی بصیر</w:t>
      </w:r>
    </w:p>
    <w:p>
      <w:pPr>
        <w:pStyle w:val="BookText"/>
        <w:rPr/>
      </w:pPr>
      <w:r>
        <w:rPr>
          <w:rFonts w:ascii="Amiri" w:hAnsi="Amiri" w:eastAsia="Amiri" w:cs="Amiri"/>
          <w:color w:val="111111"/>
          <w:sz w:val="28"/>
          <w:sz w:val="28"/>
          <w:szCs w:val="28"/>
          <w:rtl w:val="true"/>
          <w:lang w:bidi="ar-SA"/>
        </w:rPr>
        <w:t>عن بدء تشریع القسامة ففی روایة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الْقَسَامَةِ أَیْنَ کَانَ بَدْوُهَا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کَانَ مِنْ قِبَلِ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بَعْدَ فَتْحِ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رَجُلٌ مِنَ الْأَنْصَارِ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فِی طَلَبِهِ فَوَجَدُوهُ مُتَشَحِّطاً فِی دَمِهِ 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الْأَنْصَارُ إِلَی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یَا رَسُولَ الله قَتَلَتِ الْیَهُودُ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لِیُقْسِمْ مِنْکُمْ خَمْسُونَ رَجُلًا عَلَی أَنَّهُمْ قَتَلُوهُ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وکذا معتبرة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الْقَسَامَةِ عَلَی مَنْ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عَلَی أَهْلِ الْقَاتِلِ أَوْ عَلَی أَهْلِ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أَهْلِ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یَحْلِفُونَ بِالله الَّذِی لَا إِلَهَ إِلَّا هُوَ لَقَتَلَ فُلَانٌ فُلَاناً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یقرب ما ذکره المحقق صاحب الجواهر من کون الحلف وظیفة کفائیة علی أولیاء المقتول والا فعلی أولیاء القاتل لاسیما علی القول بکون الحالفین للقسامة یلزم کونهم من اولیائه کما ذهبنا الیه واختاره جماعة فانه لا محیص ان العصبة والاولیاء لیس من الضروری ان یبلغوا الخمسین بل فی کثیر من الموارد اقل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ان العصبة تضمن فی العمد مع عجز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والقاتل یضمن بالخطا مع عجز العصبة فهنا مسوولیة طولیة دائرة بینهم وهذا یفید قاعدة فی باب الدعاوی فی القضاء وهو قبول الدعاوی لتعدد المتنازعین عرضیا وطولیا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مفاد صحیح برید المتقدم ان المسوول عن الحلف هو المسوول عن</w:t>
      </w:r>
      <w:bookmarkStart w:id="62" w:name="pg13703_133576"/>
    </w:p>
    <w:p>
      <w:pPr>
        <w:pStyle w:val="BookText"/>
        <w:rPr/>
      </w:pPr>
      <w:bookmarkEnd w:id="62"/>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ابوا اغرموا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الضروری ان یکونوا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المسوولیة فی الحلف فهی کفائیة 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ادلة صحة التکرار فی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یونس وموثق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للمصاب من یحلف معه ضوعفت علیه الایمان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ظریف بن ناصح عن امیر المومنین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کَذَلِکَ الْقَسَامَةُ کُلُّهَا فِی الْجُرُوحِ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یَکُنْ لِلْمُصَابِ بَصَرُهُ مَنْ یَحْلِفُ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ضُوعِفَتْ عَلَیْهِ الْأَیْمَانُ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ویقرب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القسامة تکرر علی المدعی ان لم یأت معه غیره لیحلف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الشَّیْخُ بِأَسَانِیدِهِ السَّابِقَةِ إِلَی کِتَابِ ظَرِیفٍ عَنْ أَمِیرِ الْمُؤْمِنِینَ علیه السلام مِثْلَهُ إِلَّا أَنَّهُ قَالَ وَ أَفْتَی علیه السلام فِیمَنْ لَمْ یَکُنْ لَهُ مَنْ یَحْلِفُ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یُوثَقْ بِهِ عَلَی مَا ذَهَبَ مِنْ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یُضَاعَفُ عَلَیْهِ الْیَمِینُ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الروایة تعمیم الحکم لکل من القسامة فی النفس والجروح</w:t>
      </w:r>
      <w:r>
        <w:rPr>
          <w:rFonts w:eastAsia="IRNazanin" w:cs="IRNazanin"/>
          <w:color w:val="111111"/>
          <w:sz w:val="28"/>
          <w:szCs w:val="28"/>
          <w:rtl w:val="true"/>
          <w:lang w:bidi="fa-IR"/>
        </w:rPr>
        <w:t>.</w:t>
      </w:r>
    </w:p>
    <w:p>
      <w:pPr>
        <w:pStyle w:val="Heading3"/>
        <w:numPr>
          <w:ilvl w:val="2"/>
          <w:numId w:val="1"/>
        </w:numPr>
        <w:rPr/>
      </w:pPr>
      <w:bookmarkStart w:id="63" w:name="__RefHeading___Toc1100976_1468164448"/>
      <w:bookmarkStart w:id="64" w:name="_Toc24"/>
      <w:bookmarkEnd w:id="63"/>
      <w:r>
        <w:rPr>
          <w:rtl w:val="true"/>
        </w:rPr>
        <w:t>فائدة رجالیة</w:t>
      </w:r>
      <w:r>
        <w:rPr>
          <w:rtl w:val="true"/>
        </w:rPr>
        <w:t>:</w:t>
      </w:r>
      <w:bookmarkEnd w:id="64"/>
    </w:p>
    <w:p>
      <w:pPr>
        <w:pStyle w:val="BookText"/>
        <w:rPr/>
      </w:pPr>
      <w:r>
        <w:rPr>
          <w:rFonts w:ascii="IRNazanin" w:hAnsi="IRNazanin" w:eastAsia="IRNazanin"/>
          <w:color w:val="111111"/>
          <w:sz w:val="28"/>
          <w:sz w:val="28"/>
          <w:szCs w:val="28"/>
          <w:rtl w:val="true"/>
          <w:lang w:bidi="fa-IR"/>
        </w:rPr>
        <w:t>فی اعتبار کتاب ظریف</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عقد صاحب الوسائل الباب الثانی فی أبواب دیات الأعضاء ذکر</w:t>
      </w:r>
    </w:p>
    <w:p>
      <w:pPr>
        <w:pStyle w:val="BookText"/>
        <w:rPr/>
      </w:pPr>
      <w:r>
        <w:rPr>
          <w:rFonts w:ascii="IRNazanin" w:hAnsi="IRNazanin" w:eastAsia="IRNazanin"/>
          <w:color w:val="111111"/>
          <w:sz w:val="28"/>
          <w:sz w:val="28"/>
          <w:szCs w:val="28"/>
          <w:rtl w:val="true"/>
          <w:lang w:bidi="fa-IR"/>
        </w:rPr>
        <w:t>فیها عدة روایات موثقة وصحیحة مستفیضة دالة علی عرض کتاب الفرائض علی الامامین الصادق والرضا علیهما السلام وانهما امضیا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مما کتبه امیر المومنین الی امرائه وعماله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کتاب معتمد مروی باسانید عدیدة من الشیخ فی التهذیب والصدوق فی التهذیب والکلینی فی الکافی وهو معتمد فی کتاب القصاص والدیات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تارة بکتاب ظریف بن ناصح وأخری بکتاب ما افتی به امیر المومنین فی الدیات وثالثة بکتاب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الکتاب هو الکتاب العمدة لاصحاب الکتب الأربعة فی أبواب الدیات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فی باب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الأسبق زمنا فی حق الجنایة</w:t>
      </w:r>
      <w:bookmarkStart w:id="65" w:name="pg13703_133581"/>
    </w:p>
    <w:p>
      <w:pPr>
        <w:pStyle w:val="Heading2"/>
        <w:numPr>
          <w:ilvl w:val="1"/>
          <w:numId w:val="1"/>
        </w:numPr>
        <w:rPr/>
      </w:pPr>
      <w:bookmarkStart w:id="66" w:name="__RefHeading___Toc1100978_1468164448"/>
      <w:bookmarkStart w:id="67" w:name="_Toc25"/>
      <w:bookmarkEnd w:id="65"/>
      <w:bookmarkEnd w:id="66"/>
      <w:r>
        <w:rPr>
          <w:rtl w:val="true"/>
        </w:rPr>
        <w:t>القاعدة السادسة</w:t>
      </w:r>
      <w:r>
        <w:rPr>
          <w:rtl w:val="true"/>
        </w:rPr>
        <w:t xml:space="preserve">: </w:t>
      </w:r>
      <w:r>
        <w:rPr>
          <w:rtl w:val="true"/>
        </w:rPr>
        <w:t>قاعدة فی باب الجنایات تقدیم الأسبق زمنا فی حق الجنایة</w:t>
      </w:r>
      <w:bookmarkEnd w:id="67"/>
    </w:p>
    <w:p>
      <w:pPr>
        <w:pStyle w:val="BookText"/>
        <w:rPr/>
      </w:pPr>
      <w:r>
        <w:rPr>
          <w:rFonts w:ascii="IRNazanin" w:hAnsi="IRNazanin" w:eastAsia="IRNazanin"/>
          <w:color w:val="111111"/>
          <w:sz w:val="28"/>
          <w:sz w:val="28"/>
          <w:szCs w:val="28"/>
          <w:rtl w:val="true"/>
          <w:lang w:bidi="fa-IR"/>
        </w:rPr>
        <w:t>ویستدل علی القاعدة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محسنة حَبِیبٍ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قَطَعَ یَدَیْنِ لِرَجُلَیْنِ الْیَمِینَیْنِ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یَا حَبِیبُ تُقْطَعُ یَمِینُهُ لِلَّذِی قَطَعَ یَمِینَهُ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 یَسَارُهُ لِلرَّجُلِ الَّذِی قَطَعَ یَمِینَهُ 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قَطَعَ یَدَ الرَّجُلِ الْأَخِیرِ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یَمِینُهُ قِصَاصٌ لِلرَّجُلِ الْأَوَّلِ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إِنَّمَا کَانَ یَقْطَعُ الْیَدَ الْیُمْنَی وَ الرِّجْلَ الْیُسْرَی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إِنَّمَا کَانَ یَفْعَلُ ذَلِکَ فِیمَا یَجِبُ مِنْ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یَا حَبِیبُ حُقُوقُ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تُؤْخَذُ لَهُمْ حُقُوقُهُمْ فِی الْقِصَاصِ الْیَدُ بِالْیَدِ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لِلْقَاطِعِ 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بِالْیَدِ إِذَا لَمْ یَکُنْ لِلْقَاطِعِ 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 وَ مَا تَجِبُ عَلَیْهِ الدِّیَةُ وَ تُتْرَکُ لَهُ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إِنَّمَا تَجِبُ عَلَیْهِ الدِّیَةُ إِذَا قَطَعَ یَدَ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لِلْقَاطِعِ یَدَانِ وَ 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تَجِبُ عَلَیْهِ الدِّیَةُ لِأَنَّهُ لَیْسَ لَهُ جَارِحَةٌ یُقَاصُّ مِنْهَا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الروایة مجموعة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حق أولیاء المجنی الأول زمنا للاستیفاء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مکنوا من ید الجانی الیمنی کما نصت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المجنی علیه الثانی فیبدل عن الیمنی الی قطع الید الیسری للجانی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فوت محل القصاص وبدله یتعین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تجب علی الجانی الدیة اذا کان هو المانع من استیفاء القصاص لاولیاء المجنی علیه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یقرب تقدیم الأسبق عند التعاقب بان حق أولیاء المقتول الأول ثبت علی الجانی وحقوق اللاحقین قد طرات علی مکان مشغول وشخص مرهون والی هذا یشیر مفاد محسنة حبیب السجستانی المار الذکر الوارد فی قطع الیدین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إِنَّمَا قَطَعَ یَدَ الرَّجُلِ الْأَخِیرِ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یَمِینُهُ قِصَاصٌ لِلرَّجُلِ الْأَوَّلِ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للقاعدة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اشتغال المحل لاولیاء المقتول الأول تثبت الدیة الی أولیاء المقتول اللاحق لانه مع أی مانع من القصاص او محذور فی البین یترتب علی أولیاء المقتول فانه یثبت لهم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لهم القصاص مع عفو أولیاء المقتول الأول عن القصاص</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تعلیق الدیة علی رضی الجانی فذلک فیما لم یکن مانعا عن استیفاء</w:t>
      </w:r>
    </w:p>
    <w:p>
      <w:pPr>
        <w:pStyle w:val="BookText"/>
        <w:rPr/>
      </w:pP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قاعدة لا یبطل دم امرئ مسلم یثبت لاولیاء المقتول اللاحق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ثبوت الدیة کالقصاص علی القاعدة الا انه رفعت الید عن ذلک بما دل علی شرطیة رضا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هذا دلیل الشرطیة یقتصر به علی موارد ثبوت القصاص لاولیاء المقتول وعدم الضرر الزائد علیهم فان تخلف احد القیدین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فینحسر دلیل شرطیة رضی الجانی ویرجع الی مقتضی القاعدة فی الضمان کما هو الحال فی الموارد المنصوصة للزوم رد المال فی القصاص علی أولیاء المقتول لان الرد ضرر علی أولیاء المقتول فی القصاص</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السابعة؛ قاعدة باب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یجنی الجانی علی أکثر من نفسه</w:t>
      </w:r>
      <w:bookmarkStart w:id="68" w:name="pg13703_133587"/>
    </w:p>
    <w:p>
      <w:pPr>
        <w:pStyle w:val="Heading2"/>
        <w:numPr>
          <w:ilvl w:val="1"/>
          <w:numId w:val="1"/>
        </w:numPr>
        <w:rPr/>
      </w:pPr>
      <w:bookmarkStart w:id="69" w:name="__RefHeading___Toc1100980_1468164448"/>
      <w:bookmarkStart w:id="70" w:name="_Toc26"/>
      <w:bookmarkEnd w:id="68"/>
      <w:bookmarkEnd w:id="69"/>
      <w:r>
        <w:rPr>
          <w:rtl w:val="true"/>
        </w:rPr>
        <w:t>القاعدة السابعة</w:t>
      </w:r>
      <w:r>
        <w:rPr>
          <w:rtl w:val="true"/>
        </w:rPr>
        <w:t xml:space="preserve">: </w:t>
      </w:r>
      <w:r>
        <w:rPr>
          <w:rtl w:val="true"/>
        </w:rPr>
        <w:t>قاعدة باب الجنایات لا یجنی الجانی علی اکثر من نفسه</w:t>
      </w:r>
      <w:bookmarkEnd w:id="70"/>
    </w:p>
    <w:p>
      <w:pPr>
        <w:pStyle w:val="Heading3"/>
        <w:numPr>
          <w:ilvl w:val="2"/>
          <w:numId w:val="1"/>
        </w:numPr>
        <w:rPr/>
      </w:pPr>
      <w:bookmarkStart w:id="71" w:name="__RefHeading___Toc1100982_1468164448"/>
      <w:bookmarkStart w:id="72" w:name="_Toc27"/>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ادلة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مضمون هذه القاعدة مفتی به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علیه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صحیح عَبْدِ الله بْنِ سِنَانٍ قَالَ سَمِعْتُ أَبَا عَبْدِ الله علیه السلام یَقُولُ فِی رَجُلٍ قَتَلَ امْرَأَتَهُ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شَاءَ أَهْلُهَا أَنْ یَقْتُلُوهُ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یُؤَدُّوا إِلَی أَهْلِهِ نِصْفَ 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شَاءُوا أَخَذُوا نِصْفَ الدِّیَةِ خَمْسَةَ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امْرَأَةٍ قَتَلَتْ زَوْجَهَا مُتَعَمِّدَةً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شَاءَ أَهْلُهُ أَنْ یَقْتُلُوهَا قَتَلُوهَا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یَجْنِی أَحَدٌ أَکْثَرَ مِنْ جِنَایَتِهِ عَلَی نَفْسِهِ‌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صحیح هِشَامِ بْنِ سَالِمٍ عَنْ أَبِی عَبْدِ الله علیه السلام فِی الْمَرْأَةِ تَقْتُلُ الرَّجُلَ مَا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یَجْنِی الْجَانِی عَلَی أَکْثَرَ مِنْ نَفْسِهِ</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 الْحَلَبِیِّ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یَقْتُلُ الْمَرْأَةَ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أَهْلُ الْمَرْأَةِ أَنْ یَقْتُلُوهُ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ذَاکَ لَهُمْ إِذَا أَدَّوْا إِلَی أَهْلِهِ نِصْفَ 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قَبِلُوا الدِّیَةَ فَلَهُمْ نِصْفُ دِیَةِ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قَتَلَتِ الْمَرْأَةُ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بِهِ لَیْسَ لَهُمْ إِلَّا نَفْسُهَا الْحَدِیثَ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الصحیح الی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الرَّجُلَیْنِ أَوْ أَکْثَرَ مِنْ ذَلِکَ قُتِلَ بِهِمْ‌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مثلها روایة الدعائم عَنْ أَمِیرِ الْمُؤْمِنِینَ وَأَبِی عَبْدِ الله علیه السلام أَنَّهُمَا قَالا فِی الرَّجُلِ یَقْتُلُ الْمَرْأَةَ عَمْداً یُخَیَّرُ أَوْلِیَاءُ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یَقْتُلُوا الرَّجُلَ وَ یُعْطُوا أَوْلِیَاءَهُ نِصْفَ الدِّیَةِ أَوْ أَنْ یَأْخُذُوا نِصْفَ الدِّیَةِ مِنَ الرَّجُلِ الْقَاتِلِ إِنْ بَذَلَ لَهُمْ ذَلِکَ وَ إِنْ قَتَلَتِ امْرَأَةٌ رَجُلًا عَمْداً قُتِلَتْ بِهِ لَیْسَ عَلَیْهَا وَ لَا عَلَی أَحَدٍ بِسَبَبِهَا أَکْثَرَ مِنْ أَنْ تُقْتَلَ</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 والاقوال کما ذکرها المیرزا النوری فی المستدرک والسید البروجردی فی جامع احادیث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الاقول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الشَّیْخُ الطُّوسِیُّ فِی النِّهَایَةِ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قَتَلَتِ امْرَأَةٌ رَجُلًا وَ اخْتَارَ أَوْلِیَاؤُهُ الْقَوَدَ فَلَیْسَ لَهُمْ إِلَّا نَفْسَهَا یَقْتُلُونَهَا بِصَاحِبِهَا وَ لَیْسَ لَهُمْ عَلَی أَوْلِیَائِهَا سَبِیلٌ وَ قَدْ رُوِیَ أَنَّهُمْ یَقْتُلُونَهَا وَ یُؤَدِّی أَوْلِیَاؤُهَا تَمَامَ دِیَةِ الرَّجُلِ إِلَیْهِمْ وَ الْمُعْتَمَدُ مَا قُلْنَا</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فِی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 رَجُلٌ امْرَأَةً مُتَعَمِّداً فَإِنْ شَاءَ</w:t>
      </w:r>
      <w:bookmarkStart w:id="73" w:name="pg13703_133589"/>
    </w:p>
    <w:p>
      <w:pPr>
        <w:pStyle w:val="BookText"/>
        <w:rPr/>
      </w:pPr>
      <w:bookmarkEnd w:id="73"/>
      <w:r>
        <w:rPr>
          <w:rFonts w:ascii="Amiri" w:hAnsi="Amiri" w:eastAsia="Amiri" w:cs="Amiri"/>
          <w:color w:val="111111"/>
          <w:sz w:val="28"/>
          <w:sz w:val="28"/>
          <w:szCs w:val="28"/>
          <w:rtl w:val="true"/>
          <w:lang w:bidi="ar-SA"/>
        </w:rPr>
        <w:t>أَوْلِیَاؤُهَا قَتَلُوهُ وَ أَدَّوْا إِلَی أَوْلِیَائِهِ نِصْفَ الدِّیَةِ وَ إِلَّا أَخَذُوا خَمْسَةَ آلَافِ دِرْهَمٍ وَ إِذَا قَتَلَتِ الْمَرْأَةُ رَجُلًا مُتَعَمِّدَةً فَإِنْ شَاءَ أَهْلُهُ أَنْ یَقْتُلُوهَا قَتَلُوهَا فَلَیْسَ یَجْنِی أَحَدٌ جِنَایَةً أَکْثَرَ مِنْ نَفْسِهِ وَ إِنْ أَرَادُوا الدِّیَةَ أَخَذُوا عَشَرَةَ آلَافِ دِرْهَمٍ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مورد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هذه القاعدة موردها الجنایة الواحدة وجنایة المراة علی الرجل وهی ان لا تتحمل اکثر من القصاص</w:t>
      </w:r>
      <w:r>
        <w:rPr>
          <w:rFonts w:eastAsia="IRNazanin" w:cs="IRNazanin"/>
          <w:color w:val="111111"/>
          <w:sz w:val="28"/>
          <w:szCs w:val="28"/>
          <w:rtl w:val="true"/>
          <w:lang w:bidi="fa-IR"/>
        </w:rPr>
        <w:t>.</w:t>
      </w:r>
    </w:p>
    <w:p>
      <w:pPr>
        <w:pStyle w:val="Heading3"/>
        <w:numPr>
          <w:ilvl w:val="2"/>
          <w:numId w:val="1"/>
        </w:numPr>
        <w:rPr/>
      </w:pPr>
      <w:bookmarkStart w:id="74" w:name="__RefHeading___Toc1100984_1468164448"/>
      <w:bookmarkStart w:id="75" w:name="_Toc28"/>
      <w:bookmarkEnd w:id="74"/>
      <w:r>
        <w:rPr>
          <w:rtl w:val="true"/>
        </w:rPr>
        <w:t>شبهة معارضة ودفعها</w:t>
      </w:r>
      <w:r>
        <w:rPr>
          <w:rtl w:val="true"/>
        </w:rPr>
        <w:t>:</w:t>
      </w:r>
      <w:bookmarkEnd w:id="75"/>
    </w:p>
    <w:p>
      <w:pPr>
        <w:pStyle w:val="BookText"/>
        <w:rPr/>
      </w:pPr>
      <w:r>
        <w:rPr>
          <w:rFonts w:ascii="Amiri" w:hAnsi="Amiri" w:eastAsia="Amiri" w:cs="Amiri"/>
          <w:color w:val="111111"/>
          <w:sz w:val="28"/>
          <w:sz w:val="28"/>
          <w:szCs w:val="28"/>
          <w:rtl w:val="true"/>
          <w:lang w:bidi="ar-SA"/>
        </w:rPr>
        <w:t>ولا تعارض الروایات السابقة بموثق أَبِی مَرْیَمَ الْأَنْصَارِیِّ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قَتَلَتْ رَجُلًا قَالَ تُقْتَلُ وَ یُؤَدِّی وَلِیُّهَا بَقِیَّةَ الْمَالِ‌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رده الشیخ فی الاستبصار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الرِّوَایَةُ شَاذَّةٌ لَمْ یَرْوِهَا إِلَّا أَبُو مَرْیَمَ الْأَنْصَارِیُّ وَ إِنْ تَکَرَّرَتْ فِی الْکُتُبِ فِی مَوَاضِعَ مُتَفَرِّقَةٍ وَ مَعَ ذَلِکَ فَإِنَّهَا مُخَالِفَةٌ لِظَاهِرِ الْکِتَابِ قَالَ الله تَعَالَی وَ کَتَبْنا عَلَیْهِمْ فِیها أَنَّ النَّفْسَ بِالنَّفْسِ فَحَکَمَ أَنَّ النَّفْسَ بِالنَّفْسِ وَ لَمْ یَذْکُرْ مَعَهَا شَیْئاً آخَرَ وَ الرِّوَایَاتُ الَّتِی قَدَّمْنَاهَا صَرِیحَةٌ بِأَنَّهُ لَا یَجْنِی الْجَانِی عَلَی أَکْثَرَ مِنْ نَفْسِهِ وَ أَنَّهُ لَیْسَ عَلَی أَوْلِیَائِهَا شَیْ‌ءٌ فَإِذَا وَرَدَتْ هَذِهِ الرِّوَایَةُ مُخَالِفَةً لِذَلِکَ یَنْبَغِی أَنْ لَا یُلْتَفَتَ إِلَیْهَا وَ لَا إِلَی الْعَمَلِ بِهَا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حق جنایة العضو علی حق قصاص النفس</w:t>
      </w:r>
      <w:bookmarkStart w:id="76" w:name="pg13703_133593"/>
    </w:p>
    <w:p>
      <w:pPr>
        <w:pStyle w:val="Heading2"/>
        <w:numPr>
          <w:ilvl w:val="1"/>
          <w:numId w:val="1"/>
        </w:numPr>
        <w:rPr/>
      </w:pPr>
      <w:bookmarkStart w:id="77" w:name="__RefHeading___Toc1100986_1468164448"/>
      <w:bookmarkStart w:id="78" w:name="_Toc29"/>
      <w:bookmarkEnd w:id="76"/>
      <w:bookmarkEnd w:id="77"/>
      <w:r>
        <w:rPr>
          <w:rtl w:val="true"/>
        </w:rPr>
        <w:t>القاعدة الثامنة</w:t>
      </w:r>
      <w:r>
        <w:rPr>
          <w:rtl w:val="true"/>
        </w:rPr>
        <w:t xml:space="preserve">: </w:t>
      </w:r>
      <w:r>
        <w:rPr>
          <w:rtl w:val="true"/>
        </w:rPr>
        <w:t>فی تقدیم حق جنایة العضو علی حق قصاص النفس</w:t>
      </w:r>
      <w:bookmarkEnd w:id="78"/>
    </w:p>
    <w:p>
      <w:pPr>
        <w:pStyle w:val="BookText"/>
        <w:rPr/>
      </w:pPr>
      <w:r>
        <w:rPr>
          <w:rFonts w:ascii="IRNazanin" w:hAnsi="IRNazanin" w:eastAsia="IRNazanin"/>
          <w:color w:val="111111"/>
          <w:sz w:val="28"/>
          <w:sz w:val="28"/>
          <w:szCs w:val="28"/>
          <w:rtl w:val="true"/>
          <w:lang w:bidi="fa-IR"/>
        </w:rPr>
        <w:t>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مشهور الفقهاء الی تقدیم حق القصاص من العضو علی حق القصاص من النفس حتی لو کانت الجنایة علی النفس متقدمة زمنا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ویستدل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محسنة حَبِیبٍ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قَطَعَ یَدَیْنِ لِرَجُلَیْنِ الْیَمِینَیْنِ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یَا حَبِیبُ تُقْطَعُ یَمِینُهُ لِلَّذِی قَطَعَ یَمِینَهُ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 یَسَارُهُ لِلرَّجُلِ الَّذِی قَطَعَ یَمِینَهُ 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قَطَعَ یَدَ الرَّجُلِ الْأَخِیرِ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یَمِینُهُ قِصَاصٌ لِلرَّجُلِ الْأَوَّلِ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إِنَّمَا کَانَ یَقْطَعُ الْیَدَ الْیُمْنَی وَ الرِّجْلَ الْیُسْرَی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إِنَّمَا کَانَ یَفْعَلُ ذَلِکَ فِیمَا یَجِبُ مِنْ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یَا حَبِیبُ حُقُوقُ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تُؤْخَذُ لَهُمْ حُقُوقُهُمْ فِی الْقِصَاصِ الْیَدُ بِالْیَدِ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لِلْقَاطِعِ 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بِالْیَدِ إِذَا لَمْ یَکُنْ لِلْقَاطِعِ</w:t>
      </w:r>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 وَ مَا تَجِبُ عَلَیْهِ الدِّیَةُ وَ تُتْرَکُ لَهُ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إِنَّمَا تَجِبُ عَلَیْهِ الدِّیَةُ إِذَا قَطَعَ یَدَ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لِلْقَاطِعِ یَدَانِ وَ 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تَجِبُ عَلَیْهِ الدِّیَةُ لِأَنَّهُ لَیْسَ لَهُ جَارِحَةٌ یُقَاصُّ مِنْهَا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القاعدة تعلل بقاعدة سبق الجنایة من باب تقدیم الأسبق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الأسبق حقا لا ینفی موضوع المتاخر لان الأسبق متعلق بالنفس والأخر متعلق بالعضو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والتعلیل بثبوت الدیة اذا کان لیس للجانی جارحه یقاص منها والفرض ان فی المقام لیس متعلق الجنایة السابقة هی الجارحة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السبق موجبا لنفی حق القصاص للجنایة المتاخرة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التعلیل توخذ لهم حقوقهم بالقصاص الرجل بالید اذا لم یکن للقاطع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لو کان حق جنایة النفس مقدما زمنا وحق جنایة الطرف موخر فلصاحب الطرف الاستیفاء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غیر مزاحم لصاحب جنایة النفس کما انه جمع بین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عما اذا سبقت الجنایة علی الطرف الجنایة علی النفس فالامر فیها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سبق الجنایة علی النفس فان من حق أولیاء المقتول ان یقتصوا من الجانی وهو کامل الأعضاء فاذا اقتص منه عضو قبل إقامة القصاص علی</w:t>
      </w:r>
    </w:p>
    <w:p>
      <w:pPr>
        <w:pStyle w:val="BookText"/>
        <w:rPr/>
      </w:pPr>
      <w:r>
        <w:rPr>
          <w:rFonts w:ascii="IRNazanin" w:hAnsi="IRNazanin" w:eastAsia="IRNazanin"/>
          <w:color w:val="111111"/>
          <w:sz w:val="28"/>
          <w:sz w:val="28"/>
          <w:szCs w:val="28"/>
          <w:rtl w:val="true"/>
          <w:lang w:bidi="fa-IR"/>
        </w:rPr>
        <w:t>نفسه فانه قصاص من انسان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تقدمت القاعدة انه لا یجنی علی اکثر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المجنی علیه ناقص العضو وکان قد استوفی حقه اما بقصاص او بدیة فحینئذ اللازم اذا أراد أولیاء المقتول القصاص من الجانی ان یدفعوا دیة العضو للجانی ثم یقتصون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ثبوت الدیة لو بادر أولیاء المقتول الی القصاص قبل قصاص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الدیة علی الجانی او علی أولیاء المقتول المبادرین؟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تثبت علی الجانی الدیة بمقتضی ذیل محسنة السجستانی ألمتقدمة وما مر من مسالة لو قتل شخص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الاولیاء المبادرون فعلیهم الاثم فحسب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دم المعتدی لا یحسب قصاصا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الضمان عن المعتدی</w:t>
      </w:r>
      <w:r>
        <w:rPr>
          <w:rFonts w:eastAsia="IRNazanin" w:cs="IRNazanin"/>
          <w:color w:val="111111"/>
          <w:sz w:val="28"/>
          <w:szCs w:val="28"/>
          <w:rtl w:val="true"/>
          <w:lang w:bidi="fa-IR"/>
        </w:rPr>
        <w:t>)</w:t>
      </w:r>
      <w:bookmarkStart w:id="79" w:name="pg13703_133599"/>
    </w:p>
    <w:p>
      <w:pPr>
        <w:pStyle w:val="Heading2"/>
        <w:numPr>
          <w:ilvl w:val="1"/>
          <w:numId w:val="1"/>
        </w:numPr>
        <w:rPr/>
      </w:pPr>
      <w:bookmarkStart w:id="80" w:name="__RefHeading___Toc1100988_1468164448"/>
      <w:bookmarkStart w:id="81" w:name="_Toc30"/>
      <w:bookmarkEnd w:id="79"/>
      <w:bookmarkEnd w:id="80"/>
      <w:r>
        <w:rPr>
          <w:rtl w:val="true"/>
        </w:rPr>
        <w:t>القاعدة التاسعة</w:t>
      </w:r>
      <w:r>
        <w:rPr>
          <w:rtl w:val="true"/>
        </w:rPr>
        <w:t xml:space="preserve">: </w:t>
      </w:r>
      <w:r>
        <w:rPr>
          <w:rtl w:val="true"/>
        </w:rPr>
        <w:t>هدر دم المعتدی لا یحسب قصاصا لا یسقط الضمان عن المعتدی</w:t>
      </w:r>
      <w:bookmarkEnd w:id="81"/>
    </w:p>
    <w:p>
      <w:pPr>
        <w:pStyle w:val="Heading3"/>
        <w:numPr>
          <w:ilvl w:val="2"/>
          <w:numId w:val="1"/>
        </w:numPr>
        <w:rPr/>
      </w:pPr>
      <w:bookmarkStart w:id="82" w:name="__RefHeading___Toc1100990_1468164448"/>
      <w:bookmarkStart w:id="83" w:name="_Toc31"/>
      <w:bookmarkEnd w:id="82"/>
      <w:r>
        <w:rPr>
          <w:rtl w:val="true"/>
        </w:rPr>
        <w:t>عبارات الاعلام فی المسالة</w:t>
      </w:r>
      <w:r>
        <w:rPr>
          <w:rtl w:val="true"/>
        </w:rPr>
        <w:t>:</w:t>
      </w:r>
      <w:bookmarkEnd w:id="83"/>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الزحفان العادیان یضمن کل منهما ما یجنیه علی الأخر، و لو کف أحدهما فصال الأخر فقصد الکاف الدفع، لم یکن علیه ضمان إذا اقتصر علی ما یحصل به الدفع و الأخر یضمن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الجواهر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لقاعدة الضمان بعد فرض عدوان کل منهما بقصد کل منهما قتل الآخر أو أخذ ماله أو النیل من عرضه أو نحو ذلک و لعله علیه یحمل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اقتتل المسلمان بسیفهما فهما فی النار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حمزة فی الوسیلة إلی نیل الفضیلة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اعتدی علی المعتدی علیه لم یضمن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قویة عبد الله بن طلحة الاتیة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وافتی بها المقنع والنهایة والتحریر وابن فهد وفی کثیر من الکلمات عملوا بها فی کون دم المعتدی هدرا لا یقع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وردها ابن ادریس والمسالک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وتعرض لها فی الشرائع فی لواحق موجبات الضمان المسالة الرابعة دون ان یردها وانما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تضمین دیة الصدیق تردد اقربه ان دمه هدر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ویستدل علیها 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هدر دم اللص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عدة روایات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قَتَلَهُ الْحَدُّ فِی الْقِصَاصِ فَلَا دِیَةَ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أَیُّمَا رَجُلٍ عَدَا عَلَی رَجُلٍ لِیَضْرِبَهُ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عَنْ نَفْسِهِ فَجَرَحَهُ أَوْ قَتَلَهُ فَلَا شَیْ‌ءَ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أَیُّمَا رَجُلٍ اطَّلَعَ عَلَی قَوْمٍ فِی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لِیَنْظُرَ إِلَی عَوْرَاتِهِمْ فَفَقَئُوا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جَرَحُوهُ فَلَا دِیَةَ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بَدَأَ فَاعْتَدَی فَاعْتُدِیَ عَلَیْهِ فَلَا قَوَدَ 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الْعَلَاءِ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إِذَا أَرَادَ الرَّجُلُ أَنْ یَضْرِبَ رَجُلًا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فَاتَّقَاهُ الرَّجُلُ أَوْ دَفَعَهُ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ضَرَرٌ فَلَا شَیْ‌ءَ عَلَیْهِ‌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مُحَمَّدِ بْنِ الْفُضَیْلِ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لِصٍّ دَخَلَ عَلَی امْرَأَةٍ وَ هِیَ 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مَا فِی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الْمَرْأَةُ إِلَی سِکِّینٍ فَوَجَأَتْهُ بِهَا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هَدَرٌ دَمُ اللِّصِّ‌</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السَّکُونِیِّ عَنْ جَعْفَرٍ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مَنْ شَهَرَ سَیْفاً فَدَمُهُ هَدَرٌ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صحیح سلیمان بن خالد وموثق ابان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اللص وما دونه دمه هدر فکیف بمن یعتدی علی المجنی علیه ویشرف به علی الموت وان لم یمت فللمجنی علیه قتل الجانی من باب الهدر فضلا عن الدفع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محسنة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مُحَارِبٌ لله وَ لِرَسُولِهِ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 عَلَیْکَ فَعَلَیَّ‌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موثق غیاث فی نفس الباب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 السَّکُونِیِّ عَنْ جَعْفَرٍ عَنْ أَبِیهِ عَنْ عَلِیٍّ علیه السلام أَنَّهُ أَتَاهُ رَجُلٌ فَقَالَ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 دَخَلَ عَلَی امْرَأَتِی فَسَرَقَ حُلِیَّهَا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إِنَّهُ لَوْ دَخَلَ عَلَی ابْنِ صَفِیَّةَ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رَضِیَ بِذَلِکَ حَتَّی یَعُمَّهُ بِالسَّیْفِ‌</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نفس الباب روایات مستفیضة علی هدر 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 عَبْدِ الله بْنِ سِنَانٍ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سَارِقٍ دَخَلَ عَلَی امْرَأَةٍ لِیَسْرِقَ مَتَاعَهَا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جَمَعَ الثِّیَابَ تَبِعَتْهَا نَفْسُهُ فَوَاقَعَهَا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فَتَحَرَّکَ ابْنُهَا فَقَامَ فَقَتَلَهُ بِفَأْسٍ کَانَ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حَمَلَ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لِیَخْرُجَ حَمَلَتْ عَلَیْهِ بِالْفَأْسِ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أَهْلُهُ یَطْلُبُونَ بِدَمِهِ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یَضْمَنُ مَوَالِیهِ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طَلَبُوا بِدَمِهِ دِیَةَ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یَضْمَنُ السَّارِقُ فِیمَا تَرَکَ أَرْبَعَةَ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کَابَرَهَا عَلَی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زَانٍ وَ هُوَ فِی مَالِهِ یَغْرَمُهُ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عَلَیْهَا فِی قَتْلِهَا إِیَّاهُ شَیْ‌ءٌ لِأَنَّهُ سَارِقٌ‌</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الصحیح ان قتل السارق لا یعد قصاصا مع وقوعه بعد قتل الغلام بل هو هدر ومن ثم توخذ دیة الغلام من ترکة السارق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قویة عَبْدِ الله بْنِ طَلْحَةَ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سَارِقٍ دَخَلَ عَلَی امْرَأَةٍ لِیَسْرِقَ مَتَاعَهَا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جَمَعَ الثِّیَابَ تَابَعَتْهُ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فَکَابَرَهَا عَلَی نَفْسِهَا فَوَاقَعَهَا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فَتَحَرَّکَ ابْنُهَا فَقَامَ فَقَتَلَهُ بِفَأْسٍ کَانَ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حَمَلَ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لِیَخْرُجَ حَمَلَتْ عَلَیْهِ بِالْفَأْسِ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أَهْلُهُ یَطْلُبُونَ بِدَمِهِ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اقْضِ عَلَی هَذَا کَمَا وَصَفْتُ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یَضْمَنُ مَوَالِیهِ الَّذِینَ طَلَبُوا بِدَمِهِ دِیَةَ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یَضْمَنُ السَّارِقُ فِیمَا تَرَکَ أَرْبَعَةَ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بِمُکَابَرَتِهَا عَلَی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زَانٍ وَ هُوَ فِی مَالِهِ عَزِیمَةٌ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عَلَیْهَا فِی قَتْلِهَا إِیَّاهُ شَیْ‌ءٌ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مَنْ کَابَرَ امْرَأَةً لِیَفْجُرَ بِهَا فَقَتَلَتْهُ فَلَا دِیَةَ لَهُ</w:t>
      </w:r>
    </w:p>
    <w:p>
      <w:pPr>
        <w:pStyle w:val="BookText"/>
        <w:rPr/>
      </w:pPr>
      <w:r>
        <w:rPr>
          <w:rFonts w:ascii="Amiri" w:hAnsi="Amiri" w:eastAsia="Amiri" w:cs="Amiri"/>
          <w:color w:val="111111"/>
          <w:sz w:val="28"/>
          <w:sz w:val="28"/>
          <w:szCs w:val="28"/>
          <w:rtl w:val="true"/>
          <w:lang w:bidi="ar-SA"/>
        </w:rPr>
        <w:t>وَ لَا قَوَدَ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بها ما مر فی صحیح ابن 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لَوْ دَخَلَ رَجُلٌ عَلَی امْرَأَةٍ وَ هِیَ حُبْلَی فَوَقَعَ عَلَیْهَا فَقَتَلَ مَا فِی بَطْنِهَا فَوَثَبَتْ عَلَیْهِ فَقَتَلَتْهُ قَالَ ذَهَبَ دَمُ اللِّصِّ هَدَراً وَ کَانَ دِیَةُ وَلَدِهَا عَلَی الْمَعْقُلَةِ‌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محسنة الْفَتْحِ بْنِ یَزِیدَ الْجُرْجَانِیِّ عَنْ أَبِی الْحَسَنِ علیه السلام فِی رَجُلٍ دَخَلَ دَارَ آخَرَ لِلتَّلَصُّصِ أَوِ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صَاحِبُ الدَّارِ أَ یُقْتَلُ بِهِ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اعْلَمْ أَنَّ مَنْ دَخَلَ دَارَ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أَهْدَرَ دَمَهُ وَ لَا یَجِبُ عَلَیْهِ شَیْ ءٌ</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جَعْفَرِ بْنِ مُحَمَّدٍ عَنْ أَبِیهِ عَنْ آبَائِهِ عَنْ عَلِیٍّ صلی الله علیه و آله أَنَّهُ قَضَی فِی رَجُلٍ دَخَلَ عَلَی امْرَأَةٍ فَاسْتَکْرَهَهَا عَلَی نَفْسِهَا وَ جَامَعَهَا وَ قَتَلَ ابْنَهَا فَلَمَّا خَرَجَ قَامَتِ الْمَرْأَةُ إِلَیْهِ بِفَأْسٍ فَأَدْرَکَتْهُ فَضَرَبَتْهُ بِهِ فَقَتَلَتْهُ فَأَهْدَرَ دَمَهُ وَ قَضَی بِعُقْرِهَا وَ دِیَةِ ابْنِهَا فِی مَالِهِ وَ قَالَ جَعْفَرُ بْنُ مُحَمَّدٍ علیه السلام إِذَا رَاوَدَ الرَّجُلُ الْمَرْأَةَ عَنْ نَفْسِهَا فَدَفَعَتْهُ عَنْ نَفْسِهَا فَقَتَلَتْهُ فَدَمُهُ هَدَرٌ قَالَ وَ دَمُ اللِّصِّ هَدَرٌ وَ لَا شَیْ‌ءَ عَلَی مَنْ دَفَعَ عَنْ نَفْسِهِ‌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bookmarkStart w:id="84" w:name="pg13703_133604"/>
    </w:p>
    <w:p>
      <w:pPr>
        <w:pStyle w:val="BookText"/>
        <w:rPr/>
      </w:pPr>
      <w:bookmarkEnd w:id="84"/>
      <w:r>
        <w:rPr>
          <w:rFonts w:ascii="IRNazanin" w:hAnsi="IRNazanin" w:eastAsia="IRNazanin"/>
          <w:color w:val="111111"/>
          <w:sz w:val="28"/>
          <w:sz w:val="28"/>
          <w:szCs w:val="28"/>
          <w:rtl w:val="true"/>
          <w:lang w:bidi="fa-IR"/>
        </w:rPr>
        <w:t>مجمل مفاد روایة ابن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 المحقق النجفی فی الجواهر وغیره من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 اللص فی قویة عبد الله بن طلحة وصحیح عبد الله بن سنان وان کان دفعا عن ثیابها المسروقة فضلا عن کونه هدرا لکونه لصا محاربا فلا یقع قصاصا ولا قود له ولا دیة فمن ثم توخذ الدیة للغلام مع ان الروایتین تعللا الهدر بکونه کابرها علی فرجها مع کون الغصب والاغتصاب قد وقع ومع ذلک قد جعل علیه السلام القتل المتعقب لذلک مصداقا للقاعدة فی قویة ابن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صحیحة عبد الله بن سنان جعل الهدر لکونه سارقا کذلک بقیة روایات القاعدة کصحیح ابن فضیل حیث علل هدر الدم انه لکونه سارقا لا لکونه قاتلا او مغتصبا فیدلل علی ان المعتدی کاللص محارب</w:t>
      </w:r>
      <w:r>
        <w:rPr>
          <w:rFonts w:eastAsia="IRNazanin" w:cs="IRNazanin"/>
          <w:color w:val="111111"/>
          <w:sz w:val="28"/>
          <w:szCs w:val="28"/>
          <w:rtl w:val="true"/>
          <w:lang w:bidi="fa-IR"/>
        </w:rPr>
        <w:t>.</w:t>
      </w:r>
    </w:p>
    <w:p>
      <w:pPr>
        <w:pStyle w:val="Heading3"/>
        <w:numPr>
          <w:ilvl w:val="2"/>
          <w:numId w:val="1"/>
        </w:numPr>
        <w:rPr/>
      </w:pPr>
      <w:bookmarkStart w:id="85" w:name="__RefHeading___Toc1100992_1468164448"/>
      <w:bookmarkStart w:id="86" w:name="_Toc32"/>
      <w:bookmarkEnd w:id="85"/>
      <w:r>
        <w:rPr>
          <w:rtl w:val="true"/>
        </w:rPr>
        <w:t>الاشکال علی القاعدة ودفعه</w:t>
      </w:r>
      <w:r>
        <w:rPr>
          <w:rtl w:val="true"/>
        </w:rPr>
        <w:t>:</w:t>
      </w:r>
      <w:bookmarkEnd w:id="86"/>
    </w:p>
    <w:p>
      <w:pPr>
        <w:pStyle w:val="BookText"/>
        <w:rPr/>
      </w:pPr>
      <w:r>
        <w:rPr>
          <w:rFonts w:ascii="IRNazanin" w:hAnsi="IRNazanin" w:eastAsia="IRNazanin"/>
          <w:color w:val="111111"/>
          <w:sz w:val="28"/>
          <w:sz w:val="28"/>
          <w:szCs w:val="28"/>
          <w:rtl w:val="true"/>
          <w:lang w:bidi="fa-IR"/>
        </w:rPr>
        <w:t>وقد یشکل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 السید الخوئی صغرویا علی تطبیق القاعدة فی المقام بان قتل الجانی قبل موت المجنی علیه یکون ظلما وعدوانا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الاشکال محل تامل بعد کون الجانی قد جاح علی المجنی بما یودی الی زهوق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الوصف صادق فی مشهد الجنایة بل وکذا یصدق خارج مشهد الجنایة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اشکالان اخران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باشکالین اخرین علی تطبیق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قلنا ان القاعدة فی نفسها متینه ولکن قد یشکل فی تطبیقها فی المقام باشکالین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سرایة فعل الجانی مع العمد فی الجنایة وحصول السرایة یکشف عن معرضیة القتل وحینئذ فالجنایة لا تکون متمحضة فی الطرف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القاعدة لا تنطبق فی المقام لان الهدر فی المقام انما هو بموجب عنوان خاص وهو فیما أدی قصاص الطرف بنحو موزون معتاد بینما موضوع القاعدة انما هو فی مهدور الدم بوصف انه لص او محارب او معتدی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یقرب التهاتر فی الصورة الثالثة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بعد موت المجنی علیه یتحقق فی ذمة الجانی حق القصاص علیه لولی المجنی علیه فیما لو کان القاتل ولی المجنی علیه کما ثبت للجانی حق القصاص علی ولی المجنی فیتهاترا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فی القصاص العرفی</w:t>
      </w:r>
      <w:bookmarkStart w:id="87" w:name="pg13703_133609"/>
    </w:p>
    <w:p>
      <w:pPr>
        <w:pStyle w:val="Heading2"/>
        <w:numPr>
          <w:ilvl w:val="1"/>
          <w:numId w:val="1"/>
        </w:numPr>
        <w:rPr/>
      </w:pPr>
      <w:bookmarkStart w:id="88" w:name="__RefHeading___Toc1100994_1468164448"/>
      <w:bookmarkStart w:id="89" w:name="_Toc33"/>
      <w:bookmarkEnd w:id="87"/>
      <w:bookmarkEnd w:id="88"/>
      <w:r>
        <w:rPr>
          <w:rtl w:val="true"/>
        </w:rPr>
        <w:t>القاعدة العاشرة</w:t>
      </w:r>
      <w:r>
        <w:rPr>
          <w:rtl w:val="true"/>
        </w:rPr>
        <w:t xml:space="preserve">: </w:t>
      </w:r>
      <w:r>
        <w:rPr>
          <w:rtl w:val="true"/>
        </w:rPr>
        <w:t>قاعدة فی القصاص العرفی</w:t>
      </w:r>
      <w:bookmarkEnd w:id="89"/>
    </w:p>
    <w:p>
      <w:pPr>
        <w:pStyle w:val="BookText"/>
        <w:rPr/>
      </w:pPr>
      <w:r>
        <w:rPr>
          <w:rFonts w:ascii="IRNazanin" w:hAnsi="IRNazanin" w:eastAsia="IRNazanin"/>
          <w:color w:val="111111"/>
          <w:sz w:val="28"/>
          <w:sz w:val="28"/>
          <w:szCs w:val="28"/>
          <w:rtl w:val="true"/>
          <w:lang w:bidi="fa-IR"/>
        </w:rPr>
        <w:t xml:space="preserve">قال السید الخوئی قدس سره فی مسالة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القصاص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علی الثانی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موته بها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أنّها تقع هدراً، و علی ذلک یجری فیه جمیع الوجوه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الأظهر هو أنّها لا تقع هدراً، و ذلک لأنّ موته حیث إنّه کان مستنداً إلی المجنیّ علیه فهو و إن لم یکن قصاصاً کما عرفت إلّا أنّه وقع فی محلّه، لأنّه اعتداء بالمثل، و قد عرفت أنّ الجانی لا یجنی أکثر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أن یکون موته بعد موت المجنیّ علیه أو قبله، و قد جرت علی ذلک السیرة العقلائیة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یمکن استفادة ما ذکرناه من معتبرة السکونی المتقدّمة فی المسألة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القاعدة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السَّکُونِیِّ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قَوْمٌ یَشْرَبُونَ فَیَسْکَرُونَ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فَیَتَبَاعَجُونَ بِسَکَاکِینَ کَانَتْ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فَرُفِعُوا إِلَی أَمِیرِ الْمُؤْمِنِینَ فَسَجَنَهُمْ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مِنْهُمْ رَجُلَانِ وَبَقِیَ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الْمَقْتُولَیْنِ یَا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أَقِدْهُمَا بِصَاحِبَیْنَا فَقَالَ لِلْقَوْمِ 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نَرَی أَنْ تُقِیدَهُمَا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ذَیْنِکَ اللَّذَیْنِ مَاتَا قَتَلَ کُلُّ وَاحِدٍ مِنْهُمَا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نَدْرِی فَقَالَ</w:t>
      </w:r>
    </w:p>
    <w:p>
      <w:pPr>
        <w:pStyle w:val="BookText"/>
        <w:rPr/>
      </w:pP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أَجْعَلُ دِیَةَ الْمَقْتُولَیْنِ عَلَی قَبَائِلِ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وَآخُذُ دِیَةَ جِرَاحَةِ الْبَاقِیَیْنِ مِنْ دِیَةِ الْمَقْتُولَیْنِ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وَذَکَرَ إِسْمَاعِیلُ بْنُ الْحَجَّاجِ بْنِ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سِمَاکِ بْنِ حَرْبٍ عَنْ عُبَیْدِ الله بْنِ أَبِی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کُنْتُ أَنَا رَابِعَهُمْ فَقَضَی عَلِیٌّ هَذِهِ الْقَضِیَّةَ فِینَا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الالتزام بالقصاص العرفی فی اصل الاعتداء لا فی المعتدی فیه أی وان لم یکن قصاصا فی النفس لان قتل الجانی قبل موت المجنی علیه فی احد الصورتین کما هو الحال فیما لو اقتص فیما لا یقتص منه لخوف التغریر کالهاشمة والدامیة فان المجنی علیه لو اقتص ولم تسری للنفس فلا حق له فی الدیة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القاعدة اما من باب التهاتر بین الحقین او انه اقتصاص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هنا ینافی ما التزم به فی المسالة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بحثه فی القصاص</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المثلیة فی الاطراف والاعضاء والجروح لوحدة العنوان او المحل</w:t>
      </w:r>
      <w:bookmarkStart w:id="90" w:name="pg13703_133613"/>
    </w:p>
    <w:p>
      <w:pPr>
        <w:pStyle w:val="Heading2"/>
        <w:numPr>
          <w:ilvl w:val="1"/>
          <w:numId w:val="1"/>
        </w:numPr>
        <w:rPr/>
      </w:pPr>
      <w:bookmarkStart w:id="91" w:name="__RefHeading___Toc1100996_1468164448"/>
      <w:bookmarkStart w:id="92" w:name="_Toc34"/>
      <w:bookmarkEnd w:id="90"/>
      <w:bookmarkEnd w:id="91"/>
      <w:r>
        <w:rPr>
          <w:rtl w:val="true"/>
        </w:rPr>
        <w:t>القاعدة الحادیة عشر</w:t>
      </w:r>
      <w:r>
        <w:rPr>
          <w:rtl w:val="true"/>
        </w:rPr>
        <w:t xml:space="preserve">: </w:t>
      </w:r>
      <w:r>
        <w:rPr>
          <w:rtl w:val="true"/>
        </w:rPr>
        <w:t>قاعة المثلیة فی الأطراف والأعضاء والجروح لوحدة العنوان او المحل</w:t>
      </w:r>
      <w:bookmarkEnd w:id="92"/>
    </w:p>
    <w:p>
      <w:pPr>
        <w:pStyle w:val="BookText"/>
        <w:rPr/>
      </w:pPr>
      <w:r>
        <w:rPr>
          <w:rFonts w:ascii="IRNazanin" w:hAnsi="IRNazanin" w:eastAsia="IRNazanin"/>
          <w:color w:val="111111"/>
          <w:sz w:val="28"/>
          <w:sz w:val="28"/>
          <w:szCs w:val="28"/>
          <w:rtl w:val="true"/>
          <w:lang w:bidi="fa-IR"/>
        </w:rPr>
        <w:t>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عمم ابو الصلاح الحلبی البحث فی المقام الی اصابع الیدین والرجلین والعینین والاسنان بل من الرجل الی الید لمن لا رجل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العلامة فی التحریر الانتقال من الید الی الرجل مع عدم وجودها خلافا للمشهور بین الاصحاب عملا بالنص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واشترط فی المبسوط وحدة المحل فی الزائدة فضلا عن الاصلیة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ومال الاردبیلی لجواز الانتقال مع عدم المثلیة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الی ذلک جملة من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فی مسالة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سند القصاص نظیر هذا البحث فی الاسنان کالسن الاصلیة والزائدة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الخلاف ان فی السن الزائدة ثلث الدیة و ورد فی الاصبع الزائدة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 موتلف الطبرسی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وفصل فی المبسوط بان السن الاصلیة لا تقلع بالزائدة</w:t>
      </w:r>
    </w:p>
    <w:p>
      <w:pPr>
        <w:pStyle w:val="BookText"/>
        <w:rPr/>
      </w:pPr>
      <w:r>
        <w:rPr>
          <w:rFonts w:ascii="Amiri" w:hAnsi="Amiri" w:eastAsia="Amiri" w:cs="Amiri"/>
          <w:color w:val="111111"/>
          <w:sz w:val="28"/>
          <w:sz w:val="28"/>
          <w:szCs w:val="28"/>
          <w:rtl w:val="true"/>
          <w:lang w:bidi="ar-SA"/>
        </w:rPr>
        <w:t>وتقلع الزائدة بالزائدة مع وحدة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ابن البراج والعلامة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الغنیة والکیدری ان فی السن الزائدة الارش وقیل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وادعی فی الجواهر عدم الخلاف لاشتراط وحدة المحل فی الزائد للقصاص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فی عبارة الشرائع عدم وحدة المحل فی الاصبع لکنه اشترط فی الاسنان التساوی فی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عبارته فی السن الاصلی ودیة اصابع الید الاصلیة متساویة عند المشهور وهو یشعر بالتماثل وان اختلف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السید الخوئی فی اشتراط المحل بین الاعضاء والاسنان والاصابع فاشترط فی الاعضاء دون الاسنان والاصابع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المبسوط فان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الیمنی وهو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المهذب</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له یدان وکانت له رجلان قطعت رجله الیمنی بالیمنی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مفتاح الکرامة</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المصرح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بشرط وحدة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وتمسک بعموم النص والفتوی فی الانتقال من الید الیمنی الی الیسری مع اشارته للنص الخاص</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عن الشرائع والتحریر والارشاد والروض ومجمع البرهان انهم</w:t>
      </w:r>
    </w:p>
    <w:p>
      <w:pPr>
        <w:pStyle w:val="BookText"/>
        <w:rPr/>
      </w:pPr>
      <w:r>
        <w:rPr>
          <w:rFonts w:ascii="IRNazanin" w:hAnsi="IRNazanin" w:eastAsia="IRNazanin"/>
          <w:color w:val="111111"/>
          <w:sz w:val="28"/>
          <w:sz w:val="28"/>
          <w:szCs w:val="28"/>
          <w:rtl w:val="true"/>
          <w:lang w:bidi="fa-IR"/>
        </w:rPr>
        <w:t>لم یشترطوا تساوی المحل بخلاف المبسوط والمسالک واستظهر من کلامهم الشمول لاختلاف المحل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الخاصة</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محسنة حَبِیبٍ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قَطَعَ یَدَیْنِ لِرَجُلَیْنِ الْیَمِینَیْنِ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یَا حَبِیبُ تُقْطَعُ یَمِینُهُ لِلَّذِی قَطَعَ یَمِینَهُ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 یَسَارُهُ لِلرَّجُلِ الَّذِی قَطَعَ یَمِینَهُ 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قَطَعَ یَدَ الرَّجُلِ الْأَخِیرِ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یَمِینُهُ قِصَاصٌ لِلرَّجُلِ الْأَوَّلِ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إِنَّمَا کَانَ یَقْطَعُ الْیَدَ الْیُمْنَی وَ الرِّجْلَ الْیُسْرَی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إِنَّمَا کَانَ یَفْعَلُ ذَلِکَ فِیمَا یَجِبُ مِنْ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یَا حَبِیبُ حُقُوقُ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تُؤْخَذُ لَهُمْ حُقُوقُهُمْ فِی الْقِصَاصِ الْیَدُ بِالْیَدِ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لِلْقَاطِعِ 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بِالْیَدِ إِذَا لَمْ یَکُنْ لِلْقَاطِعِ 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 وَ مَا تَجِبُ عَلَیْهِ الدِّیَةُ وَ تُتْرَکُ لَهُ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إِنَّمَا تَجِبُ عَلَیْهِ الدِّیَةُ إِذَا قَطَعَ یَدَ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لِلْقَاطِعِ یَدَانِ وَ 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تَجِبُ عَلَیْهِ الدِّیَةُ لِأَنَّهُ لَیْسَ لَهُ جَارِحَةٌ یُقَاصُّ مِنْهَا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ابْنِ مَحْبُوبٍ مِثْلَهُ إِلَی قَوْلِهِ قِصَاصٌ لِلرَّجُلِ الْأَوَّلِ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تُقْطَعُ یَدَاهُ جَمِیعاً فَلَا تُتْرَکُ لَهُ یَدٌ یَسْتَنْظِفُ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إِنَّهَا فِی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فَیُقْتَصُّ فِی الْأَرْبَعِ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فِی حَقِّ الله فَلَا یُقْتَصُّ مِنْهُ</w:t>
      </w:r>
    </w:p>
    <w:p>
      <w:pPr>
        <w:pStyle w:val="BookText"/>
        <w:rPr/>
      </w:pPr>
      <w:r>
        <w:rPr>
          <w:rFonts w:ascii="Amiri" w:hAnsi="Amiri" w:eastAsia="Amiri" w:cs="Amiri"/>
          <w:color w:val="111111"/>
          <w:sz w:val="28"/>
          <w:sz w:val="28"/>
          <w:szCs w:val="28"/>
          <w:rtl w:val="true"/>
          <w:lang w:bidi="ar-SA"/>
        </w:rPr>
        <w:t xml:space="preserve">إِلَّا فِی یَدٍ 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قَطَعَ یَمِینَ رَجُلٍ وَ قَدْ قُطِعَتْ یَمِینُهُ فِی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یَدُهُ الْیُسْرَی وَ إِنْ لَمْ یَکُنْ لَهُ 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رِجْلُهُ بِالْیَدِ الَّتِی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یُقْتَصُّ مِنْهُ فِی جَوَارِحِهِ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فِی حُقُوقِ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والتعلیل فی ذیل الروایة یقتضی التعمیم لبقیة الجوارح کالاذنین والحاجبین والعینین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لیس له جارجة یقاص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لقطع ید من لا رجل له وقد قطع رجل شخص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امکان تقریب دلالته ایضا علی الاصابع أی فی الانتقال من الیمنی الی الیسری والعکس لاطلاق الید علی الاصابع کما فی حد السرقة واطلاق الرجل علی اصابع الرجل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الحال فی تقریب عنوان الید والرجل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أَعْوَرُ فَقَأَ عَیْنَ 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تُفْقَأُ عَیْنُهُ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یَبْقَی أَعْمَی قَالَ الْحَقُّ أَعْمَاهُ‌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ان مفاده شامل للانتقال من الیسری للیمنی 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العین من اشرف الاعضاء وقد عمل المشهور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المسالة شقوق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یتعدی الی العینین فیما بینهما او مع الیدین والرجلین والاذنین والحاجبین</w:t>
      </w:r>
    </w:p>
    <w:p>
      <w:pPr>
        <w:pStyle w:val="BookText"/>
        <w:rPr/>
      </w:pPr>
      <w:r>
        <w:rPr>
          <w:rFonts w:ascii="IRNazanin" w:hAnsi="IRNazanin" w:eastAsia="IRNazanin"/>
          <w:color w:val="111111"/>
          <w:sz w:val="28"/>
          <w:sz w:val="28"/>
          <w:szCs w:val="28"/>
          <w:rtl w:val="true"/>
          <w:lang w:bidi="fa-IR"/>
        </w:rPr>
        <w:t>والشفتین والجفنین علی اشکال فی الاخیرین لاختلاف المنفعة؟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الانتقال من الیدین والرجلین الی غیرهما من الجوارح فلاینتقل لتنصیص الروایة علی الانتقال للدیة لا الانتقال للجوارح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التعمیم بین الاذنین والعینین فیقربهما عموم التعلیل فی الذیل لعنوان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لفظ العین بالعین والسن بالسن والجروح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ویوید هذا العموم بنظیر له فی الحدود کالانتقال بحد السرقة من الید الی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یقتضیه هو الانتقال من الیمنی الی الیسری والعکس لا الانتقال من نوع عضو الی نوع عضو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تقریبه ایضا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مع صدق العنوان کنوع عنوان الید او العین او السن او الاصبع فیقتصر علیه مع توفره والا فتنتقل النوبة الی الدیة لا سیما فی الاطراف بعد کون القصاص نظیر الضمان فی الاعیان المالیة فالاصل فیه شخص العین بکل خصوصیاتها ثم المثل والمثلی ثم القیمة والقیمی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ذلک یجری فی باب القصاص وهو عموم العنوان ثم الی الدیة وهی القیمة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فی سقوط القصاص</w:t>
      </w:r>
      <w:bookmarkStart w:id="93" w:name="pg13703_133621"/>
    </w:p>
    <w:p>
      <w:pPr>
        <w:pStyle w:val="Heading2"/>
        <w:numPr>
          <w:ilvl w:val="1"/>
          <w:numId w:val="1"/>
        </w:numPr>
        <w:rPr/>
      </w:pPr>
      <w:bookmarkStart w:id="94" w:name="__RefHeading___Toc1100998_1468164448"/>
      <w:bookmarkStart w:id="95" w:name="_Toc35"/>
      <w:bookmarkEnd w:id="93"/>
      <w:bookmarkEnd w:id="94"/>
      <w:r>
        <w:rPr>
          <w:rtl w:val="true"/>
        </w:rPr>
        <w:t>القاعدة الثانیة عشرة</w:t>
      </w:r>
      <w:r>
        <w:rPr>
          <w:rtl w:val="true"/>
        </w:rPr>
        <w:t xml:space="preserve">: </w:t>
      </w:r>
      <w:r>
        <w:rPr>
          <w:rtl w:val="true"/>
        </w:rPr>
        <w:t>قاعدة فی سقوط القصاص</w:t>
      </w:r>
      <w:bookmarkEnd w:id="95"/>
    </w:p>
    <w:p>
      <w:pPr>
        <w:pStyle w:val="BookText"/>
        <w:rPr/>
      </w:pPr>
      <w:r>
        <w:rPr>
          <w:rFonts w:ascii="IRNazanin" w:hAnsi="IRNazanin" w:eastAsia="IRNazanin"/>
          <w:color w:val="111111"/>
          <w:sz w:val="28"/>
          <w:sz w:val="28"/>
          <w:szCs w:val="28"/>
          <w:rtl w:val="true"/>
          <w:lang w:bidi="fa-IR"/>
        </w:rPr>
        <w:t>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لا یقول بثبوت القصاص فی کسر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ابن حمزة الی ثبوت القود فی الهاشمة والمنقلة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الهاشمة ما یهشم العظم و لا یحتاج إلی النقل و فیها القصاص إن کان عمدا أو الدیة و هی عشرة أبعرة و حکم الخطإ و عمده فیها و فیما علی ما ذکرنا فی 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المنقلة ما یکسر العظم و یخرج إلی النقل من موضع إلی موضع و دیتها خمسة عشر بعیرا و فی عمدها القصاص أو الدیة</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ومن یذکر القصاص فی کسر العضد والمنکب بل اقتصر علی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واطلق الشیخان القصاص بلا استثناء للهاشمة والمنقلة والمأمومة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القصاص ثابت فی جمیع هذه الجراح إلّا فی المأمومة خاصّة، لأنّ فیها تغریرا بالنفس، و لیس فیها أکثر من دیتها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کسر العظم من عضو خمس دیة ذلک الموضحة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کسر العظم عثم وعیب کان دیته اربعة اخماس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ان ینتظر الحاکم بالمجروح والمکسور حتی یعالج ویستبرا حاله باهل الصناعة فان صلح بالعلاج لم یقتص له ولکن یحکم علی الجانی بالارش فیما جنی فان لم یصلح بعلاج حکم له بالقصاص</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جرحه، فسری الی نفسه و مات، وجب القصاص فی النفس، و لا قصاص فی الجرح، سواء کان مما لو انفرد کان فیه القصاص، أو لم یکن فیه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مما لو انفرد و اندمل لا قصاص فیه مثل الهاشمة، و المنقلة، و المأمومة، و الجائفة، و قطع الید من بعض الذراع، و الرجل من بعض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صارت نفسا فهل لولیه أن یقتص منها، ثم یقتل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العباس بن عبد المطلب أن النبی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فی المنقلة</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الموضحة فیها نصف العشر، خمس من الإبل بلا خلاف، و فیها القصاص أیضا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الهاشمة فیها عشرة، و المنقلة فیها خمسة عشر بعیرا، و المأمومة فیها ثلث دیة النفس بلا خلاف أیضا، و لا قصاص فیها و لا فیما فوق الموضحة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عندنا أن یوضح و یأخذ فضل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یوضح و</w:t>
      </w:r>
    </w:p>
    <w:p>
      <w:pPr>
        <w:pStyle w:val="BookText"/>
        <w:rPr/>
      </w:pPr>
      <w:r>
        <w:rPr>
          <w:rFonts w:ascii="IRNazanin" w:hAnsi="IRNazanin" w:eastAsia="IRNazanin"/>
          <w:color w:val="111111"/>
          <w:sz w:val="28"/>
          <w:sz w:val="28"/>
          <w:szCs w:val="28"/>
          <w:rtl w:val="true"/>
          <w:lang w:bidi="fa-IR"/>
        </w:rPr>
        <w:t>یأخذ فضل ما بین الجنایتین، فان کانت هاشمة له أن یوضح و یأخذ خمسا، و إن کانت منقلة له أن یوضح و یأخذ عشرا، و کذلک فی 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 أخبارهم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ونقلها فی المبسوط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المراسم لا قصاص فیما یبرا ویصح ولم یستثنی الا الجائفة والمامومة بخلاف الهاشمة والمنقلة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قصاص إلا فی سبع منهن، و ما عدا المأمومة و الجائفة فإن فیهما تعذر بالنفس و لا قصاص فیهما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وقال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القصاص بجرح ولا قطع ولا کسر ولا خلع حتی یحصل الیاس من صلاحه فان اقتص بجرح فبرا المجروح والمقتص منه لم یبرا فلا شی لاحدهما علی صاحبه وان برا احدهما والتائم جرحه اعید القصاص من الاخر ان کان القصاص باذنه وان کان بغیر اذنه رجع المقتص منه علی المعتدی دون المجنی علیه فان کان الجرح مما یخاف للاقتصاص به تلف المقتص منه کالجائفة والمامومة وما یجری مجراها لم یجز الاقتصاص به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غنیة النزوع إلی علمی الأصول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الهاشمة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تهشم العظم، و فیها عشر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تحوج مع کسر العظم إلی نقله من موضع إلی آخر، و فیها عشر و نصف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تصل إلی أم الدماغ، و فیها ثلث الدیة، و فی هذه الثلاث ما ذکرناه من</w:t>
      </w:r>
    </w:p>
    <w:p>
      <w:pPr>
        <w:pStyle w:val="BookText"/>
        <w:rPr/>
      </w:pPr>
      <w:r>
        <w:rPr>
          <w:rFonts w:ascii="IRNazanin" w:hAnsi="IRNazanin" w:eastAsia="IRNazanin"/>
          <w:color w:val="111111"/>
          <w:sz w:val="28"/>
          <w:sz w:val="28"/>
          <w:szCs w:val="28"/>
          <w:rtl w:val="true"/>
          <w:lang w:bidi="fa-IR"/>
        </w:rPr>
        <w:t>المقدر بلا خلاف، و لیس فیها قصاص بلا خلاف</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فی الجرح تغریر النفس او کان مما یبرا فلیس فیه قصاص</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 اذن رجل فابانها ثم الصقها المجنی علیه فی الحال کان علی الجانی القصاص لان القصاص علیه بالابانه وقد 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 الجانی ازیل اذنه ثم اقتصوا منی قال قوم تزال لانه الصق بنفسه میتة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ابن براج فی الجواهر والمهذب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نکت النهایة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والقصاص ثابت فی جمیع هذه الجراح إلّا فی المأمومة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الهاشمة کیف یمکن أن یقتصّ منها؟ لأنّ الرضّ قد یزید و ینقص فی طول العظم و عرضه، و ربما أدّی ذلک الاقتصاص إلی نقل العظم الذی 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 رحمه الله البحث فی هذه المسألة فی غیر النهایة بما هو الحقّ، فقال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الموضحة فیها القصاص بلا خلاف، وما بعدها من الهاشمة والمنقلة والمأمومة لا قصاص فیها بلا خلاف، ولا یجوز عندنا أن یوضح ویأخذ فضل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بإجماع الفرقة وأخبارهم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المعوّل علیه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موضع غرر فلا یشرع فیه القصاص لأنّ القصاص مساواة و هی متعذّرة هنا فی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روی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w:t>
      </w:r>
    </w:p>
    <w:p>
      <w:pPr>
        <w:pStyle w:val="BookText"/>
        <w:rPr/>
      </w:pPr>
      <w:r>
        <w:rPr>
          <w:rFonts w:ascii="IRNazanin" w:hAnsi="IRNazanin" w:eastAsia="IRNazanin"/>
          <w:color w:val="111111"/>
          <w:sz w:val="28"/>
          <w:sz w:val="28"/>
          <w:szCs w:val="28"/>
          <w:rtl w:val="true"/>
          <w:lang w:bidi="fa-IR"/>
        </w:rPr>
        <w:t>عظم قصاص</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الدعائم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الأصل فیما یقتص منه من الجراحات و الجنایات علی أعضاء و غیر ذلک أن کل ما یوصل إلی القصاص منه بلا زیادة و لا نقصان و یؤمن فیه الاعتداء و لا یخاف فیه موت المقتص منه فالقصاص فیه مباح و ما عدا ذلک فالدیة فیه من مال الجانی إذا کان حرا بالغا جائز الأمر متعمدا للفعل و الدیة فیما تجب فیه الدیة علی العاقلة من الخطإ و قد ذکرنا ما تعقله العاقلة من جراحات الخطإ</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الوسیلة إلی نیل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الهاشمة ما یهشم العظم و لا یحتاج إلی النقل و فیها القصاص إن کان عمدا أو الدیة و هی عشرة أبعرة و حکم الخطإ و عمده فیها و فیما علی ما ذکرنا فی الموضحة و المنقلة ما یکسر العظم و یخرج إلی النقل من موضع إلی موضع و دیتها خمسة عشر بعیرا و فی عمدها القصاص أو الدیة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یثبت القصاص فیما فیه تغریر، کالجائفة و 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فی الحارصة و الباضعة و السّمحاق و الموضحة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الجروح فإنه یقتص منها إذا کان الجارح مکافئا للمجروح علی ما بیناه فی النفس فیقتص بمثل جراحته الموضحة</w:t>
      </w:r>
    </w:p>
    <w:p>
      <w:pPr>
        <w:pStyle w:val="BookText"/>
        <w:rPr/>
      </w:pPr>
      <w:r>
        <w:rPr>
          <w:rFonts w:ascii="IRNazanin" w:hAnsi="IRNazanin" w:eastAsia="IRNazanin"/>
          <w:color w:val="111111"/>
          <w:sz w:val="28"/>
          <w:sz w:val="28"/>
          <w:szCs w:val="28"/>
          <w:rtl w:val="true"/>
          <w:lang w:bidi="fa-IR"/>
        </w:rPr>
        <w:t>بالموضحة و الهاشمة بالهاشمة و المنقلة بالمنقلة و لا قصاص فی المأمومة و هی التی تبلغ أم الرأس و لا الجائفة‌و هی التی تبلغ الجوف لأن فی القصاص منهما تضریرا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یقتص الجراح بعد أن یندمل من المجروح فإذا اندمل اقتص حینئذ من الجارح و إن سرت إلی النفس کان فیها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 العظم لا قصاص فیه و إنما فیه الدیة</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اخترناه نحن هو الظاهر، و تعضده الأدلّة، و جمیع الظواهر تشهد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نهایته، و القصاص ثابت فی جمیع هذه الجراح، إلّا فی المأمومة خاصة، لأن فیها تغریرا بالنفس، فلیس فیها أکثر من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رجع فی مسائل خلافه و مبسوطة الی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الأصح، لأن تعلیله فی نهایته لازم له فی الهاشمة و المنقلة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الأحکام الشرعیة علی مذهب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قصاص فی الهاشمة و المنقّلة و المأمومة و الجائفة، لما فیها من التّغریر، و لیس له أن یقتصّ فی الموضحة بالسّمحاق و یأخذ دیة الزائد، لإمکان القصاص فی الجنایة، و لو اتّفقا علی ذلک جاز</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الکیدری فی إصباح الشیعة بمصباح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تهشم العظم، و فیها عشر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تحوج مع کسر العظم إلی نقله من موضع إلی آخر، و فیها عشر و نصف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هی التی تصل إلی أم الدماغ و فیها ثلث الدیة، و لیس فی هذه الثلاثة قصاص،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ذلک القصاص إلا فی المأمومة، لأن فیها تغریرا بالنفس</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مختلف الشیعة فی أحکام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یصرّحا بثبوت القصاص فی الهاشمة و المنقلة، بل علی تعمیم القصاص فی الجراح، و الهشم و النقل کأنّهما خارجان عن الجراح</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کشف الرموز فی شرح مختصر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القصاص فیما لا تعزیر فیه کالخارصة و الموضحة، و یسقط فیما فیه التعزیر کالهاشمة و المنقّلة و المأمومة و الجائفة و کسر العظام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عبارته ان عنوان کسر العظام مغایر للهاشمة والمنقلة والمامومة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اقتصر علی کسر العظم فقط بلا هشمه او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یظهر عدم التدافع فی عبارة الراوندی 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مشهور المتقدمین یذهبون الی ثبوت القصاص فی الکسر اذا لم یصلح علی التفصیل اعلاه بخلاف مشهور المتاخرین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کلمات الاصحاب انهم عللوا عدم القصاص فی الهاشمة والمنقلة بالتغریر بالنفس او عدم الضبط بالزیادة والنقیصة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أَنَّ 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 لَیْسَ فِی عَظْمٍ قِصَاصٌ</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أَحْمَدُ بْنُ مُحَمَّدِ بْنِ عِیسَی فِی نَوَادِرِهِ عَنْ أَبِیهِ عَنْ 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حَدٍّ وَ لَا قِصَاصَ فِی عَظْمٍ‌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 إِسْحَاقَ بْنِ عَمَّارٍ الاخر عَنْ جَعْفَرٍ عَنْ أَبِیهِ علیه السلام أَنَّ رَجُلًا قَطَعَ مِنْ بَعْضِ أُذُنِ رَجُلٍ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ذَلِکَ إِلَی عَلِیٍّ علیه السلام فَأَقَادَهُ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الْآخَرُ مَا قُطِعَ مِنْ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عَلَی أُذُنِهِ بِدَمِهِ فَالْتَحَمَتْ وَ بَرَأَتْ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الْآخَرُ إِلَی عَلِیٍّ علیه السلام فَاسْتَقَادَهُ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فَقُطِعَتْ ثَانِیَةً وَ أَمَرَ بِهَا فَدُفِنَتْ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إِنَّمَا یَکُونُ الْقِصَاصُ مِنْ أَجْلِ الشَّیْنِ‌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مقطوعة أَبَانٍ أَنَّ فِی رِوَایَتِهِ الْجَائِفَةُ مَا وَقَعَتْ فِی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لِصَاحِبِهَا قِصَاصٌ إِلَّا الْحُکُومَةُ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الْمُنَقِّلَةُ تُنَقَّلُ مِنْهَا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فِیهَا قِصَاصٌ إِلَّا الْحُکُومَةُ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الْمَأْمُومَةِ ثُلُثُ 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قِصَاصٌ إِلَّا الْحُکُومَةُ‌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مقطوعة أَبِی حَمْزَةَ فِی الْمُوضِحَةِ خَمْسٌ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السِّمْحَاقِ دُونَ الْمُوضِحَةِ أَرْبَعٌ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الْمُنَقِّلَةِ خَمْسَ عَشْرَةَ مِنَ الْإِبِلِ عُشْرٌ وَ نِصْفُ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الْجَائِفَةِ مَا وَقَعَتْ فِی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فِیهَا قِصَاصٌ إِلَّا الْحُکُومَةُ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فِیهَا قِصَاصٌ إِلَّا الْحُکُومَةُ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الْمَأْمُومَةِ تَقَعُ ضَرْبَةٌ فِی الرَّأْسِ إِنْ کَانَ سَیْفاً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تَقْطَعُ کُلَّ شَیْ‌ءٍ وَ تَقْطَعُ الْعَظْمَ فَتَؤُمُّ الْمَضْرُوبَ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ثَقُلَ لِسَانُهُ وَ رُبَّمَا ثَقُلَ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اعْتَرَاهُ 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ضُرِبَ بِعَمُودٍ أَوْ بِعَصًا 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تَبْلُغُ أَشَدَّ مِنَ الْقَطْعِ یُکْسَرُ مِنْهَا الْقِحْفُ قِحْفُ الرَّأْسِ‌</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دعائم الإسلام عَنْهُ علیه السلام أَنَّهُ قَالَ لَا یُقْتَصُّ مِنَ الْمُنَقِّلَةِ وَ لَا مِنَ السِّمْحَاقِ وَ لَا مِمَّا هُوَ دُونَهُمَا یَعْنِی علیه السلام مَا هُوَ دُونَهُمَا إِلَی الدِّمَاغِ وَ دَاخِلِ الرَّأْسِ قَالَ وَ فِیهَا الدِّیَةُ وَ لَا یُقَادُ مِنَ الْمَأْمُومَةِ وَ لَا مِنَ الْجَائِفَةِ وَ لَا مِنْ کَسْرِ عَظْمٍ وَ فِی ذَلِکَ کُلِّهِ الْعَقْلُ</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ویوید تفصیل القدماء ما رواه فی الدعائم حیث استظهر منها التفصیل بین الراس والبدن ما روی فی الجعفریات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جَعْفَرِ بْنِ مُحَمَّدٍ عَنْ أَبِیهِ عَنْ جَدِّهِ عَلِیِّ بْنِ الْحُسَیْنِ عَنْ أَبِیهِ عَنْ عَلِیِّ بْنِ أَبِی طَالِبٍ علیه السلام قَالَ قَضَی رَسُولُ الله صلی الله علیه و آله فِی الْمُوضِحَةِ فِی الرَّأْسِ وَ الْوَجْهِ سَوَاءً</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صحیحة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السِّنِّ وَ الذِّرَاعِ یُکْسَرَانِ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أَرْشٌ أَوْ قَوَدٌ فَقَالَ 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أَضْعَفُوا 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أَرْضَوْهُ بِمَا شَاءَ فَهُوَ لَهُ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فقد حمل المقنعة والنهایة وابن زهرة العمل بها فیما لا یرجی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المجلسی الاول علی من یعتاد الکسر أی له خبرویة فی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الجمع بین الروایات بما یاتی من تفصیل فی الصحیح الی جمیل بن دراج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الصحیح الی جَمِیلِ بْنِ دَرَّاجٍ عَنْ بَعْضِ أَصْحَابِنَا عَنْ أَحَدِهِمَا علیه السلام فِی رَجُلٍ کَسَرَ یَدَ رَجُلٍ ثُمَّ بَرَأَتْ یَدُ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فِی هَذَا قِصَاصٌ وَ لَکِنْ یُعْطَی الْأَرْشَ</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اعلاه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سِنِّ الصَّبِیِّ یَضْرِبُهَا الرَّجُلُ فَتَسْقُطُ ثُمَّ تَنْبُتُ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لَیْسَ عَلَیْهِ قِصَاصٌ وَ عَلَیْهِ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وَ سُئِلَ جَمِیلٌ کَمِ الْأَرْشُ فِی سِنِّ الصَّبِیِّ وَ کَسْرِ 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شَیْ‌ءٌ یَسِیرٌ وَ لَمْ یَرْوِ فِیهِ شَیْئاً مَعْلُوماً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مقتضی القاعدة وهو ما استدل به الاکثر من استلزام التغریر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اشکل علی ذلک الشهید الثانی ان کسر مطلق العظم لا تغریر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یمکن الاستیفاء بالمثل فی کسر العظم کما استدل به الشهید الثانی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ان یشکل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سیاتی من قاعدة التزم بها مشهور القدامی مفادها الاقتصار علی الاقل مع اخذ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وان اصل القصاص فی النفس مبنی علی المماثلة فی اصل القصاص لا المماثلة فی العدوان ومن ثم فلا یقتص من الجانی بالکیفیة التی قتل بها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یشیر ان باب القصاص لیس مبنیا علی المماثلة المطلقة بل علی المقابلة فی اصل القصاص</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فی غایة القصاص</w:t>
      </w:r>
      <w:bookmarkStart w:id="96" w:name="pg13703_133635"/>
    </w:p>
    <w:p>
      <w:pPr>
        <w:pStyle w:val="Heading2"/>
        <w:numPr>
          <w:ilvl w:val="1"/>
          <w:numId w:val="1"/>
        </w:numPr>
        <w:rPr/>
      </w:pPr>
      <w:bookmarkStart w:id="97" w:name="__RefHeading___Toc1101000_1468164448"/>
      <w:bookmarkStart w:id="98" w:name="_Toc36"/>
      <w:bookmarkEnd w:id="96"/>
      <w:bookmarkEnd w:id="97"/>
      <w:r>
        <w:rPr>
          <w:rtl w:val="true"/>
        </w:rPr>
        <w:t>القاعدة الثالثة عشرة</w:t>
      </w:r>
      <w:r>
        <w:rPr>
          <w:rtl w:val="true"/>
        </w:rPr>
        <w:t xml:space="preserve">: </w:t>
      </w:r>
      <w:r>
        <w:rPr>
          <w:rtl w:val="true"/>
        </w:rPr>
        <w:t>قاعدة فی غایة القصاص</w:t>
      </w:r>
      <w:bookmarkEnd w:id="98"/>
    </w:p>
    <w:p>
      <w:pPr>
        <w:pStyle w:val="BookText"/>
        <w:rPr/>
      </w:pPr>
      <w:r>
        <w:rPr>
          <w:rFonts w:ascii="IRNazanin" w:hAnsi="IRNazanin" w:eastAsia="IRNazanin"/>
          <w:color w:val="111111"/>
          <w:sz w:val="28"/>
          <w:sz w:val="28"/>
          <w:szCs w:val="28"/>
          <w:rtl w:val="true"/>
          <w:lang w:bidi="fa-IR"/>
        </w:rPr>
        <w:t>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افتی الصدوق والنهایة والخلاف بموثقة اسحاق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الشیخ فی المبسوط عمل الاصحاب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یفت بها العلامة فی القواعد وافتی بها فی المقنعة معکوسا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ما لو لصق المجنی علیه القطعة المبانة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وکانه فهم عکس الفرض من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ابن البراج بین الفرضین بضابطة جامعة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یقرر مقتضی القاعدة فی ایة القصاص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غایة القصاص هو نقص العضو کما هو موثقة اسحاق 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الایة قابلت بین قصاص الاعضاء وقصاص الجروح والمقابلة انما تتم بکون القسم الاول نقص عضو بخلاف قصاص الجروح فلو اعید العضو الی محله لکان من قصاص الجروح لا الاعضاء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وموثقة إِسْحَاقَ بْنِ عَمَّارٍ عَنْ جَعْفَرٍ عَنْ أَبِیهِ علیه السلام أَنَّ رَجُلًا قَطَعَ مِنْ بَعْضِ أُذُنِ رَجُلٍ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ذَلِکَ إِلَی عَلِیٍّ علیه السلام فَأَقَادَهُ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الْآخَرُ مَا قُطِعَ مِنْ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عَلَی أُذُنِهِ بِدَمِهِ فَالْتَحَمَتْ وَ بَرَأَتْ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الْآخَرُ إِلَی عَلِیٍّ علیه السلام فَاسْتَقَادَهُ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فَقُطِعَتْ ثَانِیَةً وَ أَمَرَ بِهَا فَدُفِنَتْ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إِنَّمَا یَکُونُ الْقِصَاصُ مِنْ أَجْلِ الشَّیْنِ‌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القصاص فی معرضیة الهلکة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وهی جواب علی ما یرد من الاشکال علی صحیح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بْنُ الْخَطَّابِ بِرَجُلٍ قَدْ قَتَلَ أَخَا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إِلَیْهِ وَ أَمَرَهُ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الرَّجُلُ حَتَّی رَأَی أَنَّهُ قَدْ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إِلَی مَنْزِلِهِ فَوَجَدُوا بِهِ رَمَقاً فَعَالَجُوهُ‌فَبَرَأَ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أَخَذَهُ أَخُو الْمَقْتُولِ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أَنْتَ قَاتِلُ أَخِی وَ لِی أَنْ أَقْتُلَکَ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 قَتَلْتَنِی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إِلَی عُمَرَ فَأَمَرَ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 هُوَ یَقُولُ وَ الله قَتَلْتَنِی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عَلَی أَمِیرِ الْمُؤْمِنِینَ علیه السلام فَأَخْبَرَهُ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تَعْجَلْ حَتَّی أَخْرُجَ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عَلَی عُمَرَ فَقَالَ لَیْسَ الْحُکْمُ فِیهِ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هُوَ یَا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یَقْتَصُّ هَذَا مِنْ أَخِی الْمَقْتُولِ الْأَوَّلِ مَا صَنَعَ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یَقْتُلُهُ بِأَخِیهِ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الرَّجُلُ أَنَّهُ إِنِ اقْتَصَّ مِنْهُ أَتَی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 وَ تَتَارَکَا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روایته علی القواعد وان تعلیله علیه السلام یرید به بیان ان النفس موجبة لاستثناء من عموم قصاص الاطراف اذا کان قصاص الطرف معرضا لهلکة</w:t>
      </w:r>
    </w:p>
    <w:p>
      <w:pPr>
        <w:pStyle w:val="BookText"/>
        <w:rPr/>
      </w:pPr>
      <w:r>
        <w:rPr>
          <w:rFonts w:ascii="IRNazanin" w:hAnsi="IRNazanin" w:eastAsia="IRNazanin"/>
          <w:color w:val="111111"/>
          <w:sz w:val="28"/>
          <w:sz w:val="28"/>
          <w:szCs w:val="28"/>
          <w:rtl w:val="true"/>
          <w:lang w:bidi="fa-IR"/>
        </w:rPr>
        <w:t>النفس مع ان الحق للقصاص مقرر حسب القاعدة الاولیة لکنه اذا ادی الی التغریر بالنفس فانه یسقط وینتقل الی الدیة فکذا فی المقام فان ولی المقتول وان استحق القصاص للنفس لکن ما فعله حیث لم یندرج فی القصاص للنفس وان کان سائغا ظاهرا لا بحسب الواقع للفصل الزمنی مع الضربة القاتلة فلا یندرج فی القصاص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فالضربة الاولی مضمونة ولو دیة او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یقتص لها لکونها فی معرض هلکة النفس للتزاحم فکذا هاهنا لا یقتص للمقتول وذلک لتزاحمه مع ما جری علی الجانی مما لا یستحق ولی المقتول وکانما ما قاله الامیر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بضربة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معنی روایة ابان ان القصاص الاولی حیث یسقط بسبب استلزامه التعدی کما فی الجائفة والمامومة والهاشمة والناقلة کذا هنا فی المقام لا یقتص ولی المقتول لاستلزامه الزیادة والتعدی فتعلیله علیه السلام لبیان ان القاعدة الاولیة وان کانت القصاص لکنه یسقط اذا استلزم الزیادة کما فی قصاص الطرف المنصوص علیه فی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فی قصاص النفس فان المقرر وان کان النفس بالنفس کالعین بالعین والاذن وبالاذن لکنه یسقط اذا استلزم الزیادة والتعدی فالتعلیل فی الروایة متقن من المتقنات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یعترض بمفاد موثق اسحاق لانه لا یستلزم التعدی بخلاف المقام الذی یستلزم التعدی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الطرف فی معرض القتل قصاص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الفعل منزلة فعل اخر رعایة للحقین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ان قصاص الطرف الذی فی معرض القتل لا یثبت القصاص بل</w:t>
      </w:r>
    </w:p>
    <w:p>
      <w:pPr>
        <w:pStyle w:val="BookText"/>
        <w:rPr/>
      </w:pPr>
      <w:r>
        <w:rPr>
          <w:rFonts w:ascii="IRNazanin" w:hAnsi="IRNazanin" w:eastAsia="IRNazanin"/>
          <w:color w:val="111111"/>
          <w:sz w:val="28"/>
          <w:sz w:val="28"/>
          <w:szCs w:val="28"/>
          <w:rtl w:val="true"/>
          <w:lang w:bidi="fa-IR"/>
        </w:rPr>
        <w:t xml:space="preserve">الدیة شاهد علی ان القصاص فی العضو الذی فی معرض القتل هو قصاص نفس لا قصاص طرف فقوله علیه السلام فی روایة ابان ان یقتص منه ما صنع کنایة وتنبیه علی 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ضربة ولی المقتول للجانی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استیفاء لقصاص النفس بنحو تنزیلی کما فی جملة من الموارد کاقرار الثانی بالقتل لانقاذ المقر الاول وکالهارب القار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مفاد الروایة لیس شاذا عن القواعد حتی تطرح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ان الصدوق افتی بها فی الفقیه والکلینی والشیخ فی التهذیب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وسیما ان ضابطة ما یسوغ من الضرب للقتل قصاصا یباین المثلة والتعذیب فللجمع بین الحقین من دون ایکال الضابطة الی العرف لانه غیر منضبط تکون النتیجة بما فی مفاد الروایة تعبدا جما بین الحقین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یقع البحث فی انه هل یجوز تعدد الضربات فی قصاص القتل او لابد من الوحدة کما فی روایة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 فَضَرْبَةً مَکَانَ ضَرْبَةٍ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خالف المامقانی فی حاشیة المکاسب انه یسوغ له ان یضرب القاتل عدة ضربات بالسیف لقتله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تقریب ذلک ان القصاص لیس هو الا الضربة الموصوفة بانها قاتلة أی شانها ذلک وفی معرض القتل والتعلیل فی روایة ابان المتقدمة مشیرة الی ذلک وذیلها تنبیه منه علیه السلام الی ان ذلک اقتصاص للجانی من ولی المقتول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قصاص الاطراف أنها لمجرد إبانة العضو أو للشین أیضا</w:t>
      </w:r>
      <w:bookmarkStart w:id="99" w:name="pg13703_133641"/>
    </w:p>
    <w:p>
      <w:pPr>
        <w:pStyle w:val="Heading2"/>
        <w:numPr>
          <w:ilvl w:val="1"/>
          <w:numId w:val="1"/>
        </w:numPr>
        <w:rPr/>
      </w:pPr>
      <w:bookmarkStart w:id="100" w:name="__RefHeading___Toc1101002_1468164448"/>
      <w:bookmarkStart w:id="101" w:name="_Toc37"/>
      <w:bookmarkEnd w:id="99"/>
      <w:bookmarkEnd w:id="100"/>
      <w:r>
        <w:rPr>
          <w:rtl w:val="true"/>
        </w:rPr>
        <w:t>القاعدة الرابعة عشرة</w:t>
      </w:r>
      <w:r>
        <w:rPr>
          <w:rtl w:val="true"/>
        </w:rPr>
        <w:t xml:space="preserve">: </w:t>
      </w:r>
      <w:r>
        <w:rPr>
          <w:rtl w:val="true"/>
        </w:rPr>
        <w:t>فی قصاص الأطراف أنها لمجرد إبانة العضو أو للشین أیضا</w:t>
      </w:r>
      <w:bookmarkEnd w:id="101"/>
    </w:p>
    <w:p>
      <w:pPr>
        <w:pStyle w:val="Heading3"/>
        <w:numPr>
          <w:ilvl w:val="2"/>
          <w:numId w:val="1"/>
        </w:numPr>
        <w:rPr/>
      </w:pPr>
      <w:bookmarkStart w:id="102" w:name="__RefHeading___Toc1101004_1468164448"/>
      <w:bookmarkStart w:id="103" w:name="_Toc38"/>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ویتضح الحال فی القاعدة من خلال عرض صورتان وبیان تطبیق فی مسالة من بحث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الجانی هو الذی الصق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المجنی علیه هو الذی الصق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فی کتاب القصاص شطر من الکلام فی المسالة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فی التحریر انه لیس للمجنی علیه ازالة اذن الجانی مرة ثانیة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موثق اسحاق بن عمار عَنْ جَعْفَرٍ عَنْ أَبِیهِ علیه السلام أَنَّ رَجُلًا قَطَعَ مِنْ بَعْضِ أُذُنِ رَجُلٍ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ذَلِکَ إِلَی عَلِیٍّ علیه السلام فَأَقَادَهُ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الْآخَرُ مَا قُطِعَ مِنْ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عَلَی أُذُنِهِ بِدَمِهِ فَالْتَحَمَتْ وَ بَرَأَتْ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الْآخَرُ إِلَی عَلِیٍّ علیه السلام فَاسْتَقَادَهُ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فَقُطِعَتْ ثَانِیَةً وَ أَمَرَ بِهَا فَدُفِنَتْ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إِنَّمَا یَکُونُ الْقِصَاصُ مِنْ أَجْلِ الشَّیْنِ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ومورد الروایة هو الصاق الجانی اذنه وهو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احتمل ظهور العکس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الصورة الثانیة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ان یقرب ما لو الصق المجنی علیه اذنه بان المجنی علیه غایة حقه هو القصاص للنقص والشین فلما الصق المجنی علیه عضوه لم یبق له شین فیکون قد استوفی اکثر من حقه فحینئذ للجانی حق الاقتصاص من المجنی علیه ویدعمه ما ذکرناه فی المسالة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مرت روایة ابان بن عثمان وتقدم بیان مفادها فی ذیل قاعدة عدم جواز التعدی فی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تعدی اقتص من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ذهب الیه جماعة من سقوط حق قصاص المجنی علیه لو الصق اذن نفسه قبل ان یقتص من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سقوط حق القصاص تقوم ذلک الحق بعدم التئام الاذن مرة اخری وبقائها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مقتضی تعلیل موثق اسحاق المتقدم دال علی ان الموضوع لحق القصاص هو القطع والابانه والشین فاذا ما اختل الموضوع فی جزئه الثانی فلا یتم تحققه ویکون اقتصاص المجنی علیه من الجانی تعدیا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التقریب للتعلیل فی موثق اسحاق لیس من باب تعمیم التعلیل عن مورد الموثق فی احد الصورتین للاخری</w:t>
      </w:r>
      <w:r>
        <w:rPr>
          <w:rFonts w:eastAsia="IRNazanin" w:cs="IRNazanin"/>
          <w:color w:val="111111"/>
          <w:sz w:val="28"/>
          <w:szCs w:val="28"/>
          <w:rtl w:val="true"/>
          <w:lang w:bidi="fa-IR"/>
        </w:rPr>
        <w:t>.</w:t>
      </w:r>
      <w:bookmarkStart w:id="104" w:name="pg13703_133643"/>
    </w:p>
    <w:p>
      <w:pPr>
        <w:pStyle w:val="Heading3"/>
        <w:numPr>
          <w:ilvl w:val="2"/>
          <w:numId w:val="1"/>
        </w:numPr>
        <w:rPr/>
      </w:pPr>
      <w:bookmarkStart w:id="105" w:name="__RefHeading___Toc1101006_1468164448"/>
      <w:bookmarkStart w:id="106" w:name="_Toc39"/>
      <w:bookmarkEnd w:id="104"/>
      <w:bookmarkEnd w:id="105"/>
      <w:r>
        <w:rPr>
          <w:rtl w:val="true"/>
        </w:rPr>
        <w:t>تطبیق وشرح للقاعدة</w:t>
      </w:r>
      <w:r>
        <w:rPr>
          <w:rtl w:val="true"/>
        </w:rPr>
        <w:t>:</w:t>
      </w:r>
      <w:bookmarkEnd w:id="106"/>
    </w:p>
    <w:p>
      <w:pPr>
        <w:pStyle w:val="BookText"/>
        <w:rPr/>
      </w:pPr>
      <w:r>
        <w:rPr>
          <w:rFonts w:ascii="IRNazanin" w:hAnsi="IRNazanin" w:eastAsia="IRNazanin"/>
          <w:color w:val="111111"/>
          <w:sz w:val="28"/>
          <w:sz w:val="28"/>
          <w:szCs w:val="28"/>
          <w:rtl w:val="true"/>
          <w:lang w:bidi="fa-IR"/>
        </w:rPr>
        <w:t xml:space="preserve">فی مسالة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القصاص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قطعت اذن شخص مثلا ثم الصقها المجنی علیه قبل الاقتصاص من الجانی والتحمت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یسقط به حق الاقتصاص؟ المشهور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الاظهر الاقوی هو السقوط وانتقال الامر للدیة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المسالة بمثابة تتمة لشرح للقاعدة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الحلبی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القصاص بجرح ولا قطع ولا کسر ولا خلع حتی الیاس من 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ان ینتظر الحاکم بالمجروح والمکسور حتی یعالج ویستبرا حاله لاهل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صلح بالعلاج لم یقتص له لکنهیحکم علی الجانی بالارش فیما جنی فان لم یصلح بعلاج حکم له بالقصاص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وجب القصاص اشکال ینشا من وجوبه بالابانة وقد حصلت ومن عدم الابانة علی الدوم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وجوب القصاص مطلقا وان قلنا بعدمه فله الارش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القواعد ولو الصقها المجنی علیه لم یومر بالازالة والقصاص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المشهور فی المسالة السابقة متدافع مع ما التزموا به فی هذه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فی المسالة السابقة بنو علی کون التعلیل وهو الشین جزء للموضوع وفی هذه المسالة بنوا علی ان الابانة هی تمام الموضوع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وقرب فی الجواهر رفع التدافع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المجنی علیه لو الصق ما التحمت اذنه</w:t>
      </w:r>
    </w:p>
    <w:p>
      <w:pPr>
        <w:pStyle w:val="BookText"/>
        <w:rPr/>
      </w:pPr>
      <w:r>
        <w:rPr>
          <w:rFonts w:ascii="IRNazanin" w:hAnsi="IRNazanin" w:eastAsia="IRNazanin"/>
          <w:color w:val="111111"/>
          <w:sz w:val="28"/>
          <w:sz w:val="28"/>
          <w:szCs w:val="28"/>
          <w:rtl w:val="true"/>
          <w:lang w:bidi="fa-IR"/>
        </w:rPr>
        <w:t>فجاء اخر فقطعها ان للمجنی علیه ان یقتص قصاصا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یقرب تقریر القاعدة فی قصاص الاطراف بمفاد الایة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التقریب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یقرب ان المستفاد من الایة هو کون القصاص لاجل العضو فاذا ما رجع الی حاله السابق فلا قصاص بمقتضی ظهور المقابلة بین عنوان العضو فی مقابل 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بِالْعَیْنِ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کبری الجروح کالعام بعد مصادیق وامثلة الخاص فظاهر الباء المقابلة لذات العضو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ویشهد لهذا التقریب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ان الایة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والاطراف والجروح وان الثانی عطف علی الاول حکما واما الثالث فالواو استئنافیة کما استظهره التبیان ومجمع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یدلل علی ما افتوا به طبقا للنص الوارد من انه یقلع السن بالسن ولو عادت السن فلا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جمیل بن دراج عن احدهما علیهما السلام فی سن الصبی یضربها الرجل فتسقط ثم تنبت قال لیس علیه قصاص وعلیه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الصبی فضلة نازلة منزلة الشعر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لهذا لتقریب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یدعم المقابلة بین الاعضاء تقدیرهم الحکومة مع عود العضو الی محله والدیة کاملة اذا لم یعد مما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لهذا التقریب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یدلل علی المقابلة فی العضو لا فی الابانة کالجرح کما بینا فی المسالة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القصاص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الاعور یقتص من عینه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یظهر منه المقابلة فی الاعضاء لا فی اصل الابانة والا فالابانة من العین العوراء یحصل بها الالم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فی مقطوع الید او الرجل والا فیقطع مما بقی من العضو ویبان منه شطرا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یقرب عکس ذلک فی مفاد الایة بان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الشرح بما سبق وتبیان ان القصاص للابانة والجرح او عطف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ویدعم هذا التقریب بصحیح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جِرَاحَاتِ الرِّجَالِ وَ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الدِّیَاتِ وَ الْقِصَاصِ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الرِّجَالُ وَ النِّسَاءُ فِی الْقِصَاصِ السِّنُّ بِالسِّنِّ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الشَّجَّةُ بِالشَّجَّةِ وَ الْإِصْبَعُ بِالْإِصْبَعِ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تَبْلُغَ الْجِرَاحَاتُ ثُلُثَ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 دیة الاطراف حکم دیة الجراحات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تنقد هذه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تعمیم عنوان الجراحات للعضو فی صحیح الحلبی لیس بمعنی وحدة سنخ الحکم بین الجراحة والعضو بل بلحاظ التسویة فی الفرق بین المراة والرجل الی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یدلل علی عدم التسویة بین حکم الشراحات وقطع العضو ان الدیة فی الجراحات مبنیة علی برء الجرح والا ستکون دیة عضو بخلاف دیة العضو فانها مبنیة علی تلف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یقرب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مستقلا الا انه شارح لما سبق لان فی الجروح الموضوع هو الفعل نفسه من الجنایة کحدث لا کنتیجة الحدث</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القصاص فی الاعضاء مباین سنخا لقصاص الجروح وان الغایة فی الاول اتلاف ذات العضو نفسه لا مجرد الابانة والجرح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الغایة فی الثانی فانها لمجرد الجرح والایلام به لا التلف والاتلاف</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فی تبعیض القصاص فی الاطراف والجراحات</w:t>
      </w:r>
      <w:bookmarkStart w:id="107" w:name="pg13703_133649"/>
    </w:p>
    <w:p>
      <w:pPr>
        <w:pStyle w:val="Heading2"/>
        <w:numPr>
          <w:ilvl w:val="1"/>
          <w:numId w:val="1"/>
        </w:numPr>
        <w:rPr/>
      </w:pPr>
      <w:bookmarkStart w:id="108" w:name="__RefHeading___Toc1101008_1468164448"/>
      <w:bookmarkStart w:id="109" w:name="_Toc40"/>
      <w:bookmarkEnd w:id="107"/>
      <w:bookmarkEnd w:id="108"/>
      <w:r>
        <w:rPr>
          <w:rtl w:val="true"/>
        </w:rPr>
        <w:t>القاعدة الخامسة عشرة</w:t>
      </w:r>
      <w:r>
        <w:rPr>
          <w:rtl w:val="true"/>
        </w:rPr>
        <w:t xml:space="preserve">: </w:t>
      </w:r>
      <w:r>
        <w:rPr>
          <w:rtl w:val="true"/>
        </w:rPr>
        <w:t>قاعدة فی تبعیض القصاص فی الأطراف والجراحات</w:t>
      </w:r>
      <w:bookmarkEnd w:id="109"/>
    </w:p>
    <w:p>
      <w:pPr>
        <w:pStyle w:val="Heading3"/>
        <w:numPr>
          <w:ilvl w:val="2"/>
          <w:numId w:val="1"/>
        </w:numPr>
        <w:rPr/>
      </w:pPr>
      <w:bookmarkStart w:id="110" w:name="__RefHeading___Toc1101010_1468164448"/>
      <w:bookmarkStart w:id="111" w:name="_Toc41"/>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والبحث فیها یقع فی ثلاث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الاقوال والادلة وتتمات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المشهور والمبسوط الی التبعیض فی القصاص عند عدم امکان القصاص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ویستشعر من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حکایة کلام التحریر حیث قرب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الی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فی القطع من الذراع التبعیض من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توسعة فی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المسالک استشکل فی التبعیض من جهة الالزام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من نصف الکفّ لم یکن له القصاص من موضع القطع، لعدم وقوع القطع علی مفصل محسوس یمکن اعتبار المساواة فیه، و له قطع الأصابع و المطالبة بالحکومة فی الباقی، و لیس له قطع الأنامل و مطالبة دیة باقی الأصابع و الحکومة، فإن رضی بقطعها مع إسقاط الباقی جاز، و لیس له أن یقطع الأنامل ثمّ یکمل القطع فی الأصابع، لزیادة الألم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التبعیض تارة یفرض فی الکم وتارة فی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للتبعیض الذی ذهب الیه المشهور او بعض درجاته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المبسوط وغیره من ان القطع من وسط الذراع کسر محتمل للتعدی فینتقل الی مفاصل الاعضاء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اسناد القطع حاصل للاصابع مع قطع الکف وکذلک اسناده للکف حاصل مع قطع وسط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المرفق مع العضد مما یحقق موضوع القصاص بنحو متعدد بدلی کالمجموعی لا الاستغراقی لاسیما وان التفکیک بین قطع المفصل من الکوع والقطع من الذراع لازمه ان الزیادة علی المفصل مانعة من القصاص وهو غریب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المماثلة الماخوذة فی القصاص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هی قید کسقف اعلی لا انها حد مانع عما دونه کما هو الحال فی جملة من ابواب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القید بلحاظ السقف الاعلی ککون الحیض عشرة ایام وکون شهر الصیام ثلاثین یوما فانه لا یمانع ما دل علی ان المدار فی شهر الصیام علی رؤیة الهلال ولو کان تسع وعشرین یوما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یقرر ان قصاص الجنایة متقوم ببعدین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الکم وبعد 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الکیف وهو الایلام یحصل مرة واحدة لا تتعدد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الکم فهی قابلة للتعدد والتبعیض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 ذلک یشکل ما ذهب الیه المشهور من اخذ الدیة مع القصاص من الکوع</w:t>
      </w:r>
      <w:r>
        <w:rPr>
          <w:rFonts w:eastAsia="IRNazanin" w:cs="IRNazanin"/>
          <w:color w:val="111111"/>
          <w:sz w:val="28"/>
          <w:szCs w:val="28"/>
          <w:rtl w:val="true"/>
          <w:lang w:bidi="fa-IR"/>
        </w:rPr>
        <w:t>.</w:t>
      </w:r>
      <w:bookmarkStart w:id="112" w:name="pg13703_133651"/>
    </w:p>
    <w:p>
      <w:pPr>
        <w:pStyle w:val="BookText"/>
        <w:rPr/>
      </w:pPr>
      <w:bookmarkEnd w:id="112"/>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یخرج التبعیض انه من باب المصالحة علی العضو عن القصاص لکن بشرط عدم صدق المثلة والتمثیل لانه ورد فی شروط القصاص النهی عن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تتمات</w:t>
      </w:r>
      <w:r>
        <w:rPr>
          <w:rFonts w:eastAsia="IRNazanin" w:cs="IRNazanin"/>
          <w:color w:val="111111"/>
          <w:sz w:val="28"/>
          <w:szCs w:val="28"/>
          <w:rtl w:val="true"/>
          <w:lang w:bidi="fa-IR"/>
        </w:rPr>
        <w:t>:</w:t>
      </w:r>
    </w:p>
    <w:p>
      <w:pPr>
        <w:pStyle w:val="Heading3"/>
        <w:numPr>
          <w:ilvl w:val="2"/>
          <w:numId w:val="1"/>
        </w:numPr>
        <w:rPr/>
      </w:pPr>
      <w:bookmarkStart w:id="113" w:name="__RefHeading___Toc1101012_1468164448"/>
      <w:bookmarkStart w:id="114" w:name="_Toc42"/>
      <w:bookmarkEnd w:id="113"/>
      <w:r>
        <w:rPr>
          <w:rtl w:val="true"/>
        </w:rPr>
        <w:t>ضابطتان فی التبعیض</w:t>
      </w:r>
      <w:r>
        <w:rPr>
          <w:rtl w:val="true"/>
        </w:rPr>
        <w:t>:</w:t>
      </w:r>
      <w:bookmarkEnd w:id="114"/>
    </w:p>
    <w:p>
      <w:pPr>
        <w:pStyle w:val="BookText"/>
        <w:rPr/>
      </w:pPr>
      <w:r>
        <w:rPr>
          <w:rFonts w:ascii="IRNazanin" w:hAnsi="IRNazanin" w:eastAsia="IRNazanin"/>
          <w:color w:val="111111"/>
          <w:sz w:val="28"/>
          <w:sz w:val="28"/>
          <w:szCs w:val="28"/>
          <w:rtl w:val="true"/>
          <w:lang w:bidi="fa-IR"/>
        </w:rPr>
        <w:t>هذه الضابطة نظیر ما مر فی قصاص النفس انه کلما استلزم قصاص الطرف الرد فلولی الدم ان یلزم الجانی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کلما استلزم الرد صح التبعیض والحکومة فی مازاد علی المفصل فی مقابل ان یقتص من المفصل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مورد لا یضبط تقدیره فیصار فیه الی التبعیض لتفادی التعدی فی القصاص</w:t>
      </w:r>
      <w:r>
        <w:rPr>
          <w:rFonts w:eastAsia="IRNazanin" w:cs="IRNazanin"/>
          <w:color w:val="111111"/>
          <w:sz w:val="28"/>
          <w:szCs w:val="28"/>
          <w:rtl w:val="true"/>
          <w:lang w:bidi="fa-IR"/>
        </w:rPr>
        <w:t>.</w:t>
      </w:r>
    </w:p>
    <w:p>
      <w:pPr>
        <w:pStyle w:val="Heading3"/>
        <w:numPr>
          <w:ilvl w:val="2"/>
          <w:numId w:val="1"/>
        </w:numPr>
        <w:rPr/>
      </w:pPr>
      <w:bookmarkStart w:id="115" w:name="__RefHeading___Toc1101014_1468164448"/>
      <w:bookmarkStart w:id="116" w:name="_Toc43"/>
      <w:bookmarkEnd w:id="115"/>
      <w:r>
        <w:rPr>
          <w:rtl w:val="true"/>
        </w:rPr>
        <w:t>فروع فی التبعیض</w:t>
      </w:r>
      <w:r>
        <w:rPr>
          <w:rtl w:val="true"/>
        </w:rPr>
        <w:t>:</w:t>
      </w:r>
      <w:bookmarkEnd w:id="116"/>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یقرر جواز التبعیض فی قطع الذراع بین التبعیض فی القطع من الکف مع القطع من الاصابع حیث لما لم یمکن القصاص کاملا وجاز التبعیض فکما یجوز اخذ الکف یجوز اخذ الاصابع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الیه فی الجواهر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علی المجنی علیه الرد فی القصاص ساغ له 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الرجل اصابع من المراة فهل لها التبعیض او کانت دیة الجنایة علی المراة ثلث الدیة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لها الاکتفاء بقصاص نصف الجنایة والامتناع عن فاضل الدیة کما فی القواعد واشکل منه اذا قطع ثلاثة اصابع او اثنین؟ اختار فخر المحققین الجواز وکذلک صاحب الجواهر وغیر واحد 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وتردد</w:t>
      </w:r>
      <w:bookmarkStart w:id="117" w:name="pg13703_133652"/>
    </w:p>
    <w:p>
      <w:pPr>
        <w:pStyle w:val="BookText"/>
        <w:rPr/>
      </w:pPr>
      <w:bookmarkEnd w:id="117"/>
      <w:r>
        <w:rPr>
          <w:rFonts w:ascii="IRNazanin" w:hAnsi="IRNazanin" w:eastAsia="IRNazanin"/>
          <w:color w:val="111111"/>
          <w:sz w:val="28"/>
          <w:sz w:val="28"/>
          <w:szCs w:val="28"/>
          <w:rtl w:val="true"/>
          <w:lang w:bidi="fa-IR"/>
        </w:rPr>
        <w:t>العلامة والشهید الثانی فی الروضة والمسالک</w:t>
      </w:r>
      <w:r>
        <w:rPr>
          <w:rStyle w:val="FootnoteAnchor"/>
          <w:rtl w:val="true"/>
        </w:rPr>
        <w:footnoteReference w:id="141"/>
      </w:r>
      <w:r>
        <w:rPr>
          <w:rFonts w:ascii="IRNazanin" w:hAnsi="IRNazanin" w:eastAsia="IRNazanin"/>
          <w:color w:val="111111"/>
          <w:sz w:val="28"/>
          <w:sz w:val="28"/>
          <w:szCs w:val="28"/>
          <w:rtl w:val="true"/>
          <w:lang w:bidi="fa-IR"/>
        </w:rPr>
        <w:t>والفاضل فی کشف اللثام</w:t>
      </w:r>
      <w:r>
        <w:rPr>
          <w:rStyle w:val="FootnoteAnchor"/>
          <w:rtl w:val="true"/>
        </w:rPr>
        <w:footnoteReference w:id="142"/>
      </w:r>
      <w:r>
        <w:rPr>
          <w:rFonts w:ascii="IRNazanin" w:hAnsi="IRNazanin" w:eastAsia="IRNazanin"/>
          <w:color w:val="111111"/>
          <w:sz w:val="28"/>
          <w:sz w:val="28"/>
          <w:szCs w:val="28"/>
          <w:rtl w:val="true"/>
          <w:lang w:bidi="fa-IR"/>
        </w:rPr>
        <w:t>وصاحب الریاض</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استندوا الی قاعدة التبعیض فی قصاص الاطراف التی مر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بعض اعضاء المجنی علیه مصابا بالشلل وکان نفس ذلک العضو من الجانی صحیحا کما لو کانا اصبعا المجنی علیه سالمین وثلاثة شلاء فیقتص من الجانی اصبعین سالمین ویوخذ منه دیة الاصابع الشلاء وهکذا الامر لباقی اقسام الید اذا وقعت علیها الجنایة وکانت معیبة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 ذلک المبسوط‌</w:t>
      </w:r>
      <w:r>
        <w:rPr>
          <w:rStyle w:val="FootnoteAnchor"/>
          <w:rtl w:val="true"/>
        </w:rPr>
        <w:footnoteReference w:id="144"/>
      </w:r>
      <w:r>
        <w:rPr>
          <w:rFonts w:ascii="IRNazanin" w:hAnsi="IRNazanin" w:eastAsia="IRNazanin"/>
          <w:color w:val="111111"/>
          <w:sz w:val="28"/>
          <w:sz w:val="28"/>
          <w:szCs w:val="28"/>
          <w:rtl w:val="true"/>
          <w:lang w:bidi="fa-IR"/>
        </w:rPr>
        <w:t>والعلامة وابن البراج وکاشف اللثام وصاحب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عضو المجنی ناقصا کالید الفاقدة لبعض الاصابع فقد افتی بالقصاص والدیة والارش فیما قابل المعیب منها کما فی التحریر والمسالک وکشف اللثام والریاض والجواهر</w:t>
      </w:r>
      <w:r>
        <w:rPr>
          <w:rFonts w:eastAsia="IRNazanin" w:cs="IRNazanin"/>
          <w:color w:val="111111"/>
          <w:sz w:val="28"/>
          <w:szCs w:val="28"/>
          <w:rtl w:val="true"/>
          <w:lang w:bidi="fa-IR"/>
        </w:rPr>
        <w:t>.</w:t>
      </w:r>
    </w:p>
    <w:p>
      <w:pPr>
        <w:pStyle w:val="Heading3"/>
        <w:numPr>
          <w:ilvl w:val="2"/>
          <w:numId w:val="1"/>
        </w:numPr>
        <w:rPr/>
      </w:pPr>
      <w:bookmarkStart w:id="118" w:name="__RefHeading___Toc1101016_1468164448"/>
      <w:bookmarkStart w:id="119" w:name="_Toc44"/>
      <w:bookmarkEnd w:id="118"/>
      <w:r>
        <w:rPr>
          <w:rtl w:val="true"/>
        </w:rPr>
        <w:t>التبعیض فی الجرحات</w:t>
      </w:r>
      <w:r>
        <w:rPr>
          <w:rtl w:val="true"/>
        </w:rPr>
        <w:t>:</w:t>
      </w:r>
      <w:bookmarkEnd w:id="11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ادی القصاص فی بعض الجراحات الی التغریر فی النفس او التعدی الی غیر موضع الجنایة فلا یجوز القصاص نعم یجوز ان یقتصر علی الموضحة ویاخذ ارش الباقی کما فی المبسوط والشرائع والمسالک وجامع الشرائع والقواعد والتحریر ومجمع الفائدة ومفاتیح الشرائع وکشف اللثام والریاض ومفتاح</w:t>
      </w:r>
    </w:p>
    <w:p>
      <w:pPr>
        <w:pStyle w:val="BookText"/>
        <w:rPr/>
      </w:pPr>
      <w:r>
        <w:rPr>
          <w:rFonts w:ascii="IRNazanin" w:hAnsi="IRNazanin" w:eastAsia="IRNazanin"/>
          <w:color w:val="111111"/>
          <w:sz w:val="28"/>
          <w:sz w:val="28"/>
          <w:szCs w:val="28"/>
          <w:rtl w:val="true"/>
          <w:lang w:bidi="fa-IR"/>
        </w:rPr>
        <w:t>الکرامة والجواهر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جنی جراحة منقلة او مامومة فینتقل الی الموضحة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الجانی او المجنی علیه له عضو زائد کالاصبع فالحکم فی بعض فروض المسالة التبعیض فی القصاص والاکتفاء باقتصاص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 عدم التمکن او الضرر بتوافق الطرفین او عدم رضی الجانی بطلب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الاصبع الزائدة فی الجانی فقط فالمشهور ان القصاص فی الاصابع الاصلیات دون الکف لاستلازمه التغریر بالعضو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بالقصاص وهو مفاد روایة ابن حریش المتقدمة خلافا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وسیاتی تتمة لهذا الفرع فی المسالة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یندرج فی التبعیض استبدال قصاص النفس بقصاص العضو واخذ الدیة والارش فی قبال ما نقص من القصاص؟</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الاثارة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غیر المودی الی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فیه القصاص او الدیة؟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الدیة فی طول القصاص استیفاء وفی عرضه موضوعا وموجبا</w:t>
      </w:r>
      <w:bookmarkStart w:id="120" w:name="pg13703_133657"/>
    </w:p>
    <w:p>
      <w:pPr>
        <w:pStyle w:val="Heading2"/>
        <w:numPr>
          <w:ilvl w:val="1"/>
          <w:numId w:val="1"/>
        </w:numPr>
        <w:rPr/>
      </w:pPr>
      <w:bookmarkStart w:id="121" w:name="__RefHeading___Toc1101018_1468164448"/>
      <w:bookmarkStart w:id="122" w:name="_Toc45"/>
      <w:bookmarkEnd w:id="120"/>
      <w:bookmarkEnd w:id="121"/>
      <w:r>
        <w:rPr>
          <w:rtl w:val="true"/>
        </w:rPr>
        <w:t>القاعدة السادسة عشرة</w:t>
      </w:r>
      <w:r>
        <w:rPr>
          <w:rtl w:val="true"/>
        </w:rPr>
        <w:t xml:space="preserve">: </w:t>
      </w:r>
      <w:r>
        <w:rPr>
          <w:rtl w:val="true"/>
        </w:rPr>
        <w:t>إن الدیة فی طول القصاص استیفاء وفی عرضه موضوعا وموجبا</w:t>
      </w:r>
      <w:bookmarkEnd w:id="122"/>
    </w:p>
    <w:p>
      <w:pPr>
        <w:pStyle w:val="BookText"/>
        <w:rPr/>
      </w:pPr>
      <w:r>
        <w:rPr>
          <w:rFonts w:ascii="IRNazanin" w:hAnsi="IRNazanin" w:eastAsia="IRNazanin"/>
          <w:color w:val="111111"/>
          <w:sz w:val="28"/>
          <w:sz w:val="28"/>
          <w:szCs w:val="28"/>
          <w:rtl w:val="true"/>
          <w:lang w:bidi="fa-IR"/>
        </w:rPr>
        <w:t>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المبسوط بین العفو عن الجنایة فیسقط القصاص وبین العفو عن عقلها ودیتها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اللثام ان صدر العفو عنها مع الصلح علی الدیة فتثبت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علی القول الاخر ما لم یصرح باسقاطها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الشرائع ان الدیة عوض طولی عن القصاص موضوعا ومحمولا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قتله قبل الاندمال مثل أن قطع یده ثم قتله، فالولی بالخیار بین القصاص و العفو، فان اختار القصاص کان له القطع، و العفو و القتل بعده و لا یدخل قصاص الطرف فی قصاص النفس، و إن اختار العفو دخل أرش الطرف فی دیة النفس، فلا یکون له غیر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أرش الطرف یدخل فی دیة النفس، و قود الطرف لا یدخل فی قود النفس، و قال بعضهم لا فصل بینهما، فلا یدخل أرش الطرف فی دیة النفس کما لا یدخل قصاصه فی قصاص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یقتضیه مذهبنا أنه یدخل کل واحد منهما فی بدل النفس، أما الأول فلا إشکال فیه، و أما القصاص فلأن أصحابنا رووا أنه إذا مثل انسان بغیره فقتله فلم یکن له غیر القتل، و لیس له التمثیل بصاحبه، و قال بعضهم له أن یقطع یده ثم یقتله و لا یکون ذلک قصاصا بل یکون للمماثلة کما لو أجافه ثم قتله کان للولی أن یجیفه ثم یقتله، و إن کان لا قصاص فی الجائفة</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وفی مجمع الفائدة نقل التفصیل بلحاظ الاندمال وعدمه کما فی الشرائع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نقاط لتنقیح وجه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بنینا فی کتاب القصاص ان الدیة تثبت بالجنایة لا بالصلح علی اسقاط القصاص غایة الامر هی طولیة مع القصاص فی الاستیفاء وثبوت الحکم فاسقاط القصاص لا یعدم موضوع الدیة بل هو ثابت بالجنایة ومن ثم اذا فکک فی الاسقاط بین القصاص والدیة فان اسقاط القصاص معلق علی اخذ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إِسْحَاقَ بْنِ عَمَّارٍ عَنْ جَعْفَرٍ أَنَّ عَلِیّاً علیه السلام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یُقْضَی فِی شَیْ‌ءٍ مِنَ الْجِرَاحَاتِ حَتَّی تَبْرَأَ</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فمع السرایة لا یکون هناک قصاص طرف وانما قصاص نفس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أَبِی بَصِیرٍ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شَجَّ رَجُلًا مُوضِحَةً ثُمَّ</w:t>
      </w:r>
    </w:p>
    <w:p>
      <w:pPr>
        <w:pStyle w:val="BookText"/>
        <w:rPr/>
      </w:pPr>
      <w:r>
        <w:rPr>
          <w:rFonts w:ascii="Amiri" w:hAnsi="Amiri" w:eastAsia="Amiri" w:cs="Amiri"/>
          <w:color w:val="111111"/>
          <w:sz w:val="28"/>
          <w:sz w:val="28"/>
          <w:szCs w:val="28"/>
          <w:rtl w:val="true"/>
          <w:lang w:bidi="ar-SA"/>
        </w:rPr>
        <w:t xml:space="preserve">یَطْلُبُ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فَوَهَبَهَا لَهُ ثُمَّ انْتَفَضَتْ بِهِ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ضَامِنٌ لِلدِّیَةِ إِلَّا قِیمَةَ 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وَهَبَهَا وَ لَمْ یَهَبِ النَّفْسَ الْحَدِیثَ</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لا تدل علی ان جنایة الطرف مع السرایة لا تتبدل الی جنایة نفس مع عدم الاندمال بل غایة دلالتها انه مع عدم الاندمال ان ابراه عن مقدار دیة الجرح فانه یستثنی من دیة النفس بلا دلالة لهذا الابراء علی الابراء عن دیة النفس ولا عن قصاص النفس فمفادها والتی قبلها ینطبق علی تفصیل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انها لا تدل علی ان جنایة الطرف او الجرح مع الاندمال تدخل فی جنایة النفس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بالفرق بین السرایة الی الکف والسرایة الی النفس ان فی الاول لا یکشف عن عدم القصاص فی الاصبع لان القصاص بالید اقل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النفس فیکشف عن عدم کونه قصاصا فی الطرف فیکون العفو عن قصاص الاصبع عفو عن ما لم یجب له فی الثانی دون الاول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الفائدة وغیره نقل التفصیل بین الاندمال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لانه بالاندمال یتبین ویتحقق ان قصاص طرف وانها لا تسری بخلاف ما قبل الاندمال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عفی قبل ولم تندمل کشف عن انه عفی عن ما لم یجب فلا تسقط دیة العضو ویقتص للنفس منه من دون رد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القواعد ان العفو عن الاصابع عفو عن الکف ان ساواه فی النقص او فی الباقی فی الاصبع ویطالب فی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ویتحصل من مجموع النقاط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الدیة فی عرض القصاص من جهة الموضوع والموجب والسبب لثبوتها الا انها فی طول القصاص 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فسقوط القصاص لا یلازم سقوط الدیة ولا یزیل موضوعها بل هو یوکد تقرر موضوعها بعد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عفی عن قود الجنایة خاصة دون الدیة فلا یبعد ان یکون هذا السقوط والقصاص مراعی باعطاء دیة له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امتنع اعطائه للدیة عاد استحقاقه للقصاص وذلک بمقتضی المعاوضة صلحا بین اسقاط القصاص واخذ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الاسقاط ایقاع ولا رجوع فی الایقاع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بامکان الفسخ بحسب العرف العقلائی ودلالة النص الوارد فی العتق المشروط</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تقیید السرایة فی قصاص الکف بکون السرایة مقصودة او فی معرض الوقوع هو کون القصاص متقوم بالعمد فلابد من تحقق قیود العمد تجاه الجنایة علی الکف او النفس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السابعة عشرة؛ قاعدة فی 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الاضطراری بعض الوقت</w:t>
      </w:r>
      <w:bookmarkStart w:id="123" w:name="pg13703_133663"/>
    </w:p>
    <w:p>
      <w:pPr>
        <w:pStyle w:val="Heading2"/>
        <w:numPr>
          <w:ilvl w:val="1"/>
          <w:numId w:val="1"/>
        </w:numPr>
        <w:rPr/>
      </w:pPr>
      <w:bookmarkStart w:id="124" w:name="__RefHeading___Toc1101020_1468164448"/>
      <w:bookmarkStart w:id="125" w:name="_Toc46"/>
      <w:bookmarkEnd w:id="123"/>
      <w:bookmarkEnd w:id="124"/>
      <w:r>
        <w:rPr>
          <w:rtl w:val="true"/>
        </w:rPr>
        <w:t>القاعدة السابعة عشرة</w:t>
      </w:r>
      <w:r>
        <w:rPr>
          <w:rtl w:val="true"/>
        </w:rPr>
        <w:t xml:space="preserve">: </w:t>
      </w:r>
      <w:r>
        <w:rPr>
          <w:rtl w:val="true"/>
        </w:rPr>
        <w:t xml:space="preserve">فی إجزاء الاضطراری بعض الوقت </w:t>
      </w:r>
      <w:r>
        <w:rPr>
          <w:rtl w:val="true"/>
        </w:rPr>
        <w:t xml:space="preserve">- </w:t>
      </w:r>
      <w:r>
        <w:rPr>
          <w:rtl w:val="true"/>
        </w:rPr>
        <w:t xml:space="preserve">قاعدة فی باب الصلاة </w:t>
      </w:r>
      <w:r>
        <w:rPr>
          <w:rtl w:val="true"/>
        </w:rPr>
        <w:t>-</w:t>
      </w:r>
      <w:bookmarkEnd w:id="125"/>
    </w:p>
    <w:p>
      <w:pPr>
        <w:pStyle w:val="BookText"/>
        <w:rPr/>
      </w:pPr>
      <w:r>
        <w:rPr>
          <w:rFonts w:ascii="Amiri" w:hAnsi="Amiri" w:eastAsia="Amiri" w:cs="Amiri"/>
          <w:color w:val="111111"/>
          <w:sz w:val="28"/>
          <w:sz w:val="28"/>
          <w:szCs w:val="28"/>
          <w:rtl w:val="true"/>
          <w:lang w:bidi="ar-SA"/>
        </w:rPr>
        <w:t>المعروف فِی کلمات مُتأخّری العصر أنَّ مُقْتَضَی القَاعِدَة هُوَ عدم الإجزاء لانکشاف قدرته عَلَی الطبیعی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یمکن تقریب الإجزاء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حین یَکُون عاجزاً فِی جملة الوقت لا یَکُون مُخاطباً عزیمة بالطبیعی الأولی وإنْ کَانَ بلحاظ باقی الوقت لا سیّما مَعَ امتداد فترة العجز أطول مِنْ فترة القدرة مَعَ فرض یأسه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الَّتِی أسسوها مِنْ إضافة العجز والاضطرار بإسناده إلی کُلّ الطبیعة بین الحدّین إنَّما قرّروه عبر الظهور اللفظی مِنْ إسناد أدلّة الاضطرار فِی الأبواب إلی الطبیعة التامَّة وَذَلِکَ عبر الإطلاق فِی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دفعه بقرائن عدیدة اعتمد عَلَیْهَا المشهور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القرینة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الیائس المُضطر مُنجز عَلَیْهِ الناقص والأقل وإنْ کَانَ المطلوب مِنْهُ الکُلّ التّام، ولکن التّام غَیْر مُنجز فِی ظرف الیأس وَذَلِکَ بَعْدَ فرض الجهل المُرکّب، نظیر الشّاک والجهل البسیط فِی الأقل والأکثر الارتباطی حَیْثُ ذهب</w:t>
      </w:r>
    </w:p>
    <w:p>
      <w:pPr>
        <w:pStyle w:val="BookText"/>
        <w:rPr/>
      </w:pPr>
      <w:r>
        <w:rPr>
          <w:rFonts w:ascii="Amiri" w:hAnsi="Amiri" w:eastAsia="Amiri" w:cs="Amiri"/>
          <w:color w:val="111111"/>
          <w:sz w:val="28"/>
          <w:sz w:val="28"/>
          <w:szCs w:val="28"/>
          <w:rtl w:val="true"/>
          <w:lang w:bidi="ar-SA"/>
        </w:rPr>
        <w:t>مُتأخّرو العصر إلی الوسطیّة فِی التنجیز فالکُلّ التّام مُنجز مِنْ ناحیة الأقل المعلوم الناقص وَغَیْر مُنجز مِنْ ناحیة الجزء المشکوک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فیما نَحْنُ فیه، وَعَلَی ذَلِکَ وتقرَّر الوسطیّة فِی التنجیز فِی ظرف الیأس تتشکل قرینة عَلَی شمول أدلّة الاضطرار لظرف العجز فِی بَعْض الوقت لا مِنْ ناحیة تخیل المُکَلَّف بَلْ ثبوتاً لفرض مُناسبة التنجیز وَهَذِهِ قرینة عامّة لإسناد أدلّة الاضطرار إلی الطبیعة فِی الجُملة لا إلی الطبیعة بالجُملة بین الحدّین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ذَلِکَ فالیأس المضطر لَهُ تنجیز تنجیز بالنَّاقص والأقل وإنْ کَانَ المطلوب مِنْهُ الکُل التَّام ولکنَّ التّام غَیْر مُنجز فِی ظرف الیأس بَعْدَ فرض الجهل المُرکب مِنْهُ بتجدد القُدرة، فَهُوَ فِی ظرف الیأس عاجز عَنْ البقیّة ولو بسبب الجهل مَعَ فعلیّة الأمر بالکُل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القرینة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ورود أدلَّة الاضطرار الخاصّة فِی الأبواب بکفایة العجز فِی الجُملة فِی بَعْض الوقت فَإنَّها قرینة لإسناد الاضطرار فِی بَقیَّة أجزاء المُرکب لبعض الوقت مَعَ فرض الیأس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القرینة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القرائن الخاصّة فی کل باب کالفوریّة فِی الصَّلاة فِی الفضیلة والفوریّة فِی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تنجیز الأقل یعنی أنَّ الباعثیّة واقعیّة ثبوتیّة للتکلیف به لکنَّ بمقدار الأقلّ الناقص وَهُوَ مُنطبق عَلَی الاضطراری، وَهَذَا یفید أنَّ أوامر الاضطرار الواردة فِی الباب هِیَ باعثة وشاملة للمضطر فِی بَعْض الوقت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ویعضُد الأجزاء فِی خصوص المقام الإطلاق فِی صحیح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Amiri" w:hAnsi="Amiri" w:eastAsia="Amiri" w:cs="Amiri"/>
          <w:color w:val="111111"/>
          <w:sz w:val="28"/>
          <w:sz w:val="28"/>
          <w:szCs w:val="28"/>
          <w:rtl w:val="true"/>
          <w:lang w:bidi="ar-SA"/>
        </w:rPr>
        <w:t>أبا عبدالله علیه السلام ما حدّ المریض الذی یُصلِّی قاعداً؟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لیوعک ویحرج ولکنه أعلم بنفسه، إذَا قوی فلیقُم</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بتقریب شمول الذیل لأثناء الصَّلاة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وبذلک یَتِمُّ الإطلاق فِی عبارة السید الیزدی فی العروة لما لو تجدّدت القدرة فِی الأثناء بَعْدَ الإتیان بما هُوَ رکن بالهیئة الناقصة المُتأخِّرة مِنْ جلوس او اضطجاع أو استلقاء، هَذَا مَعَ أنَّ التکبیر للإحرام هُوَ جزء رُکنی فِی الابتداء عَلَی أیة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عبادة توحیدیة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القاعدة من تقریرات درس الشیخ الأستاذ السند دام ظله، بقلم الأخ الشیخ محمد عیسی آل مکباس دام توفیقه</w:t>
      </w:r>
      <w:r>
        <w:rPr>
          <w:rFonts w:eastAsia="IRNazanin" w:cs="IRNazanin"/>
          <w:color w:val="111111"/>
          <w:sz w:val="28"/>
          <w:szCs w:val="28"/>
          <w:rtl w:val="true"/>
          <w:lang w:bidi="fa-IR"/>
        </w:rPr>
        <w:t>.</w:t>
      </w:r>
      <w:bookmarkStart w:id="126" w:name="pg13703_133669"/>
    </w:p>
    <w:p>
      <w:pPr>
        <w:pStyle w:val="Heading2"/>
        <w:numPr>
          <w:ilvl w:val="1"/>
          <w:numId w:val="1"/>
        </w:numPr>
        <w:rPr/>
      </w:pPr>
      <w:bookmarkStart w:id="127" w:name="__RefHeading___Toc1101022_1468164448"/>
      <w:bookmarkStart w:id="128" w:name="_Toc47"/>
      <w:bookmarkEnd w:id="126"/>
      <w:bookmarkEnd w:id="127"/>
      <w:r>
        <w:rPr>
          <w:rtl w:val="true"/>
        </w:rPr>
        <w:t>القاعدة الثامنة عشرة</w:t>
      </w:r>
      <w:r>
        <w:rPr>
          <w:rtl w:val="true"/>
        </w:rPr>
        <w:t xml:space="preserve">: </w:t>
      </w:r>
      <w:r>
        <w:rPr>
          <w:rtl w:val="true"/>
        </w:rPr>
        <w:t>التوسل عبادة توحیدیة</w:t>
      </w:r>
      <w:bookmarkEnd w:id="128"/>
    </w:p>
    <w:p>
      <w:pPr>
        <w:pStyle w:val="Heading3"/>
        <w:numPr>
          <w:ilvl w:val="2"/>
          <w:numId w:val="1"/>
        </w:numPr>
        <w:rPr/>
      </w:pPr>
      <w:bookmarkStart w:id="129" w:name="__RefHeading___Toc1101024_1468164448"/>
      <w:bookmarkStart w:id="130" w:name="_Toc48"/>
      <w:bookmarkEnd w:id="129"/>
      <w:r>
        <w:rPr>
          <w:rtl w:val="true"/>
        </w:rPr>
        <w:t>توطئة</w:t>
      </w:r>
      <w:r>
        <w:rPr>
          <w:rtl w:val="true"/>
        </w:rPr>
        <w:t>:</w:t>
      </w:r>
      <w:bookmarkEnd w:id="130"/>
    </w:p>
    <w:p>
      <w:pPr>
        <w:pStyle w:val="BookText"/>
        <w:rPr/>
      </w:pPr>
      <w:r>
        <w:rPr>
          <w:rFonts w:ascii="IRNazanin" w:hAnsi="IRNazanin" w:eastAsia="IRNazanin"/>
          <w:color w:val="111111"/>
          <w:sz w:val="28"/>
          <w:sz w:val="28"/>
          <w:szCs w:val="28"/>
          <w:rtl w:val="true"/>
          <w:lang w:bidi="fa-IR"/>
        </w:rPr>
        <w:t>الحمد للّه الذی یصطفی من عبادة ویجعلهم أبوابا لرحمة، ووسیلة الی رضوانه، وکلمات لمغفرة و التوبة الیه، واسماء یدعی بهم، وادلاء یتوجه بهم الیه، و بیوتا اذن ان ترفع یذکر فیها اسمه، وامر باتیانها من ابوابها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الصلاة و السلام علی شفیع الامة، وصاحب الوسیلة الذی امرنا بالمجیء الیه لیستغفر لنا ذنوبنا، و الذی تعرض علیه و علی أهل بیته علیهم السلام أعمالنا،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کیف لا؟ و قد جعل الباری محبتهم و تولیهم سبیلاً و وسیلة الیه، فقال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التوسل بالنبی صلی الله علیه و آله و أهل بیته علیهم السلام و التوجه بهم الی اللّه تعالی فی مقام التوجه الی اللّه تعالی هو من اعظم الأبواب العبادیة و القربات الزلفی، فقد فرض تعالی عند التوجه الیه تولیة الوجه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ما کُنْتُمْ فَوَلُّوا وُجُوهَکُمْ شَطْرَهُ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بیّن تعالی الحکمة فی ذلک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تولیة الوجه شطره هو لجهة الاضافة الیه تعالی وبهذه الملاحظة فالتولیة للمشرق او المغرب هو قبلة للتوجه الیه تعالی، ومن المعلوم ان وجه اللّه الذی هو ثّم فی التولی للمشرق والمغرب لیس هو الوجه الجسمانی، تعالی اللّه عما یقوله الحشویة المجسمة، بل هو الآیة والعلامة التی تؤدی الیه تعالی، ولذلک فرّع علی استقبال القبلة من جهة انها لله الهدایة الی الصراط المستقیم، ومن هذه الآیات الکریمة یستفاد ان الهادی و السبیل الی الله تعالی هو مما یتوجه به الیه تعالی، وهو فرض عین فی اقامة الوجه للدین الحنیف، وقد وصف تعالی مودة أهل البیت وتولیهم بأنها سبیل الیه، فهم یتوجه بهم الیه تعالی، کما جاء فی زیارتهم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بکم</w:t>
      </w:r>
      <w:r>
        <w:rPr>
          <w:rFonts w:eastAsia="IRNazanin" w:cs="IRNazanin"/>
          <w:color w:val="111111"/>
          <w:sz w:val="28"/>
          <w:szCs w:val="28"/>
          <w:rtl w:val="true"/>
          <w:lang w:bidi="fa-IR"/>
        </w:rPr>
        <w:t>).</w:t>
      </w:r>
      <w:bookmarkStart w:id="131" w:name="pg13703_133671"/>
    </w:p>
    <w:p>
      <w:pPr>
        <w:pStyle w:val="BookText"/>
        <w:rPr/>
      </w:pPr>
      <w:bookmarkEnd w:id="131"/>
      <w:r>
        <w:rPr>
          <w:rFonts w:ascii="IRNazanin" w:hAnsi="IRNazanin" w:eastAsia="IRNazanin"/>
          <w:color w:val="111111"/>
          <w:sz w:val="28"/>
          <w:sz w:val="28"/>
          <w:szCs w:val="28"/>
          <w:rtl w:val="true"/>
          <w:lang w:bidi="fa-IR"/>
        </w:rPr>
        <w:t>ویتبیّن بذلک ان التوجه بهم والتوسل بهم الیه تعالی فریضة من عظائم الفرائض العبادیة و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هذا الباب لیس یقتصر علی المشروعیة و الرجحان بل یترقی الی بیان فریضیته و کبرویة هذه الفریضة، وقد قام البحاثة الأریب الدرائی المتتبع الفاضل الشیخ محمد عیسی آل مکباس بضبط ما ألقیناه من البحث حول ذلک بعبارة موجزة مقتضبة لیعم نفعه، کما هو المرجو من العلی القدیر، انه خیر معین ونصیر</w:t>
      </w:r>
      <w:r>
        <w:rPr>
          <w:rFonts w:eastAsia="IRNazanin" w:cs="IRNazanin"/>
          <w:color w:val="111111"/>
          <w:sz w:val="28"/>
          <w:szCs w:val="28"/>
          <w:rtl w:val="true"/>
          <w:lang w:bidi="fa-IR"/>
        </w:rPr>
        <w:t>.</w:t>
      </w:r>
    </w:p>
    <w:p>
      <w:pPr>
        <w:pStyle w:val="Heading3"/>
        <w:numPr>
          <w:ilvl w:val="2"/>
          <w:numId w:val="1"/>
        </w:numPr>
        <w:rPr/>
      </w:pPr>
      <w:bookmarkStart w:id="132" w:name="__RefHeading___Toc1101026_1468164448"/>
      <w:bookmarkStart w:id="133" w:name="_Toc49"/>
      <w:bookmarkEnd w:id="132"/>
      <w:r>
        <w:rPr>
          <w:rtl w:val="true"/>
        </w:rPr>
        <w:t>تقدیم</w:t>
      </w:r>
      <w:r>
        <w:rPr>
          <w:rtl w:val="true"/>
        </w:rPr>
        <w:t>:</w:t>
      </w:r>
      <w:bookmarkEnd w:id="133"/>
    </w:p>
    <w:p>
      <w:pPr>
        <w:pStyle w:val="BookText"/>
        <w:rPr/>
      </w:pPr>
      <w:r>
        <w:rPr>
          <w:rFonts w:ascii="IRNazanin" w:hAnsi="IRNazanin" w:eastAsia="IRNazanin"/>
          <w:color w:val="111111"/>
          <w:sz w:val="28"/>
          <w:sz w:val="28"/>
          <w:szCs w:val="28"/>
          <w:rtl w:val="true"/>
          <w:lang w:bidi="fa-IR"/>
        </w:rPr>
        <w:t xml:space="preserve">ان احد أبواب عبادة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الصلاة و الصوم و الدعاء و الذکر و نحوها من أنواع وأجناس وأصناف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التوسل إلیه تعالی بأصفیاءه وبالذین أخلصهم بقرباه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التوسل إلیه بهم، نحو زلفی و قربی إلیه تعالی، فإن المتوسل یعطف بزمام قلبه إلی وجه الله تعالی، وان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وِجْهَةٌ هُوَ مُوَلِّیها 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القبلة لیست إلّا وسیلة للتوجه بها إلیه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الْبِرُّ بِأَنْ تَأْتُوا الْبُیُوتَ مِنْ ظُهُورِها وَ لکِنَّ الْبِرَّ مَنِ اتَّقی وَ أْتُوا الْبُیُوتَ مِنْ أَبْوابِها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فالقبلة لیست هی المعبود و انما هی وجهة یتوجه بها إلیه تعالی، و من ذلک صار آدم صفی الله قبلة للملائکة و سجودهم لله تعالی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ذلک صارت بیوت موسی کلیم الله تعالی قبلة لبنی اسرائیل فی صلاتهم 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أَبَوَیْهِ عَلَی الْعَرْشِ وَ خَرُّوا لَهُ سُجَّداً وَ قالَ یا أَبَتِ هذا تَأْوِیلُ رُءْیایَ مِنْ قَبْلُ قَدْ جَعَلَها رَبِّی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النسائی و الترمذی فی حدیث الاعرابی ان النبی صلی الله علیه و آله علمه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انی توجهت بک الی الله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الترمذی و ابن ماجة حدیث عثمان بن حنیف، ان رجلا ضریر البصر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ان یعافینی، فقال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شئت صبرت فهو خیر لک، و إن شئت دعوت،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 فأمره ان یتوضأ و یدعو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و أتوجه الیک بنبیک محمد نبی الرحمة، یا محمد انی توجهت بک الی ربی فی حاجتی لیقضیها، اللهم شفعه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النسائی و صححه البیهقی،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قد أبصر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ذلک یتبین ان التوجه بالنبی صلی الله علیه و آله والاستشفاع به والاستعانة به الیه تعالی وتقدیمه بین یدی الحاجة الیه تعالی، وتوسیطه هی عناوین موازیة للتوسل به صلی الله علیه و آله الی الله تعالی، 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بابتغاء الوسیلة الیه تعالی، وقد عیّن تلک الوسیلة وهی التوجه فی الاستغفار والتوبة والاوبة بالرسول صلی الله علیه و آله وان استغفار النبی صلی الله علیه و آله وتشفعه دخیل فی توبة الله تعالی علیهم و رحمته لهم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وَ اللّهُ سَمِیعٌ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دعاء النبی صلی الله علیه و آله لهم دخیل فی حصول السکینة و الایمان و الطهارة لهم،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وَ اللّهُ یَعْلَمُ مُتَقَلَّبَکُمْ وَ مَثْواکُمْ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نظیر ما قاله تعالی فی قصة اخوة یوسف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 فی شأن قوم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لَنا رَبَّکَ یُخْرِجْ لَنا مِمّا تُنْبِتُ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 فی شأن قوم فرعون مع النبی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وَقَعَ عَلَیْهِمُ الرِّجْزُ قالُوا یا مُوسَی ادْعُ لَنا رَبَّکَ بِما عَهِدَ عِنْدَکَ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تعالی فی شأن النبی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الْمَسِیحُ عِیسَی ابْنُ مَرْیَمَ وَجِیهاً فِی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 فی شأن النبی موسی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والوجیه فی اللغة والمعنی هو ذو الحظوة والقرب مما یتوجه به الی الله تعالی ویتوسل به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لَسَوْفَ یُعْطِیکَ رَبُّکَ فَتَرْضی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المفسر بمقام الوسیلة و الشفاعة، کما فی الدعاء 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هذه الدعوة التامة و الصلاة القائمة آت محمداً صلی الله علیه و آله الوسیلة والفضیلة وابعثه المقام المحمود الذی وعدته وارزقنی شفاعته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ینجلی ان الایمان بمقام الشفاعة له صلی الله علیه و آله یلازم الایمان بالتوسل، لان التوسل به صلی الله علیه و آله ینطوی علی تشفعه بقضاء الحاجة لدیه تعالی، فالاعتقاد بالشفاعة دلیل رجحان التوسل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فإذنه تعالی فی الشفاعة متطابق مع امره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بالتوسل الیه تعالی بالوسائل الشافعة لدیه، فالتوسل و الاستشفاع به صلی الله علیه و آله الی الله هو دعاؤه تعالی، و الوسائل التی اذن تعالی ان یدعی بها هی أبواب لدعوته جلّ و علا، لا دعوة 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الحاکم فی مستدرکه ان آدم لما اقترف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 اسألک بحق محمد صلی الله علیه و آله لما غفرت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کیف عرفت؟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لما خلقتنی نظرت الی العرش فوجدت مکتوبا فیه لا إله إلّا الله</w:t>
      </w:r>
    </w:p>
    <w:p>
      <w:pPr>
        <w:pStyle w:val="BookText"/>
        <w:rPr/>
      </w:pPr>
      <w:r>
        <w:rPr>
          <w:rFonts w:ascii="IRNazanin" w:hAnsi="IRNazanin" w:eastAsia="IRNazanin"/>
          <w:color w:val="111111"/>
          <w:sz w:val="28"/>
          <w:sz w:val="28"/>
          <w:szCs w:val="28"/>
          <w:rtl w:val="true"/>
          <w:lang w:bidi="fa-IR"/>
        </w:rPr>
        <w:t>محمد رسول الله، فرأیت اسمه مقرونا مع اسمک، فعرفته أحب الخلق الیک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البخاری، عن أنس ان عمر بن الخطاب کان اذا اقحط الناس استسقی بالعباس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نتوسل الیک بنبیک فتسقینا، و انا نتوسل الیک بعم نبیک، و نستشفع الیک بشیبته، فسقوا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ان عائشة قال لها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بصاحب هذا القبر ما الذی سمعت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حق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شر الخلق و الخلیقة، یقتلهم خیر الخلق و الخلیقة، و أقربهم عند الله وسیلة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کنز العمال عن علی علیه السلام ان یهودیا جاء الی النبی صلی الله علیه و آله فقام بین یدیه و جعل یحد النظر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یکره للعبد ان یزکی نفسه، و لکن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لما اصابته خطیئته التی تاب منها کانت توبته اللهم انی اسألک بمحمد وآل محمد لما غفرت لی، فغفر له</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ویشیر صلی الله علیه و آله الی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اطلق القرآن الکلمة علی المقربین عنده تعالی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اَللّهَ یُبَشِّرُکِ بِکَلِمَةٍ مِنْهُ اسْمُهُ الْمَسِیحُ عِیسَی ابْنُ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یُبَشِّرُکَ بِیَحْیی مُصَدِّقاً بِکَلِمَةٍ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کیف لا یکون آل محمد صلی الله علیه و آله وسائل الدعاء الی الله تعالی و قد حباهم الله تعالی بالزلفی، و اجتباهم و حظاهم بأنعمه الخاصة، و جعلهم السبیل الیه تعالی،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فمودتهم سبیل الیه، و هم الوسیلة للتوجه الیه تعالی، و قد أبان قربهم الیه من بین الأمة و مزید عنایته بهم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ان التوسل و الاستشفاع بالمقربین الی الباری تعالی، هو من آداب الدعاء و التوجه الی الحضرة الالهیة، فاننا کما نتوجه بجسمنا فی الصلاة الی المسجد الحرام و الکعبة بقصد التوجه الحقیقی بقلوبنا الی الله تعالی، فلیست الکعبة إلّا وسیلة للتوجه الیه تعالی، و من شرائط عبادته تعالی، فهذا یفصح عن دور الوسیلة و الوسائل فی التوجه و الدعاء، مع ان الشأن اینما تولوا فثم وجه الله</w:t>
      </w:r>
    </w:p>
    <w:p>
      <w:pPr>
        <w:pStyle w:val="BookText"/>
        <w:rPr/>
      </w:pPr>
      <w:r>
        <w:rPr>
          <w:rFonts w:ascii="IRNazanin" w:hAnsi="IRNazanin" w:eastAsia="IRNazanin"/>
          <w:color w:val="111111"/>
          <w:sz w:val="28"/>
          <w:sz w:val="28"/>
          <w:szCs w:val="28"/>
          <w:rtl w:val="true"/>
          <w:lang w:bidi="fa-IR"/>
        </w:rPr>
        <w:t>لکن ذلک لا ینفی خصیصة المسجد الحرام و الکعبة المشرفة، ألا تری ان الباری تعالی جعل آدم علیه السلام قبلة لسجود الملائکة مع کون السجود هو لله تعالی، و لم یقبل من ابلیس اللعین السجود لله تعالی من دون ان یتخذ آدم قبلة یتجه بها الیه تعالی، و کرر تعالی هذه الواقعة فی سبع سور قرآنیة، کل ذلک لاجل ان یبیّن تعالی ان من آداب عبادته تعالی و دعائه التوجه الیه بأولیائه المقربین، و ان هذا الأدب اللازم هو نمط من التعظیم لله تعالی، کما هو الشأن فی الکعبة المشرفة و البیت الحرام، فقد جعل تعالی لهما حرمة و تقدیس، و جعل حرمتهما و تعظیمهما من حرمته و تعظیمه، 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یُعَظِّمْ شَعائِرَ اللّهِ فَإِنَّها مِنْ تَقْوَی الْقُلُوبِ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یخفی علی الفطن اللبیب ان 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لِلّهِ الْمَشْرِقُ وَ الْمَغْرِبُ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یَعْرِفُونَهُ کَما یَعْرِفُونَ أَبْناءَهُمْ وَ إِنَّ فَرِیقاً مِنْهُمْ لَیَکْتُمُونَ الْحَقَّ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وِجْهَةٌ هُوَ مُوَلِّیها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فَأَیْنَما تُوَلُّوا فَثَمَّ وَجْهُ اللّهِ إِنَّ اللّهَ واسِعٌ عَلِیمٌ</w:t>
      </w:r>
      <w:r>
        <w:rPr>
          <w:rFonts w:eastAsia="Amiri" w:cs="Amiri" w:ascii="Amiri" w:hAnsi="Amiri"/>
          <w:color w:val="111111"/>
          <w:sz w:val="28"/>
          <w:szCs w:val="28"/>
          <w:rtl w:val="true"/>
          <w:lang w:bidi="ar-SA"/>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فعله تعالی و خلقته وجها و آیة له تعالی، فان مخلوقیة ما فی الشرق و ما فی الغرب، أی ما فی الکون أجمع آیات تتجه بالمتدبر فیها الی الله تعالی، فهی وجه له تعالی، و القبلة ما یقابل عند الاتجاه، و تولیة الوجه جهة القبلة المقابلة بما هی رمز لوجهه تعالی، فکأنا نستقبل بتولیة وجوهنا تجاه القبلة وجهه تعالی، اذ الاستقبال و المقابلة انما تحصل بتوجه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تجاه وجه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فآیاته الکبری سبحانه وجه له تعالی، و کذلک کلماته التامات هی آیاته، و هی وجهة له تعالی یتجه بها الیه کما مران النبی عیسی علیه السلام کلمته و آیته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 الْآخِرَةِ وَ مِنَ الْمُقَرَّبِینَ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وصف بذلک النبی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 کانَ عِنْدَ اللّهِ وَجِیهاً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فوجهه تعالی لیس ما یذهب الیه المجسمة الزائغة عن التوحید من اثبات الجسم و الاعضاء، تعالی الله عن ما یقوله الظالمون علوا کبیرا، بل هو آیات خلقته التامة الدلالة علی عظمته و کماله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التوجه الی أشرف مخلوقاته هو تولیة لشطر الوجه نحو وجهه الکریم، و فی روایة الصدوق فی أمالیه فی قصة الشاب النباش للقبور حیث کان یبکی علی شبابه بکاء الثکلی علی ولدها واقفا علی باب رسول الله صلی الله علیه و آله، فادخل فسلم فرد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ابکی و قد رکبت ذنوبا ان اخذنی الله عز و جل ببعضها ادخلنی نار جهنم و لا ارانی إلّا سیأخذنی بها، و لا یغفر لی أبدا، فاخذ رسول الله صلی الله علیه و آله یسائله عن نوع معصیته هل هی الشرک او قتل النفس او غیرها، الی ان أقر الشاب بجنایته، فتنفر نبی الرحمة من فظاعة جرمه، فذهب الشاب الی جبال المدینة و تعبد فیها، و لبس المسوخ، و غلّ یدیه جمیعا الی عنقه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عبدک بهلول بین یدیک مغلول، یا رب، أنت الذی تعرفنی، و زل منی ما تعلم یا سیدی، یا رب، انی أصبحت من النادمین، وأتیت نبیک تائبا فطردنی وزادنی خوفا، فأسألک باسمک و جلالک وعظمة سلطانک ان لا تخیب رجائی سیدی، ولا تبطل دعائی، ولا تقنطنی من رحمتک، فلم یزل یقول ذلک أربعون یوما ولیلة، و تبکی له السباع والوحوش، فأنزل الله تبارک وتعالی علی نبیه صلی الله علیه و آله آیة فی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 عز وجل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أتاک عبدی یا محمد تائبا فطردته فأین یذهب و الی من یقصد، و من یسأل ان یغفر له ذنبا غیری، 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یُصِرُّوا عَلی ما فَعَلُوا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مِنْ رَبِّهِمْ وَ جَنّاتٌ تَجْرِی مِنْ تَحْتِهَا الْأَنْهارُ خالِدِینَ فِیها وَ نِعْمَ أَجْرُ الْعامِلِینَ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4" w:name="pg13703_133682"/>
    </w:p>
    <w:p>
      <w:pPr>
        <w:pStyle w:val="BookText"/>
        <w:rPr/>
      </w:pPr>
      <w:bookmarkEnd w:id="134"/>
      <w:r>
        <w:rPr>
          <w:rFonts w:ascii="Amiri" w:hAnsi="Amiri" w:eastAsia="Amiri" w:cs="Amiri"/>
          <w:color w:val="111111"/>
          <w:sz w:val="28"/>
          <w:sz w:val="28"/>
          <w:szCs w:val="28"/>
          <w:rtl w:val="true"/>
          <w:lang w:bidi="ar-SA"/>
        </w:rPr>
        <w:t>فجعل الباری الاتیان الی نبیه و قصده اتیان الی بابه تعالی و قصد الیه، و من ثم قال تعالی فی آیة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انا نسألک و نتوجه الیک بنبیک نبی الرحمة، و امام الهدی، و آله المطهرین الذین اذهبت عنهم الرجس، و افترضت علینا مودتهم فی کتابک، صلواتک علیه و آله، یا رسول الله، یا رسول الله، انا توجهنا و استشفعنا بکم الی الله، فاشفعوا لنا عند الله، فانکم وسیلتنا الی الله، و بحبکم نرجو النجاة، فکونوا عند الله رجانا</w:t>
      </w:r>
      <w:r>
        <w:rPr>
          <w:rFonts w:eastAsia="IRNazanin" w:cs="IRNazanin"/>
          <w:color w:val="111111"/>
          <w:sz w:val="28"/>
          <w:szCs w:val="28"/>
          <w:rtl w:val="true"/>
          <w:lang w:bidi="fa-IR"/>
        </w:rPr>
        <w:t>.</w:t>
      </w:r>
    </w:p>
    <w:p>
      <w:pPr>
        <w:pStyle w:val="Heading3"/>
        <w:numPr>
          <w:ilvl w:val="2"/>
          <w:numId w:val="1"/>
        </w:numPr>
        <w:rPr/>
      </w:pPr>
      <w:bookmarkStart w:id="135" w:name="__RefHeading___Toc1101028_1468164448"/>
      <w:bookmarkStart w:id="136" w:name="_Toc50"/>
      <w:bookmarkEnd w:id="135"/>
      <w:r>
        <w:rPr>
          <w:rtl w:val="true"/>
        </w:rPr>
        <w:t>شبهة و إثارة</w:t>
      </w:r>
      <w:r>
        <w:rPr>
          <w:rtl w:val="true"/>
        </w:rPr>
        <w:t>:</w:t>
      </w:r>
      <w:bookmarkEnd w:id="136"/>
    </w:p>
    <w:p>
      <w:pPr>
        <w:pStyle w:val="BookText"/>
        <w:rPr/>
      </w:pPr>
      <w:r>
        <w:rPr>
          <w:rFonts w:ascii="IRNazanin" w:hAnsi="IRNazanin" w:eastAsia="IRNazanin"/>
          <w:color w:val="111111"/>
          <w:sz w:val="28"/>
          <w:sz w:val="28"/>
          <w:szCs w:val="28"/>
          <w:rtl w:val="true"/>
          <w:lang w:bidi="fa-IR"/>
        </w:rPr>
        <w:t>هناک إثارة من قبل بعض أتباع أحد المذاهب الإسلامیة، حول مسألة التوسل بالأولیاء، سواء کان التوسل بالنبی صلی الله علیه و آله أو بأهل البیت علیهم السلام، وهم الخمسة من أصحاب الکساء، من قبیل ما یقال فی دعاء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علی، یا علی یا محمد، اکفیانی فانکما کافیان، و انصرانی فانکما ناصران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هذه الاثارة یعتبرون التوجه و التوسل بالاولیاء أیا کانوا حتی و لو کان رسول الله صلی الله علیه و آله شرکا فی العبادة، و یستدلون بعدة وجوه علی هذا المدعی لاثبات دعواهم</w:t>
      </w:r>
      <w:r>
        <w:rPr>
          <w:rFonts w:eastAsia="IRNazanin" w:cs="IRNazanin"/>
          <w:color w:val="111111"/>
          <w:sz w:val="28"/>
          <w:szCs w:val="28"/>
          <w:rtl w:val="true"/>
          <w:lang w:bidi="fa-IR"/>
        </w:rPr>
        <w:t>.</w:t>
      </w:r>
    </w:p>
    <w:p>
      <w:pPr>
        <w:pStyle w:val="Heading3"/>
        <w:numPr>
          <w:ilvl w:val="2"/>
          <w:numId w:val="1"/>
        </w:numPr>
        <w:rPr/>
      </w:pPr>
      <w:bookmarkStart w:id="137" w:name="__RefHeading___Toc1101030_1468164448"/>
      <w:bookmarkStart w:id="138" w:name="_Toc51"/>
      <w:bookmarkEnd w:id="137"/>
      <w:r>
        <w:rPr>
          <w:rtl w:val="true"/>
        </w:rPr>
        <w:t>أدلة القائلین بعدم جواز التوسل بغیر الله تعالی</w:t>
      </w:r>
      <w:r>
        <w:rPr>
          <w:rtl w:val="true"/>
        </w:rPr>
        <w:t>:</w:t>
      </w:r>
      <w:bookmarkEnd w:id="1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عبارة عن النداء، و طلب الحاجة عبادة، و هی لا تجوز لغیر</w:t>
      </w:r>
    </w:p>
    <w:p>
      <w:pPr>
        <w:pStyle w:val="BookText"/>
        <w:rPr/>
      </w:pPr>
      <w:r>
        <w:rPr>
          <w:rFonts w:ascii="IRNazanin" w:hAnsi="IRNazanin" w:eastAsia="IRNazanin"/>
          <w:color w:val="111111"/>
          <w:sz w:val="28"/>
          <w:sz w:val="28"/>
          <w:szCs w:val="28"/>
          <w:rtl w:val="true"/>
          <w:lang w:bidi="fa-IR"/>
        </w:rPr>
        <w:t>الله تعالی کائنا من کان، نبیا کان أو ولیّا أو ملکا، و الدعاء هو فی حد ذاته عبادة، فیکون دعاء غیر الله عز و جل عبادة لذلک الشخص المدعو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کما ورد فی الاحادیث هو مخ العبادة و روح العبادة، فالعبادات بمنزلة الجسد، و الدعاء بمثابة الروح و الجوهر، فکیف یسوغ توجیه الدعاء الی غیره تعالی، و کذلک الحال فی الاستغاثة و التوسل بغیره تعالی و الاستنصار بأحد من المخلوقین و الاستعانة به نبیا کان أو ولیا أو ملکا أو جنیا أو صنما أو غیر ذلک من المخلوقات، و کذلک الحال فی السؤال و الالتماس، و بالتالی اذا وجّه الانسان الدعاء و أراد به غیر الله سبحانه و تعالی یکون ذلک نوع شرک فی العبادة، و یعبر عنه بالشرک الصریح أو الشرک الاکبر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التوحید فی العبادة، فاذا دعی غیر الله عز و جل کان هذا نوع عبادة و تألیه لغیر الله عز و جل، و فی توضیحه بلحاظ الفقرة الاولی و الثانیة نقول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المفسرون و المتکلمون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مؤداها توحید الذات، أو توحید الصفات و الاسماء، أو توحید الافعال، أو توحید العبادة، و</w:t>
      </w:r>
      <w:bookmarkStart w:id="139" w:name="pg13703_133684"/>
    </w:p>
    <w:p>
      <w:pPr>
        <w:pStyle w:val="BookText"/>
        <w:rPr/>
      </w:pPr>
      <w:bookmarkEnd w:id="139"/>
      <w:r>
        <w:rPr>
          <w:rFonts w:ascii="IRNazanin" w:hAnsi="IRNazanin" w:eastAsia="IRNazanin"/>
          <w:color w:val="111111"/>
          <w:sz w:val="28"/>
          <w:sz w:val="28"/>
          <w:szCs w:val="28"/>
          <w:rtl w:val="true"/>
          <w:lang w:bidi="fa-IR"/>
        </w:rPr>
        <w:t>هذا الاختلاف ناشی من معنی الالوهیة و من معنی لفظة الله، حیث ان الله او اسم الجلالة هل هو اسم علم للذات؟ أو اسم مشتق من التألیه؟ فإن کان مشتقا من التألیه فهو باق علی المعنی الوصفی، و یکون المعنیان متحدین أو متقاربین أما ان کان فی الاصل علما للذات فیکون الله بالمعنی الاول خلاف المعنی الآخر</w:t>
      </w:r>
      <w:r>
        <w:rPr>
          <w:rFonts w:eastAsia="IRNazanin" w:cs="IRNazanin"/>
          <w:color w:val="111111"/>
          <w:sz w:val="28"/>
          <w:szCs w:val="28"/>
          <w:rtl w:val="true"/>
          <w:lang w:bidi="fa-IR"/>
        </w:rPr>
        <w:t>.</w:t>
      </w:r>
    </w:p>
    <w:p>
      <w:pPr>
        <w:pStyle w:val="Heading3"/>
        <w:numPr>
          <w:ilvl w:val="2"/>
          <w:numId w:val="1"/>
        </w:numPr>
        <w:rPr/>
      </w:pPr>
      <w:bookmarkStart w:id="140" w:name="__RefHeading___Toc1101032_1468164448"/>
      <w:bookmarkStart w:id="141" w:name="_Toc52"/>
      <w:bookmarkEnd w:id="140"/>
      <w:r>
        <w:rPr>
          <w:rtl w:val="true"/>
        </w:rPr>
        <w:t>معنی الإله فی اللغة</w:t>
      </w:r>
      <w:r>
        <w:rPr>
          <w:rtl w:val="true"/>
        </w:rPr>
        <w:t>:</w:t>
      </w:r>
      <w:bookmarkEnd w:id="141"/>
    </w:p>
    <w:p>
      <w:pPr>
        <w:pStyle w:val="BookText"/>
        <w:rPr/>
      </w:pPr>
      <w:r>
        <w:rPr>
          <w:rFonts w:ascii="IRNazanin" w:hAnsi="IRNazanin" w:eastAsia="IRNazanin"/>
          <w:color w:val="111111"/>
          <w:sz w:val="28"/>
          <w:sz w:val="28"/>
          <w:szCs w:val="28"/>
          <w:rtl w:val="true"/>
          <w:lang w:bidi="fa-IR"/>
        </w:rPr>
        <w:t>إله و أصله من أله یأله، أذا تحیر، یرید اذا وقع العبد فی عظمة الله تعالی و جلاله و غیر ذلک من صفات الربوبیة</w:t>
      </w:r>
      <w:r>
        <w:rPr>
          <w:rStyle w:val="FootnoteAnchor"/>
          <w:rtl w:val="true"/>
        </w:rPr>
        <w:footnoteReference w:id="157"/>
      </w:r>
      <w:r>
        <w:rPr>
          <w:rFonts w:ascii="IRNazanin" w:hAnsi="IRNazanin" w:eastAsia="IRNazanin"/>
          <w:color w:val="111111"/>
          <w:sz w:val="28"/>
          <w:sz w:val="28"/>
          <w:szCs w:val="28"/>
          <w:rtl w:val="true"/>
          <w:lang w:bidi="fa-IR"/>
        </w:rPr>
        <w:t>، أو وله یأله، و هو عبارة عن الوله و التوجه نحو الشی، و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یأله بمعنی عبد یعبد،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یأله، أی اتخذه ربا و خالقا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ترکیز العبادة لله سبحانه و تعالی، فاذا توسل أو توجه لغیر الله سبحانه و تعالی کان ذلک شرک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الی آیات عدیدة وردت فی القرآن الکریم تنص علی ان التوسل و القصد لا یکون إلّا لله عز و جل و بدون أی وسائط حسب مدعاهم منها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الْأَسْماءُ الْحُسْنی فَادْعُوهُ بِها وَ ذَرُوا الَّذِینَ یُلْحِدُونَ فِی أَسْمائِهِ سَیُجْزَوْنَ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 فی مقام الدعاء و التوجه لا یدعو الانسان إلّا باسماء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الَّذِینَ یُلْحِدُونَ فِی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ینحرفون عن أسمائه حیث یذکرون اسماء غیره، مثل یا محمد و یا</w:t>
      </w:r>
    </w:p>
    <w:p>
      <w:pPr>
        <w:pStyle w:val="BookText"/>
        <w:rPr/>
      </w:pPr>
      <w:r>
        <w:rPr>
          <w:rFonts w:ascii="IRNazanin" w:hAnsi="IRNazanin" w:eastAsia="IRNazanin"/>
          <w:color w:val="111111"/>
          <w:sz w:val="28"/>
          <w:sz w:val="28"/>
          <w:szCs w:val="28"/>
          <w:rtl w:val="true"/>
          <w:lang w:bidi="fa-IR"/>
        </w:rPr>
        <w:t>علی و ما شابه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تَدْعُ مِنْ دُونِ اللّهِ ما لا یَنْفَعُکَ وَ لا یَضُرُّکَ فَإِنْ فَعَلْتَ فَإِنَّکَ إِذاً مِنَ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بِأَنَّ اللّهَ هُوَ الْحَقُّ وَ أَنَّ ما یَدْعُونَ مِنْ دُونِهِ هُوَ الْباطِلُ وَ أَنَّ اللّهَ هُوَ الْعَلِیُّ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أَدْعُوا رَبِّی وَ لا أُشْرِکُ 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النَّصْرُ إِلاّ مِنْ عِنْدِ اللّهِ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یَنْصُرْکُمُ اللّهُ فَلا غالِبَ لَکُمْ وَ إِنْ یَخْذُلْکُمْ فَمَنْ ذَا الَّذِی یَنْصُرُکُمْ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یَعْبُدُونَ مِنْ دُونِ اللّهِ ما لا یَضُرُّهُمْ وَ لا یَنْفَعُهُمْ وَ یَقُولُونَ هؤُلاءِ شُفَعاؤُنا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اتَّخَذُوا مِنْ دُونِهِ أَوْلِیاءَ ما نَعْبُدُهُمْ إِلاّ لِیُقَرِّبُونا إِلَی اللّهِ</w:t>
      </w:r>
    </w:p>
    <w:p>
      <w:pPr>
        <w:pStyle w:val="BookText"/>
        <w:rPr/>
      </w:pPr>
      <w:r>
        <w:rPr>
          <w:rFonts w:ascii="Amiri" w:hAnsi="Amiri" w:eastAsia="Amiri" w:cs="Amiri"/>
          <w:color w:val="111111"/>
          <w:sz w:val="28"/>
          <w:sz w:val="28"/>
          <w:szCs w:val="28"/>
          <w:rtl w:val="true"/>
          <w:lang w:bidi="ar-SA"/>
        </w:rPr>
        <w:t>زُلْفی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فیعلم من هذه الآیات ان التوحید فی العبادة و الدعاء و الاستغاثة هو اصل الدین و أساس الملة، و صحة العبادة مشروطة بصحة العقیدة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صحة العقیدة بالتوحید شرطا فی صحة و قبول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 المراد بالوسیلة فی الآیة الطاعات و القربات، و الاعمال الصالحة التی یتقرب بها العبد الی 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الحدیث أن ابراهیم حین القی فی النار أتاه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من حاجة؟ 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الیک فلا، و أما الی رب العالمین فنعم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 الحدیث ان ابراهیم علیه السلام یعطینا درسا بأن عرض الحاجة لا یکون إلّا 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مجموعة من الادلة التی استدلوا بها علی عدم جواز التوسل بغیر الله، و قبل الجواب عنها نقدم و نبین مقولة علی عکس مدعاهم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bookmarkStart w:id="142" w:name="pg13703_133687"/>
    </w:p>
    <w:p>
      <w:pPr>
        <w:pStyle w:val="BookText"/>
        <w:rPr/>
      </w:pPr>
      <w:bookmarkEnd w:id="142"/>
      <w:r>
        <w:rPr>
          <w:rFonts w:ascii="IRNazanin" w:hAnsi="IRNazanin" w:eastAsia="IRNazanin"/>
          <w:color w:val="111111"/>
          <w:sz w:val="28"/>
          <w:sz w:val="28"/>
          <w:szCs w:val="28"/>
          <w:rtl w:val="true"/>
          <w:lang w:bidi="fa-IR"/>
        </w:rPr>
        <w:t>إن نفی هذه الوسائط و الوسائل فی حال التوسل بالله عز وجل هو الشرک بذاته، و ان التوسل و التشفع بهذه الوسائط لقضاء الحوائج هو التوحید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هذه الوسائل و الوسائط اذا کانت مجعولة و منصوبة من قبل الله عز و جل فالتوسل و التوجه بها هو التوحید التام، أما اذا لم تکن مجعولة من قبل الله فالتوسل بها یکون شرکا</w:t>
      </w:r>
      <w:r>
        <w:rPr>
          <w:rFonts w:eastAsia="IRNazanin" w:cs="IRNazanin"/>
          <w:color w:val="111111"/>
          <w:sz w:val="28"/>
          <w:szCs w:val="28"/>
          <w:rtl w:val="true"/>
          <w:lang w:bidi="fa-IR"/>
        </w:rPr>
        <w:t>.</w:t>
      </w:r>
    </w:p>
    <w:p>
      <w:pPr>
        <w:pStyle w:val="Heading3"/>
        <w:numPr>
          <w:ilvl w:val="2"/>
          <w:numId w:val="1"/>
        </w:numPr>
        <w:rPr/>
      </w:pPr>
      <w:bookmarkStart w:id="143" w:name="__RefHeading___Toc1101034_1468164448"/>
      <w:bookmarkStart w:id="144" w:name="_Toc53"/>
      <w:bookmarkEnd w:id="143"/>
      <w:r>
        <w:rPr>
          <w:rtl w:val="true"/>
        </w:rPr>
        <w:t>وجه ان من الوسائط ما هو مأمور بها من قبل الله عزّ و جل</w:t>
      </w:r>
      <w:r>
        <w:rPr>
          <w:rtl w:val="true"/>
        </w:rPr>
        <w:t>:</w:t>
      </w:r>
      <w:bookmarkEnd w:id="144"/>
    </w:p>
    <w:p>
      <w:pPr>
        <w:pStyle w:val="BookText"/>
        <w:rPr/>
      </w:pPr>
      <w:r>
        <w:rPr>
          <w:rFonts w:ascii="IRNazanin" w:hAnsi="IRNazanin" w:eastAsia="IRNazanin"/>
          <w:color w:val="111111"/>
          <w:sz w:val="28"/>
          <w:sz w:val="28"/>
          <w:szCs w:val="28"/>
          <w:rtl w:val="true"/>
          <w:lang w:bidi="fa-IR"/>
        </w:rPr>
        <w:t xml:space="preserve">و وجه هذه الدعوی بکلا شقیها ان نصب الوسائط و الابواب ان کان من قبل المخلوقین فهو یعد تصرفا فی ارادة الرب، فمن ثم یکون شرکا، و لذلک کان الانکار علی عبدة الاوثان من قبل الله عبر رسله، لانهم هم الذین جعلوا واقترحوا لانفسهم وسائط من دون نصب الله عز وجل لتلک الوسائط والوسائل، فالله تعالی فی انکاره علی عبدة الاصنام والاوثان لم ینکر علیهم أصل فکرة التوسیط، بل انکر الوسائط المقترحة والمجعولة من قبلهم والتی تجاوزا فیها ارادة الرب، ویدل علی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انکار اصل الوساطة بل انکار خصوص الوسائط المقترحة من دون الله عز وجل وان محط الانکار هو اشراک سلطان العبید مع سلطان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من الآیات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بلسان استنکار الاسماء المقترحة من قبل العبید و هوی انفسهم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تُجادِلُونَنِی فِی أَسْماءٍ سَمَّیْتُمُوها أَنْتُمْ وَ آباؤُکُمْ ما نَزَّلَ اللّهُ بِها</w:t>
      </w:r>
    </w:p>
    <w:p>
      <w:pPr>
        <w:pStyle w:val="BookText"/>
        <w:rPr/>
      </w:pPr>
      <w:r>
        <w:rPr>
          <w:rFonts w:ascii="Amiri" w:hAnsi="Amiri" w:eastAsia="Amiri" w:cs="Amiri"/>
          <w:color w:val="111111"/>
          <w:sz w:val="28"/>
          <w:sz w:val="28"/>
          <w:szCs w:val="28"/>
          <w:rtl w:val="true"/>
          <w:lang w:bidi="ar-SA"/>
        </w:rPr>
        <w:t>مِنْ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تقرر فی علم أصول الفقه ان النهی أو النفی اذا ورد علی طبیعة مقیدة فانما یقع علی القید لا ذات المقید، کقولک لا رجل طویل فی الدار، فانه ینفی فی المثال المذکور الصنف و القید و هو الرجل الطویل، لا ذات الطبیعة المقیدة و هو عموم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مجال البحث فی الآیة فانها لم تنف أصل الوسائط و الوسائل، و انما نفت الوسائط و الاسماء المقترحة من قبل انفسهم و آبائهم و التی ما انزل الله بها من سلطان، فمصب الانکار کونها من غیر اذن و سلطان الهی، أی کونها مقترحة من قبلهم وإلّا فلو کان أصل الوساطة و التوسیط أمر مستنکر فلا معنی لتقییده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بِها مِنْ سُلْطانٍ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هِیَ إِلاّ أَسْماءٌ سَمَّیْتُمُوها أَنْتُمْ وَ آباؤُکُمْ ما أَنْزَلَ اللّهُ بِها مِنْ سُلْطانٍ إِنْ یَتَّبِعُونَ إِلاَّ الظَّنَّ وَ ما تَهْوَی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بلسان تحقق الاشراک بغیر الله من الوسائط بسبب أنه لیس من قبل سلطان الله و ارادته و حکمه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سَنُلْقِی فِی قُلُوبِ الَّذِینَ کَفَرُوا الرُّعْبَ بِما أَشْرَکُوا بِاللّهِ ما لَمْ یُنَزِّلْ بِهِ سُلْطاناً وَ مَأْواهُمُ النّارُ وَ بِئْسَ مَثْوَی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کَیْفَ أَخافُ ما أَشْرَکْتُمْ وَ لا تَخافُونَ أَنَّکُمْ أَشْرَکْتُمْ بِاللّهِ ما 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بِهِ عَلَیْکُمْ سُلْطاناً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تُشْرِکُوا بِاللّهِ ما لَمْ یُنَزِّلْ بِهِ سُلْطاناً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التوسل بالوسائط والشفعاء بغیر سلطان الله واذنه یوجب عبادة من هو دونه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یَعْبُدُونَ مِنْ دُونِ اللّهِ ما لَمْ یُنَزِّلْ بِهِ سُلْطاناً وَ ما لَیْسَ لَهُمْ بِهِ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 إِنِ الْحُکْمُ إِلاّ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 التشریع من غیره تعالی شرک فی التشریع و الدیانة ان کان من دون اذنه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لَهُمْ شُرَکاءُ شَرَعُوا لَهُمْ مِنَ الدِّینِ ما لَمْ یَأْذَنْ 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فمصب الانکار علی الوثنیة و المشرکین لیس فکرة الوساطة و التوسیط بل هی تصرفهم من قبل انفسهم بوضع وسائط و اقتراحها بما لم ینزل اللّه بها من</w:t>
      </w:r>
    </w:p>
    <w:p>
      <w:pPr>
        <w:pStyle w:val="BookText"/>
        <w:rPr/>
      </w:pPr>
      <w:r>
        <w:rPr>
          <w:rFonts w:ascii="IRNazanin" w:hAnsi="IRNazanin" w:eastAsia="IRNazanin"/>
          <w:color w:val="111111"/>
          <w:sz w:val="28"/>
          <w:sz w:val="28"/>
          <w:szCs w:val="28"/>
          <w:rtl w:val="true"/>
          <w:lang w:bidi="fa-IR"/>
        </w:rPr>
        <w:t>سلطان ولم یأذن بها، فشرکهم بمنازعة سلطانهم لسلطان الله تعالی، وهذه الطوائف من الآیات مفسرة لکل آیات الانکار علی المشرکین و الوثنیین عبدة الاصنام و غیرهم، و أین هذا المعنی من المعنی الذی یتوخاه أصحاب الاثارة و المقالة المذکورة من انکار أصل التوسیط و الوساطة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الی الکلام حول الطوائف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فی لسان الطائفة الاولی ان مصب التخطئة للوثنیین انما هو لکون الاسماء التی یدعون بها هی أسماء من وضع أنفسهم و اقتراح منهم علی الله ما نزل الله بها من سلطان و لا اذن لهم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فمدار التخطئة علی تحکیم سلطانهم و ارادتهم علی سلطان الله و ارادته لا علی توسیط الاسماء بینهم و بین الباری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مفاد الطائفة الثانیة فإن سبب الوقوع فی الاشراک لیس فی توسلهم بالوسائط بل فی کون تلک الوسائط لم ینصبها الله عز و جل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فالاشراک انما تحقق لتشریکهم ارادتهم مع ارادة الباری عز و جل، حیث لم یجعلوا ارادتهم منقادة لارادة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بالتالی فلا یکون خضوعهم لتلک الوسائط خضوعا لله عز و جل بل خضوعا لهوی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الطائفة الثالثة ان الموجب لتحقق عبادة من هو دون الله عز و جل هو ان الخضوع لمن هو دون الله عز و جل من دون امر الله و من دون العلم بکرامته عند الله و وجاهته عنده لا یکون طاعة و لا خضوعا لله تعالی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بالتالی لا یکون عبادة لله تعالی بل عبادة للاغیار، و ذلک لان الخضوع</w:t>
      </w:r>
      <w:bookmarkStart w:id="145" w:name="pg13703_133691"/>
    </w:p>
    <w:p>
      <w:pPr>
        <w:pStyle w:val="BookText"/>
        <w:rPr/>
      </w:pPr>
      <w:bookmarkEnd w:id="145"/>
      <w:r>
        <w:rPr>
          <w:rFonts w:ascii="IRNazanin" w:hAnsi="IRNazanin" w:eastAsia="IRNazanin"/>
          <w:color w:val="111111"/>
          <w:sz w:val="28"/>
          <w:sz w:val="28"/>
          <w:szCs w:val="28"/>
          <w:rtl w:val="true"/>
          <w:lang w:bidi="fa-IR"/>
        </w:rPr>
        <w:t>للغیر اذا کان بأمر الله عز و جل یکون فی الحقیقة خضوعا لله و طاعة له، و الغیر ما هو إلّا وسیلة لتحقق الطاعة و العبادة، بخلاف ما اذا لم یکن فی البین أمر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الطائفة الرابعة فی صدد بیان الشرک فی التشریع و انه ایضا هو الآخر انما یتحقق بسبب عدم اذنه تعالی لاستقاء التشریع من تلک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ان هذه الطوائف الاربع مفسرة لکل الآیات المبطلة لعقیدة الثنویة و الاصنام، و ان جهة الزیغ و الانحراف فیها لیست من جهة أصل فکرة الوسائط و الوسائل والاحتیاج الیها بل من جهة کونها بارادة العبید وتحکیمها علی ارادة الرب و سلطانه</w:t>
      </w:r>
      <w:r>
        <w:rPr>
          <w:rFonts w:eastAsia="IRNazanin" w:cs="IRNazanin"/>
          <w:color w:val="111111"/>
          <w:sz w:val="28"/>
          <w:szCs w:val="28"/>
          <w:rtl w:val="true"/>
          <w:lang w:bidi="fa-IR"/>
        </w:rPr>
        <w:t>.</w:t>
      </w:r>
    </w:p>
    <w:p>
      <w:pPr>
        <w:pStyle w:val="Heading3"/>
        <w:numPr>
          <w:ilvl w:val="2"/>
          <w:numId w:val="1"/>
        </w:numPr>
        <w:rPr/>
      </w:pPr>
      <w:bookmarkStart w:id="146" w:name="__RefHeading___Toc1101036_1468164448"/>
      <w:bookmarkStart w:id="147" w:name="_Toc54"/>
      <w:bookmarkEnd w:id="146"/>
      <w:r>
        <w:rPr>
          <w:rtl w:val="true"/>
        </w:rPr>
        <w:t>مفهوم العبادة</w:t>
      </w:r>
      <w:r>
        <w:rPr>
          <w:rtl w:val="true"/>
        </w:rPr>
        <w:t>:</w:t>
      </w:r>
      <w:bookmarkEnd w:id="147"/>
    </w:p>
    <w:p>
      <w:pPr>
        <w:pStyle w:val="BookText"/>
        <w:rPr/>
      </w:pPr>
      <w:r>
        <w:rPr>
          <w:rFonts w:ascii="IRNazanin" w:hAnsi="IRNazanin" w:eastAsia="IRNazanin"/>
          <w:color w:val="111111"/>
          <w:sz w:val="28"/>
          <w:sz w:val="28"/>
          <w:szCs w:val="28"/>
          <w:rtl w:val="true"/>
          <w:lang w:bidi="fa-IR"/>
        </w:rPr>
        <w:t>ذکر للعبادة فی اللغة عدة معان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مملوکیة المنفعة،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لَعَبْدٌ مُؤْمِنٌ خَیْرٌ مِنْ مُشْرِکٍ وَ لَوْ أَعْجَبَکُمْ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سیادة الطاعة، وان لم تکن اصالة للمطاع،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الطاعة والخضوع لمعبود علی وجه التقدیس، علی وجه انه غنی بالذات</w:t>
      </w:r>
      <w:bookmarkStart w:id="148" w:name="pg13703_133692"/>
    </w:p>
    <w:p>
      <w:pPr>
        <w:pStyle w:val="BookText"/>
        <w:rPr/>
      </w:pPr>
      <w:bookmarkEnd w:id="148"/>
      <w:r>
        <w:rPr>
          <w:rFonts w:ascii="IRNazanin" w:hAnsi="IRNazanin" w:eastAsia="IRNazanin"/>
          <w:color w:val="111111"/>
          <w:sz w:val="28"/>
          <w:sz w:val="28"/>
          <w:szCs w:val="28"/>
          <w:rtl w:val="true"/>
          <w:lang w:bidi="fa-IR"/>
        </w:rPr>
        <w:t>و مصدر کل النعم و الکمالات، و المستحق بالذات و بالاصالة لذلک، و هو المعنی الاهم من بین تلک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الکلام فی حقیقة العبادة حینئذ عینه الکلام المتقدم حیث ان الوسائط اذا کانت من جعل الباری تکون العبادة للباری باعتبار أمره، وذلک من قبیل سجود الملائکة لآدم علیه السلام، حیث کانت العبادة هنا المتحققة بالسجود لآدم علیه السلام هی فی الحقیقة احترام وتعظیم لآدم علیه السلام ولکنها عبادة لله عز وجل باعتبار الامتثال لامره تعالی</w:t>
      </w:r>
      <w:r>
        <w:rPr>
          <w:rFonts w:eastAsia="IRNazanin" w:cs="IRNazanin"/>
          <w:color w:val="111111"/>
          <w:sz w:val="28"/>
          <w:szCs w:val="28"/>
          <w:rtl w:val="true"/>
          <w:lang w:bidi="fa-IR"/>
        </w:rPr>
        <w:t>.</w:t>
      </w:r>
    </w:p>
    <w:p>
      <w:pPr>
        <w:pStyle w:val="Heading3"/>
        <w:numPr>
          <w:ilvl w:val="2"/>
          <w:numId w:val="1"/>
        </w:numPr>
        <w:rPr/>
      </w:pPr>
      <w:bookmarkStart w:id="149" w:name="__RefHeading___Toc1101038_1468164448"/>
      <w:bookmarkStart w:id="150" w:name="_Toc55"/>
      <w:bookmarkEnd w:id="149"/>
      <w:r>
        <w:rPr>
          <w:rtl w:val="true"/>
        </w:rPr>
        <w:t>قصة آدم علیه السلام مع إبلیس</w:t>
      </w:r>
      <w:r>
        <w:rPr>
          <w:rtl w:val="true"/>
        </w:rPr>
        <w:t>:</w:t>
      </w:r>
      <w:bookmarkEnd w:id="150"/>
    </w:p>
    <w:p>
      <w:pPr>
        <w:pStyle w:val="BookText"/>
        <w:rPr/>
      </w:pPr>
      <w:r>
        <w:rPr>
          <w:rFonts w:ascii="IRNazanin" w:hAnsi="IRNazanin" w:eastAsia="IRNazanin"/>
          <w:color w:val="111111"/>
          <w:sz w:val="28"/>
          <w:sz w:val="28"/>
          <w:szCs w:val="28"/>
          <w:rtl w:val="true"/>
          <w:lang w:bidi="fa-IR"/>
        </w:rPr>
        <w:t>و قد شرح هذه القصة أمیر المؤمنین علیه السلام فی نهج البلاغة فی الخطبة القاصعة، و فی القصة مجموعة من المحاور الهامة إلّا أننا سوف نستعرض منها مسألة سجود الملائکة لآدم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البدایة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القصة قد ذکرت فی عدة سور قرآنیة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ضوء کلام اصحاب الاثارة یکون امتناع ابلیس من السجود لآدم علیه السلام</w:t>
      </w:r>
    </w:p>
    <w:p>
      <w:pPr>
        <w:pStyle w:val="BookText"/>
        <w:rPr/>
      </w:pPr>
      <w:r>
        <w:rPr>
          <w:rFonts w:ascii="IRNazanin" w:hAnsi="IRNazanin" w:eastAsia="IRNazanin"/>
          <w:color w:val="111111"/>
          <w:sz w:val="28"/>
          <w:sz w:val="28"/>
          <w:szCs w:val="28"/>
          <w:rtl w:val="true"/>
          <w:lang w:bidi="fa-IR"/>
        </w:rPr>
        <w:t>عین التوحید، و سجود الملائکة لآدم علیه السلام عین الکفر و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الامر علی خلاف ذلک حیث اصبح الملائکة فی غایة من القرب من الله عز وجل لامتثالهم لامر الله من خلال سجودهم لآدم علیه السلام، سواء فسر السجود بمعنی جعل آدم قبلة أو بمعنی الاحترام و التعظیم والانقیاد لآدم علیه السلام، واصبح ابلیس فی غایة البعد من الله عز وجل واستحق الطرد من رحمة الله لاستکباره علی طاعة الامر الالهی، لانه اراد ان یحکم ارادته علی ارادة الخالق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ابلیس 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اعفنی من السجود لآدم و اعبدک عبادة لم یعبدک بها احد قبلی و لا یعبدک بها احد بعدی، فقال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عبادتک، فانی ارید ان اعبد من حیث ارید لا من حیث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حقیقة العبادة الامتثال للامر الالهی و الطواعیة و الاذعان، و لیس المدار فی العبادة هو الشکلیة فی هیئة و طقوس العبادة، بل المدار فی العبادة و صحتها و التوحید فیها هو کمال الاستسلام لارادة الباری عز و جل و امتثال امره کما قرر ذلک علماء الکلام و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یطرح تساؤل و هو ما الفرق فی التوجه لاحجار الکعبة و التوجه للاصنام؟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الفرق فی هذا الامر و لیس فی وجود الواسطة و عدمها، إذ فی کلا الموردین الوساطة متحققة، بل فی وجود الامر الالهی وعدمه، حیث یکون التوجه الی احجار الکعبة عبادة بلحاظ الامر الالهی، والتوجه الی احجار الاصنام</w:t>
      </w:r>
      <w:bookmarkStart w:id="151" w:name="pg13703_133694"/>
    </w:p>
    <w:p>
      <w:pPr>
        <w:pStyle w:val="BookText"/>
        <w:rPr/>
      </w:pPr>
      <w:bookmarkEnd w:id="151"/>
      <w:r>
        <w:rPr>
          <w:rFonts w:ascii="IRNazanin" w:hAnsi="IRNazanin" w:eastAsia="IRNazanin"/>
          <w:color w:val="111111"/>
          <w:sz w:val="28"/>
          <w:sz w:val="28"/>
          <w:szCs w:val="28"/>
          <w:rtl w:val="true"/>
          <w:lang w:bidi="fa-IR"/>
        </w:rPr>
        <w:t>شرک و عصیان بلحاظ النهی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سؤال ایضا و هو قد قلتم ان المدار فی العبادة لیس علی وجود الوساطة بل المدار علی وجود الامر و عدمه، فهل یعقل ان یأمر الله عز وجل بأن یعبد غیره؟</w:t>
      </w:r>
    </w:p>
    <w:p>
      <w:pPr>
        <w:pStyle w:val="BookText"/>
        <w:rPr/>
      </w:pPr>
      <w:r>
        <w:rPr>
          <w:rFonts w:ascii="IRNazanin" w:hAnsi="IRNazanin" w:eastAsia="IRNazanin"/>
          <w:color w:val="111111"/>
          <w:sz w:val="28"/>
          <w:sz w:val="28"/>
          <w:szCs w:val="28"/>
          <w:rtl w:val="true"/>
          <w:lang w:bidi="fa-IR"/>
        </w:rPr>
        <w:t>و کأن المستشکل یرید ان یجعل الضابطة لیس علی الامر بل علی اسناد الفعل و اضافته و الموجه الیه، و اذا کان کذلک فکیف یأمر بعبادة غیره، و هو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المدار فی العبادة علی الامر لا غیر کما اسلفنا سابقا، و ان الذی یحقق اضافة العبادة الی الله عز و جل او الی غیره هو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المدار فی العبادة لیس علی ایجاد الهیئة و الشکل غیر ملابسة و غیر متصلة بشی و غیر متعلقة و غیر متجهة بشیء، بل جوهر العبادة الخضوع و الاستسلام، فنلاحظ مثلا ان الله یأمر بطاعته و الخضوع له لکن باب التوجه له مثلا الکعبة، أو ایجاد السجود الی آدم علیه السلام</w:t>
      </w:r>
      <w:r>
        <w:rPr>
          <w:rFonts w:eastAsia="IRNazanin" w:cs="IRNazanin"/>
          <w:color w:val="111111"/>
          <w:sz w:val="28"/>
          <w:szCs w:val="28"/>
          <w:rtl w:val="true"/>
          <w:lang w:bidi="fa-IR"/>
        </w:rPr>
        <w:t>.</w:t>
      </w:r>
    </w:p>
    <w:p>
      <w:pPr>
        <w:pStyle w:val="Heading3"/>
        <w:numPr>
          <w:ilvl w:val="2"/>
          <w:numId w:val="1"/>
        </w:numPr>
        <w:rPr/>
      </w:pPr>
      <w:bookmarkStart w:id="152" w:name="__RefHeading___Toc1101040_1468164448"/>
      <w:bookmarkStart w:id="153" w:name="_Toc56"/>
      <w:bookmarkEnd w:id="152"/>
      <w:r>
        <w:rPr>
          <w:rtl w:val="true"/>
        </w:rPr>
        <w:t>نفی الوسائط یؤول الی التجسیم</w:t>
      </w:r>
      <w:r>
        <w:rPr>
          <w:rtl w:val="true"/>
        </w:rPr>
        <w:t>:</w:t>
      </w:r>
      <w:bookmarkEnd w:id="15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مسألة یجدر الاشارة الیها و هی ان القول بنفی الوسائط یؤول الی القول بالتجسیم حیث ان الباری لیس بجسم، فلا یقابل و لا یحاذی و لا یجابه و لا یجسّم بل لا بد من وسائط اخری، و هذا منتف، أو القول بأن الکل أنبیاء سواء فی النشأة السابقة أو النشآت اللاحقة، و هذا منتف ایضا، و الخیار الثالث هو تعطیل الباری عن تدبیر شؤون خلقه، و هذا منتف ایضا، فلا یبقی إلّا القول</w:t>
      </w:r>
    </w:p>
    <w:p>
      <w:pPr>
        <w:pStyle w:val="BookText"/>
        <w:rPr/>
      </w:pPr>
      <w:r>
        <w:rPr>
          <w:rFonts w:ascii="IRNazanin" w:hAnsi="IRNazanin" w:eastAsia="IRNazanin"/>
          <w:color w:val="111111"/>
          <w:sz w:val="28"/>
          <w:sz w:val="28"/>
          <w:szCs w:val="28"/>
          <w:rtl w:val="true"/>
          <w:lang w:bidi="fa-IR"/>
        </w:rPr>
        <w:t>بالوسائط، و هو وجود الخلیفة فی الارض انطلاقا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الخلیفة أعم من النبی و الرسول، و وظیفة الخلیفة الوساطة فی تدبیر شؤون العباد، و حیث لا تعطیل کما ذکر و لا تشبیه فلا یبقی إلّا القول بالتنبأ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نبوة کل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أو الصیرورة الی القول بالوسائط، و هو المطلوب، حیث انتفت جمیع تلک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نقطة مهمة لا بد من الاشارة الیها و هی المضمنة فی الدعاء المأثور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 رسولک، اللهم عرفنی رسولک فانک ان لم تعرفنی رسولک لم اعرف حجتک، اللهم عرفنی حجتک فانک ان لم تعرفنی حجتک ضللت عن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هذا الدعاء ان منظومة المعارف تصح و تکون صائبة بصحة و حقانیة معرفة الانسان بربه، و ان الخلل الناشی فی معرفة الرسول منبعه الخلل فی معرفة الله عز و جل، کما ان الخلل فی معرفة الامام أو الحجة منشأه الخلل فی معرفة الرسول، و الجهل بمعرفة الرسول بالتالی ناشی عن الخلل فی معرفة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مجموعة من الآیات منها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قَدَرُوا اللّهَ حَقَّ قَدْرِهِ إِذْ قالُوا ما أَنْزَلَ اللّهُ عَلی بَشَرٍ مِنْ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الانکار بالرسل ناشی من جهلهم بقدر الباری وعظیم حکمته وتدبیره، وهو ناشی من خلل المعرفة لدیهم فی افعال الباری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علیّ عن التجسیم، و حکیم فی فعله أی لا تعطیل لقدرته سبحانه، فعلی ضوء نفی التجسیم یکون وجه الله لیس الوجه الجسمانی، بل هو الآیة المخلوقة التی تکون من اکبر الآیات التی اذا توجه الانسان الیها أو بها صار متوجها الی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الوسیلة و الوساطة امر برهانی ضروری فی کل النشآت، فالقول بعدم الوساطة یلزم منه اما القول بالتجسیم او القول بالتنبأ او القول بالتعطیل، بخلاف القائل بالوسائط المنصوبة من قبله تعالی، فلا یلزمه أی محذور من هذه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النظر و الاعتقاد الحق مما امتاز به مذهب اهل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الاخری التی ینبغی ان نشیر الیها ان التوسل والشفاعة والتوسط والوسیلة تحمل عدم المحوریة الذاتیة للشفیع والوسیط، أی لیس للوسیط والشفیع و الوسیلة الاستقلالیة عن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نری ان الوسائط التی اتخذت من دون الله عز و جل أخفقت فی وساطتها و وجاهتها لانها استقلت عن سلطان الله و ارادته و اذنه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الغریب من اصحاب هذه المقالة القول بأن الشفاعة و التشفع بالنبی صلی الله علیه و آله فی الآخرة لیس بشرک، و کذلک التشفع بالنبی صلی الله علیه و آله حال حیاته لیس بشرک، أما التشفع به صلی الله علیه و آله حال موته فهو الشرک</w:t>
      </w:r>
      <w:r>
        <w:rPr>
          <w:rFonts w:eastAsia="IRNazanin" w:cs="IRNazanin"/>
          <w:color w:val="111111"/>
          <w:sz w:val="28"/>
          <w:szCs w:val="28"/>
          <w:rtl w:val="true"/>
          <w:lang w:bidi="fa-IR"/>
        </w:rPr>
        <w:t>.</w:t>
      </w:r>
      <w:bookmarkStart w:id="154" w:name="pg13703_133697"/>
    </w:p>
    <w:p>
      <w:pPr>
        <w:pStyle w:val="BookText"/>
        <w:rPr/>
      </w:pPr>
      <w:bookmarkEnd w:id="154"/>
      <w:r>
        <w:rPr>
          <w:rFonts w:ascii="IRNazanin" w:hAnsi="IRNazanin" w:eastAsia="IRNazanin"/>
          <w:color w:val="111111"/>
          <w:sz w:val="28"/>
          <w:sz w:val="28"/>
          <w:szCs w:val="28"/>
          <w:rtl w:val="true"/>
          <w:lang w:bidi="fa-IR"/>
        </w:rPr>
        <w:t>فیرد علیهم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منطقة الشرک من أین نتجت فی هذا الکلام، هل من حد المعنی أو من الحد التعبدی، أو من خلال المعنی العقلی؟</w:t>
      </w:r>
    </w:p>
    <w:p>
      <w:pPr>
        <w:pStyle w:val="BookText"/>
        <w:rPr/>
      </w:pPr>
      <w:r>
        <w:rPr>
          <w:rFonts w:ascii="IRNazanin" w:hAnsi="IRNazanin" w:eastAsia="IRNazanin"/>
          <w:color w:val="111111"/>
          <w:sz w:val="28"/>
          <w:sz w:val="28"/>
          <w:szCs w:val="28"/>
          <w:rtl w:val="true"/>
          <w:lang w:bidi="fa-IR"/>
        </w:rPr>
        <w:t>فاذا کان المعنی عقلیا فالغیریة اذا أوجبت الشرک فانها توجبه فی کل نشأة سواء نشأة الدنیا او الآخرة، و اذا لم توجب الغیریة الشرک لجهة الوساطة، فما الفرق بین انواع التشفع فی الدنیا و الآخرة أو حال الموت أو الحیاة؟</w:t>
      </w:r>
      <w:r>
        <w:rPr>
          <w:rFonts w:eastAsia="IRNazanin" w:cs="IRNazanin"/>
          <w:color w:val="111111"/>
          <w:sz w:val="28"/>
          <w:szCs w:val="28"/>
          <w:rtl w:val="true"/>
          <w:lang w:bidi="fa-IR"/>
        </w:rPr>
        <w:t>!</w:t>
      </w:r>
    </w:p>
    <w:p>
      <w:pPr>
        <w:pStyle w:val="Heading3"/>
        <w:numPr>
          <w:ilvl w:val="2"/>
          <w:numId w:val="1"/>
        </w:numPr>
        <w:rPr/>
      </w:pPr>
      <w:bookmarkStart w:id="155" w:name="__RefHeading___Toc1101042_1468164448"/>
      <w:bookmarkStart w:id="156" w:name="_Toc57"/>
      <w:bookmarkEnd w:id="155"/>
      <w:r>
        <w:rPr>
          <w:rtl w:val="true"/>
        </w:rPr>
        <w:t>الرد علی أدلة المانعین من التوسل</w:t>
      </w:r>
      <w:r>
        <w:rPr>
          <w:rtl w:val="true"/>
        </w:rPr>
        <w:t>:</w:t>
      </w:r>
      <w:bookmarkEnd w:id="156"/>
    </w:p>
    <w:p>
      <w:pPr>
        <w:pStyle w:val="BookText"/>
        <w:rPr/>
      </w:pPr>
      <w:r>
        <w:rPr>
          <w:rFonts w:ascii="IRNazanin" w:hAnsi="IRNazanin" w:eastAsia="IRNazanin"/>
          <w:color w:val="111111"/>
          <w:sz w:val="28"/>
          <w:sz w:val="28"/>
          <w:szCs w:val="28"/>
          <w:rtl w:val="true"/>
          <w:lang w:bidi="fa-IR"/>
        </w:rPr>
        <w:t>بعد هذه النقاط التی جعلناها کمقدمة للجواب نجیب علی أدلتهم التی جعلوها مانعة من الشفاعة و الوسیلة،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ینقض علی هذا الدلیل بطلب الانسان الحی الحاجة من الحی، مثل طلب العلاج من الطبیب، و البناء من البنّاء، و من الزراع اصلاح الزراعة،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أتفق المسلمون علی ان هذا الطلب فی تعاملات البشر لا یوجب کفرا و لا 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أجابوا علی هذا النقض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سؤال الحی الحاضر بما یقدر علیه و الاستعانة به فی الامور الحسیة التی یقدر علیها لیس ذلک من الشرک بل من الامور الاعتیادیة الحیاتیة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الامور العادیة والاسباب الحسیة التی یقدر علیها المخلوق الحی الحاضر لیست من العبادة بل تجوز بالنص والاجماع، بأن یستعین الانسان بالانسان</w:t>
      </w:r>
    </w:p>
    <w:p>
      <w:pPr>
        <w:pStyle w:val="BookText"/>
        <w:rPr/>
      </w:pPr>
      <w:r>
        <w:rPr>
          <w:rFonts w:ascii="IRNazanin" w:hAnsi="IRNazanin" w:eastAsia="IRNazanin"/>
          <w:color w:val="111111"/>
          <w:sz w:val="28"/>
          <w:sz w:val="28"/>
          <w:szCs w:val="28"/>
          <w:rtl w:val="true"/>
          <w:lang w:bidi="fa-IR"/>
        </w:rPr>
        <w:t>الحی القادر فی الامور العادیة التی یقدر علیها، کأن یستعین به أو یستغیث به فی دفع شر کولده أو خادمه أو کلبه و ما اشبه ذلک، و کأن یستعین الانسان بالانسان الحی الحاضر القادر أو الغائب بواسطة الاسباب الحسیة، کالمکاتبة و نحوها فی بناء بیته أو اصلاح سیارته، و ما أشبه ذلک، و من ذلک الاستغاثة التی جرت لاحد بنی اسرائیل عندما استغاث بموسی علیه السلام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استغاثة الانسان باصحابه فی الجهاد او الحرب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الاستغاثة بالاموات و الجن و الملائکة و الاشجار و الاحجار فذلک من الشرک الاکبر، و هو من جنس عمل المشرکین الاولین مع آلهتهم کاللات و العزی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فالوهن فیه واضح، حیث ان الغیریة مع الله عز و جل لا تفترق مع الفرد الحی أو المیت، و لیس هناک موجب للفرق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التعلق بالقادر او القدرة، فإن کانت نابعة من الحی بلحاظ الاستقلال بنفسه فهو الشرک الصریح، و اما ان کانت القدرة من الله و مضافة الی المخلوق من قبل الخالق، فأی فرق بین الحی و المیت، و أما تقیید الاستعانة بالامور الحسیة فانه ناشی عن أصالة الحس و المادة و التنکر للعوالم المخلوقة التی ما وراء الحس و المادة، و یلزم منه الصیرورة الی کلام المادیین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القائل هنا بالدلیل النقلی سواء فی الجواز أو النفی، و هو غیر تام، و بیانه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بحث الشرک بحث عقلی، و لو بنینا علی أنه نقلی فلا شک ان لادراک العقل فیه مجال، و النصوص الواردة لیست إلّا منبهة للعقل، و اذا کان عقلیا فهو فی حکم العقل سیان فی الحی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بأن الطلب من الاموات من جنس عمل اصحاب الاوثان، و قد مر ان الانکار القرآنی علی اصحاب الاصنام لم یتوجه الی انکار اصل الواسطة بل النکیر علی التصرف و الجعل الانسانی، و الصیرورة الی سلطان الانسان دون تحکیم سلطان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جازت الاستغاثة بالحی لقیام النص و الاجماع، أی الاذن الشرعی، فلا فرق إذا فی الاستغاثة بین الحی و المیت مادام المجوز لذلک هو الاذن، و من ذلک یتضح ان المدار لیس علی الغیریة مع الله عز و جل کما فرضه القائل بل علی الاذن و عدمه، فاذا وجد الاذن فلا یفرق حینئذ بین الحی أو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التمسک بالآیات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 وَ ذَرُوا الَّذِینَ یُلْحِدُونَ فِی أَسْمائِهِ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الاسم عبارة عن السمة والعلامة والآیة، وجملة کثیرة من الاسماء الالهیة</w:t>
      </w:r>
    </w:p>
    <w:p>
      <w:pPr>
        <w:pStyle w:val="BookText"/>
        <w:rPr/>
      </w:pPr>
      <w:r>
        <w:rPr>
          <w:rFonts w:ascii="IRNazanin" w:hAnsi="IRNazanin" w:eastAsia="IRNazanin"/>
          <w:color w:val="111111"/>
          <w:sz w:val="28"/>
          <w:sz w:val="28"/>
          <w:szCs w:val="28"/>
          <w:rtl w:val="true"/>
          <w:lang w:bidi="fa-IR"/>
        </w:rPr>
        <w:t>هی اسماء فعلیة مشتقة من أفعاله تعالی، فهی مخلوقة، و هی نفس الآیات و المخلوقات من جهة افتقارها و بما هی مفتقرة للباری، لا بما هی منفصلة عن الله عز و جل، و لا شک ان افضل المخلوقات و اکرمهم علی الله عز و جل محمد صلی الله علیه و آله و آل محمد علیهم السّلام، فرفض الاسماء، و هی الآیات و الوسائط، و عدم التوجه بها یؤدی الی الالحاد به عز وجل بصریح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الَّذِینَ یُلْحِدُونَ فِی أَسْمائِهِ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أمر ثانی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الاسم استعمل بمعنی الآیة و الکلمة و السمة، و قد اشیر الی ذلک فی عدة آیات قرآنیة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ابْنَ مَرْیَمَ وَ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جَعَلْناها وَ ابْنَها آیَةً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یُبَشِّرُکِ بِکَلِمَةٍ مِنْهُ اسْمُهُ الْمَسِیحُ عِیسَی ابْنُ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الْمَسِیحُ عِیسَی ابْنُ مَرْیَمَ رَسُولُ اللّهِ وَ کَلِمَتُهُ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فأطلق علی عیسی علیه السلام کلمة من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یُبَشِّرُکَ بِیَحْیی مُصَدِّقاً بِکَلِمَةٍ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عَلَّمَ آدَمَ الْأَسْماءَ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کَلِمَةُ رَبِّکَ صِدْقاً وَ عَدْلاً لا مُبَدِّلَ لِکَلِماتِهِ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فکل هذه الاسماء و العلامات و الکلمات یتوجه بها الی الله عز وجل حیث جعلت واسطة فی نیل المطلوب والمراد من قبل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والامر الثالث فی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فبین الله تعالی ان دعائهم لا یستجاب و ذلک بعدم تفتح أبواب السماء لهم من خلال التکذیب بآیات الله المنصوبة من قبله، و الاستکبار عن التوجه بها الی الله، حیث عبرت الآیة بالاستکبار عنها لا بالاستکبار علیها، و هذه الآیة فی نفس سورة آیة دعاء الله تعالی بأسمائه، وهذا التعبیر فی الآیة بعینه ورد فی حق ابلیس فی الآیات الواردة فیه، حیث أبی واستکبر عن التوجه بآدم علیه السلام فی السجود، وکذب بحجیة آدم علیه السلام وفضیلته فی الخلافة الالهیة، فلم یقبل الله أعماله، ولم یزن لها صرفا، وطرد من جوار الله وقربه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وَ اسْتَکْبَرُوا عَنْها</w:t>
      </w:r>
    </w:p>
    <w:p>
      <w:pPr>
        <w:pStyle w:val="BookText"/>
        <w:rPr/>
      </w:pPr>
      <w:r>
        <w:rPr>
          <w:rFonts w:ascii="Amiri" w:hAnsi="Amiri" w:eastAsia="Amiri" w:cs="Amiri"/>
          <w:color w:val="111111"/>
          <w:sz w:val="28"/>
          <w:sz w:val="28"/>
          <w:szCs w:val="28"/>
          <w:rtl w:val="true"/>
          <w:lang w:bidi="ar-SA"/>
        </w:rPr>
        <w:t>أُولئِکَ أَصْحابُ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فالسیاق الواحد مدلل علی ان ما فعله ابلیس کان انکارا و ظلما لآیة من آیات الله عز و جل، و هناک آیة اخری تدل علی ان تکذیب الآیات هو تکذیب لله عز و جل و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یُکَذِّبُونَکَ وَ لکِنَّ الظّالِمِینَ بِآیاتِ اللّهِ یَجْحَدُونَ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ان الآیة هنا هم الانبیاء و الاوصیاء و الوسائط</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التمسک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والکلام فی مفاد الوسیلة فی الآیة وتحدیده، فقد اتفقت روایات الفریقین ان مقام الوسیلة هو مقام للرسول صلی الله علیه و آله، وهو المقام المحمود والشفاعة الکبری، فابتغاء الوسیلة الی الله هنا یکون بالتوجه بمقام رسول الله صلی الله علیه و آله، و الظریف فی تعبیر الآیة أنه لیس بالصورة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الابتغاء اسند الی الوسیلة لکن کطریق و عبور و واسطة الیه تعالی، و بالتالی اذا جازت ان تکون للرسول صلی الله علیه و آله شفاعة جاز التشفع به، لان طلب المشروع مشروع، و لا یمکن التفکیک بین المسألتین بأن یکون شافعا و لا یجوز التشفع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الشفاعة المذکورة لرسول اللّه صلی الله علیه و آله خاصة بیوم القیامة أو حال کونه حیا فی الحیاة الدنیا، و ان متعلق الشفاعة غفران الذنوب لا غیره من حاجات معاشیة کطلب الرزق و الشفاء و ما شابه ذلک، و غیر هذه الامور یعد 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ونجیب علی هذا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التوسل و التوسط اذا کان شرکا فلا فرق فی الحیاة و الممات، و علی القول بأن الادلة نقلیه فهی مطلقة غیر مخصصة بالدار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لها حیث افترض ان متعلق الشفاعة فی الامور الخطیرة الاخرویة، و هی غفران الذنوب و النجاة من النار و الدخول للجنة، و هی حاصلة فیها، أما فی الامور الدنیویة البسیطة غیر حاصلة، مع ان متاع الحیاة الدنیا بجنب الآخرة قلیل، و لعمرک ان اصحاب الاثارة غلب علیهم المذهب الحسی المادی، و عظمت المادة فی اعینهم علی الآخرة و الامور الاخرویة، و هو تفریق بلا فارق، مع ان الشفاعة لیست مختصة بغفران الذنوب بل هی واسعة، تشمل ترفیع الدرجات و المقامات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یتعلق بقضیة ابراهیم علیه السلام حینما ارید ان یلقی فی النار، و عرض جبرئیل علیه السلام المساعدة، فنقول</w:t>
      </w:r>
      <w:r>
        <w:rPr>
          <w:rFonts w:eastAsia="IRNazanin" w:cs="IRNazanin"/>
          <w:color w:val="111111"/>
          <w:sz w:val="28"/>
          <w:szCs w:val="28"/>
          <w:rtl w:val="true"/>
          <w:lang w:bidi="fa-IR"/>
        </w:rPr>
        <w:t>:</w:t>
      </w:r>
      <w:bookmarkStart w:id="157" w:name="pg13703_133704"/>
    </w:p>
    <w:p>
      <w:pPr>
        <w:pStyle w:val="BookText"/>
        <w:rPr/>
      </w:pPr>
      <w:bookmarkEnd w:id="157"/>
      <w:r>
        <w:rPr>
          <w:rFonts w:ascii="IRNazanin" w:hAnsi="IRNazanin" w:eastAsia="IRNazanin"/>
          <w:color w:val="111111"/>
          <w:sz w:val="28"/>
          <w:sz w:val="28"/>
          <w:szCs w:val="28"/>
          <w:rtl w:val="true"/>
          <w:lang w:bidi="fa-IR"/>
        </w:rPr>
        <w:t>ان مبدأ المسائلة من جبرئیل علیه السلام لابراهیم علیه السلام ما هو إلّا فی مقام الامتحان لایمان و ثبات و رباطة الجأش عند ابراهیم علیه السلام، و مما یعزز هذا قول ابراهیم لجبرئیل علمه بحالی یغنی عن سؤالی مع ان الدعاء مرغوب فیه علی کل حال، و قد توعد الله عز و جل المستکبر عن دعائه، فهل یتوهم ان ابراهیم علیه السلام خارج عن الادب الالهی، و العیاذ بالله تعالی من هذا الوهم، فإذا قوله هذا انما کان لارادة اظهار الثبات و الحزم و عدم الهلع بل الطمأنینة التامة و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 بان ابراهیم علیه السلام لم یطلب حاجة من جبرئیل لانه افضل منه و لا یمکن التوسل بمن هو ادنی مرتبة بالنسبة للمتوسل</w:t>
      </w:r>
      <w:r>
        <w:rPr>
          <w:rFonts w:eastAsia="IRNazanin" w:cs="IRNazanin"/>
          <w:color w:val="111111"/>
          <w:sz w:val="28"/>
          <w:szCs w:val="28"/>
          <w:rtl w:val="true"/>
          <w:lang w:bidi="fa-IR"/>
        </w:rPr>
        <w:t>.</w:t>
      </w:r>
    </w:p>
    <w:p>
      <w:pPr>
        <w:pStyle w:val="Heading3"/>
        <w:numPr>
          <w:ilvl w:val="2"/>
          <w:numId w:val="1"/>
        </w:numPr>
        <w:rPr/>
      </w:pPr>
      <w:bookmarkStart w:id="158" w:name="__RefHeading___Toc1101044_1468164448"/>
      <w:bookmarkStart w:id="159" w:name="_Toc58"/>
      <w:bookmarkEnd w:id="158"/>
      <w:r>
        <w:rPr>
          <w:rtl w:val="true"/>
        </w:rPr>
        <w:t>ملامح من التوسل فی الشعائر العبادیة</w:t>
      </w:r>
      <w:r>
        <w:rPr>
          <w:rtl w:val="true"/>
        </w:rPr>
        <w:t>:</w:t>
      </w:r>
      <w:bookmarkEnd w:id="15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مجموعة من الشعائر العبادیة التی شرعها الشارع المقدس و فی مجموعها حالة من التوسل و التوجه بها الی الله عز و جل و فی صمیم المرکز التوحیدی و هو بیت الله الحرام حیث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 مَنْ دَخَلَهُ کانَ آمِناً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ففی الآیة مزج بین مسألتین الاولی ان البیت الحرام هو اول بیت وضع للعبادة و للحج، و المسألة الثانیة ما یحویه هذا البیت من آیات بینات مثل مقام ابراهیم، و الامان بالنسبة الی داخلیه و للحجاج و المعتمرین، فان الحج فی اللغة هو القصد، و فی الشرع هو القصد الی بیت اللّه الحرام، قصدا الی الوفود علی اللّه تعالی، فالحج الذی هو ضیافة رحمانیة للوافدین و قصد الی الله تعالی جعل</w:t>
      </w:r>
    </w:p>
    <w:p>
      <w:pPr>
        <w:pStyle w:val="BookText"/>
        <w:rPr/>
      </w:pPr>
      <w:r>
        <w:rPr>
          <w:rFonts w:ascii="IRNazanin" w:hAnsi="IRNazanin" w:eastAsia="IRNazanin"/>
          <w:color w:val="111111"/>
          <w:sz w:val="28"/>
          <w:sz w:val="28"/>
          <w:szCs w:val="28"/>
          <w:rtl w:val="true"/>
          <w:lang w:bidi="fa-IR"/>
        </w:rPr>
        <w:t>مقرونا بآیات الانبیاء و الاصفیاء، لیکون دلیلا و شاهدا علی ان التوجه و السیر الی اللّه تعالی یتم بالتوجه بانبیائه و اصفیائه، و التوسل بهم الی الله عز و جل، و ما شابه ذلک، و نحاول ان نتکلم هنا عن هذه الآیات البینات و هی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التفخیم و التعظیم لذلک المکان، و ذلک لمماسته لجسد ابراهیم علیه السلام، و من ملامح تعظیمه ان الحاج و المعتمر لابد ان یتوجه الیه فی حال صلاة الطواف ثم الی سمت الکعبة، فاذا کانت الحال هذه فکیف لا یتوجه بنفس ابراهیم علیه السلام وبشخصه علما بأن حجر المقام ما نال التشریف إلا بابراهیم علیه السلام، وقد عبر عن المقام و قد جعل آیة، فکیف نمنع ان یکون ابراهیم آیة، فما هذا إلّا عناد و مکابرة و صد عن آیات الله عز و جل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اسماعیل، و قد ورد فی الروایات ان فیه قبر اسماعیل و أمه و سبعون نبیا، و الملاحظ ان جمیع المسلمین یطوفون بالبیت الحرام و یطوفون بهذه القبور، و قد أمر ابراهیم و اسماعیل بتطهیر البیت بنص القرآن، مع ان اسماعیل هو الذی جعل قبر أمه فی الحجر، فاذا کان الحال ذلک فی مرکز بیت التوحید، و هو بیت الله الحرام، أول بیت وضع للناس، فکیف یقال ان الطواف بالقبور عبادة لتلک القبور، و مع کل ذلک یصف الباری عز و جل ان هذه من الآیات البینات و انها هدی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لسنة أهل الجماعة عدة روایات دالة علی ان قبر اسماعیل فی الحجر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للسیوطی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اخرجه عن ابن عساکر بسنده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للسیوطی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 ابن سعد فی الطبقات و غیره انه لما توفی اسماعیل دفن فی الحجر مع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المستجار أو الملتزم، و فیه آیة بینة مرتبطة بأصفیاء الله تعالی و منتجبیه حیث انشق جدار الکعبة لفاطمة بنت اسد عندما ارادت الولادة بالامام علی علیه السلام فی قضیة مشهورة معلومة، و هذه آیة بینة ظاهرة فی ولادة الامام علی علیه السلام، و استلام المستجار و الملتزم من الکعبة من الشعائر المستحبة بین عامة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 بین الصفا و المروة، و فیه آیة مرتبطة بأولیاء الله تعالی، و قد روی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سبب تسمیة الصفا و المروة أن آدم لما نزل علی الصفا سمی الصفا، لان آدم کان صفی اللّه، و لما نزلت حواء علی المروة سمیت مروة، و هی مشتقة من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تشریع السعی یذکر انه کان تأسیا بالسعی الذی قامت به هاجر بین الصفا و المروة من اجل تحصیل الماء لابنها اسماعیل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زمزم، حیث سن الشرب من زمزم بعد الطواف، و قصة نبوع ماء زمزم مشهورة حیث نبع الماء بفعل تحرک و فحص اسماعیل برجله فی حال</w:t>
      </w:r>
      <w:bookmarkStart w:id="160" w:name="pg13703_133707"/>
    </w:p>
    <w:p>
      <w:pPr>
        <w:pStyle w:val="BookText"/>
        <w:rPr/>
      </w:pPr>
      <w:bookmarkEnd w:id="160"/>
      <w:r>
        <w:rPr>
          <w:rFonts w:ascii="IRNazanin" w:hAnsi="IRNazanin" w:eastAsia="IRNazanin"/>
          <w:color w:val="111111"/>
          <w:sz w:val="28"/>
          <w:sz w:val="28"/>
          <w:szCs w:val="28"/>
          <w:rtl w:val="true"/>
          <w:lang w:bidi="fa-IR"/>
        </w:rPr>
        <w:t>کونه رضیعا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الآیات الاخری کالوقوف بعرفة والمزدلفة ورمی الجمرات و الذبح و سبب تشریعها و تسمیتها، فنلاحظ ان جمیع تلک الاعمال و الشعائر التی یأتی بها الانسان فی بیت التوحید و فی حرم التوحید ما هی إلّا اعمال قد ارتبطت بالانبیاء و الاصفیاء، و نحن عند ما نأتی بها مرتبطة بهم مع کون تلک الاعمال هی نحو من التوجه بهم الی اللّه تعالی، و بذلک نحن نسیر علی وفق خطاهم و نهجهم فی تلک الاعمال و الافعال تطابق النعل للنعل، و هذا مما یدلل علی ان الوفود الیه سبحانه و تعالی لا یکون إلّا بالتوجه و التوسل باولئک الانبیاء و الاولیاء فی الافعال و الاعمال</w:t>
      </w:r>
      <w:r>
        <w:rPr>
          <w:rFonts w:eastAsia="IRNazanin" w:cs="IRNazanin"/>
          <w:color w:val="111111"/>
          <w:sz w:val="28"/>
          <w:szCs w:val="28"/>
          <w:rtl w:val="true"/>
          <w:lang w:bidi="fa-IR"/>
        </w:rPr>
        <w:t>.</w:t>
      </w:r>
    </w:p>
    <w:p>
      <w:pPr>
        <w:pStyle w:val="Heading3"/>
        <w:numPr>
          <w:ilvl w:val="2"/>
          <w:numId w:val="1"/>
        </w:numPr>
        <w:rPr/>
      </w:pPr>
      <w:bookmarkStart w:id="161" w:name="__RefHeading___Toc1101046_1468164448"/>
      <w:bookmarkStart w:id="162" w:name="_Toc59"/>
      <w:bookmarkEnd w:id="161"/>
      <w:r>
        <w:rPr>
          <w:rtl w:val="true"/>
        </w:rPr>
        <w:t>موارد أخری فی التوسل</w:t>
      </w:r>
      <w:r>
        <w:rPr>
          <w:rtl w:val="true"/>
        </w:rPr>
        <w:t>:</w:t>
      </w:r>
      <w:bookmarkEnd w:id="162"/>
    </w:p>
    <w:p>
      <w:pPr>
        <w:pStyle w:val="BookText"/>
        <w:rPr/>
      </w:pPr>
      <w:r>
        <w:rPr>
          <w:rFonts w:ascii="IRNazanin" w:hAnsi="IRNazanin" w:eastAsia="IRNazanin"/>
          <w:color w:val="111111"/>
          <w:sz w:val="28"/>
          <w:sz w:val="28"/>
          <w:szCs w:val="28"/>
          <w:rtl w:val="true"/>
          <w:lang w:bidi="fa-IR"/>
        </w:rPr>
        <w:t>و هناک موارد اخری دالة علی التوسل و التشفع و هی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بشخص النبی صلی الله علیه و آله، مع ان القسم بالشی نحو توسیط له و توسل به، و جعله منشأ للتوثیق، و قد ورد القسم بشخصه فی عدة آیات قرآنیة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 یرد القسم فی القرآن بعمر أحد غیر خاتم الرسل صلی الله علیه و آله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الآیة علی کلا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أو نافیة فهی دالة علی تعظیم مقام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صاد هنا بانه اسم من اسماء النبی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وَ الْقُرْآنِ الْمَجِیدِ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 تِلْکَ آیاتُ الْکِتابِ وَ قُرْآنٍ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طس تِلْکَ آیاتُ الْقُرْآنِ وَ 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روی عن الامام السجاد علیه السلام ان کل اسم جاء بعده قسم بالقرآن أو الکتاب فهو اسم من اسماء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القسم ینبأ عن تعظیم المقسوم به، و هذا مما یدلل هنا علی عظمة النبی صلی الله علیه و آله و وجاهته عند الله تعالی، و بالتالی حظوته و قبول شفاعته، و التشفع به و التوجه به الی الله تعالی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بالتوسل بالنبی صلی الله علیه و آله، و قد ورد فی عدة آیات قرانیة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فأسند المجی الی النبی صلی الله علیه و آله لا الیه تعالی، و جعل المجی الی النبی صلی الله علیه و آله مجی الیه تعالی، ثم جعل شفاعة النبی صلی الله علیه و آله بالاستغفار لهم شرط فی قبول الباری توبتهم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فَاعْفُ عَنْهُمْ وَ اسْتَغْفِرْ لَهُمْ وَ شاوِرْهُمْ فِی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هذه الآیة مشابهة لآیة استکبار ابلیس عن التوجه بآدم الی اللّه تعالی فی السجود حیث أبی و استکبر و کان من الکافرین، فالذین یستکبرون عن التوسل برسول اللّه و شفاعته لغفران الذنوب و للفلاح و الصلاح و یلوون رؤوسهم، و یصدون عن توسیط الرسول صلی الله علیه و آله لن یغفر اللّه لهم و لا یهدیهم لفسقهم بذلک، کما ورد التعبیر عن عمل ابلیس فی اباءه عن التوجه بآدم علیه السلام بأن فسق عن أمر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اسْتَغْفِرْ لَهُمُ اللّهَ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فالآیات القرانیة کلها تشیر الی التوسل بالنبی من خلال أمر اللّه عز و جل نبیه بالاستغفار للمؤمنین تارة، و دعوتهم للمجی الی النبی لطلب الاستغفار تارة اخری، و قد عدّ المتخلف عن المجی الی الرسول صلی الله علیه و آله صادا و مستکبرا عن عبادة</w:t>
      </w:r>
    </w:p>
    <w:p>
      <w:pPr>
        <w:pStyle w:val="BookText"/>
        <w:rPr/>
      </w:pPr>
      <w:r>
        <w:rPr>
          <w:rFonts w:ascii="IRNazanin" w:hAnsi="IRNazanin" w:eastAsia="IRNazanin"/>
          <w:color w:val="111111"/>
          <w:sz w:val="28"/>
          <w:sz w:val="28"/>
          <w:szCs w:val="28"/>
          <w:rtl w:val="true"/>
          <w:lang w:bidi="fa-IR"/>
        </w:rPr>
        <w:t>اللّه سبحانه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سَلامٌ عَلَیْکَ سَأَسْتَغْفِرُ لَکَ رَبِّی إِنَّهُ کانَ بِی حَفِیًّا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فالآیة المبارکة ابانت مقام ابراهیم و حفاوته عند اللّه عز و جل</w:t>
      </w:r>
    </w:p>
    <w:p>
      <w:pPr>
        <w:pStyle w:val="BookText"/>
        <w:rPr/>
      </w:pPr>
      <w:r>
        <w:rPr>
          <w:rFonts w:ascii="IRNazanin" w:hAnsi="IRNazanin" w:eastAsia="IRNazanin"/>
          <w:color w:val="111111"/>
          <w:sz w:val="28"/>
          <w:sz w:val="28"/>
          <w:szCs w:val="28"/>
          <w:rtl w:val="true"/>
          <w:lang w:bidi="fa-IR"/>
        </w:rPr>
        <w:t>بحیث یکون شفیعا عبر الاستغفار للغیر، مع ان الملة الحنیفیة التوحیدیة هی ملة ابراهیم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اغْفِرْ لِی وَ لِأَخِی وَ أَدْخِلْنا فِی رَحْمَتِکَ وَ أَنْتَ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أبناء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أَبانَا اسْتَغْفِرْ لَنا ذُنُوبَنا إِنّا کُنّا خاطِئِینَ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تبین وساطة حملة العرش فی غفران الذنوب، وقد روی الفریقان ان حملة العرش فی یوم القیامة هم أربعة من الانبیاء اولی العزم، واربعة من هذه الامة النبی صلی الله علیه و آله واهل بیته، ولا بد من الالفات الی امر هام بالغ الخطورة، و هو ان الغفران و التوبة یعنی القرب الی اللّه تعالی و الرجوع الیه، فاذا کان طریق الرجوع الیه و هو التوبة من الاوبة هو بالتوجه بمن هو وجیه عند اللّه، فمحصل معنی الآیات هو یا وجیها عند اللّه اشفع لنا عند الله، وانه بالتوجه بالنبی صلی الله علیه و آله</w:t>
      </w:r>
    </w:p>
    <w:p>
      <w:pPr>
        <w:pStyle w:val="BookText"/>
        <w:rPr/>
      </w:pPr>
      <w:r>
        <w:rPr>
          <w:rFonts w:ascii="IRNazanin" w:hAnsi="IRNazanin" w:eastAsia="IRNazanin"/>
          <w:color w:val="111111"/>
          <w:sz w:val="28"/>
          <w:sz w:val="28"/>
          <w:szCs w:val="28"/>
          <w:rtl w:val="true"/>
          <w:lang w:bidi="fa-IR"/>
        </w:rPr>
        <w:t>و أهل بیته علیهم السلام الیه تعالی یحصل القرب و الزلفی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فنلاحظ فی هذه الآیات ان موسی علیه السلام یطلب المغفرة لأخیه هارون علیه السلام، و ان ابناء یعقوب یتوجهون الی أبیهم لیستغفر لهم ما فرطوا فی حق أخیهم یوسف علیه السلام، و ان حملة العرش و من حوله یستغفرون للذین آمنوا، و ما ذلک إلّا لوجاهة هؤلاء و قربهم من الله عز وجل حتی اصبحوا وجها یتوجه به الی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بغیر الانبیاء و الاولیاء، و قد وردت موارد عدیدة فی القرآن الکریم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الآیة اشارة الی جواز التوسل و مشروعیته حتی بما یتعلق بالانبیاء، فنلاحظ فی الآیة ان الشفاء الذی حصل لیعقوب من خلال توسط قمیص یوسف، مما یدلل علی ان وجاهة الرسل و الاولیاء عند الله عز و جل توجب التوجه بهم الی الله تعالی، و انهم محل للشفاعة بل لما هو ادنی من ذلک و هو الشفاء و ما 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قضیة خاصة قد جرت لیوسف و یعقوب و لا یجوز تعدیتها الی غیرها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الاشارة فی الآیة کانت الی طبیعی التشفع و التوسل و الاستشفاء، و المورد لا یخصص الوارد، مع ان فی ذیل سورة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w:t>
      </w:r>
    </w:p>
    <w:p>
      <w:pPr>
        <w:pStyle w:val="BookText"/>
        <w:rPr/>
      </w:pPr>
      <w:r>
        <w:rPr>
          <w:rFonts w:ascii="Amiri" w:hAnsi="Amiri" w:eastAsia="Amiri" w:cs="Amiri"/>
          <w:color w:val="111111"/>
          <w:sz w:val="28"/>
          <w:sz w:val="28"/>
          <w:szCs w:val="28"/>
          <w:rtl w:val="true"/>
          <w:lang w:bidi="ar-SA"/>
        </w:rPr>
        <w:t>فِی قَصَصِهِمْ عِبْرَةٌ لِأُولِی الْأَلْبابِ ما کانَ حَدِیثاً یُفْتَری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فدلل ان ما فی قصصهم عبرة لیستن بها و یؤخذ بها،</w:t>
      </w:r>
    </w:p>
    <w:p>
      <w:pPr>
        <w:pStyle w:val="BookText"/>
        <w:rPr/>
      </w:pPr>
      <w:r>
        <w:rPr>
          <w:rFonts w:ascii="Amiri" w:hAnsi="Amiri" w:eastAsia="Amiri" w:cs="Amiri"/>
          <w:color w:val="111111"/>
          <w:sz w:val="28"/>
          <w:sz w:val="28"/>
          <w:szCs w:val="28"/>
          <w:rtl w:val="true"/>
          <w:lang w:bidi="ar-SA"/>
        </w:rPr>
        <w:t>و کذلک فی صدر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یُوسُفَ وَ إِخْوَتِهِ آیاتٌ لِلسّائِلِینَ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فَقُلْنا اضْرِبُوهُ بِبَعْضِها کَذلِکَ یُحْیِ اللّهُ الْمَوْتی وَ یُرِیکُمْ آیاتِهِ لَعَلَّکُمْ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توسل لاجل احیاء میت بواسطة بعض حیوان و هی البقرة، فاذا کان بعض البقرة و من خلاله جعل واسطة لامر عظیم و هو الاحیاء فهل تری ان التوسط و التوسل بالاولیاء فی صغار الامور أو کبارها یعد شرکا و کفرا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آیَةَ مُلْکِهِ أَنْ یَأْتِیَکُمُ التّابُوتُ فِیهِ سَکِینَةٌ مِنْ رَبِّکُمْ وَ بَقِیَّةٌ مِمّا تَرَکَ آلُ مُوسی وَ آلُ هارُونَ تَحْمِلُهُ الْمَلائِکَةُ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فنلاحظ ان التابوت قد حصل علی السکینة و البرکة لعلاقته بآل موسی و هارون و ما ذلک إلّا لمقام و وجاهة موسی و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بَصُرْتُ بِما لَمْ یَبْصُرُوا بِهِ فَقَبَضْتُ قَبْضَةً مِنْ أَثَرِ الرَّسُولِ فَنَبَذْتُها وَ کَذلِکَ سَوَّلَتْ لِی نَفْسِی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فبینت الآیة ان لاثر تراب حصان جبرئیل حیث کان یرشد بنی اسرائیل فی طریقهم فی البحر یبسا هذا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روایات فی التوسل و التشفع و التبرک برسول اللّه صلی الله علیه و آله و هی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البخاری عن الجعید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بی خالتی الی رسول اللّه صلی الله علیه و آله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ان ابن اختی وجع، فمسح رأسی و دعا لی بالبرکة، و توضأ و شربت من وضوئه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البخاری 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بالهاجرة الی البطحاء، فتوضأ، ثم صلی الظهر رکعتین، و العصر رکعتین، و بین یدیه عنزة، و زاد فیه عون عن أبیه، 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یمر من ورائها المرأة، و قام الناس فجعلوا یأخذون یدیه فیمسحون بها وجوههم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البخاری عن عون بن أبی جحیفة،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فی قبة من ادم، و رأیت بلالا اخذ وضوء رسول اللّه صلی الله علیه و آله، و رأیت الناس یبتدرون ذاک الوضوء، فمن اصاب منه شیئا تمسح به، و من لم یصب منه شیئا اخذ من بلل ید صاحبه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السمهودی، والمتقی الهندی ان غبار المدینة شفاء من الجذام، وان غبار المدینة یبری الجذام، وان فی غبارها شفاء من کل 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2"/>
      </w:r>
      <w:r>
        <w:rPr>
          <w:rFonts w:ascii="IRNazanin" w:hAnsi="IRNazanin" w:eastAsia="IRNazanin"/>
          <w:color w:val="111111"/>
          <w:sz w:val="28"/>
          <w:sz w:val="28"/>
          <w:szCs w:val="28"/>
          <w:rtl w:val="true"/>
          <w:lang w:bidi="fa-IR"/>
        </w:rPr>
        <w:t>روی السمهودی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یا بنی الحارث روبی؟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اصابتنا یا رسول اللّه هذه الحمی،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أنتم عن صعیب</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سنن ابن ماجة، عن عثمان بن حنیف ان رجلا ضریر البصر اتی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ان یعافینی،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اخرت لک و هو خیر، و ان شئت دعوت،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فأمره ان یتوضا فیحسن وضوءه و یصلی رکعتین، و یدعو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و اتوجه الیک بمحمد نبی الرحمة، یا محمد انی قد توجهت بک الی ربی فی حاجتی هذه لتقضی، اللهم فشفعه فیّ‌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فی خبر صحیح انه فی ایام عمر جاء رجل الی قبر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استسق لامتک، فسقوا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النسائی عن عبد اللّه بن عمرو یقول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سمعتم المؤذن فقولوا مثل ما یقول، و صلوا علیّ فانه من صلی علیّ صلاة صلی اللّه علیه عشرا، ثم سلوا اللّه لی الوسیلة، فانها منزلة فی الجنة لا تنبغی إلّا لعبد من عباد اللّه، ارجو ان اکون انا هو، سأل لی الوسیلة حلت له الشفاعة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مسلم، عن عائشة،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میت تصلی علیه أمة</w:t>
      </w:r>
      <w:bookmarkStart w:id="163" w:name="pg13703_133715"/>
    </w:p>
    <w:p>
      <w:pPr>
        <w:pStyle w:val="BookText"/>
        <w:rPr/>
      </w:pPr>
      <w:bookmarkEnd w:id="163"/>
      <w:r>
        <w:rPr>
          <w:rFonts w:ascii="IRNazanin" w:hAnsi="IRNazanin" w:eastAsia="IRNazanin"/>
          <w:color w:val="111111"/>
          <w:sz w:val="28"/>
          <w:sz w:val="28"/>
          <w:szCs w:val="28"/>
          <w:rtl w:val="true"/>
          <w:lang w:bidi="fa-IR"/>
        </w:rPr>
        <w:t>من المسلمین یبلغون مئة، کلهم یشفعون له إلّا شفّعوا فیه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مسلم،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مسلم یموت فیقوم علی جنازته اربعون رجلا، لا یشرکون بالله شیئا إلّا شفعهم الله فیه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عبد الله بن احمد بن حنبل فی کتاب العلل و السؤالات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الرجل یمس منبر رسول اللّه صلی الله علیه و آله یتبرک بمسه و تقبیله، و یفعل بالقبر ذلک رجاء ثواب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اسماعیل، ابن المنکدر یصیبه الصمات، فکان یقوم و یضع خده علی قبر النبی صلی الله علیه و آله، فعوتب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یستشفی بقبر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ذکرناه من روایات صریحة فی جواز التوسل و التشفع و الاستشفاء سواء بالنبی صلی الله علیه و آله أو بأهل بیته علیهم السلام أو بالاولیاء او بالصالحین او بالبقاع و البلدان کالمدینة المنورة و غیرها، و هی لم تنل هذه المکانة من الشفاء فی ترابها و غبارها إلّا بشخص النبی صلی الله علیه و آله، فهل بعد کل هذا یبقی مجال للشک فی جواز التوسل و التشفع بالاولیاء؟</w:t>
      </w:r>
    </w:p>
    <w:p>
      <w:pPr>
        <w:pStyle w:val="Heading3"/>
        <w:numPr>
          <w:ilvl w:val="2"/>
          <w:numId w:val="1"/>
        </w:numPr>
        <w:rPr/>
      </w:pPr>
      <w:bookmarkStart w:id="164" w:name="__RefHeading___Toc1101048_1468164448"/>
      <w:bookmarkStart w:id="165" w:name="_Toc60"/>
      <w:bookmarkEnd w:id="164"/>
      <w:r>
        <w:rPr>
          <w:rtl w:val="true"/>
        </w:rPr>
        <w:t>موارد عقلیة علی التوسّل</w:t>
      </w:r>
      <w:r>
        <w:rPr>
          <w:rtl w:val="true"/>
        </w:rPr>
        <w:t>:</w:t>
      </w:r>
      <w:bookmarkEnd w:id="165"/>
    </w:p>
    <w:p>
      <w:pPr>
        <w:pStyle w:val="BookText"/>
        <w:rPr/>
      </w:pPr>
      <w:r>
        <w:rPr>
          <w:rFonts w:ascii="IRNazanin" w:hAnsi="IRNazanin" w:eastAsia="IRNazanin"/>
          <w:color w:val="111111"/>
          <w:sz w:val="28"/>
          <w:sz w:val="28"/>
          <w:szCs w:val="28"/>
          <w:rtl w:val="true"/>
          <w:lang w:bidi="fa-IR"/>
        </w:rPr>
        <w:t>و هنا نذکر عدة موارد عقلیة دالة علی جواز التوسل و التشفع و هی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الفلاسفة ان اللّه خالق کل شی لکن خلقه للمخلوقات لیس علی رتبة واحدة بل مترتبة، و ذلک لیس لعجز فی الباری، و انما المخلوق منه ما</w:t>
      </w:r>
      <w:bookmarkStart w:id="166" w:name="pg13703_133716"/>
    </w:p>
    <w:p>
      <w:pPr>
        <w:pStyle w:val="BookText"/>
        <w:rPr/>
      </w:pPr>
      <w:bookmarkEnd w:id="166"/>
      <w:r>
        <w:rPr>
          <w:rFonts w:ascii="IRNazanin" w:hAnsi="IRNazanin" w:eastAsia="IRNazanin"/>
          <w:color w:val="111111"/>
          <w:sz w:val="28"/>
          <w:sz w:val="28"/>
          <w:szCs w:val="28"/>
          <w:rtl w:val="true"/>
          <w:lang w:bidi="fa-IR"/>
        </w:rPr>
        <w:t>یمتنع فرض ذاته قبل سلسلة من المخلوقات الاسبق منه، و انما المخلوق السابق یکون سببا لتقرر امکان المخلوق اللاحق و سببیته راجعة مآلا الی تسبیب الباری تعالی، أی ان المخلوق الجسمانی مثلا یمتنع ان یفرض وجوده بلا مادة عنصریة، و بالتالی یکون المخلوق السابق هو افضل و اقرب الی اللّه عز و جل، و یکون بابا للمخلوق اللاحق و وسیلة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طریقة الوفود علی أی شخص فی الآداب العقلائیة و المتعارف الاجتماعی تکون عن طریق الاستئذان من خلال حجابه او بوابه، و هذا العمل نوع من الاحترام و التعظیم فی الوسط الاجتماعی بین افراد الانسان، و قد قرر الاسلام هذا النوع من الادب فی کثیر من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یُنادُونَکَ مِنْ وَراءِ الْحُجُراتِ أَکْثَرُهُمْ لا یَعْقِلُونَ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أنت یا علی بابها، فمن اراد المدینة و الحکمة فلیأتها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نری ان هذا الادب الالهی قد قرره الشارع المقدس فی الوفود علی بیت اللّه الحرام، فجعل الاحرام مقدمة للتهیؤ و التعظیم، و الوقوف بعرفات ثم المزدلفة ثم قضاء التفث مقدمة علی زیارة البیت ثانیة، فعلیه یکون التوجه بالوسائط و الوسائل الی اللّه نوع من انواع الادب الذی یقره العقل و العقلاء فی تعاملهم</w:t>
      </w:r>
      <w:r>
        <w:rPr>
          <w:rFonts w:eastAsia="IRNazanin" w:cs="IRNazanin"/>
          <w:color w:val="111111"/>
          <w:sz w:val="28"/>
          <w:szCs w:val="28"/>
          <w:rtl w:val="true"/>
          <w:lang w:bidi="fa-IR"/>
        </w:rPr>
        <w:t>.</w:t>
      </w:r>
    </w:p>
    <w:p>
      <w:pPr>
        <w:pStyle w:val="Heading3"/>
        <w:numPr>
          <w:ilvl w:val="2"/>
          <w:numId w:val="1"/>
        </w:numPr>
        <w:rPr/>
      </w:pPr>
      <w:bookmarkStart w:id="167" w:name="__RefHeading___Toc1101050_1468164448"/>
      <w:bookmarkStart w:id="168" w:name="_Toc61"/>
      <w:bookmarkEnd w:id="167"/>
      <w:r>
        <w:rPr>
          <w:rtl w:val="true"/>
        </w:rPr>
        <w:t>خاتمة فی التوسل</w:t>
      </w:r>
      <w:r>
        <w:rPr>
          <w:rtl w:val="true"/>
        </w:rPr>
        <w:t>:</w:t>
      </w:r>
      <w:bookmarkEnd w:id="168"/>
    </w:p>
    <w:p>
      <w:pPr>
        <w:pStyle w:val="Heading3"/>
        <w:numPr>
          <w:ilvl w:val="2"/>
          <w:numId w:val="1"/>
        </w:numPr>
        <w:rPr/>
      </w:pPr>
      <w:bookmarkStart w:id="169" w:name="__RefHeading___Toc1101052_1468164448"/>
      <w:bookmarkStart w:id="170" w:name="_Toc62"/>
      <w:bookmarkEnd w:id="169"/>
      <w:r>
        <w:rPr>
          <w:rtl w:val="true"/>
        </w:rPr>
        <w:t>الوسائط مظهر قدرة البارئ</w:t>
      </w:r>
      <w:r>
        <w:rPr>
          <w:rtl w:val="true"/>
        </w:rPr>
        <w:t>:</w:t>
      </w:r>
      <w:bookmarkEnd w:id="17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یطرح هنا سؤال و هو ان الاعتقاد بالوسائط قد یفضی الی اعتقاد عجز الباری سبحانه و تعالی، و مما لا شک فیه ان الباری غنی عن العالمین، لانه اذا اراد</w:t>
      </w:r>
    </w:p>
    <w:p>
      <w:pPr>
        <w:pStyle w:val="BookText"/>
        <w:rPr/>
      </w:pPr>
      <w:r>
        <w:rPr>
          <w:rFonts w:ascii="IRNazanin" w:hAnsi="IRNazanin" w:eastAsia="IRNazanin"/>
          <w:color w:val="111111"/>
          <w:sz w:val="28"/>
          <w:sz w:val="28"/>
          <w:szCs w:val="28"/>
          <w:rtl w:val="true"/>
          <w:lang w:bidi="fa-IR"/>
        </w:rPr>
        <w:t>شیئا فانما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السؤال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 و هو ان اقدار الله لبعض مخلوقاته لا یعنی الافتقار منه عز و جل، کما لا یعنی اقدار الباری للوسائط استقلالها عن قدرة الباری و إلّا لکانت فی وجودها مستقلة عنه فی مرحلة البقاء، و لاقتصر احتیاجها الیه فی مرحلة الحدوث فقط، و هذه مقولة بعض المعتزلة، و العیاذ بالله تعالی منها، بل المخلوقات کما هی محتاجة فی وجودها حدوثا هی محتاجة فی وجودها بقاء الی الباری، و لو قطع الباری عنایته لحظة او فی اقل من اللحظة عنها لبطلت و انعدمت و صارت فانیة، فکذلک المخلوقات فی قدراتها علی ما یصدر منها من افعال لا تستقل عن قدرة الباری تعالی حدوثا و بقاء، و من ذلک یظهر ان القائل بحصر تخلیق الله تعالی للخلق عن طریق الابداع فقط التزم بذلک لتوهمه بأن التخلیق من المادة المخلوقة سابقا مثلا هناک شراکة فی التخلیق من الله و من المادة، و ان المادة مستقلة فی عرض الباری، و العیاذ بالله، و هذا الوهم جهالة، بل هو نوع من التوسیط بینه و بین مخلوقاته عبر اولیائه و مقربیه الذین اصطفاهم و جعلهم ابوابا لرحمته و محلا لنیل 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و هو ان نقرب اشکالهم ببیان فلسفی و هو ان کل فعل من افعال الباری لا بد ان یکون حسب مدعاهم ابداعی أی بلا واسطة بل من الباری مباشرة، فکل ما کان غیر ابداعی یکون عجزا من الباری، إلّا اننا نشاهد اکثر الموجودات مخلوقة غیر ابداعیة بل کانت مخلوقات بتوسط اسباب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المخلوقات التی نشاهدها اما ان ننسبها للباری بتوسط الوسائط،</w:t>
      </w:r>
    </w:p>
    <w:p>
      <w:pPr>
        <w:pStyle w:val="BookText"/>
        <w:rPr/>
      </w:pPr>
      <w:r>
        <w:rPr>
          <w:rFonts w:ascii="IRNazanin" w:hAnsi="IRNazanin" w:eastAsia="IRNazanin"/>
          <w:color w:val="111111"/>
          <w:sz w:val="28"/>
          <w:sz w:val="28"/>
          <w:szCs w:val="28"/>
          <w:rtl w:val="true"/>
          <w:lang w:bidi="fa-IR"/>
        </w:rPr>
        <w:t>فیکون العجز حسب ما ادعوا، و اما ان لا ننسبها للباری لانها مخلوقات غیر ابداعیة یعنی لیست بکن فیکون، فتکون المشکلة اعظم حیث تجرد نسبة هذه المخلوقات عن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یقال بتوسط شی فی مخلوقاته لا یستوجب بالضرورة نسبة العجز للباری، بل الاشیاء مفتقرة الیه، و فی کل الاحوال تلک الاشیاء لا تنفک عن قدرة وارادة الباری، بل هی مرتبطة و مفتقرة الی الباری وارادته فی کل الاحوال و الازمان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طوائف من الآیات القرآنیة دالة علی وقوع التخلیق من الله عبر الوسائط من ملائکة و رسل و غیر ذلک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الانفس و فیها عدة اسنادات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الاسناد فی وفاة الانفس الی الملائکة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تَوَفّاهُمُ الْمَلائِکَةُ ظالِمِی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إِذا جاءَ أَحَدَکُمُ الْمَوْتُ تَوَفَّتْهُ رُسُلُنا وَ هُمْ لا یُفَرِّطُونَ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إِذا جاءَتْهُمْ رُسُلُنا یَتَوَفَّوْنَهُمْ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تَری إِذْ یَتَوَفَّی الَّذِینَ کَفَرُوا الْمَلائِکَةُ یَضْرِبُونَ وُجُوهَهُمْ وَ أَدْبارَهُمْ وَ ذُوقُوا عَذابَ الْحَرِیقِ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فَکَیْفَ إِذا تَوَفَّتْهُمُ الْمَلائِکَةُ یَضْرِبُونَ وُجُوهَهُمْ وَ أَدْبارَهُمْ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 الْیَوْمَ تُجْزَوْنَ عَذابَ الْهُونِ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ففی مجموع الآیات نلاحظ ان الله سبحانه و تعالی قد نسب و اسند وفاة الانفس الی الملائکة فهل هذا یعنی ان اللّه عاجز ان یقبض ارواح العباد بنفسه، فلیس هذا العمل إلّا من باب التوسیط فی شؤون مخلوقاته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الاسناد فی وفاة الانفس الیه سبحانه و تعالی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الَّذِی یَتَوَفّاکُمْ بِاللَّیْلِ وَ یَعْلَمُ ما جَرَحْتُمْ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خَلَقَکُمْ ثُمَّ یَتَوَفّاکُمْ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لکِنْ أَعْبُدُ اللّهَ الَّذِی یَتَوَفّاکُمْ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الاسناد فی وفاة الانفس الی ملک الموت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الباری بإیکال بعض الامور الی بعض مخلوقاته من غیر ان یکون ذلک تفویض عزلی تنعزل فیه قدرة الباری فان الاشیاء جمیعها قائمة بقدرته حدوثا و بقاء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لَنا أَلاّ نَتَوَکَّلَ عَلَی اللّهِ وَ قَدْ هَدانا سُبُلَنا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فهذه الوکالة من الله لیس هی عزل لقدرة الله سبحانه و تعالی، فاننا نری فی الموکل الاعتباری حینما یوکل شخصا لا ینعزل باعطاء الوکالة تماما، فکیف بالمولی و الموکل الحقیقی سبحانه و تعالی علوا کبیرا، فلیس توکیل و تفویض عزلی تنحسر فیه قدرة الباری عن الفعل الموکل فیه بل الاشیاء برمتها قائمة به تعالی، و هو قیوم علی کل شی فضلا عن افعال الاشیاء</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توسیط بعض المخلوقات فی الخلق، و هو توسط</w:t>
      </w:r>
    </w:p>
    <w:p>
      <w:pPr>
        <w:pStyle w:val="BookText"/>
        <w:rPr/>
      </w:pPr>
      <w:r>
        <w:rPr>
          <w:rFonts w:ascii="IRNazanin" w:hAnsi="IRNazanin" w:eastAsia="IRNazanin"/>
          <w:color w:val="111111"/>
          <w:sz w:val="28"/>
          <w:sz w:val="28"/>
          <w:szCs w:val="28"/>
          <w:rtl w:val="true"/>
          <w:lang w:bidi="fa-IR"/>
        </w:rPr>
        <w:t>الماء فی خلق کثیر من المخلوقات کالنبات و الانسان و ما شابه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الَّذِی أَنْزَلَ مِنَ السَّماءِ ماءً فَأَخْرَجْنا بِهِ نَباتَ 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أَنْزَلَ مِنَ السَّماءِ ماءً فَأَحْیا بِهِ الْأَرْضَ بَعْدَ مَوْتِها إِنَّ فِی ذلِکَ لَآیَةً لِقَوْمٍ یَسْمَعُونَ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أَنْزَلَ اللّهُ مِنَ السَّماءِ مِنْ ماءٍ فَأَحْیا بِهِ الْأَرْضَ بَعْدَ مَوْتِها وَ بَثَّ فِیها مِنْ کُلِّ 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یُنَزِّلُ عَلَیْکُمْ مِنَ السَّماءِ ماءً لِیُطَهِّرَکُمْ بِهِ وَ یُذْهِبَ عَنْکُمْ رِجْزَ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مِنَ الْماءِ کُلَّ شَیْ‌ءٍ حَیٍّ أَ فَلا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خَلَقَ کُلَّ دَابَّةٍ مِنْ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کثیر من الافعال الی المخلوقات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لَمْ یَرَوْا أَنّا خَلَقْنا لَهُمْ مِمّا عَمِلَتْ أَیْدِینا أَنْعاماً فَهُمْ لَها مالِکُونَ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فأسند الخلق هنا الی الید و هی القدرة المخلوقة المباشرة للمادة المخلق منها الانعام، و هی غیر الذات الالهیة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اسند الخلق هنا الی اسم الرب و هو غیر الذات الالهیة ایضا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لیس المراد من الوجه جزء الذات کما یتوهمه المجسمة الحشویة تعالی الله عن ذلک علوا کبیرا، بل المراد منه الآیة الکبری الدالة علی عظمة الذات الالهیة، فأینما تولوا فثم وجه الله، و قد اطلق علی البیت الحرام و الکعبة القبلة أنها وجه الله فی سیاق آیات سورة البقرة التی تتحدث عن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ما کُنْتُمْ فَوَلُّوا وُجُوهَکُمْ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اسند تسییر الجبال و تقطیع الارض و</w:t>
      </w:r>
    </w:p>
    <w:p>
      <w:pPr>
        <w:pStyle w:val="BookText"/>
        <w:rPr/>
      </w:pPr>
      <w:r>
        <w:rPr>
          <w:rFonts w:ascii="IRNazanin" w:hAnsi="IRNazanin" w:eastAsia="IRNazanin"/>
          <w:color w:val="111111"/>
          <w:sz w:val="28"/>
          <w:sz w:val="28"/>
          <w:szCs w:val="28"/>
          <w:rtl w:val="true"/>
          <w:lang w:bidi="fa-IR"/>
        </w:rPr>
        <w:t>تکلیم الموتی أی احیاء الموتی الی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 عنها بالملک لغیر الله مع عدم الاعتزال عن الله و قدرته و لا عن امداده و توسیطه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ذکر تعالی ذلک عن آل ابراهیم و من البیّن عدم ارادة ملک الرئاسة الاجتماعیة السیاسیة، اذ لم یقع ذلک فی التاریخ، بل المراد الملک اللدنی الایتائی أی فی الملکوت، نظیر ما قاله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ادْعُهُنَّ یَأْتِینَکَ سَعْیاً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الحدیث عن اسماعیل و اسحاق و یعقوب یهدون بأمر الهی ملکوتی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اغْفِرْ لِی وَ هَبْ لِی مُلْکاً لا یَنْبَغِی لِأَحَدٍ مِنْ بَعْدِی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شَدَدْنا مُلْکَهُ وَ آتَیْناهُ الْحِکْمَةَ وَ فَصْلَ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لَهُمْ نَبِیُّهُمْ إِنَّ اللّهَ قَدْ بَعَثَ لَکُمْ طالُوتَ مَلِکاً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اللّهُمَّ مالِکَ الْمُلْکِ تُؤْتِی الْمُلْکَ مَنْ تَشاءُ وَ تَنْزِعُ الْمُلْکَ مِمَّنْ تَشاءُ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نادَوْا یا مالِکُ لِیَقْضِ عَلَیْنا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فوصف خازن النیران الملک الموکّل بالنار و طبقاتها بمالک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الْمَلَکُ عَلی أَرْجائِها وَ یَحْمِلُ عَرْشَ رَبِّکَ فَوْقَهُمْ یَوْمَئِذٍ ثَمانِیَةٌ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الحمل بمعنی العلم لا ان القدرة الالهیة تقع مفعولة محتاجة، و العیاذ باللّه تعالی عما یقوله المجسمة الحشویة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هُوَ مَوْلاهُ وَ جِبْرِیلُ وَ صالِحُ الْمُؤْمِنِینَ وَ الْمَلائِکَةُ بَعْدَ ذلِکَ ظَهِیرٌ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الظهارة والاعانة لجبرئیل وصالح المؤمنین علیا علیه السلام والملائکة مع انه تعالی قیوم علی جبرئیل وصالح المؤمنین وعلی الملائکة إلّا انا بیان لوسائط قدرته تعالی،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النَّصْرُ إِلاّ مِنْ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تَسْتَغِیثُونَ رَبَّکُمْ فَاسْتَجابَ لَکُمْ أَنِّی مُمِدُّکُمْ بِأَلْفٍ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مُرْدِفِینَ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تَقُولُ لِلْمُؤْمِنِینَ أَ لَنْ یَکْفِیَکُمْ أَنْ یُمِدَّکُمْ رَبُّکُمْ بِثَلاثَةِ آلافٍ مِنَ الْمَلائِکَةِ مُنْزَلِینَ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یُمْدِدْکُمْ رَبُّکُمْ بِخَمْسَةِ آلافٍ مِنَ الْمَلائِکَةِ مُسَوِّمِینَ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فیها نسبة الاهلاک الی نفسه سبحانه و تعالی أو الی بعض مخلوقاته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أَهْلَکْنا ما حَوْلَکُمْ مِنَ الْقُری وَ صَرَّفْنَا الْآیاتِ 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ثَمُودُ فَأُهْلِکُوا بِالطّاغِیَةِ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عادٌ فَأُهْلِکُوا بِرِیحٍ صَرْصَرٍ عاتِیَةٍ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جاءَتْ رُسُلُنا إِبْراهِیمَ بِالْبُشْری قالُوا إِنّا مُهْلِکُوا أَهْلِ هذِهِ الْقَرْیَةِ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مَنْ أَرْسَلْنا عَلَیْهِ حاصِباً وَ مِنْهُمْ مَنْ أَخَذَتْهُ الصَّیْحَةُ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خَسَفْنا بِهِ الْأَرْضَ وَ مِنْهُمْ مَنْ أَغْرَقْنا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الاسناد الی الریاح فی انشاء بعض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أَرْسَلْنَا الرِّیاحَ لَواقِحَ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الَّذِی یُرْسِلُ الرِّیاحَ فَتُثِیرُ سَحاباً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الَّذِی أَرْسَلَ الرِّیاحَ بُشْراً بَیْنَ یَدَیْ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آیاتِهِ أَنْ یُرْسِلَ الرِّیاحَ مُبَشِّراتٍ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الَّذِی أَرْسَلَ الرِّیاحَ فَتُثِیرُ سَحاباً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الفقه الاجتماعی والسیاسی قاعدة التعایش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بین المذاهب</w:t>
      </w:r>
      <w:r>
        <w:rPr>
          <w:rFonts w:eastAsia="IRNazanin" w:cs="IRNazanin"/>
          <w:color w:val="111111"/>
          <w:sz w:val="28"/>
          <w:szCs w:val="28"/>
          <w:rtl w:val="true"/>
          <w:lang w:bidi="fa-IR"/>
        </w:rPr>
        <w:t>)</w:t>
      </w:r>
      <w:bookmarkStart w:id="171" w:name="pg13703_133729"/>
    </w:p>
    <w:p>
      <w:pPr>
        <w:pStyle w:val="Heading2"/>
        <w:numPr>
          <w:ilvl w:val="1"/>
          <w:numId w:val="1"/>
        </w:numPr>
        <w:rPr/>
      </w:pPr>
      <w:bookmarkStart w:id="172" w:name="__RefHeading___Toc1101054_1468164448"/>
      <w:bookmarkStart w:id="173" w:name="_Toc63"/>
      <w:bookmarkEnd w:id="171"/>
      <w:bookmarkEnd w:id="172"/>
      <w:r>
        <w:rPr>
          <w:rtl w:val="true"/>
        </w:rPr>
        <w:t>القاعدة التاسعة عشرة</w:t>
      </w:r>
      <w:r>
        <w:rPr>
          <w:rtl w:val="true"/>
        </w:rPr>
        <w:t xml:space="preserve">: </w:t>
      </w:r>
      <w:r>
        <w:rPr>
          <w:rtl w:val="true"/>
        </w:rPr>
        <w:t xml:space="preserve">فی الفقه الاجتماعی والسیاسی قاعدة التعایش السلمی </w:t>
      </w:r>
      <w:r>
        <w:rPr>
          <w:rtl w:val="true"/>
        </w:rPr>
        <w:t>(</w:t>
      </w:r>
      <w:r>
        <w:rPr>
          <w:rtl w:val="true"/>
        </w:rPr>
        <w:t>التقریب بین المذاهب</w:t>
      </w:r>
      <w:r>
        <w:rPr>
          <w:rtl w:val="true"/>
        </w:rPr>
        <w:t>)</w:t>
      </w:r>
      <w:bookmarkEnd w:id="173"/>
    </w:p>
    <w:p>
      <w:pPr>
        <w:pStyle w:val="Heading3"/>
        <w:numPr>
          <w:ilvl w:val="2"/>
          <w:numId w:val="1"/>
        </w:numPr>
        <w:rPr/>
      </w:pPr>
      <w:bookmarkStart w:id="174" w:name="__RefHeading___Toc1101056_1468164448"/>
      <w:bookmarkStart w:id="175" w:name="_Toc64"/>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من الواضح أنّ مسألة الوحدة الإسلامیّة، وبالأحری مسألة التعایش المذهبی بین المسلمین، تعدّ أمل وطموح کلّ مسلم یرید الخیر والصلاح لأبنائها؛ إذ أنّ الفرقة والعداوة والبغضاء هی عمل الشیطان، المتمثّل فی بؤر العداء ذات النزعة الاستعماریّة، التی تسعی إلی إثارة الفتن والتناحر بین أبناء الامّة الإسلامیّة، من خلال إطلاق العنان للنعرات الطائفیّة، کلّ ذلک لأجل تحقیق مآربهم ومصالحهم علی ضوء المقولة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نجد النصوص القرآنیّة طافحة فی التأکید علی ضرورة التآلف والتآخی بین المسلمین، محذّرة فی الوقت ذاته من الفرقة والاختلاف،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هذِهِ أُمَّتُکُمْ أُمَّةً واحِدَةً وَ أَنَا رَبُّکُمْ فَاتَّقُونِ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هذا المسار سارت بیانات الرسول الأعظم صلی الله علیه و آله وأهل بیته علیهم السلام فی التأکید علی أهمّیّة وحدة وتلاحم المسلمین وتآلفهم، وهو ما یکشف عنه ذلک الحشد المتنوّع من الروایات الواردة عنهم علیهم السلام التی جاءت مشفوعة بتحدید الآلیّات والإجراءات الکفیلة بضمان الوحدة والتعایش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یقتصر الأمر علی ما ورد عنهم علیهم السلام من نصوص روائیّة فی هذا الصدد، بل بادروا علیهم السلام إلی تجسید ذلک عملیّاً من خلال سیرتهم مع المسلمین، ولعلّ أوّل بادرة فی هذا المسار هو ما قام به الرسول الأکرم صلی الله علیه و آله من عملیة المؤاخاة بین المهاجرین والأنصار، وذلک منذ اللحظات الاولی من وصوله إلی المدینة المنوّرة، فی خطوة اولی لجعل الإسلام والوحدة محور حرکة المسلمین وقوّتهم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استطاع صلی الله علیه و آله من القضاء علی العصبیّات الجاهلیّة والنزعات المختلفة، التی کادت تمزّق وحدة الصفّ الإسلامیّ آنذاک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الحال بالنسبة إلی سیرة الأئمّة من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نلمس ذلک بوضوح فی سیرة الإمام أمیر المؤمنین علیّ بن أبی طالب علیه السلام، فعلی الرغم من إقصائه من حقّه فی الخلافه، إلّاأنّه علیه السلام وحرصاً منه علی وحدة المسلمین، کان مشیراً ومعلّماً ومدبّراً وناقداً وناصحاً، ولا تأخذه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وتابع هذه المسیرة من بعده أولاده المعصومین علیهم السلام من خلال سیرتهم العملیّة فی الحفاظ علی وحدة وتلاحم المسلمین، وهی سیرة ملیئة بالشواهد فی هذا المجال والتی لا یسع المقام لاستقصائها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علیهم السلام علی الرغم من قناعتهم بأحقّیّتهم بالخلافة وصواب خطّهم الفکریّ والفقهیّ، وقناعتهم بخطأ غیرهم ممّن لم یهتدوا بهداهم، فعلی الرغم من ذلک فإنّهم علیهم السلام لا یفرضون قناعاتهم علی أحد، وإنّما أخذوا فی مخاطبة العقول والتعامل مع الناس علی وفق برنامج حکیم یعتمد المحبّة والبرهان والدلیل والحکمة والموعظة الحسنة، مؤکّدین فی الوقت ذاته علی ضرورة وحدة وتلاحم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نجد کثافة النصوص الروائیّة التی سلّطت الضوء علی إعطاء تعریف للإسلام والمسلم، بحیث لا یلغی الآخرین ولا یخرجهم من دائرة الإسلام، ولا یصادر حریّة الأفکار والعقول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أبو جعفر محمد بن علیّ الباقر علیه السلام موضّحاً معنی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والإسلام ما ظهر من قول أو فعل، وهو الذی علیه جماعة من الناس من الفِرق کلّها، وبه حقنت الدماء، وعلیه جرت المواریث، وجاز النکاح، واجتمعوا علی الصلاة والزکاة والصوم والحجّ، فخرجوا بذلک عن الکفر، واضیفوا إلی الإیمان</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الإمام أبو عبدالله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الظاهر الذی علیه</w:t>
      </w:r>
    </w:p>
    <w:p>
      <w:pPr>
        <w:pStyle w:val="BookText"/>
        <w:rPr/>
      </w:pPr>
      <w:r>
        <w:rPr>
          <w:rFonts w:ascii="IRNazanin" w:hAnsi="IRNazanin" w:eastAsia="IRNazanin"/>
          <w:color w:val="111111"/>
          <w:sz w:val="28"/>
          <w:sz w:val="28"/>
          <w:szCs w:val="28"/>
          <w:rtl w:val="true"/>
          <w:lang w:bidi="fa-IR"/>
        </w:rPr>
        <w:t>الناس، شهادة أن لا إله إلّا الله، وأنّ محمّداً رسول الله صلی الله علیه و آله، وإقامة الصلاة، وإیتاء الزکاة، وحجّ البیت، وصیام شهر رمضان</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شهادة أن لا إله إلّاالله، والتصدیق برسول الله صلی الله علیه و آله، وبه حقنت الدماء، وعلیه جرت المناکح والمواریث، وعلیه جماعة الناس</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الأحادیث الشریفة والمواقف الواضحة من قِبل أهل البیت علیهم السلام تکشف بوضوح عن الموقف الحریص لأئمّة أهل البیت علیهم السلام علی وحدة المسلمین، واجتماع 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نفس الخطّ سار مراجع الدین الکبار من أتباع أهل البیت علیهم السلام من أجل تحقیق الوحدة والتعایش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إلّاأنّ الشیء الذی یسترعی الالتفات هو وجود بعض القواعد المهمّة، سواء فی المجال الفقهیّ أم العقائدی، لم یتعرّض لها ولم تؤخذ بنظر الاعتبار، مع أنّ لهذه القواعد دور کبیر فی رسم المعالم المهمّة فی منظومة التعایش بین المذاهب الإسلامیّة، بل بین الأدیان جمیعاً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بادر سماحة الاستاذ المدقّق الشیخ آیة الله محمّد السند حفظه الله تعالی فی محاولة لتقویم هذه المسیرة، فکانت بادرة موفّقة أشار فیها سماحة الشیخ حفظه الله تعالی إلی عدد من القواعد المهمّة التی تمثّل القاعدة التحتیّة التی ینهض علیها نظام التعایش والوحدة بین المسلمین، والتی ینبغی</w:t>
      </w:r>
      <w:bookmarkStart w:id="176" w:name="pg13703_133733"/>
    </w:p>
    <w:p>
      <w:pPr>
        <w:pStyle w:val="BookText"/>
        <w:rPr/>
      </w:pPr>
      <w:bookmarkEnd w:id="176"/>
      <w:r>
        <w:rPr>
          <w:rFonts w:ascii="IRNazanin" w:hAnsi="IRNazanin" w:eastAsia="IRNazanin"/>
          <w:color w:val="111111"/>
          <w:sz w:val="28"/>
          <w:sz w:val="28"/>
          <w:szCs w:val="28"/>
          <w:rtl w:val="true"/>
          <w:lang w:bidi="fa-IR"/>
        </w:rPr>
        <w:t>مراعاتها وأخذها بعین الاعتبار لکلّ العاملین والمهتمّین والساعین إلی توحید کلمة المسلمین ووحدة 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هذه القواعد مبثوثة فی ثنایا الکتب الکلامیّة والأبواب الفقهیّة، إلّاأنّها لم تتقولب ولم تتأطّر بشکل قواعدی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تنوّعت هذه القواعد إلی قواعد خاصّة بنظام الوحدة، واخری خاصّة بنظام التقریب، وإلی قواعد تتعلّق بنظام الانسجام والتوافقات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 هذا البحث جاء مشفوعاً بإعطاء نقدٍ تحلیلیٍّ والکشف عن بعض الأخطاء ونقاط الضعف التی تعتور هذه المسیرة التی رسم خطوطها العریضة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ینبغی الإشارة إلیه أنّ هذا البحث کان یمثّل تقریراً لعدد من الأبحاث التی تناولها سماحة الشیخ حفظه الله تعالی فی هذا المجال، استجابة لدعوات بعض الإخوة المؤمنین الذین التمسوا من سماحته وبإلحاح علی بیان بعض الملاحظات فی هذا المجال، وقد 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بعونه تعالی وتوفیقه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بتدوینها وترتیبها وإخراجها علی هذا الشکل الماثل بین یدی القارئ الکریم</w:t>
      </w:r>
      <w:r>
        <w:rPr>
          <w:rFonts w:eastAsia="IRNazanin" w:cs="IRNazanin"/>
          <w:color w:val="111111"/>
          <w:sz w:val="28"/>
          <w:szCs w:val="28"/>
          <w:rtl w:val="true"/>
          <w:lang w:bidi="fa-IR"/>
        </w:rPr>
        <w:t>.</w:t>
      </w:r>
    </w:p>
    <w:p>
      <w:pPr>
        <w:pStyle w:val="Heading3"/>
        <w:numPr>
          <w:ilvl w:val="2"/>
          <w:numId w:val="1"/>
        </w:numPr>
        <w:rPr/>
      </w:pPr>
      <w:bookmarkStart w:id="177" w:name="__RefHeading___Toc1101058_1468164448"/>
      <w:bookmarkStart w:id="178" w:name="_Toc65"/>
      <w:bookmarkEnd w:id="177"/>
      <w:r>
        <w:rPr>
          <w:rtl w:val="true"/>
        </w:rPr>
        <w:t>خطّة البحث</w:t>
      </w:r>
      <w:r>
        <w:rPr>
          <w:rtl w:val="true"/>
        </w:rPr>
        <w:t>:</w:t>
      </w:r>
      <w:bookmarkEnd w:id="178"/>
    </w:p>
    <w:p>
      <w:pPr>
        <w:pStyle w:val="BookText"/>
        <w:rPr/>
      </w:pPr>
      <w:r>
        <w:rPr>
          <w:rFonts w:ascii="IRNazanin" w:hAnsi="IRNazanin" w:eastAsia="IRNazanin"/>
          <w:color w:val="111111"/>
          <w:sz w:val="28"/>
          <w:sz w:val="28"/>
          <w:szCs w:val="28"/>
          <w:rtl w:val="true"/>
          <w:lang w:bidi="fa-IR"/>
        </w:rPr>
        <w:t>انطلقت خطّة البحث بتقسیمه إلی فصول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 الفصل الأوّل التعریف بأقسام الوحدة، وبیان القواعد الخاصّة بنظام الوحدة، والأدلّة علیها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الفصل الثانی، فقد اضطلع ببیان نظام التقریب، والحوار والاتّحاد،</w:t>
      </w:r>
      <w:bookmarkStart w:id="179" w:name="pg13703_133734"/>
    </w:p>
    <w:p>
      <w:pPr>
        <w:pStyle w:val="BookText"/>
        <w:rPr/>
      </w:pPr>
      <w:bookmarkEnd w:id="179"/>
      <w:r>
        <w:rPr>
          <w:rFonts w:ascii="IRNazanin" w:hAnsi="IRNazanin" w:eastAsia="IRNazanin"/>
          <w:color w:val="111111"/>
          <w:sz w:val="28"/>
          <w:sz w:val="28"/>
          <w:szCs w:val="28"/>
          <w:rtl w:val="true"/>
          <w:lang w:bidi="fa-IR"/>
        </w:rPr>
        <w:t>والتعرّض لأهمّ أهداف التقریب، مع بیان أهمّ القواعد الخاصّة فی نظام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کرّس الفصل الثالث فی البحث عن نظام التنسیق والتوافقات الوقتیّة وغایاته، وامتیازه عن نظام الوحدة ونظام التقریب، مع بیان القواعد الخاصّة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أتضرّع إلی الله تعالی أن یتقبّل منّی هذا الیسیر، وأن یجعله عملًا صالحاً تقرّ به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أسأله تعالی أن یرفع أجر هذا العمل إلی سیّدنا ومولانا أمیر المؤمنین وسیّد الموحّدین الإمام علیّ بن أبی طالب علیه السلام</w:t>
      </w:r>
      <w:r>
        <w:rPr>
          <w:rFonts w:eastAsia="IRNazanin" w:cs="IRNazanin"/>
          <w:color w:val="111111"/>
          <w:sz w:val="28"/>
          <w:szCs w:val="28"/>
          <w:rtl w:val="true"/>
          <w:lang w:bidi="fa-IR"/>
        </w:rPr>
        <w:t>.</w:t>
      </w:r>
    </w:p>
    <w:p>
      <w:pPr>
        <w:pStyle w:val="Heading3"/>
        <w:numPr>
          <w:ilvl w:val="2"/>
          <w:numId w:val="1"/>
        </w:numPr>
        <w:rPr/>
      </w:pPr>
      <w:bookmarkStart w:id="180" w:name="__RefHeading___Toc1101060_1468164448"/>
      <w:bookmarkStart w:id="181" w:name="_Toc66"/>
      <w:bookmarkEnd w:id="180"/>
      <w:r>
        <w:rPr>
          <w:rtl w:val="true"/>
        </w:rPr>
        <w:t>تمهید</w:t>
      </w:r>
      <w:r>
        <w:rPr>
          <w:rtl w:val="true"/>
        </w:rPr>
        <w:t>:</w:t>
      </w:r>
      <w:bookmarkEnd w:id="181"/>
    </w:p>
    <w:p>
      <w:pPr>
        <w:pStyle w:val="Heading3"/>
        <w:numPr>
          <w:ilvl w:val="2"/>
          <w:numId w:val="1"/>
        </w:numPr>
        <w:rPr/>
      </w:pPr>
      <w:bookmarkStart w:id="182" w:name="__RefHeading___Toc1101062_1468164448"/>
      <w:bookmarkStart w:id="183" w:name="_Toc67"/>
      <w:bookmarkEnd w:id="182"/>
      <w:r>
        <w:rPr>
          <w:rtl w:val="true"/>
        </w:rPr>
        <w:t>النظم القرآنیّة فی نبذ الفرقة والتنازع</w:t>
      </w:r>
      <w:r>
        <w:rPr>
          <w:rtl w:val="true"/>
        </w:rPr>
        <w:t>:</w:t>
      </w:r>
      <w:bookmarkEnd w:id="183"/>
    </w:p>
    <w:p>
      <w:pPr>
        <w:pStyle w:val="BookText"/>
        <w:rPr/>
      </w:pPr>
      <w:r>
        <w:rPr>
          <w:rFonts w:ascii="IRNazanin" w:hAnsi="IRNazanin" w:eastAsia="IRNazanin"/>
          <w:color w:val="111111"/>
          <w:sz w:val="28"/>
          <w:sz w:val="28"/>
          <w:szCs w:val="28"/>
          <w:rtl w:val="true"/>
          <w:lang w:bidi="fa-IR"/>
        </w:rPr>
        <w:t>بادی ذی بدء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طرح ثلاثة نظم تؤمّن فی حدّها الأدنی مسألة تجنّب ونبذ الفرقة والتنازع بین المسلمین، بل بین أتباع الدیانات السماویّة، وکذا بین مطلق المذاهب والنِّحل فی المجتمعات البشریّة، وهذه الأنظمة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الوحدة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التقریب والحوار والاتّحاد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التنسیق والانسجام والتوافقات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نلج فی إعطاء لمحة تصوّریّة لکلّ من هذه الأنظمة</w:t>
      </w:r>
      <w:r>
        <w:rPr>
          <w:rFonts w:eastAsia="IRNazanin" w:cs="IRNazanin"/>
          <w:color w:val="111111"/>
          <w:sz w:val="28"/>
          <w:szCs w:val="28"/>
          <w:rtl w:val="true"/>
          <w:lang w:bidi="fa-IR"/>
        </w:rPr>
        <w:t>.</w:t>
      </w:r>
      <w:bookmarkStart w:id="184" w:name="pg13703_133735"/>
    </w:p>
    <w:p>
      <w:pPr>
        <w:pStyle w:val="Heading3"/>
        <w:numPr>
          <w:ilvl w:val="2"/>
          <w:numId w:val="1"/>
        </w:numPr>
        <w:rPr/>
      </w:pPr>
      <w:bookmarkStart w:id="185" w:name="__RefHeading___Toc1101064_1468164448"/>
      <w:bookmarkStart w:id="186" w:name="_Toc68"/>
      <w:bookmarkEnd w:id="184"/>
      <w:bookmarkEnd w:id="185"/>
      <w:r>
        <w:rPr>
          <w:rtl w:val="true"/>
        </w:rPr>
        <w:t>الفصل الأول</w:t>
      </w:r>
      <w:r>
        <w:rPr>
          <w:rtl w:val="true"/>
        </w:rPr>
        <w:t xml:space="preserve">: </w:t>
      </w:r>
      <w:r>
        <w:rPr>
          <w:rtl w:val="true"/>
        </w:rPr>
        <w:t>نظام الوحدة</w:t>
      </w:r>
      <w:bookmarkEnd w:id="186"/>
    </w:p>
    <w:p>
      <w:pPr>
        <w:pStyle w:val="Heading4"/>
        <w:numPr>
          <w:ilvl w:val="3"/>
          <w:numId w:val="1"/>
        </w:numPr>
        <w:rPr/>
      </w:pPr>
      <w:bookmarkStart w:id="187" w:name="__RefHeading___Toc1101066_1468164448"/>
      <w:bookmarkStart w:id="188" w:name="_Toc69"/>
      <w:bookmarkEnd w:id="187"/>
      <w:r>
        <w:rPr>
          <w:rtl w:val="true"/>
        </w:rPr>
        <w:t>تعریف الوحدة</w:t>
      </w:r>
      <w:r>
        <w:rPr>
          <w:rtl w:val="true"/>
        </w:rPr>
        <w:t>:</w:t>
      </w:r>
      <w:bookmarkEnd w:id="188"/>
    </w:p>
    <w:p>
      <w:pPr>
        <w:pStyle w:val="BookText"/>
        <w:rPr/>
      </w:pP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الاصول المشترکة، سواء کانت فی المسائل العقدیّة أم فی الاسس التشریعیّة، وقد تعرف بأنّها نظام مبادئ ومنطلقات واسس</w:t>
      </w:r>
      <w:r>
        <w:rPr>
          <w:rFonts w:eastAsia="IRNazanin" w:cs="IRNazanin"/>
          <w:color w:val="111111"/>
          <w:sz w:val="28"/>
          <w:szCs w:val="28"/>
          <w:rtl w:val="true"/>
          <w:lang w:bidi="fa-IR"/>
        </w:rPr>
        <w:t>.</w:t>
      </w:r>
    </w:p>
    <w:p>
      <w:pPr>
        <w:pStyle w:val="Heading4"/>
        <w:numPr>
          <w:ilvl w:val="3"/>
          <w:numId w:val="1"/>
        </w:numPr>
        <w:rPr/>
      </w:pPr>
      <w:bookmarkStart w:id="189" w:name="__RefHeading___Toc1101068_1468164448"/>
      <w:bookmarkStart w:id="190" w:name="_Toc70"/>
      <w:bookmarkEnd w:id="189"/>
      <w:r>
        <w:rPr>
          <w:rtl w:val="true"/>
        </w:rPr>
        <w:t>أقسام الوحدة</w:t>
      </w:r>
      <w:r>
        <w:rPr>
          <w:rtl w:val="true"/>
        </w:rPr>
        <w:t>:</w:t>
      </w:r>
      <w:bookmarkEnd w:id="190"/>
    </w:p>
    <w:p>
      <w:pPr>
        <w:pStyle w:val="BookText"/>
        <w:rPr/>
      </w:pPr>
      <w:r>
        <w:rPr>
          <w:rFonts w:ascii="IRNazanin" w:hAnsi="IRNazanin" w:eastAsia="IRNazanin"/>
          <w:color w:val="111111"/>
          <w:sz w:val="28"/>
          <w:sz w:val="28"/>
          <w:szCs w:val="28"/>
          <w:rtl w:val="true"/>
          <w:lang w:bidi="fa-IR"/>
        </w:rPr>
        <w:t>تقسّم الوحدة إلی عدّة أقسام،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الوحدة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عبارة عن الاصول المشترکة المتوفّرة بالفعل بین المذاهب الإسلامیّة، أو بین أتباع الدیانات، أو بین المدارس البشریّة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الوحدة المنظورة 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الوحدة التی یتطلّع إلیها فی دائرة أوسع من الاصول المشترکة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الوحدة فی نِحلة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ما یبحث فیها عن اصول مشترکة فی الملّة والنِّحلة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الوحدة الأدیانیّة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الاصول المشترکة بین أتباع الدیانات السماویّة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الوحدة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الاصول الفطریّة المشترکة بین المدارس البشریّة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الوحدة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الوحدة التی تنطبق علی نظام التنسیق والانسجام والتوافقات،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الأساسیّة فی بناء نظام الوحدة</w:t>
      </w:r>
    </w:p>
    <w:p>
      <w:pPr>
        <w:pStyle w:val="BookText"/>
        <w:rPr/>
      </w:pPr>
      <w:r>
        <w:rPr>
          <w:rFonts w:ascii="IRNazanin" w:hAnsi="IRNazanin" w:eastAsia="IRNazanin"/>
          <w:color w:val="111111"/>
          <w:sz w:val="28"/>
          <w:sz w:val="28"/>
          <w:szCs w:val="28"/>
          <w:rtl w:val="true"/>
          <w:lang w:bidi="fa-IR"/>
        </w:rPr>
        <w:t>هنالک عدد من القواعد الأساسیّة المهمّة والمؤثّرة علی صعید نظام الوحدة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البحث والتنقیب فی التاریخ الإسلامیّ</w:t>
      </w:r>
    </w:p>
    <w:p>
      <w:pPr>
        <w:pStyle w:val="BookText"/>
        <w:rPr/>
      </w:pPr>
      <w:r>
        <w:rPr>
          <w:rFonts w:ascii="IRNazanin" w:hAnsi="IRNazanin" w:eastAsia="IRNazanin"/>
          <w:color w:val="111111"/>
          <w:sz w:val="28"/>
          <w:sz w:val="28"/>
          <w:szCs w:val="28"/>
          <w:rtl w:val="true"/>
          <w:lang w:bidi="fa-IR"/>
        </w:rPr>
        <w:t>الأدلّة علی القاعدة</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التاریخ جزء لا یتجزّأ عن عقیدة الإنسان</w:t>
      </w:r>
    </w:p>
    <w:p>
      <w:pPr>
        <w:pStyle w:val="BookText"/>
        <w:rPr/>
      </w:pPr>
      <w:r>
        <w:rPr>
          <w:rFonts w:ascii="IRNazanin" w:hAnsi="IRNazanin" w:eastAsia="IRNazanin"/>
          <w:color w:val="111111"/>
          <w:sz w:val="28"/>
          <w:sz w:val="28"/>
          <w:szCs w:val="28"/>
          <w:rtl w:val="true"/>
          <w:lang w:bidi="fa-IR"/>
        </w:rPr>
        <w:t>من المعلوم أنّ دراسة تاریخ الأدیان والمذاهب وتاریخ رعاتها وحماتها، بات طریقاً فطریّاً؛ لأجل الوقوف علی صحّة وحقّانیّة وسداد ذلک الدین أو المذهب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نجد أنّ القرآن الکریم یعدّ سیرة النبیّ صلی الله علیه و آله أحد الدلائل علی</w:t>
      </w:r>
    </w:p>
    <w:p>
      <w:pPr>
        <w:pStyle w:val="BookText"/>
        <w:rPr/>
      </w:pPr>
      <w:r>
        <w:rPr>
          <w:rFonts w:ascii="Amiri" w:hAnsi="Amiri" w:eastAsia="Amiri" w:cs="Amiri"/>
          <w:color w:val="111111"/>
          <w:sz w:val="28"/>
          <w:sz w:val="28"/>
          <w:szCs w:val="28"/>
          <w:rtl w:val="true"/>
          <w:lang w:bidi="ar-SA"/>
        </w:rPr>
        <w:t>صدق وحقّانیّة دعوته،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شاءَ اللّهُ ما تَلَوْتُهُ عَلَیْکُمْ وَ لا أَدْراکُمْ بِهِ فَقَدْ لَبِثْتُ فِیکُمْ عُمُراً مِنْ قَبْلِهِ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یقول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یحکیه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عشت معکم هذا العمر الطویل واطّلعتم علی سیرتی، فهل عرفتمونی بالکذب یوماً، أم هل ادّعیت یوماً بشیء من نفسی، وهل ما جئت به من کلام معجز هو من نفسی وأنا علی ما تعرفون من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وهکذا الأمر بالنسبة لرعاة المذاهب الإسلامیّة، سواء العقائدیّة أم الفقهیّة، فانّ دراسة تاریخهم وأحوالهم وسیرتهم تجاه الإسلام والحقّ، تعطی رؤیة واضحة للناقد والباحث تساهم فی تحدید موقفه تجاه منهجهم ومدی درجة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تتّضح أهمّیّة البحث والتنقیب عن تاریخ صدر الإسلام، وما جری فیه من الأحداث؛ لأنّ الجیل الأوّل من الإسلام أصبح کلّ واحد منهم رائداً وقائداً لمناهج وتوجّهات عقائدیّة متعدّدة، فلأجل التمییز والوقوف علی أحقّیّة تلک المناهج؛ لا بدّ من دراسة تاریخ ومواقف کلّ واحد من هؤلاء لیتسنّی للمسلم أن یبنی عقیدته علی أساس البصیرة والدلائل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منهج البحث والتنقیب فی التاریخ منهج فطریّ وتربویّ أکّد علیه القرآن الکریم فی مواضع متعدّدة، کما نلمس ذلک فیما یشیر إلیه القرآن الکریم فی استعراضه للأحداث التی جرت فی صدر</w:t>
      </w:r>
    </w:p>
    <w:p>
      <w:pPr>
        <w:pStyle w:val="BookText"/>
        <w:rPr/>
      </w:pPr>
      <w:r>
        <w:rPr>
          <w:rFonts w:ascii="IRNazanin" w:hAnsi="IRNazanin" w:eastAsia="IRNazanin"/>
          <w:color w:val="111111"/>
          <w:sz w:val="28"/>
          <w:sz w:val="28"/>
          <w:szCs w:val="28"/>
          <w:rtl w:val="true"/>
          <w:lang w:bidi="fa-IR"/>
        </w:rPr>
        <w:t>الإسلام بشکل مفصّل ودقیق، کما نلاحظ ذلک فی حدیثه عن أحوال المسلمین الذین شارکوا فی معرکة بدر فی سورة الأنفال، وفی معرکة احُد فی سورة آل عمران، وکذلک حدیثه عن أحوال المسلمین فی غزوة حنین فی سورة البراءة، وفی معرکة الخندق فی سورة الأحزاب،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منهج تربویّ یوصی القرآن الکریم به المسلمین؛ لأجل أن یتقیّدوا بمنهج البحث التاریخی والتنقیب عمّن یؤخذ منه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عدد وافر من الروایات النبویّة الشریفة تؤکّد علی هذا المضمون، وترشد إلی ضرورة البحث عن مواقف الأصحاب والتمیز بین المواقف وتمییز من نکص مقابل من ثبت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فکیف یتسنّی للباحث عن الحقّ والحقیقة، التعرّف علی حقیقة دینه ومذهبه من دون الوقوف علی تاریخ ذلک الدین أو المذهب؟ وما هی جذور ومناشئ صیرورته وولادته؟</w:t>
      </w:r>
    </w:p>
    <w:p>
      <w:pPr>
        <w:pStyle w:val="BookText"/>
        <w:rPr/>
      </w:pPr>
      <w:r>
        <w:rPr>
          <w:rFonts w:ascii="IRNazanin" w:hAnsi="IRNazanin" w:eastAsia="IRNazanin"/>
          <w:color w:val="111111"/>
          <w:sz w:val="28"/>
          <w:sz w:val="28"/>
          <w:szCs w:val="28"/>
          <w:rtl w:val="true"/>
          <w:lang w:bidi="fa-IR"/>
        </w:rPr>
        <w:t>وکیف یصدّق ویوثّق حَمَلة التراث ویأمنهم علی دینهم، وهو لا یعرف حالهم ولا سیرتهم ولا مواقفهم ومسالکهم؟</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عمل قوم اشرک معهم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الرسول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عمل قوم اشرک معهم، ومن أحبّ حجراً حُشر معه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وقد وردت هذه الروایات بألفاظ متعدّدة</w:t>
      </w:r>
    </w:p>
    <w:p>
      <w:pPr>
        <w:pStyle w:val="BookText"/>
        <w:rPr/>
      </w:pPr>
      <w:r>
        <w:rPr>
          <w:rFonts w:ascii="IRNazanin" w:hAnsi="IRNazanin" w:eastAsia="IRNazanin"/>
          <w:color w:val="111111"/>
          <w:sz w:val="28"/>
          <w:sz w:val="28"/>
          <w:szCs w:val="28"/>
          <w:rtl w:val="true"/>
          <w:lang w:bidi="fa-IR"/>
        </w:rPr>
        <w:t>وبطرق مستفیضة فی مصادر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الحدیث الشریف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عمل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لکلّ قوم وإن لم یکونوا من المعاصرین لذلک العمل أو الفعل</w:t>
      </w:r>
    </w:p>
    <w:p>
      <w:pPr>
        <w:pStyle w:val="BookText"/>
        <w:rPr/>
      </w:pPr>
      <w:r>
        <w:rPr>
          <w:rFonts w:ascii="IRNazanin" w:hAnsi="IRNazanin" w:eastAsia="IRNazanin"/>
          <w:color w:val="111111"/>
          <w:sz w:val="28"/>
          <w:sz w:val="28"/>
          <w:szCs w:val="28"/>
          <w:rtl w:val="true"/>
          <w:lang w:bidi="fa-IR"/>
        </w:rPr>
        <w:t>الذی قام به جماعة أو فرد، ویمتدّ هذا الشمول إلی أعماق التاریخ منذ صدر البشریّة، بل یتّسع لما سیأتی من امم وأقوام لاحقة أنبأ القرأن الکریم عن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قاعدة مهمّة وشریفة تؤکّد علی أنّ الإنسان مسؤول عن میوله النفسیّة وهواه وموقفه الفکریّ والثقافی تجاه الامم السابقة واللاحقة، وأنّ تضامنه معه، أو قطیعته لهم، هو فعل من أفعاله وأعماله التی تقع فی دائرة مسؤولیّته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فالتضامن هو الالتقاء فی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خلاف القطیعة، فإنّها تمثّل جانب التباین فی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معنی التولّی والتبرّی أو الولاء والبراءة، الذی یمثّل عنصراً تربویّاً بالغ الأهمیّة والتأثیر فی النفس الإنسانیّة تجاه الفئات والنماذج البشریّة المختلفة، سواء کانت فی الماضی أو الحاضر أو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جانب المحبّة یضفی بتأثیره علی الإنسان وعلی صیاغة فکره ومنهجه وسیرته؛ لأنّه یعتمد علی نهج وفکر من والاه وأحبّه ومال إلیه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یتّضح أنّ باب المحبّة، باب بالغ الأهمیّة، لأنّه یفتح للإنسان من صحائف الأعمال ما یتجاوز حدود عمره القصیر إلی مساحات زمنیّة</w:t>
      </w:r>
    </w:p>
    <w:p>
      <w:pPr>
        <w:pStyle w:val="BookText"/>
        <w:rPr/>
      </w:pPr>
      <w:r>
        <w:rPr>
          <w:rFonts w:ascii="IRNazanin" w:hAnsi="IRNazanin" w:eastAsia="IRNazanin"/>
          <w:color w:val="111111"/>
          <w:sz w:val="28"/>
          <w:sz w:val="28"/>
          <w:szCs w:val="28"/>
          <w:rtl w:val="true"/>
          <w:lang w:bidi="fa-IR"/>
        </w:rPr>
        <w:t>شاسعة، ولذا یثاب بثوابهم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فلسفة بقاء المناهج والأفکار الماضیة قائمة علی أساس المحبّة والولاء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فالقاعدة الشریفة التی أکّدتها الروایات المتظافرة، فیها بشارة من جهة، وإنذار وتحذیر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بشارة وحثّ علی محبّة الصالحین، وتحذیر وإنذار من محبّة الطالحین والضالّین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المنهج القرآنی لا یرمی إلی التربیة علی الأحقاد والکراهیة، ولا یهدف إلی إشعال ضغینة أو سخیمة، بل فلسفته هی أن یتربّی الإنسان علی کیفیّة التمییز بین الموقف الصحیح؛ لیتبنّاه، وبین الموقف الفاسد لینبذه، من خلال اطّلاعه علی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الضوء تتّضح ضرورة البحث والتنقیب عن التاریخ الإسلامیّ، لیتبیّن للمسلم مواقف وأعمال الأقوام والجماعات، لکی یتحمّل مسؤولیّة موقفه إزاء هؤلاء، من محبّة وتضامن، وولاء أو کراهة، وقطیعة أو براءة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أمیر المؤمنین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یجمع الناس الرضا والسخط، وإنّما عقر ناقة ثمود رجل واحد، فعمّم الله بالعذاب لما عمّوه بالرضا،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نادِمِینَ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جاءَکُمْ رُسُلٌ مِنْ قَبْلِی بِالْبَیِّناتِ وَ بِالَّذِی قُلْتُمْ فَلِمَ قَتَلْتُمُوهُمْ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أنّ هؤلاء لم یقتلوا، ولکن کان هواهم مع الذین قتلوا، فسمّاهم الله قاتلین لمتابعة هواهم ورضاهم لذلک الفعل</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المرتبة الاولی من قاعدة الأمر بالمعروف والنهی عن المنکر هی المیل والمحبّة للمعروف وإنکار المنکر فی وعاء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هذا تتّضح أهمّیّة وضرورة البحث فی التاریخ الإسلامی، وذلک أنّ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یتّخذ موقفاً من المعروف والمنکر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یطّلع علی العمل، فإن کان عدلًا، فهو معروف یجب علی کلّ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قاعدة الأمر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یحبّه بقلبه ویأمر الآخرین بالأخذ به، وما کان ظلماً وجوراً یجب علی الإنسان إنکاره قلباً وینهی عن الإتیان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الأمر بالمعروف والنهی عن المنکر لها مراتب متعدّدة، ابتداءً من مرتبة القلب، ثمّ مرتبة اللسان، ثمّ مرتبة الید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مرتبة القلب لا تختصّ بأعمال وأفعال الأحیاء، وإنّما تعمّ کلّ مساحات التاریخ، وتشمل امتدادات المستقبل، وهذا من بدائع</w:t>
      </w:r>
      <w:bookmarkStart w:id="191" w:name="pg13703_133742"/>
    </w:p>
    <w:p>
      <w:pPr>
        <w:pStyle w:val="BookText"/>
        <w:rPr/>
      </w:pPr>
      <w:bookmarkEnd w:id="191"/>
      <w:r>
        <w:rPr>
          <w:rFonts w:ascii="IRNazanin" w:hAnsi="IRNazanin" w:eastAsia="IRNazanin"/>
          <w:color w:val="111111"/>
          <w:sz w:val="28"/>
          <w:sz w:val="28"/>
          <w:szCs w:val="28"/>
          <w:rtl w:val="true"/>
          <w:lang w:bidi="fa-IR"/>
        </w:rPr>
        <w:t>التشریع الإسلامی؛ لأنّ الإنسان فی مرتبة روحه وقلبه یشرف علی الدهور والأزمنة الغابرة واللاحقة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ینبغی تمییز المعروف والمنکر فی المواقف والأعمال فی صدر الإسلام؛ لکی یقوم المسلم بأداء وظیفة الأمر بالمعروف والنهی عن المنکر، التی هی من أعظم فرائض الله تعالی حیث تقام بها بقیّة الفرائض</w:t>
      </w:r>
      <w:r>
        <w:rPr>
          <w:rFonts w:eastAsia="IRNazanin" w:cs="IRNazanin"/>
          <w:color w:val="111111"/>
          <w:sz w:val="28"/>
          <w:szCs w:val="28"/>
          <w:rtl w:val="true"/>
          <w:lang w:bidi="fa-IR"/>
        </w:rPr>
        <w:t>.</w:t>
      </w:r>
    </w:p>
    <w:p>
      <w:pPr>
        <w:pStyle w:val="Heading4"/>
        <w:numPr>
          <w:ilvl w:val="3"/>
          <w:numId w:val="1"/>
        </w:numPr>
        <w:rPr/>
      </w:pPr>
      <w:bookmarkStart w:id="192" w:name="__RefHeading___Toc1101070_1468164448"/>
      <w:bookmarkStart w:id="193" w:name="_Toc71"/>
      <w:bookmarkEnd w:id="192"/>
      <w:r>
        <w:rPr>
          <w:rtl w:val="true"/>
        </w:rPr>
        <w:t>دلیل مانعی البحث فی التاریخ الإسلامی</w:t>
      </w:r>
      <w:r>
        <w:rPr>
          <w:rtl w:val="true"/>
        </w:rPr>
        <w:t>:</w:t>
      </w:r>
      <w:bookmarkEnd w:id="193"/>
    </w:p>
    <w:p>
      <w:pPr>
        <w:pStyle w:val="BookText"/>
        <w:rPr/>
      </w:pPr>
      <w:r>
        <w:rPr>
          <w:rFonts w:ascii="Amiri" w:hAnsi="Amiri" w:eastAsia="Amiri" w:cs="Amiri"/>
          <w:color w:val="111111"/>
          <w:sz w:val="28"/>
          <w:sz w:val="28"/>
          <w:szCs w:val="28"/>
          <w:rtl w:val="true"/>
          <w:lang w:bidi="ar-SA"/>
        </w:rPr>
        <w:t>من الذرائع التی تمسّک بها مانعو البحث فی التاریخ الإسلامی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أُمَّةٌ قَدْ خَلَتْ لَها ما کَسَبَتْ وَ لَکُمْ ما کَسَبْتُمْ وَ لا تُسْئَلُونَ عَمّا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أُخْری ثُمَّ إِلی رَبِّکُمْ مَرْجِعُکُمْ فَیُنَبِّئُکُمْ بِما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القرآنیّة ظاهرة فی المنع عن البحث فی تاریخ الامم السالفة، وما جری فیها من أحداث؛ لأنّها قد خلت وانقضت ومضت، وهم یتحمّلون وزر أعمالهم وأفعالهم، ولا یتحمّل من یأتی بعدهم مسؤولیّة ما کانوا یعملون؛ لأنّ الله تعالی هو الذی یقضی بینهم ویحکم علی ما فعلوه، فلا نحاسب نحن علی أعمالهم، ولسنا مطالبین بتقییمها، ولا بتعیین الصائب منها من الخاطئ، ولا الحقّ من الباطل</w:t>
      </w:r>
      <w:r>
        <w:rPr>
          <w:rFonts w:eastAsia="IRNazanin" w:cs="IRNazanin"/>
          <w:color w:val="111111"/>
          <w:sz w:val="28"/>
          <w:szCs w:val="28"/>
          <w:rtl w:val="true"/>
          <w:lang w:bidi="fa-IR"/>
        </w:rPr>
        <w:t>.</w:t>
      </w:r>
      <w:bookmarkStart w:id="194" w:name="pg13703_133743"/>
    </w:p>
    <w:p>
      <w:pPr>
        <w:pStyle w:val="BookText"/>
        <w:rPr/>
      </w:pPr>
      <w:bookmarkEnd w:id="194"/>
      <w:r>
        <w:rPr>
          <w:rFonts w:ascii="IRNazanin" w:hAnsi="IRNazanin" w:eastAsia="IRNazanin"/>
          <w:color w:val="111111"/>
          <w:sz w:val="28"/>
          <w:sz w:val="28"/>
          <w:szCs w:val="28"/>
          <w:rtl w:val="true"/>
          <w:lang w:bidi="fa-IR"/>
        </w:rPr>
        <w:t>ومن هنا فالآیة توجب غلق باب البحث والتنقیب عمّا حصل فی التاریخ الإسلامی، وما قام به من کان یعیش فی تلک الحقب الزمنیّة، وغیر ذلک من المبرّرات لمنع دراسة التاریخ</w:t>
      </w:r>
      <w:r>
        <w:rPr>
          <w:rFonts w:eastAsia="IRNazanin" w:cs="IRNazanin"/>
          <w:color w:val="111111"/>
          <w:sz w:val="28"/>
          <w:szCs w:val="28"/>
          <w:rtl w:val="true"/>
          <w:lang w:bidi="fa-IR"/>
        </w:rPr>
        <w:t>.</w:t>
      </w:r>
    </w:p>
    <w:p>
      <w:pPr>
        <w:pStyle w:val="Heading4"/>
        <w:numPr>
          <w:ilvl w:val="3"/>
          <w:numId w:val="1"/>
        </w:numPr>
        <w:rPr/>
      </w:pPr>
      <w:bookmarkStart w:id="195" w:name="__RefHeading___Toc1101072_1468164448"/>
      <w:bookmarkStart w:id="196" w:name="_Toc72"/>
      <w:bookmarkEnd w:id="195"/>
      <w:r>
        <w:rPr>
          <w:rtl w:val="true"/>
        </w:rPr>
        <w:t>الجواب علی دلیل المانعین</w:t>
      </w:r>
      <w:r>
        <w:rPr>
          <w:rtl w:val="true"/>
        </w:rPr>
        <w:t>:</w:t>
      </w:r>
      <w:bookmarkEnd w:id="196"/>
    </w:p>
    <w:p>
      <w:pPr>
        <w:pStyle w:val="BookText"/>
        <w:rPr/>
      </w:pPr>
      <w:r>
        <w:rPr>
          <w:rFonts w:ascii="IRNazanin" w:hAnsi="IRNazanin" w:eastAsia="IRNazanin"/>
          <w:color w:val="111111"/>
          <w:sz w:val="28"/>
          <w:sz w:val="28"/>
          <w:szCs w:val="28"/>
          <w:rtl w:val="true"/>
          <w:lang w:bidi="fa-IR"/>
        </w:rPr>
        <w:t>إنّ التأمّل فی الآیة الکریمة یکشف عن أنّها تدلّ علی عکس ما استدلّوا به وما استظهروه منها؛ لأنّ هذه الآیات القرآنیّة فی صدد إبطال التبعیّة والتقلید للُامم السالفة من دون فحص وتحقیق، وهذا ما یکشف عنه سیاق الآیات السابقة لها، حیث کانت فی بیان جدال أهل الکتاب مع النبیّ صلی الله علیه و آله والمسلمین وإصرارهم علی شریعتهم وما علیه أسلافهم واممهم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الجواب القرآنیّ لدحضهم وإبطال مدّعاهم هو التندید بتقلیدهم لأسلافهم من الامم السابقة التی تابعوها من دون فحص وتنقیب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مطالب بالبحث عن الحجّة والتنقیب عن الأدلّة، ولا یسوغ له الاعتماد علی منهاج أسلافه من دون دلیل وحجّة؛ لأنّ ذلک لا ینفعه بل یضرّه فیما إذا خالف 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تشیر إلی أنّ الأجیال اللاحقة ممّن کانوا فی عهد رسول الله صلی الله علیه و آله، یحرم علیهم متابعة من سلف من آباء أهل الکتاب ممّن کان علی ملّة الیهودیّة والنصرانیّة من دون فحص وتدبّر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هذا یتّضح أنّ الآیة المبارکة ظاهرة فی ضرورة التمحیص والتنقیب والوقوف علی اصول المعرفة الحقّة</w:t>
      </w:r>
      <w:r>
        <w:rPr>
          <w:rFonts w:eastAsia="IRNazanin" w:cs="IRNazanin"/>
          <w:color w:val="111111"/>
          <w:sz w:val="28"/>
          <w:szCs w:val="28"/>
          <w:rtl w:val="true"/>
          <w:lang w:bidi="fa-IR"/>
        </w:rPr>
        <w:t>.</w:t>
      </w:r>
      <w:bookmarkStart w:id="197" w:name="pg13703_133744"/>
    </w:p>
    <w:p>
      <w:pPr>
        <w:pStyle w:val="BookText"/>
        <w:rPr/>
      </w:pPr>
      <w:bookmarkEnd w:id="197"/>
      <w:r>
        <w:rPr>
          <w:rFonts w:ascii="IRNazanin" w:hAnsi="IRNazanin" w:eastAsia="IRNazanin"/>
          <w:color w:val="111111"/>
          <w:sz w:val="28"/>
          <w:sz w:val="28"/>
          <w:szCs w:val="28"/>
          <w:rtl w:val="true"/>
          <w:lang w:bidi="fa-IR"/>
        </w:rPr>
        <w:t>إذن فالآیة المبارکة فی مقام نبذ التقلید، ولزوم التحرّی والفحص، فلا یحتجّ بالامّة التی قد خلت، بل یحتجّ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یتّضح بطلان ما ذهب إلیه البعض من دلالة الآیة علی المنع من البحث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البون الواسع بین المعنی الواقعیّ والحقیقیّ الذی ترمی إلیه الآیة المبارکة، وبین المعنی المحرّف الذی ذهب إلیه مانعو البحث عن التاریخ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تُسْئَلُونَ عَمّا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صدد بیان ضرورة ووجوب العمل علی أساس الحجّة والدلیل والبرهان الذی قام 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الحجّة والدلیل الذی اعتمده أسلافکم، وعملوا علی أساسه، فأنتم لستم فی معرض التساؤل والمساءلة عنه، بل أنتم مسؤولون عن الدلیل والحجّة والبرهان الذی تقدّموه أنتم لا دلیل أسلافکم، ولا تُعذرون بالتقلید والاتّباع</w:t>
      </w:r>
      <w:r>
        <w:rPr>
          <w:rFonts w:eastAsia="IRNazanin" w:cs="IRNazanin"/>
          <w:color w:val="111111"/>
          <w:sz w:val="28"/>
          <w:szCs w:val="28"/>
          <w:rtl w:val="true"/>
          <w:lang w:bidi="fa-IR"/>
        </w:rPr>
        <w:t>.</w:t>
      </w:r>
    </w:p>
    <w:p>
      <w:pPr>
        <w:pStyle w:val="Heading4"/>
        <w:numPr>
          <w:ilvl w:val="3"/>
          <w:numId w:val="1"/>
        </w:numPr>
        <w:rPr/>
      </w:pPr>
      <w:bookmarkStart w:id="198" w:name="__RefHeading___Toc1101074_1468164448"/>
      <w:bookmarkStart w:id="199" w:name="_Toc73"/>
      <w:bookmarkEnd w:id="198"/>
      <w:r>
        <w:rPr>
          <w:rtl w:val="true"/>
        </w:rPr>
        <w:t>تداعیات وسلبیّات القول بالمنع</w:t>
      </w:r>
      <w:r>
        <w:rPr>
          <w:rtl w:val="true"/>
        </w:rPr>
        <w:t>:</w:t>
      </w:r>
      <w:bookmarkEnd w:id="19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جملة من التداعیات والآثار السلبیّة لمقولة المنع عن البحث فی التاریخ، التی ترسم للُامم السابقة حصانة عن النقد والفحص والتفتیش والمحاسبة، وتوجب وصف ونعت وتلمیع السابقین بالنعوت الجمیلة، وإضفاء الحجّیّة لهم من دون سبر وغور فی الأدلّة، وهذا ینافی الأدلّة السابقة، مضافاً إلی منافاته لضرورة العقل القاضی بنبذ التقلید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نجد أنّ دیدن القرآن الکریم علی استعراض أحوال الامم السابقة، الصالحة والطالحة، وما جری من شؤونهم واختلافهم منذ عهد آدم، وما جری بین هابیل وقابیل، وما فعله الفراعنة وأصحاب الاخدود، قوم عاد وثمود، ونحوهم من الامم، حیث استقصی القرآن الکریم صفائح وسجلّات أعمالهم وأفعالهم؛ کلّ ذلک لأجل أن یکون عبرة للأجیال اللاحقة، حتّی لا یقعوا مواقع الظالمین وأهل القبائح، وکذلک لأجل التأسّی بأهل الحقّ والصلاح؛ لذا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 ما کانَ حَدِیثاً یُفْتَری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الْقُری نَقُصُّ عَلَیْکَ مِنْ أَنْبائِها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دم المسلم وعِرضه وماله</w:t>
      </w:r>
    </w:p>
    <w:p>
      <w:pPr>
        <w:pStyle w:val="BookText"/>
        <w:rPr/>
      </w:pPr>
      <w:r>
        <w:rPr>
          <w:rFonts w:ascii="IRNazanin" w:hAnsi="IRNazanin" w:eastAsia="IRNazanin"/>
          <w:color w:val="111111"/>
          <w:sz w:val="28"/>
          <w:sz w:val="28"/>
          <w:szCs w:val="28"/>
          <w:rtl w:val="true"/>
          <w:lang w:bidi="fa-IR"/>
        </w:rPr>
        <w:t>وحاصل هذه القاعدة هو أنّ کلّ من تشهّد الشهادتین، کان مسلماً وحقن دمه وعرضه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عدد من الأدلّة القرآنیّة والروائیّة تدلّ علی أنّ مَن تشهّد الشهادتین فقد حقن دمه وعِرضه وماله، ومن هذه الأدلّة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الأدلّة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وَ إِنْ تُطِیعُوا اللّهَ وَ رَسُولَهُ لا یَلِتْکُمْ مِنْ أَعْمالِکُمْ شَیْئاً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وهی واضحة الدلالة علی أنّ الإسلام عبارة عن الإقرار بالشهادتین، وبها تحقن الدماء والأعراض والأموال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الإسلام یختلف عن الإیمان، إذ الإیمان عبارة عن الیقین الثابت فی قلوب المؤمنین، المقارن للإقرار اللّسانیّ بالشهادتین، وبذلک یتّضح أنّ الإیمان أعلی مرتبة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الکلینی عن القاسم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یحقن به الدم، وتؤدّی به الأمانة، وتستعمل به الفروج والثواب علی الإیمان</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الإسلام والإیمان أهما مختلفان؟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یشارک الإسلام، والإسلام لا یشارک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شهادة أن لا إله إلّاالله، والتصدیق برسول الله صلی الله علیه و آله، وبه</w:t>
      </w:r>
    </w:p>
    <w:p>
      <w:pPr>
        <w:pStyle w:val="BookText"/>
        <w:rPr/>
      </w:pPr>
      <w:r>
        <w:rPr>
          <w:rFonts w:ascii="IRNazanin" w:hAnsi="IRNazanin" w:eastAsia="IRNazanin"/>
          <w:color w:val="111111"/>
          <w:sz w:val="28"/>
          <w:sz w:val="28"/>
          <w:szCs w:val="28"/>
          <w:rtl w:val="true"/>
          <w:lang w:bidi="fa-IR"/>
        </w:rPr>
        <w:t>حقنت الدماء، وعلیه جرت المناکح والمواریث، وعلی ظاهره جماعة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وما یثبت فی القلوب من صفة الإسلام، وما ظهر من العمل به، والإیمان أرفع من الإسلام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یشارک الإسلام فی الظاهر، والإسلام لا یشارک الإیمان فی الباطن وإن اجتمعا فی القول والصفة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الفیض الکاشانی فی تفسیر الصافی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تصدیق مع ثقة وطمأنینة قلب، ولم یحصل لکم، ولکن قولوا أسلمنا، فإنّ الإسلام انقیاد، ودخول فی السلم، وإظهار الشهادة، وترک المحاربة یشعر به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الآیة المبارکة آنفة الذکر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التصدیق مع الثقة وطمأنینة النفس،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الدخول فی السلم، والخروج من أن یکون حرباً للمؤمنین بإظهار الشهادتین، ألا تری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یَدْخُلِ الْإِیمانُ فِی قُلُوبِکُمْ، فاعلم أنّ ما یکون من الإقرار باللسان من غیر مواطأة القلب فهو إسلام، وما واطأ فیه القلب اللسان فهو إیمان</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القرطبی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وحقیقة الإیمان التصدیق بالقلب، وأمّا الإسلام فقبول ما أتی به النبیّ صلی الله علیه و آله فی الظاهر، وذلک یحقن الدم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وبنفس المضمون 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للقسطلانی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p>
    <w:p>
      <w:pPr>
        <w:pStyle w:val="BookText"/>
        <w:rPr/>
      </w:pPr>
      <w:r>
        <w:rPr>
          <w:rFonts w:ascii="IRNazanin" w:hAnsi="IRNazanin" w:eastAsia="IRNazanin"/>
          <w:color w:val="111111"/>
          <w:sz w:val="28"/>
          <w:sz w:val="28"/>
          <w:szCs w:val="28"/>
          <w:rtl w:val="true"/>
          <w:lang w:bidi="fa-IR"/>
        </w:rPr>
        <w:t>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للصابونی</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کثیر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استفید من هذه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الإیمان أخصّ من الإسلام، کما هو مذهب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 هذا علی أنّ هؤلاء الأعراب المذکورین فی هذه الآیة لیسوا بمنافقین؛ وإنّما هم مسلمون لم یستحکم الإیمان فی قلوبهم، فادّعوا لأنفسهم مقاماً أعلی ممّا وصلوا إلیه، فادِّبوا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کانوا منافقین لعنّفوا وفضحوا، کما ذُکر المنافقون فی سورة براءة؛ وإنّما قیل لهؤلاء تأدیباً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 تُؤْمِنُوا وَ لکِنْ قُولُوا أَسْلَمْنا وَ لَمّا یَدْخُلِ الْإِیمانُ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تصلوا إلی حقیقة الإیمان بعد</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الطبری فی تفسیره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دخلنا فی الملّة والأموال والشهادة الحقّ</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البیضاوی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انقیاد ودخول فی السلم، وإظهار الشهادتین، وترک المحاربة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أَلْقی إِلَیْکُمُ السَّلامَ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نزلت هذه الآیة المبارکة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من الکفّار أظهر</w:t>
      </w:r>
    </w:p>
    <w:p>
      <w:pPr>
        <w:pStyle w:val="BookText"/>
        <w:rPr/>
      </w:pPr>
      <w:r>
        <w:rPr>
          <w:rFonts w:ascii="IRNazanin" w:hAnsi="IRNazanin" w:eastAsia="IRNazanin"/>
          <w:color w:val="111111"/>
          <w:sz w:val="28"/>
          <w:sz w:val="28"/>
          <w:szCs w:val="28"/>
          <w:rtl w:val="true"/>
          <w:lang w:bidi="fa-IR"/>
        </w:rPr>
        <w:t>الإسلام عندما غشیتهم خیول المسلمین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یستفاد من الآیة المبارکة أنّ من أظهر الإسلام، یحقن دمه ویکون مسلماً لا یجوز قتله، وإن لم یعلم منه الإیمان القلبیّ، فإنّ الله تعالی هو الذی یتولّی السرائر، فلا یجوز أن یقتل بحجّة أنّه لیس مؤمناً، أو لا یعلم الإیمان من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قال رسول الله صلی الله علیه و آله لقاتله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اعتذر بأنّه نطق بالشهادتین خوفاً من السلاح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شققت عن قلبه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أی‌لا یلزم من دخوله الإسلام لیحقن الدم والمال أن یکون مؤمناً، بل بمجرّد تشهّده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هناک عدد وافر من روایات الفریقین تدلّ علی هذه القاعدة، 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طرق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حمران بن أعین،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ما ظهر من قول أو فعل، وهو الذی علیه جماعة الناس من الفرق کلّها، وبه حقنت الدماء، وعلیه جرت المواریث، وجاز النکاح</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سفیان بن السمط،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الظاهر الذی علیه الناس، شهادة أن لا إله إلّاالله، وأنّ محمّداً رسول الله صلی الله علیه و آله،</w:t>
      </w:r>
    </w:p>
    <w:p>
      <w:pPr>
        <w:pStyle w:val="BookText"/>
        <w:rPr/>
      </w:pPr>
      <w:r>
        <w:rPr>
          <w:rFonts w:ascii="IRNazanin" w:hAnsi="IRNazanin" w:eastAsia="IRNazanin"/>
          <w:color w:val="111111"/>
          <w:sz w:val="28"/>
          <w:sz w:val="28"/>
          <w:szCs w:val="28"/>
          <w:rtl w:val="true"/>
          <w:lang w:bidi="fa-IR"/>
        </w:rPr>
        <w:t>وإقام الصلاة، وأداء الزکاة، وحجّ البیت، وصیام شهر رمضان،</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شهادة أن لا إله إلّا الله، والتصدیق برسول الله صلی الله علیه و آله، به حقنت الدماء، وعلیه جرت المناکح والمواریث، وعلی ظاهره جماعة من الناس</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أبی عبدالله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امرت أن اقاتلکم حتّی تشهدوا أن لا إله إلّاالله، وأنّی محمّد رسول الله، فإذا فعلتم ذلک حقنتم أموالکم ودماءکم إلّا بحقّها، وکان حسابکم علی الله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جوابه لشخص سأله عن الإیمان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ما کان فی القلب، والإسلام ما کان علیه المناکح والمواریث، وتحقن به الدماء، والإیمان یشرک الإسلام، والإسلام لا یشرک الإیمان</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استقبل قبلتنا، وأحلّ ذبیحتنا، وآمن بنبیّنا، وشهد شهادتنا، دخل فی دیننا، أجرینا علیه حکم القرآن وحدود الإسلام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من الروایات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طرق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مسلم فی صحیحه عن أبی شیبة،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رسول الله صلی الله علیه و آله فی سریّة فصبّحنا الحرقات من جهینة، فأدرکت رجلًا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إلّاالله، فطعنته، فوقع فی نفسی من ذلک، فذکرته للنبیّ صلی الله علیه و آله،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لا إله إلّاالله وقتلته؟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إنّما قالها خوفاً من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شققت عن قلبه حتّی تعلم أقالها أم لا، فما زال یکرّرها حتّی تمنّیت أنّی أسلمت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لا أقتل مسلماً حتّی یقتله ذو البطین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یقل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قاتلنا حتّی لا تکون فتنة، وأنت وأصحابک تریدون أن تقاتلوا حتّی تکون فتنة</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أخرج مسلم فی صحیحه عن المقداد بن الأسود، أنّه أخبره</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إن لقیت رجلًا من الکفّار فقاتلنی فضرب إحدی یدیّ بالسیف فقطعها، ثمّ لاذ منّی بشجرة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لله، أفاقتله یا رسول الله بعد أن قالها؟</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قد قطع یدی ثمّ قال بعد أن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أفأقتله؟</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 فإن قتلته فإنّه بمنزلتک قبل أن تقتله، وأنت بمنزلته قبل أن یقول کلمته التی قال</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البخاری فی صحیحه 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اقاتل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فإذا قالوها وصلّوا صلاتنا واستقبلوا قبلتنا وذبحوا ذبیحتنا، فقد حرمت علینا دماؤهم وأموالهم إلّابحقّها، وحسابهم علی الله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اقاتل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فمن قال لا إله إلّاالله فقد عصم منّی نفسه وماله إلّا بحقّه، وحسابه علی الله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 ذلک من الروایات التی وردت بهذا المضمون التی تدلّ علی أنّ</w:t>
      </w:r>
    </w:p>
    <w:p>
      <w:pPr>
        <w:pStyle w:val="BookText"/>
        <w:rPr/>
      </w:pPr>
      <w:r>
        <w:rPr>
          <w:rFonts w:ascii="IRNazanin" w:hAnsi="IRNazanin" w:eastAsia="IRNazanin"/>
          <w:color w:val="111111"/>
          <w:sz w:val="28"/>
          <w:sz w:val="28"/>
          <w:szCs w:val="28"/>
          <w:rtl w:val="true"/>
          <w:lang w:bidi="fa-IR"/>
        </w:rPr>
        <w:t>مجرّد الإقرار بالشهادتین یدخل قائلها الإسلام، ویحقن دمه وماله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الإسلام یتوقّف علی الإقرار بالشهادتین وإن کان إقراراً صوریّاً، ولم یکن معتقداً به حقیقة وقلباً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واضحة الدلالة علی أنّ ملاک صدق الإسلام هو الشهادتین، التی بها تحقن الدماء والأعراض والأموال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النبیّ صلی الله علیه و آله</w:t>
      </w:r>
    </w:p>
    <w:p>
      <w:pPr>
        <w:pStyle w:val="BookText"/>
        <w:rPr/>
      </w:pPr>
      <w:r>
        <w:rPr>
          <w:rFonts w:ascii="IRNazanin" w:hAnsi="IRNazanin" w:eastAsia="IRNazanin"/>
          <w:color w:val="111111"/>
          <w:sz w:val="28"/>
          <w:sz w:val="28"/>
          <w:szCs w:val="28"/>
          <w:rtl w:val="true"/>
          <w:lang w:bidi="fa-IR"/>
        </w:rPr>
        <w:t>فهناک الکثیر من موارد سیرة النبیّ صلی الله علیه و آله تکشف بوضوح هذه الحقیقة، وهی أنّه صلی الله علیه و آله کان یتعامل مع کلّ مَن تشهّد الشهادتین معاملة المسلم، وإن لم یدخل الإیمان فی قلبه، بل وإن کان صلی الله علیه و آله عالماً بعدم کونهم جمیعاً معتقدین بالإسلام حقیقة، کما فی الآیات الکثیرة النازلة فی المنافقین، کما فی سورة المنافقین وسورة البراءة والبقرة، وغیرها من السورء، ومع ذلک فکان النبیّ صلی الله علیه و آله والقرآن یتعامل معهم معاملة بقیّة المسلمین فی حقن دمهم وأموالهم وغیرها من أحکام ظاهر الإسلام، وکذلک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أنکر الله تعالی علی الأعراب دعواهم الإیمان القلبیّ مع إقرارهم بالشهادتین، ولکن مع ذلک کان النبیّ صلی الله علیه و آله یعاملهم معاملة المسلمین لإظهارهم الشهادتین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أخرجه ابن شهرآشوب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یَعَضُّ الظّالِمُ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فی ابن أبی معیط وابیّ بن خلف، وکانا توأمین فی الخلّة، فقدم عقبة من سفره وأولم جماعة الأشراف، وفیهم رسول الله صلی الله علیه و آله،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آکل طعامک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وأنّی رسول الله، فتشهّد الشهادتین، فأکل طعامه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ومحلّ الشاهد فی هذه الروایة أنّ رسول الله صلی الله علیه و آله حکم بإسلام الرجل، وعامله معاملة المسلمین من الطهارة ونحوها بمجرّد إظهار الشهادتین، ولذا شرط الرسول صلی الله علیه و آله علی الرجل بأنّه لا یأکل معه إلّا بعد التشهّد بالشهادتین، فرتّب صلی الله علیه و آله أحکام الإسلام علی الشهادتین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النعمان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عمرو بن أوس أخبره أنّ أباه أوساً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لقعود عند النبیّ صلی الله علیه و آله وهو یقصّ علینا ویذکّرنا، إذ أتاه رجل فسارّه،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الرجل دعاه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تشهد أن لا إله إلّا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فخلّوا سبیله، فإنّما امرت أن اقاتل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فإذا فعلوا ذلک حرم علَیَّ دماؤهم وأموالهم</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200" w:name="pg13703_133755"/>
    </w:p>
    <w:p>
      <w:pPr>
        <w:pStyle w:val="BookText"/>
        <w:rPr/>
      </w:pPr>
      <w:bookmarkEnd w:id="20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تقدّم فی صحیح البخاری من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صیانة الدماء والأموال ونحوها من الآثار، مترتّبة علی إظهار الشهادتین، ولا یشترط فی ترتیب هذه الآثار الاعتقاد بالإسلام قلباً وحقیقة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فی الإیمان، العقد القلبیّ،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الشواهد علی السیرة المبارکة للنبیّ الأکرم صلی الله علیه و آله</w:t>
      </w:r>
      <w:r>
        <w:rPr>
          <w:rFonts w:eastAsia="IRNazanin" w:cs="IRNazanin"/>
          <w:color w:val="111111"/>
          <w:sz w:val="28"/>
          <w:szCs w:val="28"/>
          <w:rtl w:val="true"/>
          <w:lang w:bidi="fa-IR"/>
        </w:rPr>
        <w:t>.</w:t>
      </w:r>
    </w:p>
    <w:p>
      <w:pPr>
        <w:pStyle w:val="Heading4"/>
        <w:numPr>
          <w:ilvl w:val="3"/>
          <w:numId w:val="1"/>
        </w:numPr>
        <w:rPr/>
      </w:pPr>
      <w:bookmarkStart w:id="201" w:name="__RefHeading___Toc1101076_1468164448"/>
      <w:bookmarkStart w:id="202" w:name="_Toc74"/>
      <w:bookmarkEnd w:id="201"/>
      <w:r>
        <w:rPr>
          <w:rtl w:val="true"/>
        </w:rPr>
        <w:t>ما یوجب الخروج عن الإسلام</w:t>
      </w:r>
      <w:r>
        <w:rPr>
          <w:rtl w:val="true"/>
        </w:rPr>
        <w:t>:</w:t>
      </w:r>
      <w:bookmarkEnd w:id="202"/>
    </w:p>
    <w:p>
      <w:pPr>
        <w:pStyle w:val="BookText"/>
        <w:rPr/>
      </w:pPr>
      <w:r>
        <w:rPr>
          <w:rFonts w:ascii="IRNazanin" w:hAnsi="IRNazanin" w:eastAsia="IRNazanin"/>
          <w:color w:val="111111"/>
          <w:sz w:val="28"/>
          <w:sz w:val="28"/>
          <w:szCs w:val="28"/>
          <w:rtl w:val="true"/>
          <w:lang w:bidi="fa-IR"/>
        </w:rPr>
        <w:t>بعد أن تبیّن أنّ الدخول فی الإسلام یتحقّق بالإقرار بالشهادتین، ینبغی بیان ما یوجب الخروج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الخروج عن الإسلام بأحد الامور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إنکار أحد اصول الإسلام الأساسیّة، کالتوحید والنبوّة والمعاد، سواء کان إنکاره عن عمد أم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 المسلمون علی الحکم بکفر من أنکر هذه الاصول الثلاثة، وقد دلّت علی ذلک جملة وافرة من الآیات المبارکة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إلی التوحید، 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 وَ ما مِنْ إِلهٍ إِلاّ إِلهٌ واحِدٌ وَ إِنْ لَمْ یَنْتَهُوا عَمّا یَقُولُونَ لَیَمَسَّنَّ الَّذِینَ کَفَرُوا مِنْهُمْ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إلی أصل النبوّة، 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الَّتِی وَقُودُهَا النّاسُ وَ الْحِجارَةُ أُعِدَّتْ لِلْکافِرِینَ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إلی أصل المعاد، 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بِآیاتِ اللّهِ وَ لِقائِهِ أُولئِکَ یَئِسُوا مِنْ رَحْمَتِی وَ أُولئِکَ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إنکار ضروریّ من ضروریّات الإسلام، فیما إذا استلزم ذلک الإنکار، تکذیب النبیّ صلی الله علیه و آله وإنکار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الضروریّ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علم من الدین بالضرورة، بمعنی أنّ المسلم یعلم به بالبداهة لکونه مسلماً، ولا یحتاج إلی دلیل، کوجوب الصلاة والصوم والحجّ والزکاة، ونحوها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فلو أنکر واحدة من ضروریّات الدین مع العلم بکون حکمها ضروریّاً فی الشریعة المقدّسة، وأنّ النبیّ صلی الله علیه و آله أتی بها، حینئذٍ یکون إنکاره موجباً للارتداد والکفر، والخروج عن الإسلام، وهو فی الحقیقة تکذیب للنبیّ صلی الله علیه و آله وإنکار لرسالته، وهذا بخلاف ما إذا لم یستلزم إنکاره للضروریّ تکذیباً للنبیّ صلی الله علیه و آله، أو إنکاراً لرسالته الخاتمة، کما إذا أنکر ضروریّاً باعتقاد عدم ثبوته فی الشریعة الإسلامیّة، وأنّه لم یأت به النبیّ صلی الله علیه و آله، فإنّ إنکاره هذا لا یرجع إلی تکذیب النبیّ صلی الله علیه و آله أو إنکار رسالته، ولا یکون</w:t>
      </w:r>
    </w:p>
    <w:p>
      <w:pPr>
        <w:pStyle w:val="BookText"/>
        <w:rPr/>
      </w:pPr>
      <w:r>
        <w:rPr>
          <w:rFonts w:ascii="IRNazanin" w:hAnsi="IRNazanin" w:eastAsia="IRNazanin"/>
          <w:color w:val="111111"/>
          <w:sz w:val="28"/>
          <w:sz w:val="28"/>
          <w:szCs w:val="28"/>
          <w:rtl w:val="true"/>
          <w:lang w:bidi="fa-IR"/>
        </w:rPr>
        <w:t>کفراً عند المتأخّرین من کلمات علماء جملة وافرة من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 فی أوّل إسلامه، وسئل عن الربا، فأنکر حرمته باعتقاد حلّیّته، فإنّه لا یکون إنکاره موجباً لکفره وارتداده، وإن کانت حرمة الربا من ضروریّات الدین لعدم استلزام إنکاره تکذیب النبیّ صلی الله علیه و آله أو إنکار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تقرّرت قاعدة حرمة المسلم دمه وعرضه وماله المنصوص علیها بألسنة متعدّدة،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یحلّ دمه ولا ماله إلّامن طیبة نفسه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الشحّام، عن أبی عبدالله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دم امرئ مسلم ولا ماله إلّابطیب نفسه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المسلم علی المسلم حرام، دمه وماله وعِرضه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من الروایات التی بلغت حدّ التواتر، وهی واضحة الدلالة علی وجوب احترام دم المسلم وعِرضه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مجموع هذه الروایات یتّضح</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أدلّة حقن الدماء بالشهادتین قطعیّ لا ظنّی، ومن ثمّ فإنّ رفع الید</w:t>
      </w:r>
    </w:p>
    <w:p>
      <w:pPr>
        <w:pStyle w:val="BookText"/>
        <w:rPr/>
      </w:pPr>
      <w:r>
        <w:rPr>
          <w:rFonts w:ascii="IRNazanin" w:hAnsi="IRNazanin" w:eastAsia="IRNazanin"/>
          <w:color w:val="111111"/>
          <w:sz w:val="28"/>
          <w:sz w:val="28"/>
          <w:szCs w:val="28"/>
          <w:rtl w:val="true"/>
          <w:lang w:bidi="fa-IR"/>
        </w:rPr>
        <w:t>عن هذا الدلیل القطعی لا بدّ أن یکون بدلیل قطعیّ، فلا یسوغ رفع الید عنها بدلیل ظنّیّ، ولا یسوغ التکفیر واستباحة الدماء لکلّ من تشهّد الشهادتین، بالاعتماد علی دلیل ظنّیّ؛ وذلک لما هو مقرّر فی قواعد المنهج الفقهی الذی یبحث فی اصول فقه الأحکام أنّ العموم القطعی ذی الحکم الخطیر آبّ عن التخصیص بالدلیل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الحکم بدخول الإسلام لکلّ من اعتنق الشهادتین، هذا العموم لم یقرّر بدلالة ظنّیّة بل بدلالة قطعیّة، فالحکم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ملاک الحکم والمصلحة والمفسدة المترتّبة علیه هی من الخطورة بمکان، والقاعدة تقتضی فی مثل ذلک قوّة الدلیل الدالّ علی الحکم، وهذه القاعدة أساسیّة مطّردة فی نظام معرفة الأحکام الشرعیّة، أی‌أنّ قوّة الدلیل لا بدّ أن تتناسب مع أهمّیّة الحکم، فلا یمکن أن ینصب الشارع دلیلًا متوسّطاً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خطیر مهمّ، بل لا بدّ من توفّر الداعی لنصب وبیان أدلّة قویّة توازی قوّة وأهمیّة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اعتماد هذه القاعدة هو أنّ أهمّیّة الحکم لا بدّ أن تتناسب طردیّاً مع درجة قوّة الدلیل الذی سیق علیه؛ للتناسب الطردیّ فی الأهمیّة ودرجة خطورته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کانت الأدلّة المقامة تکویناً وشرعاً علی اصول الدین، أکثر قوّة وبیاناً ودلالة من الأدلّة التی تقام علی الفروع، وکذلک أدلّة الأرکان فی الدین بالقیاس إلی أدلّة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عدم مراعاة هذه القاعدة فی منهاج وطریق معرفة الأحکام یؤدّی إلی الهرج والمرج فی الاستنتاج، وفی المعرفة الدینیّة، وفی طریقة التفکیر، ومن ثمّ یتسبّب فی الجرأة والاجتراء علی التکفیر واستباحة الدماء والتجاوز علی حرمات ومقدّسات الدین لمجرّد استدلال واستظهار ظنّیّ، ومن ثمّ حکم الفقهاء تبعاً للروایات أنّ الحدود تدرأ بالشبهات وذلک لخطورة حرمة الدماء فی المقاصد الشرعیّة، فلا یجترئ علیها بمجرّد إیهام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درجة قدسیّة الأحکام إنّما تستعلم بحسب قوّة الدلیل وأهمّیّة غایة التشریع</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نخلص إلی أنّ المجترئ علی المسلمین بتکفیرهم واستباحة دمائهم تحت ذریعة الغیرة والحمیّة الدینیّة، هو فعل فی الطرف النقیض من قوله وادّعائه الغیرة والحمیّة علی الدین؛ لأنّه بفعله هذا قد أخذ بمعول هدّام لتقویض الدین والملّة، إذ أنّ مقتضی قدسیّة الشهادتین هو الالتزام الشدید بآثارهما، لا الاستخفاف بمقتضاهما، والتعویل علی أمر ودلیل ظنّیّ وجعله الأساس فی الملّة والدین ممّا یعنی تغییر الملّة والدین من الشهادتین إلی ذلک الأصل الظنّیّ، وجعله المحور والمرکز بدل الشهادتین، وهذا من لوازم عدم مراعاة القاعدة المنهجیّة السابقة من جعل الظنّیّ فی مصاف درجة القطعی الیقینی، فإنّه یصاعد بالحکم الظنّیّ إلی مصاف الحکم القطعی الیقینی ممّا یجعله یکتسب آثار الحکم الیقینی من المرکزیّة والامومة مع أنّ الحکم الظنّیّ لیس شأنه إلّا الفرعیّة والتبعیّة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یبیّن خطورة تلک القاعدة وأنّها</w:t>
      </w:r>
      <w:bookmarkStart w:id="203" w:name="pg13703_133760"/>
    </w:p>
    <w:p>
      <w:pPr>
        <w:pStyle w:val="BookText"/>
        <w:rPr/>
      </w:pPr>
      <w:bookmarkEnd w:id="203"/>
      <w:r>
        <w:rPr>
          <w:rFonts w:ascii="IRNazanin" w:hAnsi="IRNazanin" w:eastAsia="IRNazanin"/>
          <w:color w:val="111111"/>
          <w:sz w:val="28"/>
          <w:sz w:val="28"/>
          <w:szCs w:val="28"/>
          <w:rtl w:val="true"/>
          <w:lang w:bidi="fa-IR"/>
        </w:rPr>
        <w:t>حافظة لمنظومة أحکام الدین عن الانفراط والتبدّل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التمییز بین السیرة فی صدر الإسلام وبین سیرة بنی امیّة</w:t>
      </w:r>
    </w:p>
    <w:p>
      <w:pPr>
        <w:pStyle w:val="BookText"/>
        <w:rPr/>
      </w:pPr>
      <w:r>
        <w:rPr>
          <w:rFonts w:ascii="IRNazanin" w:hAnsi="IRNazanin" w:eastAsia="IRNazanin"/>
          <w:color w:val="111111"/>
          <w:sz w:val="28"/>
          <w:sz w:val="28"/>
          <w:szCs w:val="28"/>
          <w:rtl w:val="true"/>
          <w:lang w:bidi="fa-IR"/>
        </w:rPr>
        <w:t>وتتمحور هذه القاعدة حول ضرورة التمییز بین السیرة فی صدر الإسلام وبین سیرة بنی امیّة وبنی العبّاس الدخیلة علی دین الإسلام، سواء علی الصعید الاعتقادیّ أم علی صعید قواعد الفقه السیاسیّ والاجتماعیّ والقضائیّ، وغیره من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السیرة فی صدر الإسلام هو سیرة المسلمین قبل وبعد وفاة النبیّ صلی الله علیه و آله الجیل الأوّل من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هناک فرقاً رئیسیّاً فی محاور وجوانب متعدّدة، یجب الترکیز علیها، وتنبیه عموم المسلمین تجاهها؛ لئلّا ینبذوا شعار سیرة الأوائل، وإن کان تلک الشعارات لم تتنجّز علی صعید الواقع بشکل حقیقیّ تامّ، إلّاأنّه علی الرغم من ذلک فهی تختلف وتتاقطع مع سیرة الأمویّین فی کثیر من المحاور المتعدّدة</w:t>
      </w:r>
      <w:r>
        <w:rPr>
          <w:rFonts w:eastAsia="IRNazanin" w:cs="IRNazanin"/>
          <w:color w:val="111111"/>
          <w:sz w:val="28"/>
          <w:szCs w:val="28"/>
          <w:rtl w:val="true"/>
          <w:lang w:bidi="fa-IR"/>
        </w:rPr>
        <w:t>.</w:t>
      </w:r>
    </w:p>
    <w:p>
      <w:pPr>
        <w:pStyle w:val="Heading4"/>
        <w:numPr>
          <w:ilvl w:val="3"/>
          <w:numId w:val="1"/>
        </w:numPr>
        <w:rPr/>
      </w:pPr>
      <w:bookmarkStart w:id="204" w:name="__RefHeading___Toc1101078_1468164448"/>
      <w:bookmarkStart w:id="205" w:name="_Toc75"/>
      <w:bookmarkEnd w:id="204"/>
      <w:r>
        <w:rPr>
          <w:rtl w:val="true"/>
        </w:rPr>
        <w:t>الفروق الرئیسیّة بین السیرة فی صدر الإسلام</w:t>
      </w:r>
      <w:bookmarkEnd w:id="205"/>
    </w:p>
    <w:p>
      <w:pPr>
        <w:pStyle w:val="Heading4"/>
        <w:numPr>
          <w:ilvl w:val="3"/>
          <w:numId w:val="1"/>
        </w:numPr>
        <w:rPr/>
      </w:pPr>
      <w:bookmarkStart w:id="206" w:name="__RefHeading___Toc1101080_1468164448"/>
      <w:bookmarkStart w:id="207" w:name="_Toc76"/>
      <w:bookmarkEnd w:id="206"/>
      <w:r>
        <w:rPr>
          <w:rtl w:val="true"/>
        </w:rPr>
        <w:t>وبین سیرة بنی امیّة</w:t>
      </w:r>
      <w:r>
        <w:rPr>
          <w:rtl w:val="true"/>
        </w:rPr>
        <w:t>:</w:t>
      </w:r>
      <w:bookmarkEnd w:id="207"/>
    </w:p>
    <w:p>
      <w:pPr>
        <w:pStyle w:val="Heading5"/>
        <w:numPr>
          <w:ilvl w:val="4"/>
          <w:numId w:val="1"/>
        </w:numPr>
        <w:rPr/>
      </w:pPr>
      <w:bookmarkStart w:id="208" w:name="__RefHeading___Toc1101082_1468164448"/>
      <w:bookmarkStart w:id="209" w:name="_Toc77"/>
      <w:bookmarkEnd w:id="208"/>
      <w:r>
        <w:rPr>
          <w:rtl w:val="true"/>
        </w:rPr>
        <w:t>الفارق الأوّل</w:t>
      </w:r>
      <w:r>
        <w:rPr>
          <w:rtl w:val="true"/>
        </w:rPr>
        <w:t xml:space="preserve">: </w:t>
      </w:r>
      <w:r>
        <w:rPr>
          <w:rtl w:val="true"/>
        </w:rPr>
        <w:t>فی طریق إقامة الحکم</w:t>
      </w:r>
      <w:r>
        <w:rPr>
          <w:rtl w:val="true"/>
        </w:rPr>
        <w:t>:</w:t>
      </w:r>
      <w:bookmarkEnd w:id="20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شعار سیرة الأوائل للخلافة کان اختیار الحاکم إمّا بالنصّ أو بالشوری، وهو یختلف ویتقاطع کثیراً مع سیرة الأمویّین الذین انتهجوا</w:t>
      </w:r>
      <w:bookmarkStart w:id="210" w:name="pg13703_133761"/>
    </w:p>
    <w:p>
      <w:pPr>
        <w:pStyle w:val="BookText"/>
        <w:rPr/>
      </w:pPr>
      <w:bookmarkEnd w:id="210"/>
      <w:r>
        <w:rPr>
          <w:rFonts w:ascii="IRNazanin" w:hAnsi="IRNazanin" w:eastAsia="IRNazanin"/>
          <w:color w:val="111111"/>
          <w:sz w:val="28"/>
          <w:sz w:val="28"/>
          <w:szCs w:val="28"/>
          <w:rtl w:val="true"/>
          <w:lang w:bidi="fa-IR"/>
        </w:rPr>
        <w:t>منهج الملکیّة الوراثیّة للحکم، للاستئثار بالسلطة، مضافاً إلی نهج الاستبداد فی ممارسة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الأسف نجد أنّ سیاسة بنی امیّة ونهجهم لا زال موجوداً بعینه وممارساً من قِبل کثیر من أنظمة الدول العربیّة منذ عهد الأمویّین إلی یومنا هذا</w:t>
      </w:r>
      <w:r>
        <w:rPr>
          <w:rFonts w:eastAsia="IRNazanin" w:cs="IRNazanin"/>
          <w:color w:val="111111"/>
          <w:sz w:val="28"/>
          <w:szCs w:val="28"/>
          <w:rtl w:val="true"/>
          <w:lang w:bidi="fa-IR"/>
        </w:rPr>
        <w:t>.</w:t>
      </w:r>
    </w:p>
    <w:p>
      <w:pPr>
        <w:pStyle w:val="Heading5"/>
        <w:numPr>
          <w:ilvl w:val="4"/>
          <w:numId w:val="1"/>
        </w:numPr>
        <w:rPr/>
      </w:pPr>
      <w:bookmarkStart w:id="211" w:name="__RefHeading___Toc1101084_1468164448"/>
      <w:bookmarkStart w:id="212" w:name="_Toc78"/>
      <w:bookmarkEnd w:id="211"/>
      <w:r>
        <w:rPr>
          <w:rtl w:val="true"/>
        </w:rPr>
        <w:t>الفارق الثانی</w:t>
      </w:r>
      <w:r>
        <w:rPr>
          <w:rtl w:val="true"/>
        </w:rPr>
        <w:t xml:space="preserve">: </w:t>
      </w:r>
      <w:r>
        <w:rPr>
          <w:rtl w:val="true"/>
        </w:rPr>
        <w:t>منهج النقد والرقابة للحاکم والحکم</w:t>
      </w:r>
      <w:r>
        <w:rPr>
          <w:rtl w:val="true"/>
        </w:rPr>
        <w:t>:</w:t>
      </w:r>
      <w:bookmarkEnd w:id="212"/>
    </w:p>
    <w:p>
      <w:pPr>
        <w:pStyle w:val="BookText"/>
        <w:rPr/>
      </w:pPr>
      <w:r>
        <w:rPr>
          <w:rFonts w:ascii="IRNazanin" w:hAnsi="IRNazanin" w:eastAsia="IRNazanin"/>
          <w:color w:val="111111"/>
          <w:sz w:val="28"/>
          <w:sz w:val="28"/>
          <w:szCs w:val="28"/>
          <w:rtl w:val="true"/>
          <w:lang w:bidi="fa-IR"/>
        </w:rPr>
        <w:t>وهذا الأمر یعدّ من الامور التی سنّها رسول الله صلی الله علیه و آله فی عهده، حیث کان صلی الله علیه و آله یفتح الباب لاعتراض الناس ونقدهم ورقابتهم للولاة الذین ینصّبهم فی البلدان، کما یفتح المجال للشکاوی والاعتراضات التی یبدیها عموم الناس تجاه جهاز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الرغم من عصمته صلی الله علیه و آله عن الخطأ، إلّاأنّه صلی الله علیه و آله أراد من سنّته لذلک هو معاونته ومناصرته فی مراقبة الجهاز البشری للحکم الذی یقوده وما یترتّب علیه من فوائد وثمرات مهمّة نافعة للمسلمین، من قبیل تفاعل الناس مع أنشطة الحکومة والحاکم وقیامهم بالمسؤولیّة، وکذا صیرورة عموم الناس عین مراقبة لاستقامة الذین ینتسبون إلی جهاز الحکم، وغیرها من الفوائد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السنّة النبویّة مستمدّة من اصول قرآنیّة، کأصل الشوری والتشاور، لإدارة امورهم الخاصّة بهم دون الامور التی هی من شؤون الباری تعالی، کالنبوّة والإمامة،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w:t>
      </w:r>
      <w:r>
        <w:rPr>
          <w:rFonts w:eastAsia="Amiri" w:cs="Amiri" w:ascii="Amiri" w:hAnsi="Amiri"/>
          <w:color w:val="111111"/>
          <w:sz w:val="28"/>
          <w:szCs w:val="28"/>
          <w:rtl w:val="true"/>
          <w:lang w:bidi="ar-SA"/>
        </w:rPr>
        <w:t>)</w:t>
      </w:r>
      <w:bookmarkStart w:id="213" w:name="pg13703_133762"/>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 بَعْضٍ یَأْمُرُونَ بِالْمَعْرُوفِ وَ یَنْهَوْنَ عَنِ الْمُنْکَرِ 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الآیات التی تشارکها فی المضمون ذاته، التی تؤکّد علی أهمّیّة مراقبة الجهاز الحاکم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المنهج لم نجده فی سیرة بنی امیّة وبنی العبّاس</w:t>
      </w:r>
      <w:r>
        <w:rPr>
          <w:rFonts w:eastAsia="IRNazanin" w:cs="IRNazanin"/>
          <w:color w:val="111111"/>
          <w:sz w:val="28"/>
          <w:szCs w:val="28"/>
          <w:rtl w:val="true"/>
          <w:lang w:bidi="fa-IR"/>
        </w:rPr>
        <w:t>.</w:t>
      </w:r>
    </w:p>
    <w:p>
      <w:pPr>
        <w:pStyle w:val="Heading5"/>
        <w:numPr>
          <w:ilvl w:val="4"/>
          <w:numId w:val="1"/>
        </w:numPr>
        <w:rPr/>
      </w:pPr>
      <w:bookmarkStart w:id="214" w:name="__RefHeading___Toc1101086_1468164448"/>
      <w:bookmarkStart w:id="215" w:name="_Toc79"/>
      <w:bookmarkEnd w:id="214"/>
      <w:r>
        <w:rPr>
          <w:rtl w:val="true"/>
        </w:rPr>
        <w:t>الفارق الثالث</w:t>
      </w:r>
      <w:r>
        <w:rPr>
          <w:rtl w:val="true"/>
        </w:rPr>
        <w:t xml:space="preserve">: </w:t>
      </w:r>
      <w:r>
        <w:rPr>
          <w:rtl w:val="true"/>
        </w:rPr>
        <w:t>مشروعیّة طاعة السلطان الجائر</w:t>
      </w:r>
      <w:r>
        <w:rPr>
          <w:rtl w:val="true"/>
        </w:rPr>
        <w:t>:</w:t>
      </w:r>
      <w:bookmarkEnd w:id="215"/>
    </w:p>
    <w:p>
      <w:pPr>
        <w:pStyle w:val="BookText"/>
        <w:rPr/>
      </w:pPr>
      <w:r>
        <w:rPr>
          <w:rFonts w:ascii="IRNazanin" w:hAnsi="IRNazanin" w:eastAsia="IRNazanin"/>
          <w:color w:val="111111"/>
          <w:sz w:val="28"/>
          <w:sz w:val="28"/>
          <w:szCs w:val="28"/>
          <w:rtl w:val="true"/>
          <w:lang w:bidi="fa-IR"/>
        </w:rPr>
        <w:t>من الواضح أنّ الشریعة الإسلامیّة أکّدت علی عدم جواز طاعة الحاکم الجائر، کما أشارت إلی ذلک جملة من النصوص القرآنیّة والروائیّة المتظافرة،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منکم سلطاناً جائراً، مستحلّاً لحرم الله، ناکثاً لعهد الله، مخالفاً لسنّة رسول الله، یعمل فی عباد الله بالإثم</w:t>
      </w:r>
    </w:p>
    <w:p>
      <w:pPr>
        <w:pStyle w:val="BookText"/>
        <w:rPr/>
      </w:pPr>
      <w:r>
        <w:rPr>
          <w:rFonts w:ascii="IRNazanin" w:hAnsi="IRNazanin" w:eastAsia="IRNazanin"/>
          <w:color w:val="111111"/>
          <w:sz w:val="28"/>
          <w:sz w:val="28"/>
          <w:szCs w:val="28"/>
          <w:rtl w:val="true"/>
          <w:lang w:bidi="fa-IR"/>
        </w:rPr>
        <w:t>والعدوان، ثمّ لم یغیّر بقول أو فعل، کان حقیقاً علی الله أن یدخله مدخله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النصوص الشریفة تحدّد ضوابط طاعة وولایة الحاکم والوالی، والتی من أهمّها هو أن لا تتجاوز طاعة الله وطاعة رسوله، بل فی الحقیقة یستفاد من النصوص الآنفة الذکر عدم ولایة للجائر، وعدم الطاعة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هذا الأصل العظیم من قواعد الدین، أسّس بنو امیّة ما یلغی هذا الأصل، وذهبوا إلی وجوب طاعة السلطان وإن کان جائراً، متذرّعین بحجّة أنّ السلطان ظلّ الله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طاعة السلطان واجبة، والخروج علیه مروق من الدین ما لم یظهر الکفر البواح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 السیوطی عدداً من روایاتهم فی هذا المقام،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الله فی الأرض، فمن أکرمه أکرمه الله، ومن أهانه أهانه الله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الله فی الأرض، یأوی إلیه کلّ مظلوم من عباده، فإن عدل کان له الأجر وکان علی الرعیّة الشکر، وإن جار أو حاف أو ظلم کان علیه الوزر وکان علی الرعیّة الصبر، وإذا جارت الولاة قحطت السماء، وإذا منعت الزکاة هلکت المواشی، وإذا ظهر الزنا ظهر الفقر والمسکنة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الله فی الأرض، یأوی إلیه الضعیف، وبه ینتصر المظلوم، ومن أکرم سلطان الله فی الدنیا أکرمه الله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الله فی الأرض، فإذا دخل أحدکم بلداً لیس به سلطان فلا یقیمنّ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الله فی الأرض، فمن غشّه ضلّ، ومن نصحه اهتدی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الرحمن فی الأرض، یأوی إلیه کلّ مظلوم من عباده، فإن عدل کان له الأجر وعلی الرعیّة الشکر، وإن جار وحاف وظلم کان علیه الإصر وعلی الرعیّة 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العادل المتواضع ظلّ الله ورمحه فی الأرض، یرفع له عمل سبعین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الروایات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قاموا بإلغاء وتحریم ملفّ المعارضة بکلّ درجاتها، وانتهجوا سیاسة الاستبداد، ومن ثمّ عمدوا إلی تثقیف الامّة علی الخنوع والخضوع والسبات وعدم المشارکة فی تحدید مصیرها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نجم جرّاء هذه السیاسة أمر خطیر، وهو تجییر وتوظیف علماء الدین کعلماء بلاط السلطة لخدمة سیاساتهم ومصالحهم، بدلًا من أن یکون العلماء حکّاماً علی السلاطین</w:t>
      </w:r>
      <w:r>
        <w:rPr>
          <w:rFonts w:eastAsia="IRNazanin" w:cs="IRNazanin"/>
          <w:color w:val="111111"/>
          <w:sz w:val="28"/>
          <w:szCs w:val="28"/>
          <w:rtl w:val="true"/>
          <w:lang w:bidi="fa-IR"/>
        </w:rPr>
        <w:t>.</w:t>
      </w:r>
      <w:bookmarkStart w:id="216" w:name="pg13703_133765"/>
    </w:p>
    <w:p>
      <w:pPr>
        <w:pStyle w:val="BookText"/>
        <w:rPr/>
      </w:pPr>
      <w:bookmarkEnd w:id="216"/>
      <w:r>
        <w:rPr>
          <w:rFonts w:ascii="IRNazanin" w:hAnsi="IRNazanin" w:eastAsia="IRNazanin"/>
          <w:color w:val="111111"/>
          <w:sz w:val="28"/>
          <w:sz w:val="28"/>
          <w:szCs w:val="28"/>
          <w:rtl w:val="true"/>
          <w:lang w:bidi="fa-IR"/>
        </w:rPr>
        <w:t>ومن ثمّ نتج من ذلک نهجٌ خطیر من تبعیّة بعض من یتسمّون بعلماء الدین، للحکومات والأنظمة، وفقدهم الاستقلالیّة، وهذا أمر خطیر ابتلیت به الامّة، بل هو الطامّة الکبری علی الدین؛ لأنّ العلماء بدل أن یقوموا بمهمّتهم الأساسیّة من حفظ الدین، أصبحوا یحفظون الأنظمة والحکومات ویغیّروا من الدین بما یخدم الحکّام والسلاطین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المؤسف جدّاً هو ما نجده فی عصرنا الحاضر من تبنّی واتّباع نهج بنی امیّة، کما نلمسه من بعض علماء الدین، وتبنّیهم لمشاریع الأنظمة والحکومات فی الأقطار الإسلامیّة لأجل تمریر مخطّطاتهم وأغراضهم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مخاطر هذه السیاسة هو منح علماء الدین فی بلاط السلطة، المشروعیّة لتبعیّة الأنظمة الإسلامیّة لأعداء الإسلام فی الغرب، ولو علی حساب ثوابت ومصالح الدین الحنیف، وهذا بدوره یشکّل خطراً کبیراً، لأنّه یؤدّی إلی طمس معالم الشریعة والفرائض والواجبات التی یحیی بها الدین</w:t>
      </w:r>
      <w:r>
        <w:rPr>
          <w:rFonts w:eastAsia="IRNazanin" w:cs="IRNazanin"/>
          <w:color w:val="111111"/>
          <w:sz w:val="28"/>
          <w:szCs w:val="28"/>
          <w:rtl w:val="true"/>
          <w:lang w:bidi="fa-IR"/>
        </w:rPr>
        <w:t>.</w:t>
      </w:r>
    </w:p>
    <w:p>
      <w:pPr>
        <w:pStyle w:val="Heading5"/>
        <w:numPr>
          <w:ilvl w:val="4"/>
          <w:numId w:val="1"/>
        </w:numPr>
        <w:rPr/>
      </w:pPr>
      <w:bookmarkStart w:id="217" w:name="__RefHeading___Toc1101088_1468164448"/>
      <w:bookmarkStart w:id="218" w:name="_Toc80"/>
      <w:bookmarkEnd w:id="217"/>
      <w:r>
        <w:rPr>
          <w:rtl w:val="true"/>
        </w:rPr>
        <w:t>الفارق الرابع</w:t>
      </w:r>
      <w:r>
        <w:rPr>
          <w:rtl w:val="true"/>
        </w:rPr>
        <w:t xml:space="preserve">: </w:t>
      </w:r>
      <w:r>
        <w:rPr>
          <w:rtl w:val="true"/>
        </w:rPr>
        <w:t>الموالاة للمسلمین دون الکافرین</w:t>
      </w:r>
      <w:r>
        <w:rPr>
          <w:rtl w:val="true"/>
        </w:rPr>
        <w:t>:</w:t>
      </w:r>
      <w:bookmarkEnd w:id="21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الوقت الذی فتح الإسلام المجال للمسلمین للتعاطف والتواصل مع الکافرین الذین لا یتحرّکون بشکل عدوانیّ ضدّ الإسلام والمسلمین بالقتال أو الفتنة،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إلّاأنّه من جانب آخر شدّدت الشریعة الإسلامیّة علی عدم موالاة الکافرین الذین یتحرّکون بشکل عدوانیّ علی المسلمین، وقد تظافرت النصوص القرآنیّة والروائیّة علی ذلک،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 أَنْ تَوَلَّوْهُمْ وَ مَنْ یَتَوَلَّهُمْ فَأُولئِکَ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الْکافِرِینَ أَوْلِیاءَ مِنْ دُونِ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عَدُوِّی وَ عَدُوَّکُمْ أَوْلِیاءَ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الرأی الآخر فی الوحدة و التقریب،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 إِلَیْهِمْ بِالْمَوَدَّةِ وَ قَدْ کَفَرُوا بِما جاءَکُمْ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النصوص القرآنیّة تبیّن طبیعة علاقة المسلمین مع الکافرین الذین یکیدون ویخطّطون ضدّ الإسلام، فمثل هذا الصنف من الکفّار لا بدّ أن تکون علاقة المسلمین معهم قائمة علی الحذر والیقظة، ولا یجوز التحالف معهم ضدّ المسلمین، کلّ ذلک لأجل عدم الانهزام والاستسلام أمام الأعداء؛ إذ أنّ طبیعة الموالاة تقتضی النصرة والمتابعة والمودّة لأعداء الدین، مضافاً إلی ما</w:t>
      </w:r>
    </w:p>
    <w:p>
      <w:pPr>
        <w:pStyle w:val="BookText"/>
        <w:rPr/>
      </w:pPr>
      <w:r>
        <w:rPr>
          <w:rFonts w:ascii="Amiri" w:hAnsi="Amiri" w:eastAsia="Amiri" w:cs="Amiri"/>
          <w:color w:val="111111"/>
          <w:sz w:val="28"/>
          <w:sz w:val="28"/>
          <w:szCs w:val="28"/>
          <w:rtl w:val="true"/>
          <w:lang w:bidi="ar-SA"/>
        </w:rPr>
        <w:t>تحمله فی طیّاتها من الذوبان فی هویّة الکافرین وثقافتهم علی حساب الثقافة الدینیّة؛ لأنّ ذلک یؤدّی إلی إضعاف شعار الدین، وبالتالی یتسبّب فی إضعاف ومهانة المسلمین، وسیطرة الکافرین علیهم فی کلّ المجالات، وتمزیق الصفّ الإسلامیّ الواحد،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تؤکّد علی ضرورة ووجوب تراصّ صفوف المسلمین فی مواجهة الأعداء کالبنیان المرصوص الذی لا یمکن فیه الانشقاق والفرقة، لا سیّما وأنّ القتال لا ینحصر بالمواجهة العسکریّة، وإنّما هو شامل لکلّ مجالات المواجهة من الثقافیّة والسیاسیّة والاقتصادیّة،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تؤکّد علی ضرورة تلاحم المسلمین وصمودهم وثباتهم الجماعیّ فی مواجهة الأعداء، وأنّ أساس التعامل بینهم قائم علی أساس التراحم والتعاطف، والالفة والمحبّة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إلّاأنّ بنی امیّة وبنی العبّاس قد نهجوا منهج الموالاة مع الکافرین ضدّ المسلمین بشکل سافر وواضح فی موالاتهم لأعداء الإسلام، بل وصل الحال عند العبّاسیّین إلی قیام الخلیفة العبّاسی بإغراء المغول والتتر بالهجوم علی شمال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للإطاحة بالدولة الإسماعیلیّة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219" w:name="pg13703_133768"/>
    </w:p>
    <w:p>
      <w:pPr>
        <w:pStyle w:val="BookText"/>
        <w:rPr/>
      </w:pPr>
      <w:bookmarkEnd w:id="219"/>
      <w:r>
        <w:rPr>
          <w:rFonts w:ascii="IRNazanin" w:hAnsi="IRNazanin" w:eastAsia="IRNazanin"/>
          <w:color w:val="111111"/>
          <w:sz w:val="28"/>
          <w:sz w:val="28"/>
          <w:szCs w:val="28"/>
          <w:rtl w:val="true"/>
          <w:lang w:bidi="fa-IR"/>
        </w:rPr>
        <w:t>وقد أوغل التتر والمغول فی سفک دماء المسلمین فی کلّ أرجاء مدن إیران، وفی ذلک الوقت قام قاضی القضاة العبّاسی فی بغداد بزیارة سرّیّة إلی المغول فی إیران لإغرائهم بالهجوم علی بغداد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والشیء المؤسف هو ما نلمسه بوضوح من وجود نهج بنی امیّة وبنی العبّاس لدی جملة من حکّام المسلمین فی عصرنا الراهن الذین أعلنوا موالاتهم للکافرین ضدّ المسلمین، علی الرغم من تشدید النهی القرآنی عن ذلک</w:t>
      </w:r>
      <w:r>
        <w:rPr>
          <w:rFonts w:eastAsia="IRNazanin" w:cs="IRNazanin"/>
          <w:color w:val="111111"/>
          <w:sz w:val="28"/>
          <w:szCs w:val="28"/>
          <w:rtl w:val="true"/>
          <w:lang w:bidi="fa-IR"/>
        </w:rPr>
        <w:t>.</w:t>
      </w:r>
    </w:p>
    <w:p>
      <w:pPr>
        <w:pStyle w:val="Heading5"/>
        <w:numPr>
          <w:ilvl w:val="4"/>
          <w:numId w:val="1"/>
        </w:numPr>
        <w:rPr/>
      </w:pPr>
      <w:bookmarkStart w:id="220" w:name="__RefHeading___Toc1101090_1468164448"/>
      <w:bookmarkStart w:id="221" w:name="_Toc81"/>
      <w:bookmarkEnd w:id="220"/>
      <w:r>
        <w:rPr>
          <w:rtl w:val="true"/>
        </w:rPr>
        <w:t>الفارق الخامس</w:t>
      </w:r>
      <w:r>
        <w:rPr>
          <w:rtl w:val="true"/>
        </w:rPr>
        <w:t xml:space="preserve">: </w:t>
      </w:r>
      <w:r>
        <w:rPr>
          <w:rtl w:val="true"/>
        </w:rPr>
        <w:t>استباحة المحرّمات</w:t>
      </w:r>
      <w:r>
        <w:rPr>
          <w:rtl w:val="true"/>
        </w:rPr>
        <w:t>:</w:t>
      </w:r>
      <w:bookmarkEnd w:id="221"/>
    </w:p>
    <w:p>
      <w:pPr>
        <w:pStyle w:val="BookText"/>
        <w:rPr/>
      </w:pPr>
      <w:r>
        <w:rPr>
          <w:rFonts w:ascii="IRNazanin" w:hAnsi="IRNazanin" w:eastAsia="IRNazanin"/>
          <w:color w:val="111111"/>
          <w:sz w:val="28"/>
          <w:sz w:val="28"/>
          <w:szCs w:val="28"/>
          <w:rtl w:val="true"/>
          <w:lang w:bidi="fa-IR"/>
        </w:rPr>
        <w:t>وهذه السیاسة تبنّاها بنو امیّة بشکل ملحوظ وواضح، وهی سیاسة ترمی إلی إشاعة المنکرات والفواحش والفجور بین المسلمین، وبشکل رسمیّ معلن، ومدعوم من قِبل السلطات الحاکمة، لأجل تغطیة ممارسة الحکّام لنزواتهم وشهواتهم من دون اعتراض المسلمین، ومن دون أن یخدش ذلک بصلاحیّتهم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 هذا النهج، الإمام الحسین وسیّد شباب أهل الجنّة علیه السلام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شارب الخمور، ورأس الفجور، یدّعی الخلافة علی المسلمین، ویتآمر علیهم بغیر رضی منهم، مع قصر حلم، وقلّة علم، لا یعرف من الحقّ موطئ قدمیه، فاقسم بالله قسماً مبروراً، لجهاده علی الدین أفضل من جهاد المشرکین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النهج نجده الیوم بشکل واضح، مکرّس لدی الحکومات فی</w:t>
      </w:r>
    </w:p>
    <w:p>
      <w:pPr>
        <w:pStyle w:val="BookText"/>
        <w:rPr/>
      </w:pPr>
      <w:r>
        <w:rPr>
          <w:rFonts w:ascii="IRNazanin" w:hAnsi="IRNazanin" w:eastAsia="IRNazanin"/>
          <w:color w:val="111111"/>
          <w:sz w:val="28"/>
          <w:sz w:val="28"/>
          <w:szCs w:val="28"/>
          <w:rtl w:val="true"/>
          <w:lang w:bidi="fa-IR"/>
        </w:rPr>
        <w:t>بلاد المسلمین، وهی سیاسة مدروسة من قِبل أعداء الإسلام؛ لأجل تمزیق المسلمین وإبعادهم عن دینهم الذی هو مصدر قوّتهم وعزّتهم، ومن ثمّ یفسح المجال لهم للسیطرة علی مقدّرات البلاد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أهل البیت علیهم السلام ضرورة إسلامیّة</w:t>
      </w:r>
    </w:p>
    <w:p>
      <w:pPr>
        <w:pStyle w:val="BookText"/>
        <w:rPr/>
      </w:pPr>
      <w:r>
        <w:rPr>
          <w:rFonts w:ascii="IRNazanin" w:hAnsi="IRNazanin" w:eastAsia="IRNazanin"/>
          <w:color w:val="111111"/>
          <w:sz w:val="28"/>
          <w:sz w:val="28"/>
          <w:szCs w:val="28"/>
          <w:rtl w:val="true"/>
          <w:lang w:bidi="fa-IR"/>
        </w:rPr>
        <w:t>لقد أضاء القرآن الکریم هذه الحقیقة من خلال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یصرّح بوجوب مودّة أهل البیت علیهم السلام الذین هم أصحاب الکساء والتسعة المعصومین من ذرّیّة الحسین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الجدیر بالذکر أنّ مودّة أهل البیت علیهم السلام بدیهیّة ومن الضرورات الإسلامیّة، لأنّ القرآن الکریم بکلّ آیاته یعدّ من الضرورات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أیّ تفسیر من التفاسیر التی ذکرت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أصحاب الکساء والتسعة المعصومین علیهم السلام هم القدر المتیقّن من عنوان القربی للنبیّ صلی الله علیه و آله، فسواء ارید من ذلک بطون قریش أو فخوذ بنی هاشم، إذ أنّ مفاد الآیة یدلّ علی أنّ مناط المودّة هی القربی للنبیّ صلی الله علیه و آله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درجة القربی کلّما کانت أوثق وأقرب کلّما کانت المودّة أشدّ وأوثق، وکان هو القدر المتیقن به من مفاد الآیة، وعلی ذلک یکون</w:t>
      </w:r>
    </w:p>
    <w:p>
      <w:pPr>
        <w:pStyle w:val="BookText"/>
        <w:rPr/>
      </w:pPr>
      <w:r>
        <w:rPr>
          <w:rFonts w:ascii="IRNazanin" w:hAnsi="IRNazanin" w:eastAsia="IRNazanin"/>
          <w:color w:val="111111"/>
          <w:sz w:val="28"/>
          <w:sz w:val="28"/>
          <w:szCs w:val="28"/>
          <w:rtl w:val="true"/>
          <w:lang w:bidi="fa-IR"/>
        </w:rPr>
        <w:t>أصحاب الکساء هم الدائرة المرکزیّة فی مفاد الآیة المبارکة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 القرآن الکریم قد بیّن مصادیق أهل البیت بشکل واضح،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یقتصر الدلیل علی مستوی النصوص القرآنیّة فحسب، بل هناک عدد وافر من الروایات الواردة من طرق الفریقین، التی تؤکّد هذا المضمون، کحدیث الثقلین، والسفینة،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أجمع المفسّرون علی أنّ المقصود من القربی هم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جملة من مفسّری العامّة بأنّ المراد من قربی النبیّ صلی الله علیه و آله هم علیّ وفاطمة والحسن والحسین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أخرج الطبرانی وغیره فی تفسیر هذه الآیة بالإسناد إلی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قرابتک هؤلاء الذین وجبت علینا مودّتهم؟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وفاطمة وولداهما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جماعة ضعفاء، وقد وثّقوا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حنبل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من قرابتک هؤلاء الذین وجبت علینا مودّتهم؟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وابناهما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الطبرانی بسنده عن ابن الطفیل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البیت الذین افترض الله مودّتهم علی کلّ مسلم، فقال لنبیّنا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واقتراف الحسنة مودّتنا أهل البیت</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الحدیث،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وعلّق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فی الأوسط والکبیر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یعلی باختصار، والبزّار وأحمد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وأسناد أحمد وبعض طرق البزّار والطبرانی فی الکبیر، حسان</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حجر الهیتمی فی صواعقه،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البزّار والطبرانی عن الحسن رضی الله عنه من طرق بعضها حسن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فی صحیحه 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فِی الْقُرْبی، فقال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قربی آل محمّد علیهم السلام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یشهد علی ذلک، ما أخرجه الحاکم بسنده إلی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w:t>
      </w:r>
    </w:p>
    <w:p>
      <w:pPr>
        <w:pStyle w:val="BookText"/>
        <w:rPr/>
      </w:pPr>
      <w:r>
        <w:rPr>
          <w:rFonts w:ascii="IRNazanin" w:hAnsi="IRNazanin" w:eastAsia="IRNazanin"/>
          <w:color w:val="111111"/>
          <w:sz w:val="28"/>
          <w:sz w:val="28"/>
          <w:szCs w:val="28"/>
          <w:rtl w:val="true"/>
          <w:lang w:bidi="fa-IR"/>
        </w:rPr>
        <w:t>النبیّ صلی الله علیه و آله إلی علیّ وفاطمة والحسن والحسین،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وأقرّه الذهبیّ علی ذلک فی التلخیص</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أنّها لمّا نزلت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وابناهما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ما روی عن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رسول الله صلی الله علیه و سلم حسد الناس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رابع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الجنّة أنا وأنت والحسن والحسین، وأزواجنا عن أیماننا وشمائلنا، وذرّیتنا خلف أزواجنا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علی من ظلم أهل بیتی وآذانی فی عترتی</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الرسول صلی الله علیه و سلم أی‌لا أسألکم أجراً إلّاأن تودّوا قرابتی وأهل بیتی کما أمر بإعظامهم ذوی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قول علیّ بن حسین، وعمرو بن شعیب، والسدّی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هؤلاء الذین نودّهم؟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وأبناؤهما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ما روی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النبیّ حسد الناس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رابع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الجنّة أنا وأنت والحسن والحسین، وأزواجنا عن أیماننا وشمائلنا، وذرّیّتنا خلف 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حثّ النبیّ الأکرم صلی الله علیه و آله علی حبّهم وجعل محبّتهم دلیلًا علی محبّته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الحاکم بإسناده إلی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یغدوکم به من نعمه، وأحبّونی لحبّ الله، وأحبّوا أهل بیتی لحبّی</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العینی وابن حجر فی معنی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تحبّونهم لأنّی أحببتهم بحبّ الله تعالی لهم، وقد یکون أمراً بحبّهم؛ لأنّ محبّتهم لهم تصدیق لمحبّتهم للنبیّ صلی الله علیه و سلم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القرطبی فی معرض حدیثه عن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الوصیّة، وهذا التأکید العظیم یقتضی وجوب احترام أهله وإبرارهم، وتوقیرهم ومحبّتهم، وجوب الفروض المؤکّدة التی لا عذر لأحد فی التخلّف عنها، هذا مع ما علم من خصوصیّتهم بالنبیّ صلی الله علیه و آله وبأنّهم جزء منه، فإنّهم اصوله التی نشأ منها، وفروعه التی نشأوا عنه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کثیر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ننکر الوصایة بأهل البیت، والأمر</w:t>
      </w:r>
    </w:p>
    <w:p>
      <w:pPr>
        <w:pStyle w:val="BookText"/>
        <w:rPr/>
      </w:pPr>
      <w:r>
        <w:rPr>
          <w:rFonts w:ascii="IRNazanin" w:hAnsi="IRNazanin" w:eastAsia="IRNazanin"/>
          <w:color w:val="111111"/>
          <w:sz w:val="28"/>
          <w:sz w:val="28"/>
          <w:szCs w:val="28"/>
          <w:rtl w:val="true"/>
          <w:lang w:bidi="fa-IR"/>
        </w:rPr>
        <w:t>بالإحسان إلیهم واحترامهم وإکرامهم، فإنّهم من ذرّیّة طاهرة من أشرف بیت وجد علی وجه الأرض، فخراً وحسباً ونسباً، ولا سیّما إذا کانوا متّبعین للسنّة النبویّة الصحیحة، الواضحة، الجلیّة، کما کان علیه سلفهم، کالعبّاس وبنیه، وعلیّ وأهل بیته وذرّیّته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فالمودّة لأهل البیت علیهم السلام تعتبر ضرورة قرآنیّة عند کلّ مسلم، ومن أنکر هذه الضرورة أنکر آیة من آیات الذکر الحکیم، الذی اتّفق المسلمون علی ضرورته وتواتره، فالإنسان مسلم وإن أنکر الدرجة العلیا من ولایة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اتّباعهم وطاعتهم، إلّاأنّه لا ینکر مودّتهم ومحبّتهم التی أکّدها القرآن الکریم، فإنّه یبقی علی الإسلام ولا یکون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أنکر هذه المودّة والمحبّة التی هی ضرورة قرآنیّة وإسلامیّة، یکون کمن أنکر ضرورةً من ضروریّات الإسلام، وهو موجب للکفر فی حالة العلم بأنّه ضرورة إسلامیّة، ومن ثمّ یکون إنکاره موجباً لتکذیب النبیّ الأکرم صلی الله علیه و آله والقرآن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مودّة ومحبّة أهل البیت علیهم السلام درجة من درجات الولایة، وهی من ضروریّات المسلمین کافّة، وضرورة قرآنیّة، وقد حثّ النبیّ الأکرم صلی الله علیه و آله المسلمین علی الالتزام بها، کما تقدّم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فکلّ مسلم لا یؤمن بإمامة أهل البیت علیهم السلام ولم</w:t>
      </w:r>
      <w:bookmarkStart w:id="222" w:name="pg13703_133775"/>
    </w:p>
    <w:p>
      <w:pPr>
        <w:pStyle w:val="BookText"/>
        <w:rPr/>
      </w:pPr>
      <w:bookmarkEnd w:id="222"/>
      <w:r>
        <w:rPr>
          <w:rFonts w:ascii="Amiri" w:hAnsi="Amiri" w:eastAsia="Amiri" w:cs="Amiri"/>
          <w:color w:val="111111"/>
          <w:sz w:val="28"/>
          <w:sz w:val="28"/>
          <w:szCs w:val="28"/>
          <w:rtl w:val="true"/>
          <w:lang w:bidi="ar-SA"/>
        </w:rPr>
        <w:t>ینکر مودّتهم فهو مسلم، لکنّه لیس شیعیّاً إمامیّاً اثنی عشریّاً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أصل المودّة بالمعنی العامّ لأهل البیت علیهم السلام یعدّ من الضروریّات القرآنیّة والإسلامیّة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جملة الآیات النازلة فی فضائل ومناقب أصحاب الکساء، کآیة المباهلة، وآیة التصدّق بالخاتم، وآیة المبیت، وآیة السبق بالإیمان والهجرة، وآیة مفاضلة الإیمان والجهاد علی سقایة الحاجّ وعمارة المسجد الحرام، ونحوها من الآیات والروایات الشریفة التی تدلّ بوضوح علی أنّ لعلیّ وفاطمة والحسنین علیهم السلام مقاماً وفضائل فی الدین الحنیف والشرع المبین، وأنّهم یجب أن یعظَّموا ویجلُّوا، ولهم حرمة واحترام بمقتضی تلک الفضائل وبحسب درجتها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فالمساس بتلک الکرامة والحرمة والمکانة لهم، تمثّل تجاوزاً علی المقدّسات القرآنیّة والإسلامیّة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یجب علی جمیع المسلمین تشیید هذا الأصل وترویجه والتربیة علیه، لأنّه یکون سبباً للُالفة فیما بینهم، إذ مقتضی وجود المشترکات، هو وجود صیغة الوحدة والاتّحاد علی ضوء تلک المشترکات</w:t>
      </w:r>
      <w:r>
        <w:rPr>
          <w:rFonts w:eastAsia="IRNazanin" w:cs="IRNazanin"/>
          <w:color w:val="111111"/>
          <w:sz w:val="28"/>
          <w:szCs w:val="28"/>
          <w:rtl w:val="true"/>
          <w:lang w:bidi="fa-IR"/>
        </w:rPr>
        <w:t>.</w:t>
      </w:r>
    </w:p>
    <w:p>
      <w:pPr>
        <w:pStyle w:val="Heading4"/>
        <w:numPr>
          <w:ilvl w:val="3"/>
          <w:numId w:val="1"/>
        </w:numPr>
        <w:rPr/>
      </w:pPr>
      <w:bookmarkStart w:id="223" w:name="__RefHeading___Toc1101092_1468164448"/>
      <w:bookmarkStart w:id="224" w:name="_Toc82"/>
      <w:bookmarkEnd w:id="223"/>
      <w:r>
        <w:rPr>
          <w:rtl w:val="true"/>
        </w:rPr>
        <w:t>القاعدة الخامسة</w:t>
      </w:r>
      <w:r>
        <w:rPr>
          <w:rtl w:val="true"/>
        </w:rPr>
        <w:t xml:space="preserve">: </w:t>
      </w:r>
      <w:r>
        <w:rPr>
          <w:rtl w:val="true"/>
        </w:rPr>
        <w:t>ضرورة تنقیح مصادر التراث الإسلامی</w:t>
      </w:r>
      <w:r>
        <w:rPr>
          <w:rtl w:val="true"/>
        </w:rPr>
        <w:t>:</w:t>
      </w:r>
      <w:bookmarkEnd w:id="22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القواعد المقرّرة فی تعالیم الدین هی قاعدة اشتراط الأمانة والعدالة فیمن یؤخذ عنه، سواء کان راویاً أو فقیهاً أو صاحب سیرة أو مفسّراً للقرآن أو محدّثاً أو حافظاً جامعاً للحدیث، أو من أرباب الجرح والتعدیل، أو تابعیّاً</w:t>
      </w:r>
    </w:p>
    <w:p>
      <w:pPr>
        <w:pStyle w:val="BookText"/>
        <w:rPr/>
      </w:pPr>
      <w:r>
        <w:rPr>
          <w:rFonts w:ascii="IRNazanin" w:hAnsi="IRNazanin" w:eastAsia="IRNazanin"/>
          <w:color w:val="111111"/>
          <w:sz w:val="28"/>
          <w:sz w:val="28"/>
          <w:szCs w:val="28"/>
          <w:rtl w:val="true"/>
          <w:lang w:bidi="fa-IR"/>
        </w:rPr>
        <w:t>یؤثر عنه جملة من الآثار فی أبواب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القاعدة من القواعد المهمّة فی الدین، وقد قرّرها الکتاب والسنّة والعقل، فمن الکتاب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واضحة الدلالة فی التحذیر من الأخذ بقول الفاسق فی الموضوعات، فضلًا عن النقل لأحکام الدین، وکذا ما یبلّغه من أحکام الشریعة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الْمَسِیحَ ابْنَ مَرْیَمَ وَ ما أُمِرُوا إِلاّ لِیَعْبُدُوا إِلهاً واحِداً لا إِلهَ إِلاّ هُوَ سُبْحانَهُ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تدلّ علی ذمّ القرآن الکریم لأحبار الیهود والنصاری الذین اشتروا بآیات الله ثمناً قلیلًا، وحرّفوا ما أنزل الله تعالی من البیّنات، وقد ذمّ الله تعالی عوامّ الیهود والنصاری لأخذهم عن علمائهم الذین باعوا دینهم بدنیاهم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الروایات الدالّة علی ذلک،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علَیَّ الکذّابة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حکم العقل والفطرة، فهما قاضیان بقبح الاعتماد علی من لا یؤمَن علی الدنیا، فضلًا عن الدین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شرطیّة العدالة فیمن یؤخذ عنه الدین، فمن أبرز مقوّماتها الإیمان بالله ورسوله وبما جاء به من عنده تعالی والیوم الآخر، والعمل بالواجبات</w:t>
      </w:r>
    </w:p>
    <w:p>
      <w:pPr>
        <w:pStyle w:val="BookText"/>
        <w:rPr/>
      </w:pPr>
      <w:r>
        <w:rPr>
          <w:rFonts w:ascii="IRNazanin" w:hAnsi="IRNazanin" w:eastAsia="IRNazanin"/>
          <w:color w:val="111111"/>
          <w:sz w:val="28"/>
          <w:sz w:val="28"/>
          <w:szCs w:val="28"/>
          <w:rtl w:val="true"/>
          <w:lang w:bidi="fa-IR"/>
        </w:rPr>
        <w:t>وترک المحرّمات، والأخذ بمقرّرات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مودّة أهل البیت علیهم السلام من جملة مقوّمات العدالة</w:t>
      </w:r>
    </w:p>
    <w:p>
      <w:pPr>
        <w:pStyle w:val="BookText"/>
        <w:rPr/>
      </w:pPr>
      <w:r>
        <w:rPr>
          <w:rFonts w:ascii="Amiri" w:hAnsi="Amiri" w:eastAsia="Amiri" w:cs="Amiri"/>
          <w:color w:val="111111"/>
          <w:sz w:val="28"/>
          <w:sz w:val="28"/>
          <w:szCs w:val="28"/>
          <w:rtl w:val="true"/>
          <w:lang w:bidi="ar-SA"/>
        </w:rPr>
        <w:t>من الواضح أنّ مودّة أهل البیت علیهم السلام وترک العداء لهم من أهمّ مقوّمات العدالة، وقد دلّ علی ذلک عدد من النصوص القرآنیّة،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عدّة من النصوص القرآنیّة الدالّة بوضوح علی لزوم مدح وتعظیم وإجلال أهل البیت علیهم السلام، کما فی آیة المباهلة، التطهیر، وسورة الدهر، ونحوها، التی ترسم للمسلمین منهجاً تعلیمیّاً، وتبنی وصیّة قرآنیّة علی حبّ أهل البیت وإجلالهم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فإنّ عدم الموالاة لأهل البیت علیهم السلام فضلًا عن العداء لهم علیهم السلام یعدّ من موجبات الفسق التی تخلّ بعدالة کلّ من یؤخذ عنه الدین، سواء کان راویاً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من شرائط من یؤخذ عنه الدین هو مودّة أهل البیت علیهم السلام وترک العداء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تتّضح ضرورة تنقیح التراث الإسلامیّ وفق هذه القاعدة، وهی اشتراط العدالة المتقوّمة بمودّة أهل البیت علیهم السلام وترک مناوءتهم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یتّضح لزوم الفحص والتنقیب عن سیرة وسلوک وموقف کلّ من یؤخذ عنه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أهل البیت علیهم السلام وفضائلهم وذکرهم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ونبذ کلّ من کان متحاملًا ومبغضاً وناصباً للعداء لأهل البیت علیهم السلام، سواء فی سیرته أو أقواله وکلماته، فلا یجوز الاعتداد بمثل هؤلاء بقول أو رأی، ولا یحتجّ بهم فی</w:t>
      </w:r>
      <w:bookmarkStart w:id="225" w:name="pg13703_133778"/>
    </w:p>
    <w:p>
      <w:pPr>
        <w:pStyle w:val="BookText"/>
        <w:rPr/>
      </w:pPr>
      <w:bookmarkEnd w:id="225"/>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ینبغی الاجتناب أیضاً عن کلّ من یتبنّی مقالة فاسدة تسالم المسلمون علی بطلانها، کما هو الحال فی المجسّمة والمجبّرة؛ لأنّ التبنّی لمقالة تسالم المسلمون علی فسادها، یعدّ من موجبات الفسق</w:t>
      </w:r>
      <w:r>
        <w:rPr>
          <w:rFonts w:eastAsia="IRNazanin" w:cs="IRNazanin"/>
          <w:color w:val="111111"/>
          <w:sz w:val="28"/>
          <w:szCs w:val="28"/>
          <w:rtl w:val="true"/>
          <w:lang w:bidi="fa-IR"/>
        </w:rPr>
        <w:t>.</w:t>
      </w:r>
    </w:p>
    <w:p>
      <w:pPr>
        <w:pStyle w:val="Heading4"/>
        <w:numPr>
          <w:ilvl w:val="3"/>
          <w:numId w:val="1"/>
        </w:numPr>
        <w:rPr/>
      </w:pPr>
      <w:bookmarkStart w:id="226" w:name="__RefHeading___Toc1101094_1468164448"/>
      <w:bookmarkStart w:id="227" w:name="_Toc83"/>
      <w:bookmarkEnd w:id="226"/>
      <w:r>
        <w:rPr>
          <w:rtl w:val="true"/>
        </w:rPr>
        <w:t>اسس نظام الوحدة الاسلامیة وضماناتها</w:t>
      </w:r>
      <w:r>
        <w:rPr>
          <w:rtl w:val="true"/>
        </w:rPr>
        <w:t>:</w:t>
      </w:r>
      <w:bookmarkEnd w:id="227"/>
    </w:p>
    <w:p>
      <w:pPr>
        <w:pStyle w:val="Heading5"/>
        <w:numPr>
          <w:ilvl w:val="4"/>
          <w:numId w:val="1"/>
        </w:numPr>
        <w:rPr/>
      </w:pPr>
      <w:bookmarkStart w:id="228" w:name="__RefHeading___Toc1101096_1468164448"/>
      <w:bookmarkStart w:id="229" w:name="_Toc84"/>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لعلّ التجدید لإحیاء عدالة الدین والإصلاح فی مدرسة ونهج أهل البیت علیهم السلام سبق زمانه، فإنّ اطروحته الإصلاحیّة کانت تختلف عن اتّجاهات الإصلاح، وتیّاراته المعاصرة له، سواء الدینیّة أو القومیّة العربیّة، أو التحرّریّة الوطنیّة، فإنّ مجموع أنشطته الرائدة واتّصالاته وخطاباته، تعطی انطباعاً أنّه انفتح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حوار الأدیان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حوار 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حوار الدول والنُّظُم، وهی أعمدة العولمة الحدیثة، کما أنّ مبادئه التی کان ینطلق منها،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الصلح والأمن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الکرامة الإنسانیّة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الأخلاقیّة العامّة المشترکة فی الفطرة البشریّة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سمة ملحوظة فی نهج مدرسة أهل البیت علیهم السلام أنّه امتاز عن بیئة</w:t>
      </w:r>
      <w:bookmarkStart w:id="230" w:name="pg13703_133779"/>
    </w:p>
    <w:p>
      <w:pPr>
        <w:pStyle w:val="BookText"/>
        <w:rPr/>
      </w:pPr>
      <w:bookmarkEnd w:id="230"/>
      <w:r>
        <w:rPr>
          <w:rFonts w:ascii="IRNazanin" w:hAnsi="IRNazanin" w:eastAsia="IRNazanin"/>
          <w:color w:val="111111"/>
          <w:sz w:val="28"/>
          <w:sz w:val="28"/>
          <w:szCs w:val="28"/>
          <w:rtl w:val="true"/>
          <w:lang w:bidi="fa-IR"/>
        </w:rPr>
        <w:t>الحرکات الإصلاحیّة الوطنیّة، والقومیّة، والعربیّة، والشیوعیّة، حیث کان یطرح محاور هی أقرب شیء من عولمة العدالة والمساواة، وودة النظام العالمی، فقد کان أسبق من زمانه، والسرّ فی ذلک هو نبع أفکاره من تسویة البشر فی العبودیّة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أن ندرس هذه المعالم فی هذه المدرسة الإلهیّة التی صبغت الحرکة الإصلاحیّة، فعلینا أن نقرأ بعض المحاور المهمّة المعلمیّة الموهّلة لهذه المدرسة، للریادة فی الإصلاح، والوحدة فی افق السلام والعدل والتوحید، وذلک عبر اسس</w:t>
      </w:r>
      <w:r>
        <w:rPr>
          <w:rFonts w:eastAsia="IRNazanin" w:cs="IRNazanin"/>
          <w:color w:val="111111"/>
          <w:sz w:val="28"/>
          <w:szCs w:val="28"/>
          <w:rtl w:val="true"/>
          <w:lang w:bidi="fa-IR"/>
        </w:rPr>
        <w:t>:</w:t>
      </w:r>
    </w:p>
    <w:p>
      <w:pPr>
        <w:pStyle w:val="Heading5"/>
        <w:numPr>
          <w:ilvl w:val="4"/>
          <w:numId w:val="1"/>
        </w:numPr>
        <w:rPr/>
      </w:pPr>
      <w:bookmarkStart w:id="231" w:name="__RefHeading___Toc1101098_1468164448"/>
      <w:bookmarkStart w:id="232" w:name="_Toc85"/>
      <w:bookmarkEnd w:id="231"/>
      <w:r>
        <w:rPr>
          <w:rtl w:val="true"/>
        </w:rPr>
        <w:t>الأوّل</w:t>
      </w:r>
      <w:r>
        <w:rPr>
          <w:rtl w:val="true"/>
        </w:rPr>
        <w:t xml:space="preserve">: </w:t>
      </w:r>
      <w:r>
        <w:rPr>
          <w:rtl w:val="true"/>
        </w:rPr>
        <w:t>ضمان الوحدة</w:t>
      </w:r>
      <w:r>
        <w:rPr>
          <w:rtl w:val="true"/>
        </w:rPr>
        <w:t>:</w:t>
      </w:r>
      <w:bookmarkEnd w:id="23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مع القناعة المخالفة القطعیّة التی هی فوق الاجتهاد، وذلک أنّ الکثیر من اطروحات التقریب الوحدویّة بین المذاهب والنِّحل تبنی وحدتها فی ظلّ أنّ القناعات ظنّیّة واجتهادیّة وقابلة للصواب والخطأ، أومحدودة؛ إذ أنّ هناک جدلیّة تقول بأنّه مع التعایش فلا یفتح باب الحوار، وأنّه مع الحوار لا تعایش؛ لأنّ الحوار یعدم التعایش، والتعایش یعدم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الحوار مصدر تشنّج وفتنة، ومع الظنّیّة فلا تقاطع مع القناعات الاخری، فلا تضمن الوحدة الالفة بین الجماعات المختلفة لو کانت القناعات قطعیّة فی أنظار المقتنعین بها، فلم یعطوا ضمانة للوحدة والتعایش والالفة المدنیّة لو کانت القناعة غیر ظنّیّة فی رؤیة صاحب المذهب أو النِّحلة المعیّنة، وکانت یقینیّة فی تصوّره، کما أنّهم لم یعطوا البناء الرصین للوحدة والالفة التعایشیّة لو کانت تترتّب علی قناعته‌النجاة أو الهلاک</w:t>
      </w:r>
      <w:bookmarkStart w:id="233" w:name="pg13703_133780"/>
    </w:p>
    <w:p>
      <w:pPr>
        <w:pStyle w:val="BookText"/>
        <w:rPr/>
      </w:pPr>
      <w:bookmarkEnd w:id="233"/>
      <w:r>
        <w:rPr>
          <w:rFonts w:ascii="IRNazanin" w:hAnsi="IRNazanin" w:eastAsia="IRNazanin"/>
          <w:color w:val="111111"/>
          <w:sz w:val="28"/>
          <w:sz w:val="28"/>
          <w:szCs w:val="28"/>
          <w:rtl w:val="true"/>
          <w:lang w:bidi="fa-IR"/>
        </w:rPr>
        <w:t>الاخرویّ، ولو حسب زعمه وتصوّراته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یؤمن نهج أهل البیت علیهم السلام ویعطی الضمانة بحقن الدماء رغم ذلک، والتعایش الالفویّ المدنیّ، ولو کان الاختلاف فی البنی القطعیّة فی رؤی الأنظار وبزعم البرهان والضرورة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نجده مضموناً ومتوفّراً فی أی‌مذهب أو نحلة اخری؛ ذلک لأنّ الدم الإنسانیّ ولو مع اعتناقه الأباطیل، محقون عن القتل والسفک إلّامع عدوانه وإقدامه علی المواجهة المسلّحة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الجهاد الابتدائی، فإنّه لأسلمة النظام السیاسیّ لا الإجبار علی أسلمة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أی‌لأسلمة النظام العادل لإنقاذ المستضعفین والمضطهدین، وأکبر شاهد علی هذه القاعدة فی ضرورة مدرسة أهل البیت علیهم السلام أنّ الأسیر لا یقتل بعد وضع الحرب أوزارها وتوقّف الاقتتال، ولو کان وثنیّاً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هو تفسیر آیات الأسیر عندهم، وهو ممّا یدلّ علی أنّ الدم الإنسانیّ ممنوع عن سفکه إلّامع عدوانه المسلّح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نجده فی المذاهب الإسلامیّة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نجده فی سیرة علیّ علیه السلام مع مناوئیه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مفارقة عظیمة فی المسار بین مدرسة أهل البیت علیهم السلام والمدارس الاخری، وهو ممّا یؤهّلها لحمل ریادة العولمة المتّحدة الإنسانیّة</w:t>
      </w:r>
      <w:r>
        <w:rPr>
          <w:rFonts w:eastAsia="IRNazanin" w:cs="IRNazanin"/>
          <w:color w:val="111111"/>
          <w:sz w:val="28"/>
          <w:szCs w:val="28"/>
          <w:rtl w:val="true"/>
          <w:lang w:bidi="fa-IR"/>
        </w:rPr>
        <w:t>.</w:t>
      </w:r>
    </w:p>
    <w:p>
      <w:pPr>
        <w:pStyle w:val="Heading5"/>
        <w:numPr>
          <w:ilvl w:val="4"/>
          <w:numId w:val="1"/>
        </w:numPr>
        <w:rPr/>
      </w:pPr>
      <w:bookmarkStart w:id="234" w:name="__RefHeading___Toc1101100_1468164448"/>
      <w:bookmarkStart w:id="235" w:name="_Toc86"/>
      <w:bookmarkEnd w:id="234"/>
      <w:r>
        <w:rPr>
          <w:rtl w:val="true"/>
        </w:rPr>
        <w:t>الثانی</w:t>
      </w:r>
      <w:r>
        <w:rPr>
          <w:rtl w:val="true"/>
        </w:rPr>
        <w:t xml:space="preserve">: </w:t>
      </w:r>
      <w:r>
        <w:rPr>
          <w:rtl w:val="true"/>
        </w:rPr>
        <w:t>العدالة والعدل</w:t>
      </w:r>
      <w:r>
        <w:rPr>
          <w:rtl w:val="true"/>
        </w:rPr>
        <w:t>:</w:t>
      </w:r>
      <w:bookmarkEnd w:id="23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من الاسس الضروریّة التی تبتنی علیها الوحدة؛ العدل کما قالت الزهراء علیها السلام فی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تنسیق القلوب</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أی‌أنّ القلوب</w:t>
      </w:r>
    </w:p>
    <w:p>
      <w:pPr>
        <w:pStyle w:val="BookText"/>
        <w:rPr/>
      </w:pPr>
      <w:r>
        <w:rPr>
          <w:rFonts w:ascii="IRNazanin" w:hAnsi="IRNazanin" w:eastAsia="IRNazanin"/>
          <w:color w:val="111111"/>
          <w:sz w:val="28"/>
          <w:sz w:val="28"/>
          <w:szCs w:val="28"/>
          <w:rtl w:val="true"/>
          <w:lang w:bidi="fa-IR"/>
        </w:rPr>
        <w:t>لا تتناسق بالوحدة ولا تتّسق، ولا یوجد بینها نسق واحدٍ والفة إلّابالعدل، فإنّه مع الظلم لا یرجی الوئام، بل هو منشأ التشاحن والتدافع والتحارب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والغرابة ممّن یتصوّر بنحو معکوس، وأنّه لأجل الوحدة یلزم أن نفدی ونضحّی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التأکید علی الوحدة یسدّ الطریق علی المطالبة بالعدل والإنصاف فی الحقوق المدنیّة التعایشیّة، والحال أنّه یجب لأجل الوحدة أن نقیم العدل لا أن نغمض الطرف عنه، ولا یسوغ باسم الوحدة بین الأدیان أو المذاهب، مصادرة الحقوق الإنسانیّة، أو التهمة والطعن بالطائفیّة علی من یناشد حقوقه، أو الرمی بالتعصّب علی المطالبة بالاستحقاقات، ولا تدافع بین الوحدة والمطالبة بالعدالة بین الطوائف والمذاهب، فالوحدة مبنیّة علی العدل والعدالة، ولا تبنی علی الحیف والبخس لأحد الطرفین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اتّضحت أهمّیّة العدل، فلا بدّ من الالتفات إلی أنّ مدرسة أهل البیت علیهم السلام قد جعلت من العدل أصلًا، ومن اصول الدیانة، وهو مؤشّر لمدی أهمّیّته علی حذو بقیّة اصول الدین، ممّا یجعل هذا النهج هو المؤهّل لریادة الوحدة البشریّة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والعدل ضامنٌ أساس لاستمرار الوحدة وبقائها، وقد أنبأ القرآن الکریم بهذه الخصوصیّة الریادیّة لأهل البیت علیهم السلام من أنّهم الوحیدون المؤهلّون لإقامة الوحدة البشریّة دون غیرهم، أنبأ بذلک فی ملحمة قرآنیّة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w:t>
      </w:r>
      <w:bookmarkStart w:id="236" w:name="pg13703_133782"/>
    </w:p>
    <w:p>
      <w:pPr>
        <w:pStyle w:val="BookText"/>
        <w:rPr/>
      </w:pPr>
      <w:bookmarkEnd w:id="236"/>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فبیّنت الآیة أنّ أموال الأرض وثرواتها، المعبّر عنها بالفیء، هو بید الله وبید رسوله وذی القربی تدبیره وإدارة صرفه علی الطبقات المحرومة، وأنّ العلّة فی إسناد الصلاحیّة والولایة لهم، هو إقامة العدل فی الأرض لکی لا تکون ثروات الأرض دولةً متداولةً فی حکر الأغنیاء والاقطاعیّین، فالآیة تنبأ عن ملحمة، وهی أنّ العدالة لم ولن ولا تقام فی الأرض إلّاعلی ید قربی النبیّ صلی الله علیه و آله، وبالتالی فلن تکون هناک وحدة بشریّة ینعم بها البشر، إلّابأهل البیت علیهم السلام</w:t>
      </w:r>
      <w:r>
        <w:rPr>
          <w:rFonts w:eastAsia="IRNazanin" w:cs="IRNazanin"/>
          <w:color w:val="111111"/>
          <w:sz w:val="28"/>
          <w:szCs w:val="28"/>
          <w:rtl w:val="true"/>
          <w:lang w:bidi="fa-IR"/>
        </w:rPr>
        <w:t>.</w:t>
      </w:r>
    </w:p>
    <w:p>
      <w:pPr>
        <w:pStyle w:val="Heading5"/>
        <w:numPr>
          <w:ilvl w:val="4"/>
          <w:numId w:val="1"/>
        </w:numPr>
        <w:rPr/>
      </w:pPr>
      <w:bookmarkStart w:id="237" w:name="__RefHeading___Toc1101102_1468164448"/>
      <w:bookmarkStart w:id="238" w:name="_Toc87"/>
      <w:bookmarkEnd w:id="237"/>
      <w:r>
        <w:rPr>
          <w:rtl w:val="true"/>
        </w:rPr>
        <w:t>الثالث</w:t>
      </w:r>
      <w:r>
        <w:rPr>
          <w:rtl w:val="true"/>
        </w:rPr>
        <w:t xml:space="preserve">: </w:t>
      </w:r>
      <w:r>
        <w:rPr>
          <w:rtl w:val="true"/>
        </w:rPr>
        <w:t>تقدیس جمیع الأنبیاء علیهم السلام</w:t>
      </w:r>
      <w:r>
        <w:rPr>
          <w:rtl w:val="true"/>
        </w:rPr>
        <w:t>:</w:t>
      </w:r>
      <w:bookmarkEnd w:id="238"/>
    </w:p>
    <w:p>
      <w:pPr>
        <w:pStyle w:val="BookText"/>
        <w:rPr/>
      </w:pPr>
      <w:r>
        <w:rPr>
          <w:rFonts w:ascii="IRNazanin" w:hAnsi="IRNazanin" w:eastAsia="IRNazanin"/>
          <w:color w:val="111111"/>
          <w:sz w:val="28"/>
          <w:sz w:val="28"/>
          <w:szCs w:val="28"/>
          <w:rtl w:val="true"/>
          <w:lang w:bidi="fa-IR"/>
        </w:rPr>
        <w:t>بأعلی مکانة من تقدیس أتباعهم لهم، فإنّ فی مدرسة أهل البیت علیهم السلام ینزّه الأنبیاء عن الصغائر، فضلًا عن الکبائر، ولا یوجد نِحلة أو مذهب ینزّههم بهذه الدرجة، فینزّه موسی علیه السلام بأنزه ممّا ینسبه إلیه الیهود، وینزّه عیسی ومریم بأنزه ممّا ینزّههما النصاری، وهکذا الحال فی آدم، ونوح، وإبراهیم، وإسماعیل، وإسحاق، ویعقوب، ویوسف، ویحیی، وبقیّة الأنبیاء علیهم السلام، فیعظم جمیع رموز الدیانات الإلهیّة والسماویّة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لا تجده فی المذاهب الإسلامیّة الاخری ولا فی أتباع الدیانات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خصیصة فریدة فی مدرسة أهل البیت علیهم السلام مؤهلّة لریادتها للوحدة الأدیانیّة</w:t>
      </w:r>
      <w:r>
        <w:rPr>
          <w:rFonts w:eastAsia="IRNazanin" w:cs="IRNazanin"/>
          <w:color w:val="111111"/>
          <w:sz w:val="28"/>
          <w:szCs w:val="28"/>
          <w:rtl w:val="true"/>
          <w:lang w:bidi="fa-IR"/>
        </w:rPr>
        <w:t>.</w:t>
      </w:r>
      <w:bookmarkStart w:id="239" w:name="pg13703_133783"/>
    </w:p>
    <w:p>
      <w:pPr>
        <w:pStyle w:val="Heading5"/>
        <w:numPr>
          <w:ilvl w:val="4"/>
          <w:numId w:val="1"/>
        </w:numPr>
        <w:rPr/>
      </w:pPr>
      <w:bookmarkStart w:id="240" w:name="__RefHeading___Toc1101104_1468164448"/>
      <w:bookmarkStart w:id="241" w:name="_Toc88"/>
      <w:bookmarkEnd w:id="239"/>
      <w:bookmarkEnd w:id="240"/>
      <w:r>
        <w:rPr>
          <w:rtl w:val="true"/>
        </w:rPr>
        <w:t>الرابع</w:t>
      </w:r>
      <w:r>
        <w:rPr>
          <w:rtl w:val="true"/>
        </w:rPr>
        <w:t xml:space="preserve">: </w:t>
      </w:r>
      <w:r>
        <w:rPr>
          <w:rtl w:val="true"/>
        </w:rPr>
        <w:t>إنّ الوحدة لا تتمّ إلا بالمحبّة والمودّة</w:t>
      </w:r>
      <w:r>
        <w:rPr>
          <w:rtl w:val="true"/>
        </w:rPr>
        <w:t>:</w:t>
      </w:r>
      <w:bookmarkEnd w:id="241"/>
    </w:p>
    <w:p>
      <w:pPr>
        <w:pStyle w:val="BookText"/>
        <w:rPr/>
      </w:pPr>
      <w:r>
        <w:rPr>
          <w:rFonts w:ascii="Amiri" w:hAnsi="Amiri" w:eastAsia="Amiri" w:cs="Amiri"/>
          <w:color w:val="111111"/>
          <w:sz w:val="28"/>
          <w:sz w:val="28"/>
          <w:szCs w:val="28"/>
          <w:rtl w:val="true"/>
          <w:lang w:bidi="ar-SA"/>
        </w:rPr>
        <w:t>وإلّا کیف یتصوّر وحدة والفة بدون محبّة ومودّة، وقد جعل القرآن محور وقطب المحبّة والمودّة هو أهل البیت علیهم السلام ومودّتهم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فالقرآن یسطّر ملحمة ونبوءة أنّه لم ولن ولا تتحقّق مودّة تأتلف علیها البشریّة إلّا بمحوریّة المودّة فی أهل البیت علیهم السلام،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فِی الْقُرْبی، ولم 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مودّة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أی‌جعل أجر الرسالة بحصر المودّة المرکزیّة المحوریّة فی أهل البیت علیهم السلام، فالمجیء بلفظة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مفاد الحصر أنّ الآیة فی صدد أصل افتراض مودّتهم، بل فی مورد حصر المودّة العلیا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أمیر المؤمنین علیّ علیه السلام فی بیان أهمّیّة مودّتهم لحصول الالفة، وبالتالی الوحدة والقوّة والتقدّم التمدّنی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بِحالِ وَلَدِ إِسْماعِیلَ وَبَنی إِسْحاقَ وَبَنی إِسْرائِیلَ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 الْأَحْوالِ، وَأَقْرَبَ اشْتِباهَ الْأَمْثالِ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تَأَمَّلُوا أَمْرَهُمْ فی حَالِ تَشَتُّتِهِمْ وَتَفَرُّقِهِمْ، لَیالِیَ کَانَتِ الْأَکاسِرَةُ والْقَیاصِرَةُ أَرْباباً لَهُمْ، یَحْتازُونَهُمْ عَنْ رِیفِ الْآفاقِ، وَبَحْرِ الْعِراقِ، وَخُضْرَةِ الدُّنْیا، إِلَی مَنابِتِ الشِّیحِ، وَمَهافی الرِّیحِ، وَنَکَدِ الْمَعاش، فَتَرَکُوهُمْ عالَةً مَساکِینَ إِخْوانَ دَبَرٍ وَوَبَرٍ أَذَلَّ الْأُمَمِ داراً، وَأَجْدَبَهُمْ قَرَاراً، لَایَأْؤونَ إِلَی جَنَاحِ دَعْوَةٍ یَعْتَصِمُونَ بِهَا، وَلَا إِلَی ظِلِّ أُلْفَةٍ یَعْتَمِدُونَ عَلَی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فَالْأَحْوَالُ مُضْطَرِبَةٌ، وَالْأَیْدِی</w:t>
      </w:r>
    </w:p>
    <w:p>
      <w:pPr>
        <w:pStyle w:val="BookText"/>
        <w:rPr/>
      </w:pPr>
      <w:r>
        <w:rPr>
          <w:rFonts w:ascii="Amiri" w:hAnsi="Amiri" w:eastAsia="Amiri" w:cs="Amiri"/>
          <w:color w:val="111111"/>
          <w:sz w:val="28"/>
          <w:sz w:val="28"/>
          <w:szCs w:val="28"/>
          <w:rtl w:val="true"/>
          <w:lang w:bidi="ar-SA"/>
        </w:rPr>
        <w:t>مُخْتَلِفَةٌ، والْکَثْرَةُ مُتَفَرِّقَةٌ؛ فی بَلَاءِ أَزْلٍ، وَأَطْباقِ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مَوْؤُودَةٍ، وَأَصْنامٍ مَعْبُودَةٍ، وَأَرْحامٍ مَقْطُوعَةٍ، وَغارَاتٍ مَشْنُونَةٍ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إِلَی مَواقِعِ نِعَمِ الله عَلَیْهِمْ حِینَ بَعَثَ إِلَیْهِمْ رَسُولًا، فَعَقَدَ بِمِلَّتِهِ طاعَتَهُمْ، وَجَمَعَ عَلَی دَعْوَتِهِ أُلْفَتَهُمْ؛ کَیْفَ نَشَرَتِ النِّعْمَةُ عَلَیْهِمْ جَناحَ کَرامَتِها، وَأَسالَتْ لَهُمْ جَدَاوِلَ نَعِیمِها، وَالْتَفَّتِ الْمِلَّةُ بِهِمْ فی عَوَائِدِ بَرَکَتِها، فَأَصْبَحُوا فی نِعْمَتِهَا غَرِقِینَ، وَفی خُضْرَةِ عَیْشِهَا فَکِهِینَ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تَرَبَّعَتِ الْأُمُورُ بِهِمْ، فی ظِلِّ سُلْطانٍ قاهِرٍ، وَآوَتْهُمُ الْحالُ إِلَی کَنَفِ عِزٍّ غالِبٍ، وَتَعَطَّفَتِ الْأُمُورُ عَلَیْهِمْ فی ذُرَی مُلْکٍ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حُکّامٌ عَلَی الْعالَمِینَ، وَمُلُوکٌ فی أَطْرافِ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یَمْلِکُونَ الْأُمُورَ عَلَی مَنْ کانَ یَمْلِکُها عَلَیْهِمْ، وَیُمْضُونَ الْأَحْکامَ فِیمَنْ کانَ یُمْضِیها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تُغْمَزُ لَهُمْ قَناةٌ وَلَا تُقْرَعُ لَهُمْ 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لَاوَإِنَّکُمْ قَدْ نَفَضْتُمْ أَیْدِیَکُمْ مِنْ حَبْلِ الطّاعَةِ، وَثَلَمْتُمْ حِصْنَ الله الْمَضْرُوبَ عَلَیْکُمْ، بَأَحْکَامِ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امْتَنَّ عَلَی جَماعَةِ هذِهِ الْأُمَّةِ فِیَما عَقَدَ بَیْنَهُمْ مِنْ حَبْلِ هذِهِ الْأُلْفَةِ الَّتی یَنْتَقِلُونَ فی ظِلِّها، وَیَأْوُونَ إَلَی کَنَفِهَا، بِنِعْمَةِ لَایَعْرِفُ أَحَدٌ مِنَ الَمخْلُوقِینَ لَهَا قِیمَةً، لِأَنَّها أَرْجَحُ مِنْ کُلِّ ثَمَنٍ، وَأَجَلُّ مِنْ کُلِّ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 نَّکُمْ صِرْتُمْ بَعْدَ الْهِجْرَةِ أَعْراباً، وَبَعْدَ الْمُوالَاةِ أَحْزاباً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تَتَعَلَّقُونَ مِنَ الْإِسْلَامِ إِلَّا بِاسْمِهِ، وَلَا تَعْرِفُونَ مِنَ الْإِیمانِ إِلَّا رَسْمَهُ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یشیر إلی أنّ الفة الامّة لا تتمّ إلّابهم علیهم السلام وبموالاتهم،</w:t>
      </w:r>
    </w:p>
    <w:p>
      <w:pPr>
        <w:pStyle w:val="BookText"/>
        <w:rPr/>
      </w:pPr>
      <w:r>
        <w:rPr>
          <w:rFonts w:ascii="IRNazanin" w:hAnsi="IRNazanin" w:eastAsia="IRNazanin"/>
          <w:color w:val="111111"/>
          <w:sz w:val="28"/>
          <w:sz w:val="28"/>
          <w:szCs w:val="28"/>
          <w:rtl w:val="true"/>
          <w:lang w:bidi="fa-IR"/>
        </w:rPr>
        <w:t>وإلّا فیؤول حال الامّة إلی التشتّت أحزاباً، وإلی التعرّب، وأنّ الهجرة عن التعرّب لا تتحقّق إلّابالتعلّق بمودّتهم وموالاتهم علیهم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کلّ ما مرّت الإشارة الیه یتبیّن أنّه لا توجد بوتقة جامعة للوحدة، وبیئة ململمة لوحدة الصفّ الإنسانیّ أجمع، کمدرسة أهل البیت علیهم السلام، فلو أجرینا مقارنة لا بهدف التعصّب الطائفی والأدیانی، فلا نجد هذه الخصائص والاسس لإرساء صرح الوحدة فی الأدیان الاخری، لعدم اعترافها بالنبیّ الخاتم صلی الله علیه و آله کما لا نجدها فی المذاهب الإسلامیّة لعدم خطورة أصل العدالة والعدل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لدیهم، ولعدم إمکان الملاءمة عندهم بین القناعة الضروریّة القطعیّة، وبین حقن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الکرامة الإنسانیّة والصلح والأمن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مع الملل الاخری أو مع المذاهب الإسلامیّة الاخری، وهذا بخلاف الحال فی مدرسة أهل البیت علیهم السلام، وغیرها من الفوارق التی مرّت الإشارة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یتّضح أنّ الضمانة الوحیدة للوحدة، وهی العولمة الصحیحة فی النظام البشریّ لا توجد إلّافی هذه المدرسة، فلا إقامة لُاصول شعارات البشریّة العصریّة من دون هذه المدرسة، ویظهر أنّ العولمة الوحدویّة الإنسانیّة الحدیثة لا تجد بیئتها إلّافی مدرستهم علیهم السلام</w:t>
      </w:r>
      <w:r>
        <w:rPr>
          <w:rFonts w:eastAsia="IRNazanin" w:cs="IRNazanin"/>
          <w:color w:val="111111"/>
          <w:sz w:val="28"/>
          <w:szCs w:val="28"/>
          <w:rtl w:val="true"/>
          <w:lang w:bidi="fa-IR"/>
        </w:rPr>
        <w:t>.</w:t>
      </w:r>
      <w:bookmarkStart w:id="242" w:name="pg13703_133787"/>
    </w:p>
    <w:p>
      <w:pPr>
        <w:pStyle w:val="Heading3"/>
        <w:numPr>
          <w:ilvl w:val="2"/>
          <w:numId w:val="1"/>
        </w:numPr>
        <w:rPr/>
      </w:pPr>
      <w:bookmarkStart w:id="243" w:name="__RefHeading___Toc1101106_1468164448"/>
      <w:bookmarkStart w:id="244" w:name="_Toc89"/>
      <w:bookmarkEnd w:id="242"/>
      <w:bookmarkEnd w:id="243"/>
      <w:r>
        <w:rPr>
          <w:rtl w:val="true"/>
        </w:rPr>
        <w:t>الفصل الثانی</w:t>
      </w:r>
      <w:r>
        <w:rPr>
          <w:rtl w:val="true"/>
        </w:rPr>
        <w:t xml:space="preserve">: </w:t>
      </w:r>
      <w:r>
        <w:rPr>
          <w:rtl w:val="true"/>
        </w:rPr>
        <w:t>فی نظام التقریب والحوار والاتحاد</w:t>
      </w:r>
      <w:bookmarkEnd w:id="244"/>
    </w:p>
    <w:p>
      <w:pPr>
        <w:pStyle w:val="Heading4"/>
        <w:numPr>
          <w:ilvl w:val="3"/>
          <w:numId w:val="1"/>
        </w:numPr>
        <w:rPr/>
      </w:pPr>
      <w:bookmarkStart w:id="245" w:name="__RefHeading___Toc1101108_1468164448"/>
      <w:bookmarkStart w:id="246" w:name="_Toc90"/>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التقریب هو عملیّة فتح باب الحوار والمداولة الفکریّة بصورة مستمرّة، وعدم سدّ باب الحوار فی جمیع الظروف، لأجل توسعة دائرة الوفاق الفکریّ، وتقلیص دائرة الاختلاف والتفرّق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یعرّف التقریب أنّه نظام تقنین وترسیم للحقوق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نتائج التقریب هو الاتّحاد، والوصول إلی محاور فکریّة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الاختلافات بین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اختلافات ظنّیّة؟</w:t>
      </w:r>
    </w:p>
    <w:p>
      <w:pPr>
        <w:pStyle w:val="BookText"/>
        <w:rPr/>
      </w:pPr>
      <w:r>
        <w:rPr>
          <w:rFonts w:ascii="IRNazanin" w:hAnsi="IRNazanin" w:eastAsia="IRNazanin"/>
          <w:color w:val="111111"/>
          <w:sz w:val="28"/>
          <w:sz w:val="28"/>
          <w:szCs w:val="28"/>
          <w:rtl w:val="true"/>
          <w:lang w:bidi="fa-IR"/>
        </w:rPr>
        <w:t xml:space="preserve">من الملاحظ أنّ جملة من دعاة الوحدة الإسلامیّة من الفرق والمذاهب الإسلامیّة المختلفة، ومن باب الحرص منهم علی حقن الدماء والحفاظ علی الوحدة فیما بین المسلمین، وحذراً منهم علی عدم وقوع التکفیر بین فرق المسلمین، ذهبوا إلی أنّ کلّ الاختلافات المذهبیّة العقدیّة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الأحکام الفرعیّة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اجتهادات واستنباطات ظنّیّة، وتأویلات استظهاریّة، فالمذهبیّة والتمذهب، رؤیة ظنّیّة، وفهم اجتهادیّ عند جملة من روّاد الوحدة والتقریب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فأصل المذهبیّة عندهم مبنیّ علی الظنّ، وقد تابع آخرون هذا التنظیر والتأطیر لهذه القاعدة، وذهبوا إلی أنّ الاختلاف بین الإمام علیّ علیه السلام والطرف</w:t>
      </w:r>
    </w:p>
    <w:p>
      <w:pPr>
        <w:pStyle w:val="BookText"/>
        <w:rPr/>
      </w:pPr>
      <w:r>
        <w:rPr>
          <w:rFonts w:ascii="IRNazanin" w:hAnsi="IRNazanin" w:eastAsia="IRNazanin"/>
          <w:color w:val="111111"/>
          <w:sz w:val="28"/>
          <w:sz w:val="28"/>
          <w:szCs w:val="28"/>
          <w:rtl w:val="true"/>
          <w:lang w:bidi="fa-IR"/>
        </w:rPr>
        <w:t>الآخر، هو اختلاف فی فهم الإسلام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هذه القاعدة،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ما دام ظنّیّاً، فهو لا یهدّد الوحدة، بخلاف ما لو کان الاختلاف قطعیّاً بحسب قناعة المختلفین؛ إذ الاختلاف القطعیّ مستلزم للتکفیر؛ وذلک لأجل إخراج من یخالف القطعیّ عن دائرة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اعترض غیر واحد من المذاهب الإسلامیّة علی علماء الإمامیّة، لا سیّما من یتبنّی منهم شعار الوحدة بین المسلمین، بأنّ الدعوة إلی الوحدة والالتزام بها لا ینسجم مع القول بأنّ إمامة أهل البیت علیهم السلام من اصول الدین الاعتقادیّة، وأنّ أدلّتها لیست قطعیّة بتنصیص الوحی الإلهیّ، لأنّ ذلک یستلزم خروج بقیّة فِرق المسلمین عن الإسلام، حسب وجهة النظر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الأسباب وراء القول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الاختلافات بین المذاهب اجتهادات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التصوّر والتنظیر بقواعد نظام الدین والمذهب، وتبنّی الوحدة الإسلامیّة، ناشئ من عدم التنقیح العمیق للقواعد الدینیّة الشرعیّة المشترکة المتّفق علیها بین مذاهب المسلمین، ولعدم التفطّن لقواعد المعرفة الدینیّة المتّفق علیها بین المسلمین أیضاً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الواضح أنّه لیس کلّ اختلاف قطعیّ یترتّب علیه الحکم بکفر المخالف لذلک الأمر القطعیّ؛ لأنّ الخروج عن الإسلام إنّما یکون بإنکار الشهادتین، وإنکار الضروریّ المتّفق علیه بین المسلمین من دون شبهة فی</w:t>
      </w:r>
    </w:p>
    <w:p>
      <w:pPr>
        <w:pStyle w:val="BookText"/>
        <w:rPr/>
      </w:pPr>
      <w:r>
        <w:rPr>
          <w:rFonts w:ascii="IRNazanin" w:hAnsi="IRNazanin" w:eastAsia="IRNazanin"/>
          <w:color w:val="111111"/>
          <w:sz w:val="28"/>
          <w:sz w:val="28"/>
          <w:szCs w:val="28"/>
          <w:rtl w:val="true"/>
          <w:lang w:bidi="fa-IR"/>
        </w:rPr>
        <w:t>البین، فإنّ هذه الضابطة متّفق علیها بین المحقّقین من علماء المذاهب الإسلامیّة، ولا یعتنی بالشذّاذ منهم، کما مرّ تنقیح ضابطة الکفر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فإنّ مجرّد الاختلاف القطعیّ، بل الیقینیّ، لا یترتّب علیه الحکم بردّة أو کفر المخالف لذلک الأمر المتیقّن، إذ لیس کلّ أمر قطعیّ أو یقینی شرطاً فی تحقّق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اتّضحت هذه القاعدة المهمّة، یتّضح علی ضوئها القول بأنّ الاختلافات المذهبیّة، وإن کانت مبنیّة علی قناعات قطعیّة عند کلّ أصحاب المذاهب، إلّاأنّها لا توجب هدم أساس الوحدة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ربط للاختلافات القطعیّة بین المذاهب الإسلامیّة بالحکم بالإسلام وعدمه کما تقدّم، فیمکن أن یکون الاختلاف بین مذهب وآخر اختلاف قطعیّ لا ظنّی، ومع ذلک یحکم بإسلامهما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السبیل إلی إرساء الوحدة الإسلامیّة وتشییدها والمحافظة علی بنیتها، متوقّفاً علی القول بأنّ الاختلافات المذهبیّة اختلافات ظنّیّة، بل نظام الوحدة یتلاءم مع الاختلافات فی الرؤی والقناعات القطعیّة والیقینیّة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لا تنافی بین تبنّی أیّ مذهب من المذاهب الإسلامیّة أمراً، کأصل اعتقادیّ قطعیّ یمتاز به عن المذاهب الإسلامیّة الاخری التی تتبنّی اصولًا اعتقادیّةً اخری تتبنّی قطعیّات ویقینیّات وضرورات مذهبیّة اخری تمتاز بها، فإنّ ذلک لا یصدّع الاصول الاعتقادیّة المشترکة التی یبتنی علیها ظاهر الإسلام، فکما أنّ الإمامیّة تتبنّی إمامة أهل البیت علیهم السلام کأصل اعتقادیّ،</w:t>
      </w:r>
    </w:p>
    <w:p>
      <w:pPr>
        <w:pStyle w:val="BookText"/>
        <w:rPr/>
      </w:pPr>
      <w:r>
        <w:rPr>
          <w:rFonts w:ascii="IRNazanin" w:hAnsi="IRNazanin" w:eastAsia="IRNazanin"/>
          <w:color w:val="111111"/>
          <w:sz w:val="28"/>
          <w:sz w:val="28"/>
          <w:szCs w:val="28"/>
          <w:rtl w:val="true"/>
          <w:lang w:bidi="fa-IR"/>
        </w:rPr>
        <w:t>ففی نفس الوقت نلاحظ کذلک جملة من المذاهب الإسلامیّة الاخری أیضاً تتبنّی إمامة الشیخین وزعامة الصحابة کأصل اعتقادیّ وضرورة مذهبیّة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کلّه لا یستلزم تکفیر أحدهما الآخر، وذلک للاتّفاق بین المسلمین من أهل العلم والتحقیق والتحصیل من علماء المذاهب علی تقسیم الاصول الاعتقادیّة إلی اصول الدین بحسب ظاهر الإسلام، وإلی اصول الدین بحسب حقیقة الإیمان، وهو ما یعبّر عنها باصول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فالتعدّد المذهبیّ وإن کان مبنیّاً علی اصول اعتقادیّة یقینیّة إلّاأنّ ذلک الاختلاف یحتضنه صدر الإسلام الرحب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فرق بین الإسلام وبین الإیمان، ولذا نجد أنّ کلّ مذهب من المذاهب الإسلامیّة یشترط شروطاً خاصّة فی الإیمان تختلف عن شروط الإسلام، وقد أجمعت الفرق والمذاهب الإسلامیّة علی أنّ مناط الرضا الإلهی متقوّم بالإیمان لا الإسلام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بعض الشواهد الدالّة علی ذلک من کلمات أعلام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 قبول الأعمال هو الإیمان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عاشور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جعله الله شرطاً فی قبول الأعمال</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المناوی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الأعمال بالنیّات وإنّ کلّ من فعل خیراً ریاءً وسمعةً،</w:t>
      </w:r>
    </w:p>
    <w:p>
      <w:pPr>
        <w:pStyle w:val="BookText"/>
        <w:rPr/>
      </w:pPr>
      <w:r>
        <w:rPr>
          <w:rFonts w:ascii="IRNazanin" w:hAnsi="IRNazanin" w:eastAsia="IRNazanin"/>
          <w:color w:val="111111"/>
          <w:sz w:val="28"/>
          <w:sz w:val="28"/>
          <w:szCs w:val="28"/>
          <w:rtl w:val="true"/>
          <w:lang w:bidi="fa-IR"/>
        </w:rPr>
        <w:t>لم یستحقّ به من الله أجراً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موضع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العمل الصالح لا یقبل إلّامع التوحید والإیمان</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مناط ومیزان الرضا الإلهیّ إنّما هو بالإیمان القلبیّ، ولیس مناطه ظاهر الإسلام فقط، فالرضا الإلهی مرتبط بما یدخل القلب وما یلامسه من اعتقادات، أمّا ظاهر الإسلام فهو یحصل بمجرّد التلفّظ بالشهادتین، ولو مع عدم الاعتقاد القلبیّ،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فی توصیات مشروع الوحدة والتقریب، هو التأکید علی أنّ قطعیّة الخلاف لا تهدم الوحدة، ولا تتناقض مع الحکم بإسلام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القاعدة بنّاءة ومهمّة فی مشروع الوحدة، یجب التأکید علیها والتثقیف علیها ونشرها فی أوساط عموم المسلمین، درءاً لنار التکفیر، واستباحة دماء المسلمین وأعراضهم وأموالهم، وهدر حقوقهم الدینیّة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الحرص علی الوحدة والمحافظة علیها، یتوقّف ویستدعی ترسیخ هذه القاعدة الشریفة، والإقرار علیها درءاً للفتنة بین المسلمین، وحیطة من نشوب الحروب بین المذاهب الإسلامیّة، علی عکس التنظیر الذی یذهب إلی أنّ الاختلافات بین المذاهب کلّها اختلافات ظنّیّة، فإنّ مثل هذا التنظیر لقاعدة من قواعد الدین، سوف یهدّد الوحدة الإسلامیّة، ولا یؤمّن بناءها ولا بقاءها؛ وذلک لأنّ أتباع المذاهب من علماء ونخب، من الذین توصّلوا</w:t>
      </w:r>
    </w:p>
    <w:p>
      <w:pPr>
        <w:pStyle w:val="BookText"/>
        <w:rPr/>
      </w:pPr>
      <w:r>
        <w:rPr>
          <w:rFonts w:ascii="IRNazanin" w:hAnsi="IRNazanin" w:eastAsia="IRNazanin"/>
          <w:color w:val="111111"/>
          <w:sz w:val="28"/>
          <w:sz w:val="28"/>
          <w:szCs w:val="28"/>
          <w:rtl w:val="true"/>
          <w:lang w:bidi="fa-IR"/>
        </w:rPr>
        <w:t xml:space="preserve">إلی قناعات 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رؤیتهم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یرون أنفسهم فیما یتبنّون من مسار مذهبیّ أنّه مسار ظنّیّ ومنهاج اجتهادیّ، فکیف یرون أنفسهم ملتزمین ببناء الوحدة حینئذٍ علی وفق مقولة أنّ المذهبیّة والتمذهب رؤیة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بناءً علی تلک المقولة، یلزم اندفاع أصحاب المذاهب وتحریضهم وإغرائهم إلی نشوء المعاداة والتکفیر لبعضهم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فأصحاب هذه المقولة من دعاة الوحدة، بقدر ما هم حریصون علی إرساء الوحدة، إلّاأنّهم بهذه الرؤیة قد أخفقوا فی ترسیم هذه القاعدة المهمّة من قواعد الوحدة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تکون رؤیتهم وتقریرهم لهذه المقولة القائلة إنّ الاختلافات اجتهادیّة ظنّیّة، أن تکون من موجبات الفرقة والنزاع، بدلًا من کونها داعمة للوحدة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 أنّ ما قرّرناه لهذه القاعدة من أنّ الاعتقادات القطعیّة والیقینیّة لکلّ مذهب من المذاهب لا یعنی ولا تستلزم تکفیر أحدها للآخر، هو الذی یکون کفیلًا بضمان الوحدة الإسلامیّة؛ لأنّها قائمة علی أساس الواقع والحقیقة، کما تقدّم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یتّضح بطلان الکثیر من مقولات التقریب بین المذاهب التی تتّکئ فی تبنّیها للوحدة، علی المقولة القائلة بأنّ جمیع الاختلافات بین المذاهب، اختلافات ظنّیّة اجتهادیّة قابلة للصواب والخطأ؛ إذ أنّ هذه المقولة لا تضمن الوحدة والالفة بین الجماعات المختلفة؛ لأنّ جملة من الاعتقادات التی تتبنّاها</w:t>
      </w:r>
      <w:bookmarkStart w:id="247" w:name="pg13703_133793"/>
    </w:p>
    <w:p>
      <w:pPr>
        <w:pStyle w:val="BookText"/>
        <w:rPr/>
      </w:pPr>
      <w:bookmarkEnd w:id="247"/>
      <w:r>
        <w:rPr>
          <w:rFonts w:ascii="IRNazanin" w:hAnsi="IRNazanin" w:eastAsia="IRNazanin"/>
          <w:color w:val="111111"/>
          <w:sz w:val="28"/>
          <w:sz w:val="28"/>
          <w:szCs w:val="28"/>
          <w:rtl w:val="true"/>
          <w:lang w:bidi="fa-IR"/>
        </w:rPr>
        <w:t>المذاهب الإسلامیّة، هی اعتقادات قطعیّة حسب رؤیتها تعلو علی درجة الاجتهاد والظنّ فی نظر معتنقیها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یتبیّن قوّة ما بیّناه سابقاً من أنّ الضمانة الحقیقیّة للوحدة وحقن الدماء، تکمن فیما قرّرناه من القاعدة السابقة من أنّ الدخول بالإسلام بالتشهّد بالشهادتین، یحقن الدماء، علی الرغم من الإیمان بوجود الاختلافات القطعیّة</w:t>
      </w:r>
      <w:r>
        <w:rPr>
          <w:rFonts w:eastAsia="IRNazanin" w:cs="IRNazanin"/>
          <w:color w:val="111111"/>
          <w:sz w:val="28"/>
          <w:szCs w:val="28"/>
          <w:rtl w:val="true"/>
          <w:lang w:bidi="fa-IR"/>
        </w:rPr>
        <w:t>.</w:t>
      </w:r>
    </w:p>
    <w:p>
      <w:pPr>
        <w:pStyle w:val="Heading4"/>
        <w:numPr>
          <w:ilvl w:val="3"/>
          <w:numId w:val="1"/>
        </w:numPr>
        <w:rPr/>
      </w:pPr>
      <w:bookmarkStart w:id="248" w:name="__RefHeading___Toc1101110_1468164448"/>
      <w:bookmarkStart w:id="249" w:name="_Toc91"/>
      <w:bookmarkEnd w:id="248"/>
      <w:r>
        <w:rPr>
          <w:rtl w:val="true"/>
        </w:rPr>
        <w:t>أصالة حقن الدم الإنسانی</w:t>
      </w:r>
      <w:r>
        <w:rPr>
          <w:rtl w:val="true"/>
        </w:rPr>
        <w:t>:</w:t>
      </w:r>
      <w:bookmarkEnd w:id="249"/>
    </w:p>
    <w:p>
      <w:pPr>
        <w:pStyle w:val="BookText"/>
        <w:rPr/>
      </w:pPr>
      <w:r>
        <w:rPr>
          <w:rFonts w:ascii="IRNazanin" w:hAnsi="IRNazanin" w:eastAsia="IRNazanin"/>
          <w:color w:val="111111"/>
          <w:sz w:val="28"/>
          <w:sz w:val="28"/>
          <w:szCs w:val="28"/>
          <w:rtl w:val="true"/>
          <w:lang w:bidi="fa-IR"/>
        </w:rPr>
        <w:t>وممّا ینبغی الإشارة إلیه هو أنّ القاعدة الإسلامیّة، لا سیّما عند مذهب أهل البیت علیهم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الدم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الدم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 اعتناقه الأباطیل، محقون عن القتل، إلّامع عدوانه وإقدامه علی المواجهة المسلّحة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مع وجود الدعوة للجهاد الابتدائی عند المسلمین؟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من تشریع الجهاد الابتدائی هی لأجل أسلمة النظام السیاسیّ، ولیس لأجل الإجبار علی أسلمة العقائد، فالجهاد الابتدائی هو لإنقاذ المستضعفین المضطهدین المحرومین، لا إکراه الناس علی الدخول بالإسلام والإیمان، ولعلّ من أبرز الشواهد علی ذلک، هو عدم جواز قتل الأسیر بعد وضع الحرب أوزارها، ولو کان وثنیّاً، وهذا یدلّ علی أنّ الدم الإنسانی محترم، ولا یجوز سفکه إلّامع العدوان المسلّح، وهذا ما لا نجده فی المذاهب الإسلامیّة الاخری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حصر طریق الوحدة بالقول بأنّ الاختلاف بین المذاهب ظنّیّ، هو</w:t>
      </w:r>
      <w:bookmarkStart w:id="250" w:name="pg13703_133794"/>
    </w:p>
    <w:p>
      <w:pPr>
        <w:pStyle w:val="BookText"/>
        <w:rPr/>
      </w:pPr>
      <w:bookmarkEnd w:id="250"/>
      <w:r>
        <w:rPr>
          <w:rFonts w:ascii="IRNazanin" w:hAnsi="IRNazanin" w:eastAsia="IRNazanin"/>
          <w:color w:val="111111"/>
          <w:sz w:val="28"/>
          <w:sz w:val="28"/>
          <w:szCs w:val="28"/>
          <w:rtl w:val="true"/>
          <w:lang w:bidi="fa-IR"/>
        </w:rPr>
        <w:t>فی الحقیقة سبب للإثارة والفرقة وتأجیج النزاع، أکثر من کونه موجباً لإرساء التآلف والتوحّد؛ وذلک لأنّ هذه الرؤیة لا تقدّم معالجة موضوعیّة سلیمة للواقع الراهن عند أتباع المذاهب من کون القناعات والاعتقادات قطعیّة جزمیّة، کما یراها أصحابها، وبالتالی لا یرون مثل هذا الخطاب بذلک الاطار من مقالة الوحدة علاجاً وبناءً یتوخّی بناء التعایش والالفة فی ظلّ الواقع الراهن والمعطیات القطعیّة بالتحامل علی الآخرین ممّن یخالفوهم علی إخراجهم من ربقة الإسلام</w:t>
      </w:r>
      <w:r>
        <w:rPr>
          <w:rFonts w:eastAsia="IRNazanin" w:cs="IRNazanin"/>
          <w:color w:val="111111"/>
          <w:sz w:val="28"/>
          <w:szCs w:val="28"/>
          <w:rtl w:val="true"/>
          <w:lang w:bidi="fa-IR"/>
        </w:rPr>
        <w:t>.</w:t>
      </w:r>
    </w:p>
    <w:p>
      <w:pPr>
        <w:pStyle w:val="Heading4"/>
        <w:numPr>
          <w:ilvl w:val="3"/>
          <w:numId w:val="1"/>
        </w:numPr>
        <w:rPr/>
      </w:pPr>
      <w:bookmarkStart w:id="251" w:name="__RefHeading___Toc1101112_1468164448"/>
      <w:bookmarkStart w:id="252" w:name="_Toc92"/>
      <w:bookmarkEnd w:id="251"/>
      <w:r>
        <w:rPr>
          <w:rtl w:val="true"/>
        </w:rPr>
        <w:t>هل الحوار یقاطع الوحدة؟</w:t>
      </w:r>
      <w:bookmarkEnd w:id="252"/>
    </w:p>
    <w:p>
      <w:pPr>
        <w:pStyle w:val="BookText"/>
        <w:rPr/>
      </w:pPr>
      <w:r>
        <w:rPr>
          <w:rFonts w:ascii="IRNazanin" w:hAnsi="IRNazanin" w:eastAsia="IRNazanin"/>
          <w:color w:val="111111"/>
          <w:sz w:val="28"/>
          <w:sz w:val="28"/>
          <w:szCs w:val="28"/>
          <w:rtl w:val="true"/>
          <w:lang w:bidi="fa-IR"/>
        </w:rPr>
        <w:t>الوحدة التعایشیّة الإسلامیّة لا تتقاطع مع فتح باب الحوار ولو کان فی دائرة الاختلافات القطعیّة والمواضیع الحسّاسة المختلف فیها، فیما إذا کان الحوار بلغة هادئة متوازنة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فلیس من الصحیح ما یردّده بعض روّاد الوحدة من ضرورة إسدال الستار علی کلّ الملفّات التی نشأ منها التعدّد والاختلاف، والسعی لطیّ تلک المباحث ورمیها فی خانة النسیان، بذریعة أنّ الخوض فی تلک المباحث، والمداولة فی تلک الامور الحاصلة فی تلک الحقب التاریخیّة، أو التنقیب عن المواقف التاریخیّة، سوف یسبّب إثارة الکراهیة والحسّاسیّة وتأجیج للصراع الداخلیّ، 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وسیلة لدرء الفتنة هو إخماد الحدیث عن تلک المواضیع، والترکیز علی نقاط الاشتراک؛ لأنّه وحده الذی یضمن الوحدة والالفة والتلاحم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إلّاأنّنا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ذکروه وإن کان متّجهاً منطقیّاً فی جملة من بنوده، حیث أنّ طبیعة النفس الإنسانیّة کلّما ذکّرت بمناشئ الالفة ألفت، وکلّما استذکرت بشیء من مناشئ الفرقة ازدادت نفرة وتباعداً، إلّاأنّ ذلک لیس هو تمام العلاج السلیم؛ وذلک لأنّ هذه المواضیع من الاختلافات فی الاعتقاد والتبنّی، قد تنفجر فی یوم ما، ومن ثمّ یکون التغافل عنها من رأس،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الذین تبنّوا الاختلافات بین المذاهب الإسلامیّة، کلّها اختلافات اجتهادیّة، قد انساقوا من حیث یشعرون أو لا یشعرون إلی القول بإنکار وجود ثوابت مذهبیّة خاصّة بکلّ مذهب، أی‌الثوابت الثابتة بدرجة الیقین من وجهة نظر کلّ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نشأ عند البعض تعریف جدید للإیمان، وهو الإقرار القلبیّ بضروریّات الإسلام المشترکة بین المذاهب الإسلامیّة من دون دخل لشیء وراء تلک المشترکات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الذی دفعهم لهذا القول هو تصوّرهم بأنّ هذا هو الطریق المؤدّی إلی الإصلاح والوحدة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إلّاأنّ هذا القول لیس فقط لا یؤدّی إلی الإصلاح والوحدة، بل ینتج نتائج عکسیّة خطیرة تهدّد وحدة النِّحلة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هو أنّ مقولة البعض القائلة بأنّ الاختلافات المذهبیّة راجعة إلی اختلافات اجتهادیّة ظنّیّة، سوف تدفع بطوائف المسلمین إلی امور خطیرة،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التغریر والإیهام بطوائف المسلمین، بأن یسلب کلّ طرف صفة الإسلام عن الطوائف الاخری؛ نتیجة ما تراه تلک الطائفة وما تتبنّاه من ثوابت عقائدیّة خاصّة فوق مرتبة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الابتعاد عن وحدة النحلة الإسلامیّة، بإیهام أنّ الوحدة لا تتمّ إلّا بإلغاء الثوابت المذهبیّة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یتّضح الخلل فی الکثیر من اطروحات التقریب والوحدة التی تبتنی وحدتها علی ضوء المقولة القائلة بأنّ القناعات ظنّیّة واجتهادیّة، وقابلة للصواب والخطأ، أو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جدلیّة قائمة تقول بأنّه مع التعایش لا یفتح باب الحوار، أو أنّه مع الحوار لا تعایش؛ لأنّ الحوار یثیر الفتن والتشنّجات ممّا یفضی إلی تقویض أرضیّة التعایش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أنّ الحوار لا یتقاطع مع التعایش إذا کان مبنیّاً علی الاسس الأخلاقیّة الصحیحة فی الحوار الهادف العلمیّ، وبعیداً عن السیاسات المبرمجة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فإنّ ضمان الوحدة والالفة بین المسلمین لا یتوقّف علی حصر الاختلاف فی القناعات الظنّیّة الاجتهادیّة، ونفی الاختلاف فی القناعات القطعیّة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الذی دعا هؤلاء إلی الذهاب إلی مثل هذه المقولات هو عدم استطاعتهم بناء رؤیة رصینة للوحدة والالفة التعایشیّة، تتکیّف مع وجود الاختلافات فی الرؤی القطعیّة، التی یترتّب علیها أمر النجاة من الهلاک الاخرویّ بحسب قناعة کلّ مذهب أو فرقة</w:t>
      </w:r>
      <w:r>
        <w:rPr>
          <w:rFonts w:eastAsia="IRNazanin" w:cs="IRNazanin"/>
          <w:color w:val="111111"/>
          <w:sz w:val="28"/>
          <w:szCs w:val="28"/>
          <w:rtl w:val="true"/>
          <w:lang w:bidi="fa-IR"/>
        </w:rPr>
        <w:t>.</w:t>
      </w:r>
      <w:bookmarkStart w:id="253" w:name="pg13703_133797"/>
    </w:p>
    <w:p>
      <w:pPr>
        <w:pStyle w:val="BookText"/>
        <w:rPr/>
      </w:pPr>
      <w:bookmarkEnd w:id="253"/>
      <w:r>
        <w:rPr>
          <w:rFonts w:ascii="IRNazanin" w:hAnsi="IRNazanin" w:eastAsia="IRNazanin"/>
          <w:color w:val="111111"/>
          <w:sz w:val="28"/>
          <w:sz w:val="28"/>
          <w:szCs w:val="28"/>
          <w:rtl w:val="true"/>
          <w:lang w:bidi="fa-IR"/>
        </w:rPr>
        <w:t xml:space="preserve">ونظیر هذا الاتّجاه ما ذهبت إلیه العلمانیّة الغربیّة من القول بأنّ السلم المدنی لا یمکن مع التوجّه الدینی، إذ الالتزام بالصبغة الدینیّة یؤدّی إلی إثارة الفتن والحروب بین أتباع الأدیان، والسبب فی ذلک هو حکم أتباع کلّ دین علی أصحاب الدیانات الاخری، بالهلاک الاخرویّ، وهذا یعنی مشروعیّة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فهمهم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ما تقدّم من فساد وبطلان مثل هذه المقولات التی تتوهّم التلازم بین التخطئة للآخرین والقناعة بالمخالفة القطعیّة، وبین هدر الدم؛ إذ المجازاة الاخرویّة هی من صلاحیّة دیّان یوم الدین، أمّا فی دار الدنیا فهی هدنة تعایش مدنی بصبغة ونیّة مشترکة</w:t>
      </w:r>
      <w:r>
        <w:rPr>
          <w:rFonts w:eastAsia="IRNazanin" w:cs="IRNazanin"/>
          <w:color w:val="111111"/>
          <w:sz w:val="28"/>
          <w:szCs w:val="28"/>
          <w:rtl w:val="true"/>
          <w:lang w:bidi="fa-IR"/>
        </w:rPr>
        <w:t>.</w:t>
      </w:r>
    </w:p>
    <w:p>
      <w:pPr>
        <w:pStyle w:val="Heading4"/>
        <w:numPr>
          <w:ilvl w:val="3"/>
          <w:numId w:val="1"/>
        </w:numPr>
        <w:rPr/>
      </w:pPr>
      <w:bookmarkStart w:id="254" w:name="__RefHeading___Toc1101114_1468164448"/>
      <w:bookmarkStart w:id="255" w:name="_Toc93"/>
      <w:bookmarkEnd w:id="254"/>
      <w:r>
        <w:rPr>
          <w:rtl w:val="true"/>
        </w:rPr>
        <w:t>أهداف التقریب</w:t>
      </w:r>
      <w:r>
        <w:rPr>
          <w:rtl w:val="true"/>
        </w:rPr>
        <w:t>:</w:t>
      </w:r>
      <w:bookmarkEnd w:id="255"/>
    </w:p>
    <w:p>
      <w:pPr>
        <w:pStyle w:val="BookText"/>
        <w:rPr/>
      </w:pPr>
      <w:r>
        <w:rPr>
          <w:rFonts w:ascii="IRNazanin" w:hAnsi="IRNazanin" w:eastAsia="IRNazanin"/>
          <w:color w:val="111111"/>
          <w:sz w:val="28"/>
          <w:sz w:val="28"/>
          <w:szCs w:val="28"/>
          <w:rtl w:val="true"/>
          <w:lang w:bidi="fa-IR"/>
        </w:rPr>
        <w:t>یمکن تلخیص أهداف وغایات التقریب بالنقاط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المحافظة علی الضروریّات المشترکة، والحیلولة دون تمرّد أو مصادرة أیّ فئة لتلک الضروریّات المشترکة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حرمة الدم والأموال والأعراض وما قد یعبّر عنه بالحرمة المدنیّة والتعایش السلمیّ، والانتصاف فی الحقوق المدنیّة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المدنیّة لکلّ الطوائف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المسلمین فیما بینهم علی متبنّیات ومعتقدات ورؤی کلّ مذهب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تعبئة الطاقات للاهتمام بالعمل من أجل حمایة المصالح الإسلامیّة المشترکة، وتظافر الجهود فی مواصلة بناء النهضة وما فیه مصلحة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الحرمة المدنیّة وعدم التفریط فی حقّ المواطَنة للمسلم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التشنّج فی لغة الحوار، وعدم إثارة الطرف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إحیاء دَور الاستشارة والمشارکة فی الحکم، ونبذ الاستبداد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عدم التسلیم مع الطرف الآخر فی الامور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ینبغی الإشارة إلیه فی سیاق الهدف الأوّل والخامس هو وجود هجمة غربیّة تجاه المقدّسات الإسلامیّة، ومحاولة تغییر الأحکام الإسلامیّة الثابتة والنیل من شخصیّة الرسول صلی الله علیه و آله، والطعن فی القرآن الکریم، وقد تعدّدت أسالیبهم فی ذلک، وتمکّنوا من التأثیر علی الطبقات المثقّفة من المسلمین، وتزریق الأفکار السامّة فی أذهانهم، والتشکیک والإثارات المضادّة تجاه دینهم، بل إنّهم فی صدد محاولة جادّة لتصویر الدین الإسلامیّ بالشکل الذی یشبه المسیحیّة والکنیسة، فی حصرها فی دائرة الطقوس الفردیّة والعلاقة بین الفرد وخالقه، وإنّها علاقة روحیّة لا تمتدّ إلی النظام الاجتماعیّ والسیاسیّ وبقیّة المجالات، ولو أجرینا مسحاً میدانیّاً للأحکام الدینیّة المستهدفة، والتی تعدّ من المسلّمات الإسلامیّة الثابتة عند جمیع المسلمین، لتوفّرنا علی أنّ عدداً کبیراً من هذه المحاولات هدفه طمس الأحکام الإسلامیّة، کما فی طعنهم فی الحجاب الإسلامی وعفاف المرأة، والاستهانة بالاسرة وعلائق الأرحام، وغیر ذلک من المحاولات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الطعن فی حرمة الربا، وفی حرمة جملة من الفواحش والمنکرات</w:t>
      </w:r>
      <w:r>
        <w:rPr>
          <w:rStyle w:val="FootnoteAnchor"/>
          <w:rtl w:val="true"/>
        </w:rPr>
        <w:footnoteReference w:id="229"/>
      </w:r>
      <w:r>
        <w:rPr>
          <w:rFonts w:ascii="IRNazanin" w:hAnsi="IRNazanin" w:eastAsia="IRNazanin"/>
          <w:color w:val="111111"/>
          <w:sz w:val="28"/>
          <w:sz w:val="28"/>
          <w:szCs w:val="28"/>
          <w:rtl w:val="true"/>
          <w:lang w:bidi="fa-IR"/>
        </w:rPr>
        <w:t>،</w:t>
      </w:r>
      <w:bookmarkStart w:id="256" w:name="pg13703_133799"/>
    </w:p>
    <w:p>
      <w:pPr>
        <w:pStyle w:val="BookText"/>
        <w:rPr/>
      </w:pPr>
      <w:bookmarkEnd w:id="256"/>
      <w:r>
        <w:rPr>
          <w:rFonts w:ascii="IRNazanin" w:hAnsi="IRNazanin" w:eastAsia="IRNazanin"/>
          <w:color w:val="111111"/>
          <w:sz w:val="28"/>
          <w:sz w:val="28"/>
          <w:szCs w:val="28"/>
          <w:rtl w:val="true"/>
          <w:lang w:bidi="fa-IR"/>
        </w:rPr>
        <w:t>مضافاً إلی طعنهم بحرمة وقدسیّة القرآن، کما فی</w:t>
      </w:r>
    </w:p>
    <w:p>
      <w:pPr>
        <w:pStyle w:val="BookText"/>
        <w:rPr/>
      </w:pPr>
      <w:r>
        <w:rPr>
          <w:rFonts w:ascii="IRNazanin" w:hAnsi="IRNazanin" w:eastAsia="IRNazanin"/>
          <w:color w:val="111111"/>
          <w:sz w:val="28"/>
          <w:sz w:val="28"/>
          <w:szCs w:val="28"/>
          <w:rtl w:val="true"/>
          <w:lang w:bidi="fa-IR"/>
        </w:rPr>
        <w:t>مطالبتهم بحذف آیات الجهاد، بذریعة کون الجهاد یعدّ لوناً من ألوان الإرهاب العدوانیّ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من آلیّات أعداء الإسلام هو خلق طوائف وفرق ومذاهب تنتحل الإسلام، لا سیّما فی الآونة الأخیرة، کالقادیانیّة والبهائیّة التی تتبنّی إنکار جملة من ضروریّات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هذه الظروف، وانطلاقاً من الواجب الشرعیّ والدینیّ المشترک، یتحتّم التصدّی لهذه الهجمة الثقافیّة والحضاریّة والسیاسیّة، من خلال تنسیق وتوحید المواقف المشترکة لجمیع الفرق الإسلامیّة، والاصطفاف الفکریّ ببلورة متّفق علیها مع المطالبة بقوّة من قِبل الأنظمة الإسلامیّة باتّخاذ مواقف حازمة حیال هذه الممارسات</w:t>
      </w:r>
      <w:r>
        <w:rPr>
          <w:rFonts w:eastAsia="IRNazanin" w:cs="IRNazanin"/>
          <w:color w:val="111111"/>
          <w:sz w:val="28"/>
          <w:szCs w:val="28"/>
          <w:rtl w:val="true"/>
          <w:lang w:bidi="fa-IR"/>
        </w:rPr>
        <w:t>.</w:t>
      </w:r>
    </w:p>
    <w:p>
      <w:pPr>
        <w:pStyle w:val="Heading4"/>
        <w:numPr>
          <w:ilvl w:val="3"/>
          <w:numId w:val="1"/>
        </w:numPr>
        <w:rPr/>
      </w:pPr>
      <w:bookmarkStart w:id="257" w:name="__RefHeading___Toc1101116_1468164448"/>
      <w:bookmarkStart w:id="258" w:name="_Toc94"/>
      <w:bookmarkEnd w:id="257"/>
      <w:r>
        <w:rPr>
          <w:rtl w:val="true"/>
        </w:rPr>
        <w:t>أهمّ القواعد فی نظام التقریب</w:t>
      </w:r>
      <w:r>
        <w:rPr>
          <w:rtl w:val="true"/>
        </w:rPr>
        <w:t>:</w:t>
      </w:r>
      <w:bookmarkEnd w:id="258"/>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مذاهب للمسلمین فی عصر النبیّ صلی الله علیه و آله نموذج تعایشی موحّد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تجاذب الحدیث عند الباحثین عن سبب ظهور المذاهب فی دین الإسلام، وسبب منشأ هذه الظاهرة، وهل أنّ الحال فی عهد الرسول صلی الله علیه و آله بحیث کان المسلمون علی شاکلة واحدة ومنهاج واحد، ثمّ بعد وفاته صلی الله علیه و آله</w:t>
      </w:r>
    </w:p>
    <w:p>
      <w:pPr>
        <w:pStyle w:val="BookText"/>
        <w:rPr/>
      </w:pPr>
      <w:r>
        <w:rPr>
          <w:rFonts w:ascii="IRNazanin" w:hAnsi="IRNazanin" w:eastAsia="IRNazanin"/>
          <w:color w:val="111111"/>
          <w:sz w:val="28"/>
          <w:sz w:val="28"/>
          <w:szCs w:val="28"/>
          <w:rtl w:val="true"/>
          <w:lang w:bidi="fa-IR"/>
        </w:rPr>
        <w:t>اختلفوا واجتهدوا فتعدّدت اجتهاداتهم واختلفت آرائهم، وبعد ذلک جاءت الأجیال من بعدهم فواصلت تلک الاختلافات والاجتهادات وازدادت کثرةً إلی عصرنا الحاضر؟</w:t>
      </w:r>
    </w:p>
    <w:p>
      <w:pPr>
        <w:pStyle w:val="BookText"/>
        <w:rPr/>
      </w:pPr>
      <w:r>
        <w:rPr>
          <w:rFonts w:ascii="IRNazanin" w:hAnsi="IRNazanin" w:eastAsia="IRNazanin"/>
          <w:color w:val="111111"/>
          <w:sz w:val="28"/>
          <w:sz w:val="28"/>
          <w:szCs w:val="28"/>
          <w:rtl w:val="true"/>
          <w:lang w:bidi="fa-IR"/>
        </w:rPr>
        <w:t>أمّ أنّ ظاهرة التعدّد المذهبیّ کانت فی عصر الرسالة وفی حیاة الرسول صلی الله علیه و آله؟</w:t>
      </w:r>
    </w:p>
    <w:p>
      <w:pPr>
        <w:pStyle w:val="BookText"/>
        <w:rPr/>
      </w:pPr>
      <w:r>
        <w:rPr>
          <w:rFonts w:ascii="IRNazanin" w:hAnsi="IRNazanin" w:eastAsia="IRNazanin"/>
          <w:color w:val="111111"/>
          <w:sz w:val="28"/>
          <w:sz w:val="28"/>
          <w:szCs w:val="28"/>
          <w:rtl w:val="true"/>
          <w:lang w:bidi="fa-IR"/>
        </w:rPr>
        <w:t>وإلی جانب هذا التساؤل ینبثق تساؤل آخر یتمحور ویترکّز علی بیان المراد من التعدّد فی المذاهب، وهل المراد من التعدّد هو التعدّد فی الفروع النظریّة الظنّیّة؟ أم أنّ التعدّد فی الفروع الیقینیّة، وإن لم تکن ضروریّة عند الجمیع؟</w:t>
      </w:r>
    </w:p>
    <w:p>
      <w:pPr>
        <w:pStyle w:val="BookText"/>
        <w:rPr/>
      </w:pPr>
      <w:r>
        <w:rPr>
          <w:rFonts w:ascii="IRNazanin" w:hAnsi="IRNazanin" w:eastAsia="IRNazanin"/>
          <w:color w:val="111111"/>
          <w:sz w:val="28"/>
          <w:sz w:val="28"/>
          <w:szCs w:val="28"/>
          <w:rtl w:val="true"/>
          <w:lang w:bidi="fa-IR"/>
        </w:rPr>
        <w:t>أم أنّ التعدّد فی المذهبیّة هو فی جملة من المعتقدات غیر ما اتّفق علیه؟</w:t>
      </w:r>
    </w:p>
    <w:p>
      <w:pPr>
        <w:pStyle w:val="BookText"/>
        <w:rPr/>
      </w:pPr>
      <w:r>
        <w:rPr>
          <w:rFonts w:ascii="IRNazanin" w:hAnsi="IRNazanin" w:eastAsia="IRNazanin"/>
          <w:color w:val="111111"/>
          <w:sz w:val="28"/>
          <w:sz w:val="28"/>
          <w:szCs w:val="28"/>
          <w:rtl w:val="true"/>
          <w:lang w:bidi="fa-IR"/>
        </w:rPr>
        <w:t>وإن کان التعدّد فی المعتقدات النظریّة، فهل ینحصر الاختلاف فی الظنّیّات، أم یشمل المعتقدات الیقینیّة التی لم تصل إلی درجة البدیهیّة عند الکلّ؟</w:t>
      </w:r>
    </w:p>
    <w:p>
      <w:pPr>
        <w:pStyle w:val="BookText"/>
        <w:rPr/>
      </w:pPr>
      <w:r>
        <w:rPr>
          <w:rFonts w:ascii="IRNazanin" w:hAnsi="IRNazanin" w:eastAsia="IRNazanin"/>
          <w:color w:val="111111"/>
          <w:sz w:val="28"/>
          <w:sz w:val="28"/>
          <w:szCs w:val="28"/>
          <w:rtl w:val="true"/>
          <w:lang w:bidi="fa-IR"/>
        </w:rPr>
        <w:t>وعلی أی تقدیر، لا ریب أنّ المشهود من تعدّد مذاهب المسلمین، حاصل فی الفروع، کما هو حاصل فی المعتقدات أیضاً، کالمذهب الشیعیّ الإثنی عشریّ، والمذهب المعتزلیّ، والأشعریّ، والمذهب السلفیّ، والمذهب الصوفیّ، وغیرها من المذاهب التی یؤول الخلاف فیها إلی المسائل العقدیّة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البحث فی الاختلاف العقدی لیس فی تحدید الضابطة فی الدخول فی الإسلام والاتّصاف به، وإنّما یتمرکز حول الضابطة وبین الاتّصاف بالإیمان وما به النجاة یوم القیامة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ذلک فإنّ هذا البحث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البحث عن شرائط</w:t>
      </w:r>
    </w:p>
    <w:p>
      <w:pPr>
        <w:pStyle w:val="BookText"/>
        <w:rPr/>
      </w:pPr>
      <w:r>
        <w:rPr>
          <w:rFonts w:ascii="Amiri" w:hAnsi="Amiri" w:eastAsia="Amiri" w:cs="Amiri"/>
          <w:color w:val="111111"/>
          <w:sz w:val="28"/>
          <w:sz w:val="28"/>
          <w:szCs w:val="28"/>
          <w:rtl w:val="true"/>
          <w:lang w:bidi="ar-SA"/>
        </w:rPr>
        <w:t xml:space="preserve">الإیمان وما به النجاة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ولیداً ومتولّداً بعد وفاة رسول الله صلی الله علیه و آله، وإنّما کان فی حیاة الرسول صلی الله علیه و آله، کما تشیر إلی ذلک الآیات والروایات التی تقسّم المسلمین إلی أصناف متعدّدة، منهم المسلم غیر المؤمن، ومنهم المؤمن، ومنهم المنافق، ومنهم المستضعف، ومنهم أهل الضلال، ومنهم مرجون لأمر الله، وغیرها من الأصناف التی استعرضتها الآیات حول صفات المسلمین الذین کانوا فی عهده صلی الله علیه و آله،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وَ إِنْ تُطِیعُوا اللّهَ وَ رَسُولَهُ لا یَلِتْکُمْ مِنْ أَعْمالِکُمْ شَیْئاً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جاءَکَ 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59" w:name="pg13703_133802"/>
    </w:p>
    <w:p>
      <w:pPr>
        <w:pStyle w:val="BookText"/>
        <w:rPr/>
      </w:pPr>
      <w:bookmarkEnd w:id="259"/>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یَعْصِ اللّهَ وَ رَسُولَهُ فَقَدْ ضَلَّ ضَلالاً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وهناک أسماء وعناوین وصفات کثیرة ذکرتها الآیات التی تنعت وتصنّف المسلمین فی عهد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هذه الآیات تشیر إلی وقائع وحوادث وقعت من قِبل بعض المسلمین فیما یرتبط بالولایة لله‌ورسوله صلی الله علیه و آله التی لها دور أساسیّ فیما یرتبط بالعقیدة والإیمان، وأنّ التفریط بهذه الولایة والطاعة لله‌وللرسول صلی الله علیه و آله یوجب الضلال، وغیر ذلک من الآیات التی تصف بعض المسلمین فی عهده صلی الله علیه و آله بأنّهم أهل ضلال</w:t>
      </w:r>
      <w:r>
        <w:rPr>
          <w:rFonts w:eastAsia="IRNazanin" w:cs="IRNazanin"/>
          <w:color w:val="111111"/>
          <w:sz w:val="28"/>
          <w:szCs w:val="28"/>
          <w:rtl w:val="true"/>
          <w:lang w:bidi="fa-IR"/>
        </w:rPr>
        <w:t>.</w:t>
      </w:r>
    </w:p>
    <w:p>
      <w:pPr>
        <w:pStyle w:val="Heading4"/>
        <w:numPr>
          <w:ilvl w:val="3"/>
          <w:numId w:val="1"/>
        </w:numPr>
        <w:rPr/>
      </w:pPr>
      <w:bookmarkStart w:id="260" w:name="__RefHeading___Toc1101118_1468164448"/>
      <w:bookmarkStart w:id="261" w:name="_Toc95"/>
      <w:bookmarkEnd w:id="260"/>
      <w:r>
        <w:rPr>
          <w:rtl w:val="true"/>
        </w:rPr>
        <w:t>معالجة إلتباس</w:t>
      </w:r>
      <w:r>
        <w:rPr>
          <w:rtl w:val="true"/>
        </w:rPr>
        <w:t>:</w:t>
      </w:r>
      <w:bookmarkEnd w:id="261"/>
    </w:p>
    <w:p>
      <w:pPr>
        <w:pStyle w:val="BookText"/>
        <w:rPr/>
      </w:pPr>
      <w:r>
        <w:rPr>
          <w:rFonts w:ascii="IRNazanin" w:hAnsi="IRNazanin" w:eastAsia="IRNazanin"/>
          <w:color w:val="111111"/>
          <w:sz w:val="28"/>
          <w:sz w:val="28"/>
          <w:szCs w:val="28"/>
          <w:rtl w:val="true"/>
          <w:lang w:bidi="fa-IR"/>
        </w:rPr>
        <w:t>قد یقال إنّ التحذیر القرآنی للمسلمین من موالاة الکفّار بدل المسلمین إنّما هو متوجّه إلی خصوص المنافقین لا المؤمنین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واضحة الدلالة علی کون الخطاب موجّه إلی المؤمنین</w:t>
      </w:r>
    </w:p>
    <w:p>
      <w:pPr>
        <w:pStyle w:val="BookText"/>
        <w:rPr/>
      </w:pPr>
      <w:r>
        <w:rPr>
          <w:rFonts w:ascii="IRNazanin" w:hAnsi="IRNazanin" w:eastAsia="IRNazanin"/>
          <w:color w:val="111111"/>
          <w:sz w:val="28"/>
          <w:sz w:val="28"/>
          <w:szCs w:val="28"/>
          <w:rtl w:val="true"/>
          <w:lang w:bidi="fa-IR"/>
        </w:rPr>
        <w:t>خاصّة لا المنافقین،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نعتت الآیة المبارکة بعض المسلمین بالضلال بعد أن کانوا 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فَزادَهُمُ اللّهُ مَرَضاً وَ لَهُمْ عَذابٌ أَلِیمٌ بِما کانُوا یَکْذِبُونَ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وصف لبعض المسلمین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 ظاهرة الإیمان التی هی درجة أرفع من ظاهرة الإسلام، کانت علی عهد رسول الله صلی الله علیه و آله بین صفوف المسلمین، ومن ثمّ تعدّدت فئات المسلمین فی عهد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یصحّ، بل یتعیّن القول بأنّ المسار المذهبی کان فی عهده صلی الله علیه و آله، کما یتبیّن من ذلک أیضاً أنّ اصول الإیمان لا تستند إلی الاختلاف فی الاجتهاد والآراء وتفسیر النصوص الدینیّة، وإنّما ترجع إلی التسلیم القلبیّ بثوابت اصول الإیمان أو عدم التسلیم بها، وتکشف عن أنّ ظاهرة المذهبیّة لیس منشأها الاجتهاد فقط، وإنّما منشأها الأصلیّ هو التسلیم القلبیّ بتلک الاصول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المذاهب جمیعاً متّفقة علی أنّ للإیمان اصولًا معیّنة</w:t>
      </w:r>
    </w:p>
    <w:p>
      <w:pPr>
        <w:pStyle w:val="BookText"/>
        <w:rPr/>
      </w:pPr>
      <w:r>
        <w:rPr>
          <w:rFonts w:ascii="IRNazanin" w:hAnsi="IRNazanin" w:eastAsia="IRNazanin"/>
          <w:color w:val="111111"/>
          <w:sz w:val="28"/>
          <w:sz w:val="28"/>
          <w:szCs w:val="28"/>
          <w:rtl w:val="true"/>
          <w:lang w:bidi="fa-IR"/>
        </w:rPr>
        <w:t>تزید علی صرف الإقرار اللسانی بالشهادتین، غایة الأمر أنّهم اختلفوا فی تحدید تلک الاصول وتعیینها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اتّفاق المذاهب الإسلامیّة علی أنّ ما به النجاة یوم القیامة یتوقّف علی الإیمان القلبیّ، لا علی الإقرار اللسانیّ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یتّضح أنّ البحث فی الظاهرة المذهبیّة لیس هو بحث عن الحکم بصفة الإسلام فی دار الدنیا، وإنّما هو بحث عن طریق النجاة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یتّضح أنّ سیرة الرسول صلی الله علیه و آله بین المسلمین قائمة علی إعطاء کافّة المسلمین حقوق المسلم التی أقرّتها الشریعة الإسلامیّة، علی الرغم من اختلافهم فی صفة الإیمان والنفاق والضلال، وغیر ذلک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مثل هذه الفوارق فی توجّهات المسلمین المذهبیّة فی عصر الرسول صلی الله علیه و آله، نجد أنّ الکلّ یعیشون فی بیئة تعایشیّة واحدة وذات وظائف مشترکة، مقابل حقوق عامّة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تکون سیرة الرسول الأعظم صلی الله علیه و آله فی المسلمین فی النظام التعایشیّ بین المسلمین، نموذجاً متّبعاً فی الأجیال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یتبیّن ممّا مضی أنّ الظاهرة المذهبیّة رغم کون منشأها الاختلاف العقائدیّ وفی الامور الثابتة، إلّاأنّ ذلک لا یوجب عدم الاشتراک فی صفة الإسلام، وکذلک إنّ الاختلاف فی الامور الثابتة الیقینیّة لا یوجب القول بأنّ موارد الاختلاف بین المسلمین کلّها اجتهادیّة ولیست ثوابت یقینیّة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شمولیّة التقریب لکلّ الطوائف والمذاهب الإسلامیّة من</w:t>
      </w:r>
    </w:p>
    <w:p>
      <w:pPr>
        <w:pStyle w:val="BookText"/>
        <w:rPr/>
      </w:pPr>
      <w:r>
        <w:rPr>
          <w:rFonts w:ascii="IRNazanin" w:hAnsi="IRNazanin" w:eastAsia="IRNazanin"/>
          <w:color w:val="111111"/>
          <w:sz w:val="28"/>
          <w:sz w:val="28"/>
          <w:szCs w:val="28"/>
          <w:rtl w:val="true"/>
          <w:lang w:bidi="fa-IR"/>
        </w:rPr>
        <w:t>أهمّ عوامل نجاح عملیّة التقریب بین الطوائف والمذاهب الإسلامیّة هو شمولیّتها لکلّ تلک المذاهب بلا استثناء، فلا یثمر التقریب مع إقصاء مذهب أو طائفة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الظلم استحواذ بعض الطوائف لتمثیل الموقف الإسلامی الرسمیّ، وتهمیش وإبعاد الطوائف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السبب فی ذلک یبدو واضحاً؛ وذلک لأنّ الإقصاء والإبعاد لمذهب أو طائفة عن دائرة الحوار والتقریب بین المذاهب الإسلامیّة، سوف یؤدّی بدوره إلی تکریس الفرقة والمباینة بین الطوائف الإسلامیّة، ویشکّل بذرة إشعال فتیل الفتنة، وعدم الشمولیّة والإقصاء لعدّة من الطوائف هو الذی شاهدنا فی ندوات ومؤتمرات الوحدة والتقریب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ظاهرة سلبیّة وممارسة لا تطابق الشعارات المرفوعة والأهداف المنادی بها، کما أنّ التمثیل للجمیع لا بدّ أن یکون بنحو متناسب أو متناصف، کما أنّ الجغرافیا المذهبیّة لا بدّ أن تؤخذ بالحسبان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العدالة أساس نظام التعایش المذهبیّ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العدالة والعدل من الاسس الضروریّة التی تمثّل القاعدة التحتیّة التی ینهض علیها نظام التعایش والالفة،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w:t>
      </w:r>
    </w:p>
    <w:p>
      <w:pPr>
        <w:pStyle w:val="BookText"/>
        <w:rPr/>
      </w:pP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ترمی الإشارة إلی أنّ جمیع البشریّة، بما أنّها متساویة النسبة فی العبودیّة لله‌تعالی المالک للُامور؛ فلا بدّ أن تحصل التسویة والسواسیة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الاستعلاء والتسلّط واتّخاذ بعض البشر لبعضهم عبیداً لا یحقّق التسویة والوفاق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یکون الجمیع متساوین، ولا امتیاز لبعضهم علی بعض ولا استثناء ولا اختصاص؛ لأنّ الأصل فی الأشیاء کلّها، أنّها خاصّة لله تعالی، وأنّ البشر متساوون فی العبودیّة له، إلّاما خصّه الله تعالی لبعض دون البعض، ولا یخفی أنّ العدل لا یقتصر علی إشباع الحاجة وتوفیر متطلّبات الناس، وإنّما هو التسویة فی جمیع الاختصاصات والموارد، ومن ثمّ لو استأثرت طائفة بنسبة عالیة من الثروات والحقوق دون الطوائف الاخری؛ فلن تستتبّ الالفة والتعایش، کما قالت الزهراء 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تنسیق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یتخوّف الباحثون الاجتماعیّون من انفجار اجتماعیّ فی الشعوب الغربیّة، وتذمّر فی أوساطهم، کما تشیر إلی ذلک الاستفتاءات والدراسات التی اجریت فی هذا المجال فی الأعوام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ذلک هو ما نلمسه من استئثار الأنظمة الغربیّة لموارد الثروات وحصرها فی طبقة معیّنة، علی الرغم من تلبیة تلک الأنظمة لمتطلّبات وحاجیات المعیشة لغالبیّة الشعوب بنسبة متوسّطة بالقیاس إلی الشعوب الشرقیّة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واسس التعرّف علی متبنیّات ومعتقدات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أبرز ما أکّدت علیه النصوص القرآنیّة هو کیفیّة تحقیق وتکوین وتشکیل الرؤیة والحکم تجاه الجماعات والأقوام الآخرین، فیما یتعلّق بعقائدها ومتبنّیاتها الفکریّة، ولعلّ أوضح النصوص القرآنیّة التی یسلّط فیها الضوء علی کیفیّة تشکیل الرؤیة لأیّ طرف آخر،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 أَنْ تُصِیبُوا قَوْماً بِجَهالَةٍ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نزلت فی الولید بن عقبة بن أبی معیط بعدما بعثه رسول الله صلی الله علیه و آله فی صدقات بنی المصطلق، فخرجوا یتلقّونه فرحاً به، وقد کان بین الولید وبینهم عداوة فی الجاهلیة، فظنّ أنّهم همّوا بقتله، فرجع إلی رسول الله صلی الله علیه و آله وقال إنّهم ارتدّوا ومنعوا الزکاة، فی حین أنّ الأمر لم یکن کذلک، فعزم المسلمون لغزوهم، إلّاأنّ رسول الله صلی الله علیه و آله بعث إلیهم علیّاً علیه السلام لیثبّت من حالهم، فوجدهم منادین بالصلاة متهجّدین، فسلّموا إلیه علیه السلام صدقاتهم، فرجع علیه السلام، فنزلت الآیة تحذّر المسلمین من الحکم علی الآخرین من دون علم وبیّنة معتبرة، فیما یتعلّق بعقائدهم ومبانیهم الفکریّة ومعتنقهم وانتمائهم الدینیّ والمذهبیّ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فِیکُمْ رَسُولَ اللّهِ لَوْ یُطِیعُکُمْ فِی کَثِیرٍ مِنَ الْأَمْرِ لَعَنِتُّمْ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تشیر إلی أنّ رسول الله صلی الله علیه و آله لو لم یثبّت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بمقتضی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رأیهم، لوقع المسلمون فی المشقّة والعنت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الْمُؤْمِنِینَ اقْتَتَلُوا فَأَصْلِحُوا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حیث تشیر الآیة المبارکة إلی ضرورة اتّخاذ منهج العدل والقسط فی الحکم بین الطوائف الإسلامیّة، ومن الواضح أنّ مثل هذا الحکم لا تکفی فیه البیّنة الشرعیّة الظنّیّة، ولو کانا شاهدین عدلین، بل لا بدّ فیها من تحقیق العلم بالحال؛ لأنّه لیس من قبیل الحکم علی قضیّة فردیّة التی یکتفی فیها بإقامة البیّنة المتمثّلة بشاهدین عدلین، وإنّما هو حکم علی جماعات وأقوام ومجامیع بشریّة، فلا ینهض الطریق الظنّیّ المعتمد فی الشؤون الفردیّة، للحکم علی قضیّة مجتمع أو قبیلة أو جماعة ذات أفراد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فَتَبَیَّنُوا أَنْ تُصِیبُوا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فی نظام الحکم والقضاء فی شؤون الجماعات والأقوام، وأنّه لا بدّ أن یکون مبنیّاً علی التبیّن، وهو العلم لا البیّنة العادلة الظنّیّة فضلًا عن خبر الواحد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السبب فی ذلک یبدو واضحاً؛ إذ أنّ الحکم فی قضیّة تتعلّق بطائفة من الناس لا یکفی فیها البیّنة التی تقام فی قضیّة فردیّة؛ وذلک لخطورة المقام؛ لأنّه یتعلّق بالجماعات والطوائف، ومن المسائل المرتبطة بالدماء الکثیرة والأعراض والأموال ونحوها، لمجامیع بشریّة متعدّدة فلا یسوغ التساهل والتهاون فی مثل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هی النصوص القرآنیّة المبارکة تؤسّس لأمر بالغ الخطورة علی صعید تشکیل وتکوین الرؤیة حول الآخرین ومتبنّیاتهم الفکریّة والعقائدیّة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القاعدة تؤکّد علی ضرورة لزوم تحرّی العلم وتبیّن الحال فی الحکم علی أیّ جماعة، بأیّ حکم من الأحکام، لا سیّما الأحکام التی یترتّب علیها هدر الدماء والأعراض، کالتکفیر والارتداد والتضلیل من دون علم وتبیّن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هذه القاعدة، لا یسوغ الحکم علی أی‌طائفة من الطوائف الإسلامیّة بنسبة عقیدة أو متبنّی فکریّ إلیهم أو باعتناقهم لمقال معیّن وغیرها من الأحکام، علی أساس قول ممّن لا ینتمی إلی تلک الطائفة، أو ممّن لم یکن قوله معتمداً لدیهم، بل لا بدّ من التحقّق فیما ورد فی مصادرهم الأساسیّة، وأقوال المشهور من علمائهم، فلا یسوغ الاعتماد علی الأقوال الشاذّة والنادرة التی لا تمثّل المتبنّی الرسمیّ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ضابطة وقاعدة مهمّة، لیس من الصحیح التفریط بها وتخطّیها؛ لأنّ ذلک یفضی إلی إیجاد ذرائع وحجج تستغلّ من قِبل آخرین لإثارة الفتن والنزاعات بین المسلمین بغیة تحقیق أهداف سیاسیّة مغرضة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فکلّ آلیّة ووسیلة لمعرفة عقائد ومتبنّیات الآخرین إذا لم تکن مقنّنة ومنضبطة بضوابط علمیّة ومنطقیّة، کمطلق الظنون وأخبار الآحاد، فإنّها سوف تؤدّی إلی الوقوع فی هذه المحاذیر وإشعال الفتن والنزاعات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القاعدة تشمل أیضاً الحوار العلمیّ، بل تعدّ رکناً من أرکانه، فلا</w:t>
      </w:r>
      <w:bookmarkStart w:id="262" w:name="pg13703_133810"/>
    </w:p>
    <w:p>
      <w:pPr>
        <w:pStyle w:val="BookText"/>
        <w:rPr/>
      </w:pPr>
      <w:bookmarkEnd w:id="262"/>
      <w:r>
        <w:rPr>
          <w:rFonts w:ascii="IRNazanin" w:hAnsi="IRNazanin" w:eastAsia="IRNazanin"/>
          <w:color w:val="111111"/>
          <w:sz w:val="28"/>
          <w:sz w:val="28"/>
          <w:szCs w:val="28"/>
          <w:rtl w:val="true"/>
          <w:lang w:bidi="fa-IR"/>
        </w:rPr>
        <w:t>یتمّ الحیاد ولا الموضوعیّة العلمیّة إلّابالاعتماد علی أداة العلم والتبیان، لا الظنون والتظنّی، إذ لا یثمر مثل ذلک فی الوصول إلی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هذه القاعدة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نسبة أیّ حکم أو متبنّی عقائدیّ أو فقهیّ أو رؤیة دینیّة، إلّامن خلال المصادر المعتبرة لدی تلک الجماعة أو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اعتماد المشهور لدی کلّ جماعة وطائفة فی النسبة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بدّ من الاعتماد علی العلم الیقینیّ، فلا تکفی الظنون وإن کانت معتبرة؛ لأنّ الحکم علی أیّ مذهب من القضایا ذات الشأن العامّ التی لا یعتمد فیها إلّاعلی الیقین</w:t>
      </w:r>
      <w:r>
        <w:rPr>
          <w:rFonts w:eastAsia="IRNazanin" w:cs="IRNazanin"/>
          <w:color w:val="111111"/>
          <w:sz w:val="28"/>
          <w:szCs w:val="28"/>
          <w:rtl w:val="true"/>
          <w:lang w:bidi="fa-IR"/>
        </w:rPr>
        <w:t>.</w:t>
      </w:r>
    </w:p>
    <w:p>
      <w:pPr>
        <w:pStyle w:val="Heading4"/>
        <w:numPr>
          <w:ilvl w:val="3"/>
          <w:numId w:val="1"/>
        </w:numPr>
        <w:rPr/>
      </w:pPr>
      <w:bookmarkStart w:id="263" w:name="__RefHeading___Toc1101120_1468164448"/>
      <w:bookmarkStart w:id="264" w:name="_Toc96"/>
      <w:bookmarkEnd w:id="263"/>
      <w:r>
        <w:rPr>
          <w:rtl w:val="true"/>
        </w:rPr>
        <w:t>القاعدة الخامسة</w:t>
      </w:r>
      <w:r>
        <w:rPr>
          <w:rtl w:val="true"/>
        </w:rPr>
        <w:t xml:space="preserve">: </w:t>
      </w:r>
      <w:r>
        <w:rPr>
          <w:rtl w:val="true"/>
        </w:rPr>
        <w:t>فی النظام السیاسیّ والمواطَنة</w:t>
      </w:r>
      <w:r>
        <w:rPr>
          <w:rtl w:val="true"/>
        </w:rPr>
        <w:t>:</w:t>
      </w:r>
      <w:bookmarkEnd w:id="264"/>
    </w:p>
    <w:p>
      <w:pPr>
        <w:pStyle w:val="BookText"/>
        <w:rPr/>
      </w:pPr>
      <w:r>
        <w:rPr>
          <w:rFonts w:ascii="IRNazanin" w:hAnsi="IRNazanin" w:eastAsia="IRNazanin"/>
          <w:color w:val="111111"/>
          <w:sz w:val="28"/>
          <w:sz w:val="28"/>
          <w:szCs w:val="28"/>
          <w:rtl w:val="true"/>
          <w:lang w:bidi="fa-IR"/>
        </w:rPr>
        <w:t>هنالک‌ک قاعدة مهمّة حَریّة بالبحث والدراسة، تتعلّق بکیفیّة التعایش المدنیّ وحقّ المواطَنة والنظام السیاسیّ، أشارت إلیها جملة من النصوص القرآنیّة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النصوص القرآنیّة التی أضاءت هذه الحقیقة،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w:t>
      </w:r>
    </w:p>
    <w:p>
      <w:pPr>
        <w:pStyle w:val="BookText"/>
        <w:rPr/>
      </w:pP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حیث أشارت هذه الآیة المبارکة إلی أنّ الولاء السیاسیّ، بمعنی الانتماء والعیش فی کنف نظام سیاسیّ معیّن، یتضمّن وینطوی علی تبعیّة مَن یعیش فی ذلک النظام إلی مقرّرات وسلطة ذلک النظام، وهو ما قد یعبّر عنه بالتسلیم والانقهار تحت سلطان وقدرة ذلک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والولاء السیاسیّ والانتماء والعیش فی ظلّ ذلک النظام، یقتضی وجود واجبات ووظائف فی مقابل حقوق وامتیازات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الواجبات والوظائف العامّة تجاه ذلک النظام السیاسیّ، والتی ینبغی الالتزام بها لکلّ من یعیش فی کنف ذلک النظام، فهی من قبیل الدفاع عن الأمن العامّ للمجتمع فی ذلک النظام، ودفع الضرائب، والتقیّد بسائر مقرّرات النظام العامّ، ونحوها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الحقوق والامتیازات التی یلزم توفّرها لکلّ من یعیش تحت ظلّ ذلک النظام السیاسی، فهی من قبیل استحقاق وتوفّر الحمایة المدنیّة علی المال والنفس والعرض، والانتفاع بالخدمات المدنیّة العامّة، والاستحقاق من المال العامّ کالضمان الاجتماعیّ أو الفیء العامّ، ونحوها من الاستحقاقات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الحقوق والواجبات التی یقرّرها النظام السیاسیّ غیر مترتّبة علی مجرّد الولاء الدینی، بمعنی عدم کفایة الانتماء إلی الدین الحنیف فی ترتّب آثار الولاء السیاسیّ بل لا بدّ من العیش تحت ظلّ النظام السیاسیّ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أنّ مسلماً کان یعیش فی بلاد ونظام الکفر، فلا تثبت له الحقوق المدنیّة التی یوفّرها النظام الإسلامیّ ما دام ولاؤه السیاسیّ تابع لنظام الکفر، إلّاإذا هاجر إلی بلاد المسلمین لیعیش تحت نظامهم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العکس، وهو ما لو کان الکافر من أهل الکتاب أو المهادن یعیش فی بلاد المسلمین وتحت ظلّ نظامهم، بمعنی الولاء السیاسیّ، فله جملة من الحقوق المدنیّة والحمایة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یثبت للکافر النصرة فی الدین والمعتقد، ولو عاش فی ظلّ النظام الإسلامیّ، کما أنّه تثبت النصرة فی الدین، أی‌الحمایة للمسلم الذی یعیش فی بلاد الکفر فی البعد الدینیّ، لا النصرة والحمایة فی البعد المعیشیّ المدنیّ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تشیر إلیه الآیة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أی‌تثبت للمسلمین الذین هاجروا وجاهدوا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الولایة، أی الشاملة للولایة السیاسیّة المدنیّة والولایة الدینیّة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بعد تحمّلهم لأعباء الهجرة، سیکون لهم العیش تحت کنف النظام الإسلامیّ، والقیام بالوظائف العامّة، کدفع الضریبة المالیّة وهو الجهاد بالأموال، والدفاع عن الأمن الاجتماعیّ والدینیّ، وهو الجهاد بالنفس فی سبیل الله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مقابل ما تقدّم تشیر الآیة إلی الذین لم یقوموا بما قام به اولئک المهاجرون والمجاهدون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لَمْ یُهاجِرُوا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مِنْ وَلایَتِهِمْ مِنْ شَیْ‌ءٍ حَتّی یُهاجِرُوا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أی‌الذین انتموا إلی هذا الدین، ولکن لم یهاجروا ویعیشوا فی بلاد المسلمین، وإنّما بقوا فی دیار الکفر، فلا یثبت لمثل هؤلاء ما یثبت للمسلمین من حقّ الحمایة وما یرافقها من امتیازات للمسلمین الذین یعیشون فی بلاد الإسلام وتحت ظلّ نظام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یستثنی من ذلک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اسْتَنْصَرُوکُمْ فِی الدِّینِ فَعَلَیْکُمُ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أی‌یجب نصرتهم فی الدین، فیما لو اضطهدوا بسبب انتمائهم الدینیّ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وأبی عبدالله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سألتهما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لَمْ یُهاجِرُوا ما لَکُمْ مِنْ وَلایَتِهِمْ مِنْ شَیْ‌ءٍ حَتّی یُهاجِرُوا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مکّة لا یرثون أهل المدینة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المعنی یقرّره الشیخ الطوسی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الولایة عقد النصرة للموافقة فی الدیانة، ثمّ أخبر تعالی عن الذین آمنوا ولم یهاجروا من مکّة إلی المدینة،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لَمْ یُهاجِرُوا ما لَکُمْ مِنْ وَلایَتِهِمْ مِنْ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وقیل فی معناه قولان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القرابة، نفاها عنهم لأنّهم کانوا یتوارثون بالهجرة والنصرة دون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ابن عبّاس والحسن وقتادة والسدّی، وعن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یتوارثون المؤاخاة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نفی الولایة التی یکونون بها یداً واحدة فی الحلّ والعقد، فنفی عن هؤلاء ما أثبته للأوّلین حتّی یهاجروا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المقرّرة فی الآیة لا تختصّ بولایة المیراث، بل هی شاملة لولایة النصرة، وولایة الأمن، أی‌الولاء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لا یرد الاعتراض بأنّ الآیة منسوخة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لأنّ النسخ لبعض مفاد الآیة لا یستلزم النسخ لجمیع مفادها، فلا یرفع الید عن بقیّة مفاد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ویتحصّل من مفاد القاعدة لما نحن فیه من المقام أنّ الآثار والامتیازات ثابتة للشخص لأجل ولائه السیاسیّ وعیشه فی ظلّ النظام الإسلامیّ، دون من یعیش فی بلاد الکفر، فإنّه لا تثبت له تلک الامتیازات من النصرة والحمایة والأمن، والاستحقاقات من 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المفاد من الآیة لا یتنافی مع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مورد کلّ منهما أجنبیّ عن الآخر، فلا تکون آیة اولی الأرحام ناسخة للآیة فی المقام، بلحاظ هذا المورد، وإن کانت آیة اولی الأرحام ناسخة لمورد الوراثة فیها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یعضد مفاد هذه القاعدة، ما تشیر إلیه آیة الذمّة، والجزیة فی أهل الکتاب من أنّهم بانضوائهم تحت النظام الإسلامیّ، یجب علی المسلمین القیام</w:t>
      </w:r>
      <w:bookmarkStart w:id="265" w:name="pg13703_133815"/>
    </w:p>
    <w:p>
      <w:pPr>
        <w:pStyle w:val="BookText"/>
        <w:rPr/>
      </w:pPr>
      <w:bookmarkEnd w:id="265"/>
      <w:r>
        <w:rPr>
          <w:rFonts w:ascii="IRNazanin" w:hAnsi="IRNazanin" w:eastAsia="IRNazanin"/>
          <w:color w:val="111111"/>
          <w:sz w:val="28"/>
          <w:sz w:val="28"/>
          <w:szCs w:val="28"/>
          <w:rtl w:val="true"/>
          <w:lang w:bidi="fa-IR"/>
        </w:rPr>
        <w:t>بجملة من الواجبات تجاههم، من قبیل حمایتهم من الاعتداء الخارجیّ، وحمایة نفوسهم وأعراضهم وأموالهم من الظلم الداخلیّ، ومنحهم حریّة التدیّن وحریّة العمل والکسب ونحوها من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ویعضد هذه القاعدة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تَتَّخِذُوا مِنْهُمْ أَوْلِیاءَ حَتّی یُهاجِرُوا فِی سَبِیلِ اللّهِ فَإِنْ تَوَلَّوْا فَخُذُوهُمْ وَ اقْتُلُوهُمْ حَیْثُ وَجَدْتُمُوهُمْ وَ لا تَتَّخِذُوا مِنْهُمْ وَلِیًّا وَ لا نَصِیراً 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قرّرت أنّ میزان الولاء السیاسیّ یتحدّد علی أساس الهجرة فی سبیل الله إلی دار الإسلام ونظامه، وکذا من یرتبط بنظام الإسلام بمیثاق، یکون تحت ظلّ ولایة النظام الإسلامیّ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مِنْ قَوْمٍ بَیْنَکُمْ وَ بَیْنَهُمْ مِیثاقٌ فَدِیَةٌ مُسَلَّمَةٌ إِلی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266" w:name="__RefHeading___Toc1101122_1468164448"/>
      <w:bookmarkStart w:id="267" w:name="_Toc97"/>
      <w:bookmarkEnd w:id="266"/>
      <w:r>
        <w:rPr>
          <w:rtl w:val="true"/>
        </w:rPr>
        <w:t>القاعدة السادسة</w:t>
      </w:r>
      <w:r>
        <w:rPr>
          <w:rtl w:val="true"/>
        </w:rPr>
        <w:t xml:space="preserve">: </w:t>
      </w:r>
      <w:r>
        <w:rPr>
          <w:rtl w:val="true"/>
        </w:rPr>
        <w:t>لزوم إعطاء حقّ المواطَنة</w:t>
      </w:r>
      <w:bookmarkEnd w:id="267"/>
    </w:p>
    <w:p>
      <w:pPr>
        <w:pStyle w:val="BookText"/>
        <w:rPr/>
      </w:pPr>
      <w:r>
        <w:rPr>
          <w:rFonts w:ascii="IRNazanin" w:hAnsi="IRNazanin" w:eastAsia="IRNazanin"/>
          <w:color w:val="111111"/>
          <w:sz w:val="28"/>
          <w:sz w:val="28"/>
          <w:szCs w:val="28"/>
          <w:rtl w:val="true"/>
          <w:lang w:bidi="fa-IR"/>
        </w:rPr>
        <w:t>للأفراد من دون تفریق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ضوء ما تقدّم من مفاد هذه القاعدة التی تقول إنّ ترتّب الامتیازات والحقوق التی یوفّرها النظام الإسلامی والخدمات المدنیّة، یکون علی أساس الولاء السیاسیّ لا مجرّد الانتماء الدینی أو المذهبیّ، فعلی هذا الأساس یجب</w:t>
      </w:r>
      <w:bookmarkStart w:id="268" w:name="pg13703_133816"/>
    </w:p>
    <w:p>
      <w:pPr>
        <w:pStyle w:val="BookText"/>
        <w:rPr/>
      </w:pPr>
      <w:bookmarkEnd w:id="268"/>
      <w:r>
        <w:rPr>
          <w:rFonts w:ascii="IRNazanin" w:hAnsi="IRNazanin" w:eastAsia="IRNazanin"/>
          <w:color w:val="111111"/>
          <w:sz w:val="28"/>
          <w:sz w:val="28"/>
          <w:szCs w:val="28"/>
          <w:rtl w:val="true"/>
          <w:lang w:bidi="fa-IR"/>
        </w:rPr>
        <w:t>عدم التفریق بین أفراد المسلمین فی الاستحقاقات المدنیة فی النظام الإسلامی فی البلد الواحد، مهما کان انتماؤه المذهبیّ، فإنّ أتباع کلّ مذهب، لهم من الحقوق والاستحقاقات المدنیّة فی ذلک البلد الذی یعیشون فیه، وإن اختلف النظام السیاسیّ فی تلک الدولة فی الانتماء المذهبیّ</w:t>
      </w:r>
      <w:r>
        <w:rPr>
          <w:rFonts w:eastAsia="IRNazanin" w:cs="IRNazanin"/>
          <w:color w:val="111111"/>
          <w:sz w:val="28"/>
          <w:szCs w:val="28"/>
          <w:rtl w:val="true"/>
          <w:lang w:bidi="fa-IR"/>
        </w:rPr>
        <w:t>.</w:t>
      </w:r>
    </w:p>
    <w:p>
      <w:pPr>
        <w:pStyle w:val="Heading4"/>
        <w:numPr>
          <w:ilvl w:val="3"/>
          <w:numId w:val="1"/>
        </w:numPr>
        <w:rPr/>
      </w:pPr>
      <w:bookmarkStart w:id="269" w:name="__RefHeading___Toc1101124_1468164448"/>
      <w:bookmarkStart w:id="270" w:name="_Toc98"/>
      <w:bookmarkEnd w:id="269"/>
      <w:r>
        <w:rPr>
          <w:rtl w:val="true"/>
        </w:rPr>
        <w:t>حدیث الفرقة الناجیة والتعایش السلمیّ بین المسلمین</w:t>
      </w:r>
      <w:r>
        <w:rPr>
          <w:rtl w:val="true"/>
        </w:rPr>
        <w:t>:</w:t>
      </w:r>
      <w:bookmarkEnd w:id="270"/>
    </w:p>
    <w:p>
      <w:pPr>
        <w:pStyle w:val="BookText"/>
        <w:rPr/>
      </w:pPr>
      <w:r>
        <w:rPr>
          <w:rFonts w:ascii="IRNazanin" w:hAnsi="IRNazanin" w:eastAsia="IRNazanin"/>
          <w:color w:val="111111"/>
          <w:sz w:val="28"/>
          <w:sz w:val="28"/>
          <w:szCs w:val="28"/>
          <w:rtl w:val="true"/>
          <w:lang w:bidi="fa-IR"/>
        </w:rPr>
        <w:t xml:space="preserve">ذهب جملة من المتطرّفین فی تفسیر حدیث الفرقة الناجیة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إسرائیل تفرّقوا علی إحدی وسبعین فرقة، وإنّ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علی اثنتین وسبعین فرقة، کلّها فی النار إلّا فرقة واحدة</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تفسیر معنی ومفاد الحدیث الشریف بتفسیر خاطئ،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حدیث الفرقة الناجیة یفید حصر النجاة فی فرقة واحدة، وکون بقیّة الفرق الإسلامیّة الاخری علی ضلال، فإنّ ذلک یقتضی محاربة جمیع الفرق الضالّة وهدر حرمتها، ونفی صفة الإسلام عنها، وإن کانت تنتحل الإسلام وتتشهّد الشهادتین، لأنّها فرق ضالّة مصیرها إلی النّار، کما هو مقتضی تعبیر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إلّاأنّ هذا التوهّم فاسد وباطل، وذلک للنقاط التالیة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مسائل العقیدة وقواعد الدین لا یمکن استخلاصها من دلیل واحد کآیة، أو حدیث قطعیّ الصدور من دون فهم بقیّة الأدلّة المتعلّقة بذلک</w:t>
      </w:r>
    </w:p>
    <w:p>
      <w:pPr>
        <w:pStyle w:val="BookText"/>
        <w:rPr/>
      </w:pPr>
      <w:r>
        <w:rPr>
          <w:rFonts w:ascii="Amiri" w:hAnsi="Amiri" w:eastAsia="Amiri" w:cs="Amiri"/>
          <w:color w:val="111111"/>
          <w:sz w:val="28"/>
          <w:sz w:val="28"/>
          <w:szCs w:val="28"/>
          <w:rtl w:val="true"/>
          <w:lang w:bidi="ar-SA"/>
        </w:rPr>
        <w:t>الموضوع؛ لأنّ الدین منظومة واحدة لا تتجزّأ وهی غیر متدافعة مع بعضها البعض، وعلی هذا، فالنظرة التجزیئیّة الاحادیّة زائغة عن الصراط القویم، وهذا ما ندّد به القرآن الکریم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اختلاف بین أحکام دار الدنیا وبین أحکام دار الآخرة</w:t>
      </w:r>
    </w:p>
    <w:p>
      <w:pPr>
        <w:pStyle w:val="BookText"/>
        <w:rPr/>
      </w:pPr>
      <w:r>
        <w:rPr>
          <w:rFonts w:ascii="IRNazanin" w:hAnsi="IRNazanin" w:eastAsia="IRNazanin"/>
          <w:color w:val="111111"/>
          <w:sz w:val="28"/>
          <w:sz w:val="28"/>
          <w:szCs w:val="28"/>
          <w:rtl w:val="true"/>
          <w:lang w:bidi="fa-IR"/>
        </w:rPr>
        <w:t xml:space="preserve">فإنّ الحکم فی دار الدنیا قائم علی ظاهر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الإقرار بالشهادتین یوجب حقن الدماء والأعراض والأموال، والحکم علی مَن تشهّد الشهادتین بالإسلام، ویحکم له ما للمسلمین وعلیه ما علیهم، وإن کان منافقاً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أحکام الآخرة، من النجاة من النّار، وجزاء الله وعقابه، فهی أحکام تترتّب علی اعتقاد الإنسان الباطنیّ، وما عقد علیه قلبه، وما استقرّت علیه جوانحه، وما اعتقده ضمیره؛ وذلک بحسب ما تواتر لدی المسلمین من الآیات والروایات التی سبقت الإشارة إلیها فی البحث السابق بأنّ مَن تشهّد الشهادتین دخل فی حظیرة الإسلام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یلتقی مع الألفاظ الواردة فی حدیث الفرقة الناجیة التی نسب فیها رسول الله صلی الله علیه و آله جمیع الفرق المتفرّقة إلی امّته وهی امّة الإسلام، فی حین قصر صلی الله علیه و آله الحکم الاخرویّ من النجاة من النار، علی فرقة واحدة منها</w:t>
      </w:r>
    </w:p>
    <w:p>
      <w:pPr>
        <w:pStyle w:val="BookText"/>
        <w:rPr/>
      </w:pPr>
      <w:r>
        <w:rPr>
          <w:rFonts w:ascii="IRNazanin" w:hAnsi="IRNazanin" w:eastAsia="IRNazanin"/>
          <w:color w:val="111111"/>
          <w:sz w:val="28"/>
          <w:sz w:val="28"/>
          <w:szCs w:val="28"/>
          <w:rtl w:val="true"/>
          <w:lang w:bidi="fa-IR"/>
        </w:rPr>
        <w:t>دون أحکام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الحدیث فی صدد الإشارة إلی الأحکام الاخرویّة دون أحکام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یؤکّد هذه القاعدة من التفصیل بین أحکام الآخرة وأحکام الدنیا،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أطلقت الآیة الکریمة صفة الإیمان علی کلا الطائفتین المتقاتلتین رغم کون إحداهما باغیة لم تفئ إلی أمر الله، وهناک آیات اخری تؤکّد المضمون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وهنالک فهم آخر لحدیث الفرقة الناجیة، یترکّز فیه جانب التفریط، وهو قول المرجئة القائلین بأنّ کلّ من تشهّد الشهادتین بلسانه یکون ناجیاً یوم القیامة، مع أنّ الحدیث الشریف یکشف بشکل واضح عن وجوب الفحص والبحث عن تلک الفرقة المحقّة الموعودة بالنجاة، والتمسّک بها دون بقیّة فرق المسلمین، کسلوک مرتبط بالآخرة، لأنّ مؤدّی الحدیث النبویّ هو أنّ الاختلاف الواقع لیس فی دائرة الظنون والاجتهاد المشروع الموجب للتعذیر، وإنّما الحدیث فی صدد الإشارة إلی أنّ اصول الإیمان وأرکان المعرفة من الامور القطعیّة والیقینیّة، وإن لم تکن ضروریّة عند کلّ المسلمین بسبب اختلاف وجهات النظر بین الفرق الإسلامیّة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فحدیث الفرقة الناجیة یمثّل منهجاً مهمّاً لغایات وأهداف الوحدة، وهو الحثّ علی ضرورة البحث والتنقیب والحوار لأجل الوصول إلی الحقّ</w:t>
      </w:r>
    </w:p>
    <w:p>
      <w:pPr>
        <w:pStyle w:val="BookText"/>
        <w:rPr/>
      </w:pPr>
      <w:r>
        <w:rPr>
          <w:rFonts w:ascii="IRNazanin" w:hAnsi="IRNazanin" w:eastAsia="IRNazanin"/>
          <w:color w:val="111111"/>
          <w:sz w:val="28"/>
          <w:sz w:val="28"/>
          <w:szCs w:val="28"/>
          <w:rtl w:val="true"/>
          <w:lang w:bidi="fa-IR"/>
        </w:rPr>
        <w:t xml:space="preserve">والهدی، وأنّ أفراد الامّة الإسلامیّة وإن اشترکوا جمیعاً بتشهّدهم للشهادتین وتعایشوا فی ظلّ أمن نظام موحد کافل لهم، إلّاأنّ ذلک بحسب ظاهر الإسلام فی النشأة الدنیویّة، أمّا النجاة فی الآخرة، فالمیزان فیها هو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فهنالک صفة الإسلام تتحقّق بالإقرار باللسان وتترتّب علیه أحکام المواطنة فی دار الإسلام ونظامه، وإلی جوار صفة الإسلام توجد صفة الإیمان التی تتحقّق بالاعتقاد القلبیّ وتترتّب علیها الأحکام الاخرویّة من النجاة من النار ونحوها</w:t>
      </w:r>
      <w:r>
        <w:rPr>
          <w:rFonts w:eastAsia="IRNazanin" w:cs="IRNazanin"/>
          <w:color w:val="111111"/>
          <w:sz w:val="28"/>
          <w:szCs w:val="28"/>
          <w:rtl w:val="true"/>
          <w:lang w:bidi="fa-IR"/>
        </w:rPr>
        <w:t>.</w:t>
      </w:r>
      <w:bookmarkStart w:id="271" w:name="pg13703_133821"/>
    </w:p>
    <w:p>
      <w:pPr>
        <w:pStyle w:val="Heading3"/>
        <w:numPr>
          <w:ilvl w:val="2"/>
          <w:numId w:val="1"/>
        </w:numPr>
        <w:rPr/>
      </w:pPr>
      <w:bookmarkStart w:id="272" w:name="__RefHeading___Toc1101126_1468164448"/>
      <w:bookmarkStart w:id="273" w:name="_Toc99"/>
      <w:bookmarkEnd w:id="271"/>
      <w:bookmarkEnd w:id="272"/>
      <w:r>
        <w:rPr>
          <w:rtl w:val="true"/>
        </w:rPr>
        <w:t>الفصل الثالث</w:t>
      </w:r>
      <w:r>
        <w:rPr>
          <w:rtl w:val="true"/>
        </w:rPr>
        <w:t xml:space="preserve">: </w:t>
      </w:r>
      <w:r>
        <w:rPr>
          <w:rtl w:val="true"/>
        </w:rPr>
        <w:t>نظام التنسیق والتوافقات الوقتیة</w:t>
      </w:r>
      <w:bookmarkEnd w:id="273"/>
    </w:p>
    <w:p>
      <w:pPr>
        <w:pStyle w:val="Heading4"/>
        <w:numPr>
          <w:ilvl w:val="3"/>
          <w:numId w:val="1"/>
        </w:numPr>
        <w:rPr/>
      </w:pPr>
      <w:bookmarkStart w:id="274" w:name="__RefHeading___Toc1101128_1468164448"/>
      <w:bookmarkStart w:id="275" w:name="_Toc100"/>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وحاصل هذا النظام عبارة عن صیاغة مواقف سیاسیّة مشترکة ضمن آلیّات معیّنة، یمکن أن تقع فی مجالات متعدّدة کمجال السیاسة بین الدول، وفی المجالات الاجتماعیّة والاقتصادیّة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یعرف بأنّه نظام تدبیر سیاسیّ بحسب الظرف الراهن</w:t>
      </w:r>
      <w:r>
        <w:rPr>
          <w:rFonts w:eastAsia="IRNazanin" w:cs="IRNazanin"/>
          <w:color w:val="111111"/>
          <w:sz w:val="28"/>
          <w:szCs w:val="28"/>
          <w:rtl w:val="true"/>
          <w:lang w:bidi="fa-IR"/>
        </w:rPr>
        <w:t>.</w:t>
      </w:r>
    </w:p>
    <w:p>
      <w:pPr>
        <w:pStyle w:val="Heading4"/>
        <w:numPr>
          <w:ilvl w:val="3"/>
          <w:numId w:val="1"/>
        </w:numPr>
        <w:rPr/>
      </w:pPr>
      <w:bookmarkStart w:id="276" w:name="__RefHeading___Toc1101130_1468164448"/>
      <w:bookmarkStart w:id="277" w:name="_Toc101"/>
      <w:bookmarkEnd w:id="276"/>
      <w:r>
        <w:rPr>
          <w:rtl w:val="true"/>
        </w:rPr>
        <w:t>غایات نظام التنسیق والانسجام والتوافق</w:t>
      </w:r>
      <w:r>
        <w:rPr>
          <w:rtl w:val="true"/>
        </w:rPr>
        <w:t>:</w:t>
      </w:r>
      <w:bookmarkEnd w:id="277"/>
    </w:p>
    <w:p>
      <w:pPr>
        <w:pStyle w:val="BookText"/>
        <w:rPr/>
      </w:pPr>
      <w:r>
        <w:rPr>
          <w:rFonts w:ascii="IRNazanin" w:hAnsi="IRNazanin" w:eastAsia="IRNazanin"/>
          <w:color w:val="111111"/>
          <w:sz w:val="28"/>
          <w:sz w:val="28"/>
          <w:szCs w:val="28"/>
          <w:rtl w:val="true"/>
          <w:lang w:bidi="fa-IR"/>
        </w:rPr>
        <w:t>یرمی هذا النظام إلی معالجات آنیّة وسریعة لحفظ المصالح المشترکة بین الأطراف، وتبدید النزاعات والتشنّجات الراهنة</w:t>
      </w:r>
      <w:r>
        <w:rPr>
          <w:rFonts w:eastAsia="IRNazanin" w:cs="IRNazanin"/>
          <w:color w:val="111111"/>
          <w:sz w:val="28"/>
          <w:szCs w:val="28"/>
          <w:rtl w:val="true"/>
          <w:lang w:bidi="fa-IR"/>
        </w:rPr>
        <w:t>.</w:t>
      </w:r>
    </w:p>
    <w:p>
      <w:pPr>
        <w:pStyle w:val="Heading4"/>
        <w:numPr>
          <w:ilvl w:val="3"/>
          <w:numId w:val="1"/>
        </w:numPr>
        <w:rPr/>
      </w:pPr>
      <w:bookmarkStart w:id="278" w:name="__RefHeading___Toc1101132_1468164448"/>
      <w:bookmarkStart w:id="279" w:name="_Toc102"/>
      <w:bookmarkEnd w:id="278"/>
      <w:r>
        <w:rPr>
          <w:rtl w:val="true"/>
        </w:rPr>
        <w:t>امتیاز نظام التنسیق عن نظام الوحدة ونظام التقریب</w:t>
      </w:r>
      <w:r>
        <w:rPr>
          <w:rtl w:val="true"/>
        </w:rPr>
        <w:t>:</w:t>
      </w:r>
      <w:bookmarkEnd w:id="27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یتمیّز نظام التنسیق عن نظام الوحدة ونظام التقریب فی تکفّله لمعالجة سریعة وإیجاد الحلول للأزمات الراهنة التی لا یمکن تأخیر معالجتها بالاعتماد علی نظام الوحدة أو التقریب اللذان یتطلّبان وقتاً مستغرقاً وطویلًا</w:t>
      </w:r>
      <w:r>
        <w:rPr>
          <w:rFonts w:eastAsia="IRNazanin" w:cs="IRNazanin"/>
          <w:color w:val="111111"/>
          <w:sz w:val="28"/>
          <w:szCs w:val="28"/>
          <w:rtl w:val="true"/>
          <w:lang w:bidi="fa-IR"/>
        </w:rPr>
        <w:t>.</w:t>
      </w:r>
      <w:bookmarkStart w:id="280" w:name="pg13703_133822"/>
    </w:p>
    <w:p>
      <w:pPr>
        <w:pStyle w:val="Heading4"/>
        <w:numPr>
          <w:ilvl w:val="3"/>
          <w:numId w:val="1"/>
        </w:numPr>
        <w:rPr/>
      </w:pPr>
      <w:bookmarkStart w:id="281" w:name="__RefHeading___Toc1101134_1468164448"/>
      <w:bookmarkStart w:id="282" w:name="_Toc103"/>
      <w:bookmarkEnd w:id="280"/>
      <w:bookmarkEnd w:id="281"/>
      <w:r>
        <w:rPr>
          <w:rtl w:val="true"/>
        </w:rPr>
        <w:t>علاقة نظام التنسیق مع نظام الوحدة والتقریب</w:t>
      </w:r>
      <w:r>
        <w:rPr>
          <w:rtl w:val="true"/>
        </w:rPr>
        <w:t>:</w:t>
      </w:r>
      <w:bookmarkEnd w:id="282"/>
    </w:p>
    <w:p>
      <w:pPr>
        <w:pStyle w:val="BookText"/>
        <w:rPr/>
      </w:pPr>
      <w:r>
        <w:rPr>
          <w:rFonts w:ascii="IRNazanin" w:hAnsi="IRNazanin" w:eastAsia="IRNazanin"/>
          <w:color w:val="111111"/>
          <w:sz w:val="28"/>
          <w:sz w:val="28"/>
          <w:szCs w:val="28"/>
          <w:rtl w:val="true"/>
          <w:lang w:bidi="fa-IR"/>
        </w:rPr>
        <w:t>من الواضح أنّ نظام التنسیق والتوافقات یتّکئ أیضاً علی بعض المشترکات فی نظام الوحدة، ولا یتوقّف علی إنجازات الوحدة فی دوائرها الوسیعة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یتوقّف هذا النظام علی نظام التقریب، بل یقع فی موازاته، فإنّ نظام التنسیق یمکن أن یوجد ویتحقّق وإن لم یکن لنظام التقریب وجود وحیاة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ثمار وآلیّات مشترکة بین نظام التقریب ونظام التنسیق</w:t>
      </w:r>
      <w:r>
        <w:rPr>
          <w:rFonts w:eastAsia="IRNazanin" w:cs="IRNazanin"/>
          <w:color w:val="111111"/>
          <w:sz w:val="28"/>
          <w:szCs w:val="28"/>
          <w:rtl w:val="true"/>
          <w:lang w:bidi="fa-IR"/>
        </w:rPr>
        <w:t>.</w:t>
      </w:r>
    </w:p>
    <w:p>
      <w:pPr>
        <w:pStyle w:val="Heading4"/>
        <w:numPr>
          <w:ilvl w:val="3"/>
          <w:numId w:val="1"/>
        </w:numPr>
        <w:rPr/>
      </w:pPr>
      <w:bookmarkStart w:id="283" w:name="__RefHeading___Toc1101136_1468164448"/>
      <w:bookmarkStart w:id="284" w:name="_Toc104"/>
      <w:bookmarkEnd w:id="283"/>
      <w:r>
        <w:rPr>
          <w:rtl w:val="true"/>
        </w:rPr>
        <w:t>نظام التنسیق یمثّل الحدّ الأدنی للوحدة</w:t>
      </w:r>
      <w:r>
        <w:rPr>
          <w:rtl w:val="true"/>
        </w:rPr>
        <w:t>:</w:t>
      </w:r>
      <w:bookmarkEnd w:id="284"/>
    </w:p>
    <w:p>
      <w:pPr>
        <w:pStyle w:val="BookText"/>
        <w:rPr/>
      </w:pPr>
      <w:r>
        <w:rPr>
          <w:rFonts w:ascii="IRNazanin" w:hAnsi="IRNazanin" w:eastAsia="IRNazanin"/>
          <w:color w:val="111111"/>
          <w:sz w:val="28"/>
          <w:sz w:val="28"/>
          <w:szCs w:val="28"/>
          <w:rtl w:val="true"/>
          <w:lang w:bidi="fa-IR"/>
        </w:rPr>
        <w:t>إنّ للوحدة حدّاً أعلی وأدنی، وهذا ما یقرّره عدد من النصوص القرآنیّة،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یکشف صدر الآیة عن أنّ الحدّ الأعلی للوحدة التامّة هو الطاعة لله وللرسول، أی‌الانقیاد والولاء التامّ لله‌ورسوله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بینما تکفّل ذیل الآیة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الحدّ الأدنی للوحدة، وهو تحریم التنازع بین المسلمین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أروع ما تضمّنته الآیة المبارکة هو أنّها جاءت مشفوعة ببیان فلسفة وحکمة وسبب حرمة التنازع، وهو أنّ التنازع یؤدّی ویفضی إلی الفشل والضعف</w:t>
      </w:r>
    </w:p>
    <w:p>
      <w:pPr>
        <w:pStyle w:val="BookText"/>
        <w:rPr/>
      </w:pPr>
      <w:r>
        <w:rPr>
          <w:rFonts w:ascii="Amiri" w:hAnsi="Amiri" w:eastAsia="Amiri" w:cs="Amiri"/>
          <w:color w:val="111111"/>
          <w:sz w:val="28"/>
          <w:sz w:val="28"/>
          <w:szCs w:val="28"/>
          <w:rtl w:val="true"/>
          <w:lang w:bidi="ar-SA"/>
        </w:rPr>
        <w:t>وذهاب قوّة المسلمین وقدرتهم، کما هو واضح من تعبیر الآیة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تَذْهَبَ رِیحُکُمْ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أی‌تذهب غلّتکم وقوّتکم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الضوء، فإنّ الحدّ الأدنی من الوحدة، وهو إیجاد الحلول السریعة والآنیّة لتجنّب حصول الأزمات والنزاعات أو لتکوین موقف متّحد تجاه موضوع معیّن، سواء فیما بین المسلمین أنفسهم أم بین المسلمین وغیرهم، هو ما یسمّی بنظام التنسیق والانسجام والتوافق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أشار صدر الآیة المبارکة أیضاً إلی أنّ الحدّ الأعلی للوحدة، هو الاعتصام بحبل الله، بمعنی الولاء والاتّباع لله‌ولرسوله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ذیل الآیة فقد تصدّی لإبراز وبیان الحدّ الأدنی من الوحدة وهو تجنّب النزاع والفرقة بأیّ شکل من الأشکال، وهذا الحدّ الأدنی من الوحدة یطلق علیه اسم نظام التنسیق والانسجام والتوافق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نظام التنسیق والانسجام والتوافق، یمثّل الحدّ الأدنی للوحدة، والتفریط به یؤدّی إلی حصول العداوة بین المسلمین، ویذهب بالنعمة العظیمة التی منّ الله تعالی بها علیهم، وهی الالفة بین القلوب، کما فی تعبیر</w:t>
      </w:r>
    </w:p>
    <w:p>
      <w:pPr>
        <w:pStyle w:val="BookText"/>
        <w:rPr/>
      </w:pPr>
      <w:r>
        <w:rPr>
          <w:rFonts w:ascii="Amiri" w:hAnsi="Amiri" w:eastAsia="Amiri" w:cs="Amiri"/>
          <w:color w:val="111111"/>
          <w:sz w:val="28"/>
          <w:sz w:val="28"/>
          <w:szCs w:val="28"/>
          <w:rtl w:val="true"/>
          <w:lang w:bidi="ar-SA"/>
        </w:rPr>
        <w:t>الآیة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 بَیْنَ قُلُوبِکُمْ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وهناک عدّة نصوص قرآنیّة اخری تشارکها فی المضمون ذاته مؤکّدة علی خطورة التجاوز والتفریط بالحدّ الأدنی للوحدة، وهو نظام التنسیق والانسجام والتوافق،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یُرِیکَهُمُ اللّهُ فِی مَنامِکَ قَلِیلاً وَ لَوْ أَراکَهُمْ کَثِیراً لَفَشِلْتُمْ وَ لَتَنازَعْتُمْ فِی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واضحة الدلالة علی توقّف أو شرطیّة عدم التنازع والفرقة فی تحقیق المسلمین للنصر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مقابل ذلک فإنّ معصیة الرسول صلی الله علیه و آله وعدم طاعته، مدعاة للتنازع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المبارکة تلتقی فی التأکید مع ما تقدّم من الآیات، فی أنّ الحدّ التامّ أو الأعلی للوحدة، لا یمکن تحقیقه إلّابتمام الطاعة لله ورسوله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ما تقدّم یتّضح أنّ أسباب التنازع والفرقة هو اتّباع الأهواء والمیول، والابتعاد عن الله ورسوله صلی الله علیه و آله کما فی قوله تعالی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تَفَرَّقُوا إِلاّ مِنْ بَعْدِ ما جاءَهُمُ الْعِلْمُ بَغْیاً بَیْنَهُمْ وَ لَوْ لا کَلِمَةٌ</w:t>
      </w:r>
      <w:r>
        <w:rPr>
          <w:rFonts w:eastAsia="Amiri" w:cs="Amiri" w:ascii="Amiri" w:hAnsi="Amiri"/>
          <w:color w:val="111111"/>
          <w:sz w:val="28"/>
          <w:szCs w:val="28"/>
          <w:rtl w:val="true"/>
          <w:lang w:bidi="ar-SA"/>
        </w:rPr>
        <w:t>)</w:t>
      </w:r>
      <w:bookmarkStart w:id="285" w:name="pg13703_133825"/>
    </w:p>
    <w:p>
      <w:pPr>
        <w:pStyle w:val="BookText"/>
        <w:rPr/>
      </w:pPr>
      <w:bookmarkEnd w:id="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مِنْ رَبِّکَ إِلی أَجَلٍ مُسَمًّی لَقُضِیَ بَیْنَهُمْ وَ إِنَّ الَّذِینَ أُورِثُوا الْکِتابَ مِنْ بَعْدِهِمْ لَفِی شَکٍّ مِنْهُ مُرِیبٍ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 الَّذِینَ أُوتُوا الْکِتابَ إِلاّ مِنْ بَعْدِ ما جاءَهُمُ الْعِلْمُ بَغْیاً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وغیرها من الآیات التی تصرّح بأنّ أهمّ أسباب الفرقة والاختلاف هو البغض واتّباع الهوی</w:t>
      </w:r>
      <w:r>
        <w:rPr>
          <w:rFonts w:eastAsia="IRNazanin" w:cs="IRNazanin"/>
          <w:color w:val="111111"/>
          <w:sz w:val="28"/>
          <w:szCs w:val="28"/>
          <w:rtl w:val="true"/>
          <w:lang w:bidi="fa-IR"/>
        </w:rPr>
        <w:t>.</w:t>
      </w:r>
    </w:p>
    <w:p>
      <w:pPr>
        <w:pStyle w:val="Heading4"/>
        <w:numPr>
          <w:ilvl w:val="3"/>
          <w:numId w:val="1"/>
        </w:numPr>
        <w:rPr/>
      </w:pPr>
      <w:bookmarkStart w:id="286" w:name="__RefHeading___Toc1101138_1468164448"/>
      <w:bookmarkStart w:id="287" w:name="_Toc105"/>
      <w:bookmarkEnd w:id="286"/>
      <w:r>
        <w:rPr>
          <w:rtl w:val="true"/>
        </w:rPr>
        <w:t>بعض ممارسات حکّام المسلمین سبب للفرقة</w:t>
      </w:r>
      <w:r>
        <w:rPr>
          <w:rtl w:val="true"/>
        </w:rPr>
        <w:t>:</w:t>
      </w:r>
      <w:bookmarkEnd w:id="28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ینبغی التذکیر به هو أنّ من أهمّ أسباب النزاع والفرقة بین المسلمین وطوائفهم ومذاهبهم، هو ما یقوم به بعض حکّام الشعوب الإسلامیّة من السعی لإشعال فتیل الفتنة بین المسلمین وإیجاد الفرقة بینهم؛ وذلک لأنّ وحدة الصفّ بین المسلمین واتّحادهم وانسجامهم یقلق ویخیف هؤلاء الحکّام، ویهدّد عروشهم؛ إذ الانفتاح بین المسلمین والطوائف الإسلامیّة یحیی مبادئ الإسلام الأصیلة الباعثة علی قوّة المسلمین وإقامة العدالة بینهم، وفتح باب إحیاء فریضة الأمر بالمعروف والنهی عن المنکر علی مصراعیها، التی من أهمّ بنودها محاسبة الحکّام ومراقبتهم وصدّهم عن الاستبداد والاستئثار بالثروات، وتحکیم قاعدة الاستشارة والشوری، ومشارکة عموم المسلمین فی الحکم</w:t>
      </w:r>
      <w:r>
        <w:rPr>
          <w:rFonts w:eastAsia="IRNazanin" w:cs="IRNazanin"/>
          <w:color w:val="111111"/>
          <w:sz w:val="28"/>
          <w:szCs w:val="28"/>
          <w:rtl w:val="true"/>
          <w:lang w:bidi="fa-IR"/>
        </w:rPr>
        <w:t>.</w:t>
      </w:r>
      <w:bookmarkStart w:id="288" w:name="pg13703_133826"/>
    </w:p>
    <w:p>
      <w:pPr>
        <w:pStyle w:val="BookText"/>
        <w:rPr/>
      </w:pPr>
      <w:bookmarkEnd w:id="288"/>
      <w:r>
        <w:rPr>
          <w:rFonts w:ascii="IRNazanin" w:hAnsi="IRNazanin" w:eastAsia="IRNazanin"/>
          <w:color w:val="111111"/>
          <w:sz w:val="28"/>
          <w:sz w:val="28"/>
          <w:szCs w:val="28"/>
          <w:rtl w:val="true"/>
          <w:lang w:bidi="fa-IR"/>
        </w:rPr>
        <w:t>ومن الواضح أنّ إحیاء هذه القواعد والاصول الإسلامیّة، یهدّد مشروعیّه حکوماتهم واستمرارها، ویحدّد من إطلاق عنانها فی التصرّفات، ومن ثمّ یلجأ هؤلاء الحکّام إلی إثارة الفرقة والنزاع بین المسلمین؛ لئلّا یواجهوا بجبهة متّحدة من عموم المسلمین</w:t>
      </w:r>
      <w:r>
        <w:rPr>
          <w:rFonts w:eastAsia="IRNazanin" w:cs="IRNazanin"/>
          <w:color w:val="111111"/>
          <w:sz w:val="28"/>
          <w:szCs w:val="28"/>
          <w:rtl w:val="true"/>
          <w:lang w:bidi="fa-IR"/>
        </w:rPr>
        <w:t>.</w:t>
      </w:r>
    </w:p>
    <w:p>
      <w:pPr>
        <w:pStyle w:val="Heading4"/>
        <w:numPr>
          <w:ilvl w:val="3"/>
          <w:numId w:val="1"/>
        </w:numPr>
        <w:rPr/>
      </w:pPr>
      <w:bookmarkStart w:id="289" w:name="__RefHeading___Toc1101140_1468164448"/>
      <w:bookmarkStart w:id="290" w:name="_Toc106"/>
      <w:bookmarkEnd w:id="289"/>
      <w:r>
        <w:rPr>
          <w:rtl w:val="true"/>
        </w:rPr>
        <w:t>قاعدة فی بیان حقیقة المذهبیّة العقائدیّة والفقهیّة</w:t>
      </w:r>
      <w:r>
        <w:rPr>
          <w:rtl w:val="true"/>
        </w:rPr>
        <w:t>:</w:t>
      </w:r>
      <w:bookmarkEnd w:id="290"/>
    </w:p>
    <w:p>
      <w:pPr>
        <w:pStyle w:val="BookText"/>
        <w:rPr/>
      </w:pPr>
      <w:r>
        <w:rPr>
          <w:rFonts w:ascii="IRNazanin" w:hAnsi="IRNazanin" w:eastAsia="IRNazanin"/>
          <w:color w:val="111111"/>
          <w:sz w:val="28"/>
          <w:sz w:val="28"/>
          <w:szCs w:val="28"/>
          <w:rtl w:val="true"/>
          <w:lang w:bidi="fa-IR"/>
        </w:rPr>
        <w:t>هناک إثارات وتساؤلات متعدّدة حیال المذهبیّة، فالشخص المعتنق للدین الإسلامیّ حین دخوله الإسلام ینقدح فی ذهنه تساؤل حول تعدّد المذاهب العقائدیّة والفقهیّة فی الدین الواحد، وهل أنّ المذهبیّة من صلب الدین، أم هی مقحمة فی الدین؟</w:t>
      </w:r>
    </w:p>
    <w:p>
      <w:pPr>
        <w:pStyle w:val="BookText"/>
        <w:rPr/>
      </w:pPr>
      <w:r>
        <w:rPr>
          <w:rFonts w:ascii="IRNazanin" w:hAnsi="IRNazanin" w:eastAsia="IRNazanin"/>
          <w:color w:val="111111"/>
          <w:sz w:val="28"/>
          <w:sz w:val="28"/>
          <w:szCs w:val="28"/>
          <w:rtl w:val="true"/>
          <w:lang w:bidi="fa-IR"/>
        </w:rPr>
        <w:t>وقد یتساءل عن الفارق بین الدین والمذهب؟</w:t>
      </w:r>
    </w:p>
    <w:p>
      <w:pPr>
        <w:pStyle w:val="BookText"/>
        <w:rPr/>
      </w:pPr>
      <w:r>
        <w:rPr>
          <w:rFonts w:ascii="IRNazanin" w:hAnsi="IRNazanin" w:eastAsia="IRNazanin"/>
          <w:color w:val="111111"/>
          <w:sz w:val="28"/>
          <w:sz w:val="28"/>
          <w:szCs w:val="28"/>
          <w:rtl w:val="true"/>
          <w:lang w:bidi="fa-IR"/>
        </w:rPr>
        <w:t>وهل أنّ الدین یشتمل علی مذاهب متعدّدة أم لا؟</w:t>
      </w:r>
    </w:p>
    <w:p>
      <w:pPr>
        <w:pStyle w:val="BookText"/>
        <w:rPr/>
      </w:pPr>
      <w:r>
        <w:rPr>
          <w:rFonts w:ascii="IRNazanin" w:hAnsi="IRNazanin" w:eastAsia="IRNazanin"/>
          <w:color w:val="111111"/>
          <w:sz w:val="28"/>
          <w:sz w:val="28"/>
          <w:szCs w:val="28"/>
          <w:rtl w:val="true"/>
          <w:lang w:bidi="fa-IR"/>
        </w:rPr>
        <w:t>وإلی جوار ما تقدّم من تساؤلات، قد یثار تساؤل آخر یتوجّه صوب بیان الفارق بین تعدّد الاجتهادات وتعدّد المذاهب؟</w:t>
      </w:r>
    </w:p>
    <w:p>
      <w:pPr>
        <w:pStyle w:val="BookText"/>
        <w:rPr/>
      </w:pPr>
      <w:r>
        <w:rPr>
          <w:rFonts w:ascii="IRNazanin" w:hAnsi="IRNazanin" w:eastAsia="IRNazanin"/>
          <w:color w:val="111111"/>
          <w:sz w:val="28"/>
          <w:sz w:val="28"/>
          <w:szCs w:val="28"/>
          <w:rtl w:val="true"/>
          <w:lang w:bidi="fa-IR"/>
        </w:rPr>
        <w:t>أو أنّ المذاهب هی نفس الاجتهادات، أم شیء آخر؟</w:t>
      </w:r>
    </w:p>
    <w:p>
      <w:pPr>
        <w:pStyle w:val="BookText"/>
        <w:rPr/>
      </w:pPr>
      <w:r>
        <w:rPr>
          <w:rFonts w:ascii="IRNazanin" w:hAnsi="IRNazanin" w:eastAsia="IRNazanin"/>
          <w:color w:val="111111"/>
          <w:sz w:val="28"/>
          <w:sz w:val="28"/>
          <w:szCs w:val="28"/>
          <w:rtl w:val="true"/>
          <w:lang w:bidi="fa-IR"/>
        </w:rPr>
        <w:t>وهل أنّ ما قام به روّاد مرحلة تأسیس المذهبیّة العقائدیّة أو الفقهیّة، هو عملیّة اجتهادیّة، أو هی عملیّة تختلف جوهریّاً عن ذلک؟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تقدیر کونها لیست اجتهادیّة، وإنّما هی شیء آخر، فهل أنّ حقیقة عملیّة تأسیس المذاهب هو فعل یرتقی إلی درجة التشریع فی الدین أم لا؟</w:t>
      </w:r>
      <w:bookmarkStart w:id="291" w:name="pg13703_133827"/>
    </w:p>
    <w:p>
      <w:pPr>
        <w:pStyle w:val="BookText"/>
        <w:rPr/>
      </w:pPr>
      <w:bookmarkEnd w:id="291"/>
      <w:r>
        <w:rPr>
          <w:rFonts w:ascii="Amiri" w:hAnsi="Amiri" w:eastAsia="Amiri" w:cs="Amiri"/>
          <w:color w:val="111111"/>
          <w:sz w:val="28"/>
          <w:sz w:val="28"/>
          <w:szCs w:val="28"/>
          <w:rtl w:val="true"/>
          <w:lang w:bidi="ar-SA"/>
        </w:rPr>
        <w:t>وقد یعبّر عنه کما فی جملة من الروایات الواردة من أهل البیت علیهم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مِنْکُمْ شِرْعَةً وَ مِنْهاجاً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وغیر ذلک من التساؤلات التی تثار لدی المتابع والمتصفّح لعنوان الدین والشریعة والملّة والنِّحلة والمذهب والمنهاج والطریقة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تتّضح الإجابة علی هذه التساؤلات، ینبغی إعطاء لمحة إجمالیّة تصوّریّة عامّة عن حقیقة المذهبیّة العقائدیّة والمذهبیّة الفقهیّة لدی المسلمین</w:t>
      </w:r>
      <w:r>
        <w:rPr>
          <w:rFonts w:eastAsia="IRNazanin" w:cs="IRNazanin"/>
          <w:color w:val="111111"/>
          <w:sz w:val="28"/>
          <w:szCs w:val="28"/>
          <w:rtl w:val="true"/>
          <w:lang w:bidi="fa-IR"/>
        </w:rPr>
        <w:t>.</w:t>
      </w:r>
    </w:p>
    <w:p>
      <w:pPr>
        <w:pStyle w:val="Heading4"/>
        <w:numPr>
          <w:ilvl w:val="3"/>
          <w:numId w:val="1"/>
        </w:numPr>
        <w:rPr/>
      </w:pPr>
      <w:bookmarkStart w:id="292" w:name="__RefHeading___Toc1101142_1468164448"/>
      <w:bookmarkStart w:id="293" w:name="_Toc107"/>
      <w:bookmarkEnd w:id="292"/>
      <w:r>
        <w:rPr>
          <w:rtl w:val="true"/>
        </w:rPr>
        <w:t>حقیقة المذهبیّة العقائدیّة عند المسلمین</w:t>
      </w:r>
      <w:r>
        <w:rPr>
          <w:rtl w:val="true"/>
        </w:rPr>
        <w:t>:</w:t>
      </w:r>
      <w:bookmarkEnd w:id="293"/>
    </w:p>
    <w:p>
      <w:pPr>
        <w:pStyle w:val="BookText"/>
        <w:rPr/>
      </w:pPr>
      <w:r>
        <w:rPr>
          <w:rFonts w:ascii="IRNazanin" w:hAnsi="IRNazanin" w:eastAsia="IRNazanin"/>
          <w:color w:val="111111"/>
          <w:sz w:val="28"/>
          <w:sz w:val="28"/>
          <w:szCs w:val="28"/>
          <w:rtl w:val="true"/>
          <w:lang w:bidi="fa-IR"/>
        </w:rPr>
        <w:t>لا شکّ أنّ هناک مذاهب عقائدیّة متعدّدة فی الدین الإسلامیّ غیر المذاهب الفقهیّة، فإنّ تنوّع المسلمین إلی شیعة وسنّة، یعدّ تعدّداً مذهبیّاً عقائدیّاً، مضافاً إلی تنوّع المذاهب العقائدیّة عند الشیعة والسنّة أنفسهم، فمذهب الشیعة تعدّد إلی مذهب الإمامیّة الإثنی عشریّه، والإسماعیلیّة، والواقفیّة، والزیدیّة، والصوفیّة،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بالنسبة إلی السنّة التی تنوّعت مذاهبهم العقائدیّة إلی مذاهب متعدّدة، من قبیل مذهب الأشعریّة، والمعتزلة، والسلفیّة، والمرجئة، والقدریّة، والکرامیّة، ونحوها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الشیء الذی یسترعی الالتفات هو أنّ هناک جامعاً مشترکاً بین جمیع هذه المذاهب العقائدیّة، یلتقی فی تحدید میزان وضابطة المذهبیّة العقائدیّة</w:t>
      </w:r>
      <w:r>
        <w:rPr>
          <w:rFonts w:eastAsia="IRNazanin" w:cs="IRNazanin"/>
          <w:color w:val="111111"/>
          <w:sz w:val="28"/>
          <w:szCs w:val="28"/>
          <w:rtl w:val="true"/>
          <w:lang w:bidi="fa-IR"/>
        </w:rPr>
        <w:t>.</w:t>
      </w:r>
      <w:bookmarkStart w:id="294" w:name="pg13703_133828"/>
    </w:p>
    <w:p>
      <w:pPr>
        <w:pStyle w:val="Heading4"/>
        <w:numPr>
          <w:ilvl w:val="3"/>
          <w:numId w:val="1"/>
        </w:numPr>
        <w:rPr/>
      </w:pPr>
      <w:bookmarkStart w:id="295" w:name="__RefHeading___Toc1101144_1468164448"/>
      <w:bookmarkStart w:id="296" w:name="_Toc108"/>
      <w:bookmarkEnd w:id="294"/>
      <w:bookmarkEnd w:id="295"/>
      <w:r>
        <w:rPr>
          <w:rtl w:val="true"/>
        </w:rPr>
        <w:t>میزان المذهبیّة العقائدیّة</w:t>
      </w:r>
      <w:r>
        <w:rPr>
          <w:rtl w:val="true"/>
        </w:rPr>
        <w:t>:</w:t>
      </w:r>
      <w:bookmarkEnd w:id="296"/>
    </w:p>
    <w:p>
      <w:pPr>
        <w:pStyle w:val="BookText"/>
        <w:rPr/>
      </w:pPr>
      <w:r>
        <w:rPr>
          <w:rFonts w:ascii="IRNazanin" w:hAnsi="IRNazanin" w:eastAsia="IRNazanin"/>
          <w:color w:val="111111"/>
          <w:sz w:val="28"/>
          <w:sz w:val="28"/>
          <w:szCs w:val="28"/>
          <w:rtl w:val="true"/>
          <w:lang w:bidi="fa-IR"/>
        </w:rPr>
        <w:t>إنّ میزان المذهبیّة العقائدیّة یتشکّل من رکائز متعدّدة،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المسائل الاعتقادیّة مرتبطة بأفعال القلب والجوانح، لا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المسائل الاعتقادیّة ممّا یتحقّق بها الإیمان الذی به تتحقّق النجاة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فلیست کلّ مسألة اعتقادیّة مختلف فیها تشکّل مذهباً عقائدیّاً، بل المسائل التی تدخل فی تحدید دائرة المذهب العقائدی هی المسائل الاعتقادیّة التی تعدّ من أرکان الإیمان عند کلّ مذهب، لا تفاصیل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الاعتقادیّة التی تتنوّع علی ضوئها المذاهب، هی من سنخ المسائل المستندة إلی أدلّة یقینیّة قطعیّة، بخلاف غیرها من المسائل الاعتقادیّة التی تستند إلی أدلّة نظریّة، سواء کانت قطعیّة أم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منزلة الأشخاص الذین ارتبطت أو اتّسمت بهم هذه المسائل الاعتقادیّة، هی منزلة تفوق درجة الفقهاء أو الرواة العدول بحسب ذلک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وتصل المنزلة عند کلّ مذهب بحسبه إلی درجة الإمامة فی الدین، ومن ثمّ یتمتّع هؤلاء بقدسیّة خاصّة لدی أتباع المذهب الذی ارتبط بهم، تفوق منزلة الفقهاء والعلماء</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عملیّة التأصیل العقائدیّ لکلّ مذهب، لیست عملیّة اجتهادیّة</w:t>
      </w:r>
      <w:bookmarkStart w:id="297" w:name="pg13703_133829"/>
    </w:p>
    <w:p>
      <w:pPr>
        <w:pStyle w:val="BookText"/>
        <w:rPr/>
      </w:pPr>
      <w:bookmarkEnd w:id="297"/>
      <w:r>
        <w:rPr>
          <w:rFonts w:ascii="IRNazanin" w:hAnsi="IRNazanin" w:eastAsia="IRNazanin"/>
          <w:color w:val="111111"/>
          <w:sz w:val="28"/>
          <w:sz w:val="28"/>
          <w:szCs w:val="28"/>
          <w:rtl w:val="true"/>
          <w:lang w:bidi="fa-IR"/>
        </w:rPr>
        <w:t>استنباطیّة ظنّیّة تتحرّک ضمن دائرة المتغیّرات، بل هی عملیّة بناء ثوابت تمثّل أرکان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یعنی کون هذه المسائل من الثوابت، وخروجها عن دائرة الاستنباط الظنّیّ، أنّها لیست داخلة فی دائرة الفحص العلمیّ؛ لأنّ الفحص والتحرّی العلمیّ وتحصیل العلم شامل لُاسّ الدین، وهو معرفة الخالق والإیمان به، وکذا النبوّة والرسالة والمعاد، فضلًا عن غیرها من المسائل الاخری وإن کانت 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مسألة من المسائل ومناقشتها لا یعنی اتّکاءها علی أدلّة ظنّیّة 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استناد مسألة ما علی أدلّة بدیهیّة، فضلًا عن الأدلّة القطعیّة والیقینیّة، لا یعنی أنّها خارجة عن مساحة المناقشة والفحص والتحرّی العلمی عن أدلّة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فالمسألة وإن کانت بدیهیّة، إلّاأنّ البحث عن أدلّتها وإثارتها یفید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وإجلاء الغموض الذی قد یعتورها ولو من بعض جهاتها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یتبیّن أنّ دائرة الفحص العلمیّ أوسع من دائرة الاجتهاد النظری الظنّی</w:t>
      </w:r>
      <w:r>
        <w:rPr>
          <w:rFonts w:eastAsia="IRNazanin" w:cs="IRNazanin"/>
          <w:color w:val="111111"/>
          <w:sz w:val="28"/>
          <w:szCs w:val="28"/>
          <w:rtl w:val="true"/>
          <w:lang w:bidi="fa-IR"/>
        </w:rPr>
        <w:t>.</w:t>
      </w:r>
    </w:p>
    <w:p>
      <w:pPr>
        <w:pStyle w:val="Heading4"/>
        <w:numPr>
          <w:ilvl w:val="3"/>
          <w:numId w:val="1"/>
        </w:numPr>
        <w:rPr/>
      </w:pPr>
      <w:bookmarkStart w:id="298" w:name="__RefHeading___Toc1101146_1468164448"/>
      <w:bookmarkStart w:id="299" w:name="_Toc109"/>
      <w:bookmarkEnd w:id="298"/>
      <w:r>
        <w:rPr>
          <w:rtl w:val="true"/>
        </w:rPr>
        <w:t>حقیقة وموقعیّة عملیّة التأصیل العقائدیّ من الدین</w:t>
      </w:r>
      <w:r>
        <w:rPr>
          <w:rtl w:val="true"/>
        </w:rPr>
        <w:t>:</w:t>
      </w:r>
      <w:bookmarkEnd w:id="299"/>
    </w:p>
    <w:p>
      <w:pPr>
        <w:pStyle w:val="Heading5"/>
        <w:numPr>
          <w:ilvl w:val="4"/>
          <w:numId w:val="1"/>
        </w:numPr>
        <w:rPr/>
      </w:pPr>
      <w:bookmarkStart w:id="300" w:name="__RefHeading___Toc1101148_1468164448"/>
      <w:bookmarkStart w:id="301" w:name="_Toc110"/>
      <w:bookmarkEnd w:id="300"/>
      <w:r>
        <w:rPr>
          <w:rtl w:val="true"/>
        </w:rPr>
        <w:t>اشارة</w:t>
      </w:r>
      <w:bookmarkEnd w:id="30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التأمّل والتدبّر فی الدور الذی قام به الجیل الأوّل، وهم أهل البیت علیهم السلام عند أتباعهم، أو ما قام به الصحابة لدی أتباعهم أیضاً، نجد</w:t>
      </w:r>
      <w:bookmarkStart w:id="302" w:name="pg13703_133830"/>
    </w:p>
    <w:p>
      <w:pPr>
        <w:pStyle w:val="BookText"/>
        <w:rPr/>
      </w:pPr>
      <w:bookmarkEnd w:id="302"/>
      <w:r>
        <w:rPr>
          <w:rFonts w:ascii="IRNazanin" w:hAnsi="IRNazanin" w:eastAsia="IRNazanin"/>
          <w:color w:val="111111"/>
          <w:sz w:val="28"/>
          <w:sz w:val="28"/>
          <w:szCs w:val="28"/>
          <w:rtl w:val="true"/>
          <w:lang w:bidi="fa-IR"/>
        </w:rPr>
        <w:t>أنّ هذا الدور لدی أتباع کلّ طرف لا یکون اعتباره علی حدّ اعتبار الرواة للروایة، ولا یقتصر أیضاً علی حدّ اعتبار درجة مکانة الفقهاء وفتاواهم، وإنّما درجة واعتبار الدور الذی قام به هذا الجیل تتخطّی وتتجاوز درجة اعتبار الرواة والفقهاء، بحیث تکون حجّیّتهم واعتبارهم دخیلة فی حجّیّة الکتاب والسنّة، وأنّ أمانتهم علی الدین واعتبارهم لدی أتباعهم یتوقّف علیها اعتبار الکتاب والسنّة، وأنّ الخدشة فی اعتبارهم یستلزم إبطالًا للکتاب والسنّة؛ لذا کانت حجّتهم ضرورة فی الدین عند أتباعهم، ومن ثمّ لا یتقدّم علیهم أحد فیما بعدهم، ولا یسوغ الردّ علیهم بأیّ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یتّضح أنّ ما قام به هؤلاء من دور فی الدین عند أتباعهم، هو دور فوق النقد والتخطئة وإن لم یکن دورهم لیس فوق الفحص والتحرّی والبحث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تجاوزه؛ ولذا اطلق علیهم أنّهم الأئمّة فی الدین لدی أتباع کلّ 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یکشف عن ضرورة وجود حلقة تتوسّط بین عموم الناس وبین الکتاب والرسول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ضرورة الحلقة المتوسّطة بین الامّة وبین الکتاب والرسول صلی الله علیه و آله</w:t>
      </w:r>
    </w:p>
    <w:p>
      <w:pPr>
        <w:pStyle w:val="BookText"/>
        <w:rPr/>
      </w:pPr>
      <w:r>
        <w:rPr>
          <w:rFonts w:ascii="IRNazanin" w:hAnsi="IRNazanin" w:eastAsia="IRNazanin"/>
          <w:color w:val="111111"/>
          <w:sz w:val="28"/>
          <w:sz w:val="28"/>
          <w:szCs w:val="28"/>
          <w:rtl w:val="true"/>
          <w:lang w:bidi="fa-IR"/>
        </w:rPr>
        <w:t>ذکرت عدّة أدلّة لهذه الضرورة، نشیر إلیها باختصار</w:t>
      </w:r>
      <w:r>
        <w:rPr>
          <w:rFonts w:eastAsia="IRNazanin" w:cs="IRNazanin"/>
          <w:color w:val="111111"/>
          <w:sz w:val="28"/>
          <w:szCs w:val="28"/>
          <w:rtl w:val="true"/>
          <w:lang w:bidi="fa-IR"/>
        </w:rPr>
        <w:t>:</w:t>
      </w:r>
    </w:p>
    <w:p>
      <w:pPr>
        <w:pStyle w:val="Heading5"/>
        <w:numPr>
          <w:ilvl w:val="4"/>
          <w:numId w:val="1"/>
        </w:numPr>
        <w:rPr/>
      </w:pPr>
      <w:bookmarkStart w:id="303" w:name="__RefHeading___Toc1101150_1468164448"/>
      <w:bookmarkStart w:id="304" w:name="_Toc111"/>
      <w:bookmarkEnd w:id="303"/>
      <w:r>
        <w:rPr>
          <w:rtl w:val="true"/>
        </w:rPr>
        <w:t>الدلیل الأوّل</w:t>
      </w:r>
      <w:r>
        <w:rPr>
          <w:rtl w:val="true"/>
        </w:rPr>
        <w:t xml:space="preserve">: </w:t>
      </w:r>
      <w:r>
        <w:rPr>
          <w:rtl w:val="true"/>
        </w:rPr>
        <w:t>بیان ثوابت الدین</w:t>
      </w:r>
      <w:r>
        <w:rPr>
          <w:rtl w:val="true"/>
        </w:rPr>
        <w:t>:</w:t>
      </w:r>
      <w:bookmarkEnd w:id="30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الکتاب والسنّة یمثّلان المصدرین الأساسیّن للشریعة، وأنّ حجّیتهما قطعیّة، ثابتة عند جمیع المسلمین، کذلک قامت الأدلّة الإعجازیّة علی</w:t>
      </w:r>
    </w:p>
    <w:p>
      <w:pPr>
        <w:pStyle w:val="BookText"/>
        <w:rPr/>
      </w:pPr>
      <w:r>
        <w:rPr>
          <w:rFonts w:ascii="IRNazanin" w:hAnsi="IRNazanin" w:eastAsia="IRNazanin"/>
          <w:color w:val="111111"/>
          <w:sz w:val="28"/>
          <w:sz w:val="28"/>
          <w:szCs w:val="28"/>
          <w:rtl w:val="true"/>
          <w:lang w:bidi="fa-IR"/>
        </w:rPr>
        <w:t>أنّ القرآن الکریم کلام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إلّاأنّ الشیء الذی ینبغی الترکیز علیه هو أنّ تلک الأدلّة الإعجازیّة، وإن کانت شاملة لکلّ آیة من القرآن الکریم، إلّاأنّ هناک مساحة واسعة من الأدلّة الإعجازیّة المتنوّعة للکتاب، غیر متیسّرة الإدراک لعموم الناس فی الأجیال اللاحقة للجیل الأوّل، بل وکذا عموم الناس فی الجیل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إثبات وبیان هذا المقدار من الموارد الإعجازیّة للقرآن الکریم، الغیر المتیسّرة الفهم لعموم الناس، تحتاج لمن یقوم ببیانها ونقلها للمسلمین، کموارد أسباب النزول أو ملابسات الأحداث لنزول الآیات أو الظروف التاریخیّة والاجتماعیّة المصاحبة والمزامنة، سواء بلحاظ التدوین والکتابة، أو غیرها من الامور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النقل القطعیّ لا یتحقّق إلّاعبر التواتر، وهو التظافر فی العدد الکمّی والکیفیّ، وهو أمر غیر متوفّر فی الجیل الأوّل فی کلّ الموارد والمشاهد النبویّة؛ لقلّة عدد الناقلین، ولعدم مشاهدة عدد من المسلمین یتحقّق بهم نصاب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عدم وجود تواتر فی النقل لموارد کثیرة صدرت عن النبیّ صلی الله علیه و آله، کتفسیر وبیان لإعجاز أو مفاد آیات القرآن الکریم غیر المیسّرة الفهم لدی عموم الناس، أو لموارد إعجازیّة أو تشریعیّة صدرت منه صلی الله علیه و آله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فتوجد موارد اخری کثیرة لم یشهدها المسلمون من النبیّ صلی الله علیه و آله بالشکل الذی یوفّر القطع فی النقل والتأدیة عن رسول الله صلی الله علیه و آله،</w:t>
      </w:r>
    </w:p>
    <w:p>
      <w:pPr>
        <w:pStyle w:val="BookText"/>
        <w:rPr/>
      </w:pPr>
      <w:r>
        <w:rPr>
          <w:rFonts w:ascii="IRNazanin" w:hAnsi="IRNazanin" w:eastAsia="IRNazanin"/>
          <w:color w:val="111111"/>
          <w:sz w:val="28"/>
          <w:sz w:val="28"/>
          <w:szCs w:val="28"/>
          <w:rtl w:val="true"/>
          <w:lang w:bidi="fa-IR"/>
        </w:rPr>
        <w:t>وهذه الموارد تعدّ من الثوابت والضرورات الدینیّة، ولیست من المسائل الفرعیّة التی یکفی فیها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فلا بدّ من أن یکون القائمون بالتأدیة والنقل عن رسول الله صلی الله علیه و آله لمثل هذه الثوابت، بدرجة من الصدق فی النقل تفوق اعتبار الرواة، وتفوق فی العلم درجة فقاهة الفقهاء فی الضبط العلمیّ، أی‌لا یحتمل فیهم الخطأ والاشتباه بنحو یوصد ویسدّ باب الشکّ والریبة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الحلقة هی الإمامة فی الدین، التی من مهامّها تأصیل الثوابت العقائدیّة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 العناصر الدخیلة فی ضروریّات الدین</w:t>
      </w:r>
    </w:p>
    <w:p>
      <w:pPr>
        <w:pStyle w:val="BookText"/>
        <w:rPr/>
      </w:pPr>
      <w:r>
        <w:rPr>
          <w:rFonts w:ascii="IRNazanin" w:hAnsi="IRNazanin" w:eastAsia="IRNazanin"/>
          <w:color w:val="111111"/>
          <w:sz w:val="28"/>
          <w:sz w:val="28"/>
          <w:szCs w:val="28"/>
          <w:rtl w:val="true"/>
          <w:lang w:bidi="fa-IR"/>
        </w:rPr>
        <w:t>وهذا الدلیل ینطلق من ضرورة التفسیر الأوّلی للقرآن والسنّة بحسب أسباب النزول، ومنشأ ودواعی صدور الحدیث النبویّ، ولإثبات ما کان من السیرة النبویّة، ممّا له دور مهمّ فی تحدید المعنی الابتدائی الذی تترکّز علیه المراحل الاخری من مراتب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وضرورة هذه المرحلة تناظر مرحلة أصل ألفاظ الکتاب والسنّة؛ لأنّها بمثابة نقل الدلالات والعناصر الدخیلة فی الدلالة ممّا هو غیر ملفوظ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حجم دور هذه الدلالات فی رسم المعالم النهائیّة للمعنی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وتحقیق وضبط هذه الملابسات الدخیلة فی ضروریّات الدین، لا بدّ أن تقوم به مجموعة مأمونة عن الخطأ فی الفهم والنقل، وإلّا سوف یتطرّق احتمال الخلاف فی ضرورات الدین وثوابت الشریعة التی اتّکأت وارتکزت</w:t>
      </w:r>
      <w:bookmarkStart w:id="305" w:name="pg13703_133833"/>
    </w:p>
    <w:p>
      <w:pPr>
        <w:pStyle w:val="BookText"/>
        <w:rPr/>
      </w:pPr>
      <w:bookmarkEnd w:id="305"/>
      <w:r>
        <w:rPr>
          <w:rFonts w:ascii="IRNazanin" w:hAnsi="IRNazanin" w:eastAsia="IRNazanin"/>
          <w:color w:val="111111"/>
          <w:sz w:val="28"/>
          <w:sz w:val="28"/>
          <w:szCs w:val="28"/>
          <w:rtl w:val="true"/>
          <w:lang w:bidi="fa-IR"/>
        </w:rPr>
        <w:t>علی تلک المعانی الابتدائیّة للآیات والأحادیث الشریفة، ویسری إلی من دونهم ممّن یتلقّون منهم الإدراک والفهم لتلک الآیات والأحادیث من تلک المجموعة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هذه المجموعة غیر بالغة عدداً تلک الکثرة التی یتحقّق فیها القطع فی النقل، من ناحیة الکمّ، وکذلک لم یصل نقل هذه المجموعة إلی درجة البداهة فی الفهم من ناحیة الکیف المستکشف من توافق الکمّ الهائل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یؤمن احتمال الخلاف، إلّامن خلال اعتبار تلک المجموعة یفوق اعتبار العدول فی النقل واعتبار الفقهاء فی الفهم والإدراک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تتّضح ضرورة القیام بهذه المرحلة المتوسّطیّة بین النبیّ صلی الله علیه و آله والامّة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الدور المتمیّز فی الاعتبار والأهمّیّة إلی درجة الریادة والقیادة فی الدین، وهو ما یصطلح علیه بالإمامة فی حفظ وبناء معالم الدین</w:t>
      </w:r>
      <w:r>
        <w:rPr>
          <w:rFonts w:eastAsia="IRNazanin" w:cs="IRNazanin"/>
          <w:color w:val="111111"/>
          <w:sz w:val="28"/>
          <w:szCs w:val="28"/>
          <w:rtl w:val="true"/>
          <w:lang w:bidi="fa-IR"/>
        </w:rPr>
        <w:t>.</w:t>
      </w:r>
    </w:p>
    <w:p>
      <w:pPr>
        <w:pStyle w:val="Heading5"/>
        <w:numPr>
          <w:ilvl w:val="4"/>
          <w:numId w:val="1"/>
        </w:numPr>
        <w:rPr/>
      </w:pPr>
      <w:bookmarkStart w:id="306" w:name="__RefHeading___Toc1101152_1468164448"/>
      <w:bookmarkStart w:id="307" w:name="_Toc112"/>
      <w:bookmarkEnd w:id="306"/>
      <w:r>
        <w:rPr>
          <w:rtl w:val="true"/>
        </w:rPr>
        <w:t>الدلیل الثالث</w:t>
      </w:r>
      <w:r>
        <w:rPr>
          <w:rtl w:val="true"/>
        </w:rPr>
        <w:t xml:space="preserve">: </w:t>
      </w:r>
      <w:r>
        <w:rPr>
          <w:rtl w:val="true"/>
        </w:rPr>
        <w:t>القیام بدور التفصیل فی القواعد الاعتقادیّة</w:t>
      </w:r>
      <w:r>
        <w:rPr>
          <w:rtl w:val="true"/>
        </w:rPr>
        <w:t>:</w:t>
      </w:r>
      <w:bookmarkEnd w:id="307"/>
    </w:p>
    <w:p>
      <w:pPr>
        <w:pStyle w:val="BookText"/>
        <w:rPr/>
      </w:pPr>
      <w:r>
        <w:rPr>
          <w:rFonts w:ascii="IRNazanin" w:hAnsi="IRNazanin" w:eastAsia="IRNazanin"/>
          <w:color w:val="111111"/>
          <w:sz w:val="28"/>
          <w:sz w:val="28"/>
          <w:szCs w:val="28"/>
          <w:rtl w:val="true"/>
          <w:lang w:bidi="fa-IR"/>
        </w:rPr>
        <w:t>من المعلوم أنّ للعقائد اصولًا ومبادئ واسس عامّة تمثّل البنیة التحتیّة لمنظومة الدین الاعتقادیّة، المتلقّاة من ظاهر الکتاب وسنّة النبیّ صلی الله علیه و آله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وتنبثق من هذه الاصول الاعتقادیّة قواعد اخری تفصیلیّة، ذات مراتب أکثر تفصیلًا، وهذه القواعد التفصیلیّة المترامیة، قد تسالم المسلمون علی کونها من شرائط تحقّق الإیمان، وارتهان النجاة بها، رغم اختلافهم فی تعیینها وتحدیدها بحسب اختلاف مذاهبهم</w:t>
      </w:r>
      <w:r>
        <w:rPr>
          <w:rFonts w:eastAsia="IRNazanin" w:cs="IRNazanin"/>
          <w:color w:val="111111"/>
          <w:sz w:val="28"/>
          <w:szCs w:val="28"/>
          <w:rtl w:val="true"/>
          <w:lang w:bidi="fa-IR"/>
        </w:rPr>
        <w:t>.</w:t>
      </w:r>
      <w:bookmarkStart w:id="308" w:name="pg13703_133834"/>
    </w:p>
    <w:p>
      <w:pPr>
        <w:pStyle w:val="BookText"/>
        <w:rPr/>
      </w:pPr>
      <w:bookmarkEnd w:id="308"/>
      <w:r>
        <w:rPr>
          <w:rFonts w:ascii="IRNazanin" w:hAnsi="IRNazanin" w:eastAsia="IRNazanin"/>
          <w:color w:val="111111"/>
          <w:sz w:val="28"/>
          <w:sz w:val="28"/>
          <w:szCs w:val="28"/>
          <w:rtl w:val="true"/>
          <w:lang w:bidi="fa-IR"/>
        </w:rPr>
        <w:t>وعلی هذا الضوء، فإنّ هذه القواعد التفصیلیّة فی مراحلها الاولی، خارجة عن دائرة الاجتهاد؛ لأنّ ما یرتهن به الإیمان والنجاة لا بدّ أن یکون فی الموضوع بدرجة الضرورة والبداهة عند أتباع کلّ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القیام ببیان القواعد العقائدیّة التفصیلیّة واستخراجها من الکتاب والسنّة، یفوق فی اعتبار النقل الموثوق أو الاجتهاد الاستنباطی، وهی درجة المصونیّة عن الخطأ والزلل، وهی التی یصطلح علیها بالعصمة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أحد أدوار الإمامة فی الدین</w:t>
      </w:r>
      <w:r>
        <w:rPr>
          <w:rFonts w:eastAsia="IRNazanin" w:cs="IRNazanin"/>
          <w:color w:val="111111"/>
          <w:sz w:val="28"/>
          <w:szCs w:val="28"/>
          <w:rtl w:val="true"/>
          <w:lang w:bidi="fa-IR"/>
        </w:rPr>
        <w:t>.</w:t>
      </w:r>
    </w:p>
    <w:p>
      <w:pPr>
        <w:pStyle w:val="Heading5"/>
        <w:numPr>
          <w:ilvl w:val="4"/>
          <w:numId w:val="1"/>
        </w:numPr>
        <w:rPr/>
      </w:pPr>
      <w:bookmarkStart w:id="309" w:name="__RefHeading___Toc1101154_1468164448"/>
      <w:bookmarkStart w:id="310" w:name="_Toc113"/>
      <w:bookmarkEnd w:id="309"/>
      <w:r>
        <w:rPr>
          <w:rtl w:val="true"/>
        </w:rPr>
        <w:t>حقیقة المذهبیّة الفقهیّة</w:t>
      </w:r>
      <w:r>
        <w:rPr>
          <w:rtl w:val="true"/>
        </w:rPr>
        <w:t>:</w:t>
      </w:r>
      <w:bookmarkEnd w:id="310"/>
    </w:p>
    <w:p>
      <w:pPr>
        <w:pStyle w:val="BookText"/>
        <w:rPr/>
      </w:pPr>
      <w:r>
        <w:rPr>
          <w:rFonts w:ascii="IRNazanin" w:hAnsi="IRNazanin" w:eastAsia="IRNazanin"/>
          <w:color w:val="111111"/>
          <w:sz w:val="28"/>
          <w:sz w:val="28"/>
          <w:szCs w:val="28"/>
          <w:rtl w:val="true"/>
          <w:lang w:bidi="fa-IR"/>
        </w:rPr>
        <w:t>لکی یتبیّن میزان وحقیقة المذهبیّة الفقهیّة لا بدّ من بیان الفرق بین المذهب الفقهیّ وبین الاجتهاد فی الفقه فی دائرة المذهب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هناک تساؤلًا یثار حول الفرق بین عملیّة الاستنباط الذی مارسه أبو حنیفة ومالک والشافعی وابن حنبل، وبین عملیّة الاستنباط التی یمارسها الفقهاء من أتباع تلک المذاهب، کفقهاء الأحناف والموالک والشوافع والحنابلة</w:t>
      </w:r>
      <w:r>
        <w:rPr>
          <w:rFonts w:eastAsia="IRNazanin" w:cs="IRNazanin"/>
          <w:color w:val="111111"/>
          <w:sz w:val="28"/>
          <w:szCs w:val="28"/>
          <w:rtl w:val="true"/>
          <w:lang w:bidi="fa-IR"/>
        </w:rPr>
        <w:t>...</w:t>
      </w:r>
    </w:p>
    <w:p>
      <w:pPr>
        <w:pStyle w:val="Heading5"/>
        <w:numPr>
          <w:ilvl w:val="4"/>
          <w:numId w:val="1"/>
        </w:numPr>
        <w:rPr/>
      </w:pPr>
      <w:bookmarkStart w:id="311" w:name="__RefHeading___Toc1101156_1468164448"/>
      <w:bookmarkStart w:id="312" w:name="_Toc114"/>
      <w:bookmarkEnd w:id="311"/>
      <w:r>
        <w:rPr>
          <w:rtl w:val="true"/>
        </w:rPr>
        <w:t>السبب فی سدّ باب الاجتهاد لدی أهل السنّة</w:t>
      </w:r>
      <w:r>
        <w:rPr>
          <w:rtl w:val="true"/>
        </w:rPr>
        <w:t>:</w:t>
      </w:r>
      <w:bookmarkEnd w:id="31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جوار ما تقدّم من تساؤل، یثار تساؤل آخر یرمی إلی معرفة السرّ، والسبب فی منع وسدّ باب الاجتهاد فی عرض اجتهاد أئمّة تلک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وتقدیر أنّ ما مارسه أئمّة المذاهب الأربعة من آراء فقهیّة، هی عملیّة اجتهادیّة بحتة، فعلی هذا التصوّر، فلماذا لا تخضع آراؤهم الفقهیّة للنقد الاجتهادیّ من قِبل بقیّة الفقهاء من بعدهم؟</w:t>
      </w:r>
    </w:p>
    <w:p>
      <w:pPr>
        <w:pStyle w:val="BookText"/>
        <w:rPr/>
      </w:pPr>
      <w:r>
        <w:rPr>
          <w:rFonts w:ascii="IRNazanin" w:hAnsi="IRNazanin" w:eastAsia="IRNazanin"/>
          <w:color w:val="111111"/>
          <w:sz w:val="28"/>
          <w:sz w:val="28"/>
          <w:szCs w:val="28"/>
          <w:rtl w:val="true"/>
          <w:lang w:bidi="fa-IR"/>
        </w:rPr>
        <w:t>ولماذا صارت آراؤهم الفقهیّة ثوابت فقهیّة مذهبیّة، مع کون الآراء الاجتهادیّة المستنبطة من الأدلّة الظنّیّة فی معرض التغیّر والتبدّل؟</w:t>
      </w:r>
    </w:p>
    <w:p>
      <w:pPr>
        <w:pStyle w:val="BookText"/>
        <w:rPr/>
      </w:pPr>
      <w:r>
        <w:rPr>
          <w:rFonts w:ascii="IRNazanin" w:hAnsi="IRNazanin" w:eastAsia="IRNazanin"/>
          <w:color w:val="111111"/>
          <w:sz w:val="28"/>
          <w:sz w:val="28"/>
          <w:szCs w:val="28"/>
          <w:rtl w:val="true"/>
          <w:lang w:bidi="fa-IR"/>
        </w:rPr>
        <w:t>إذ أنّ من المعلوم أنّ أدوات الإحراز والاستکشاف الظنّیّة قد تصیب وقد تخطئ، فقد یبنی علی رأی استناداً علی دلیل معیّن، ثمّ یظفر بدلیل أقوی من الأوّل، فیبدّل رأیه،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السؤال الذی یضغط علی الفکر الإنسانیّ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عادت آراء أئمّة المذاهب الفقهیّة الأربعة ثوابت دینیّة لا یمکن تخطّیها، ولا یمکن لأیّ فقیه آخر تجاوزها ومناقشتها؟ بل یجب علیه أن یکیّف ذهنیّته ومبانیه الفقهیّة فی تبعیّة آراء أئمّة المذاهب، إلی أن صارت آراؤهم اصولًا ونصوصاً دینیّة ذات قداسة ومکانة خاصّة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ضفاف هذا التساؤل، هناک إثارة اخری تستفهم عن السبب فی حصر المذاهب الفقهیّة فی أربعة فقط، مع وجود العشرات من الفقهاء المعاصرین لهم ممّن تبعهم بفترة وجیزة؛ کإبراهیم النخعی، وسفیان الثوری، والحکم بن عیینة، والأوزاعی، وعمر بن دینار الأثرم، والحسن البصریّ، والأصمّ وغیرهم؟</w:t>
      </w:r>
      <w:bookmarkStart w:id="313" w:name="pg13703_133836"/>
    </w:p>
    <w:p>
      <w:pPr>
        <w:pStyle w:val="Heading5"/>
        <w:numPr>
          <w:ilvl w:val="4"/>
          <w:numId w:val="1"/>
        </w:numPr>
        <w:rPr/>
      </w:pPr>
      <w:bookmarkStart w:id="314" w:name="__RefHeading___Toc1101158_1468164448"/>
      <w:bookmarkStart w:id="315" w:name="_Toc115"/>
      <w:bookmarkEnd w:id="313"/>
      <w:bookmarkEnd w:id="314"/>
      <w:r>
        <w:rPr>
          <w:rtl w:val="true"/>
        </w:rPr>
        <w:t>إجابات لا تخلو من تأمّل</w:t>
      </w:r>
      <w:r>
        <w:rPr>
          <w:rtl w:val="true"/>
        </w:rPr>
        <w:t>:</w:t>
      </w:r>
      <w:bookmarkEnd w:id="315"/>
    </w:p>
    <w:p>
      <w:pPr>
        <w:pStyle w:val="BookText"/>
        <w:rPr/>
      </w:pPr>
      <w:r>
        <w:rPr>
          <w:rFonts w:ascii="IRNazanin" w:hAnsi="IRNazanin" w:eastAsia="IRNazanin"/>
          <w:color w:val="111111"/>
          <w:sz w:val="28"/>
          <w:sz w:val="28"/>
          <w:szCs w:val="28"/>
          <w:rtl w:val="true"/>
          <w:lang w:bidi="fa-IR"/>
        </w:rPr>
        <w:t>قد ذکرت إجابات تبرّر سبب حصر المذاهب بالأربعة، وحاصل هذه الإجابات هو أنّ غلق باب الاجتهاد وحصر المذاهب الفقهیّة فی أربعة؛ هو لأجل الخشیة من تکثّر وانتشار المذاهب المتعدّدة بشکل غیر حاصر</w:t>
      </w:r>
      <w:r>
        <w:rPr>
          <w:rFonts w:eastAsia="IRNazanin" w:cs="IRNazanin"/>
          <w:color w:val="111111"/>
          <w:sz w:val="28"/>
          <w:szCs w:val="28"/>
          <w:rtl w:val="true"/>
          <w:lang w:bidi="fa-IR"/>
        </w:rPr>
        <w:t>.</w:t>
      </w:r>
    </w:p>
    <w:p>
      <w:pPr>
        <w:pStyle w:val="Heading5"/>
        <w:numPr>
          <w:ilvl w:val="4"/>
          <w:numId w:val="1"/>
        </w:numPr>
        <w:rPr/>
      </w:pPr>
      <w:bookmarkStart w:id="316" w:name="__RefHeading___Toc1101160_1468164448"/>
      <w:bookmarkStart w:id="317" w:name="_Toc116"/>
      <w:bookmarkEnd w:id="316"/>
      <w:r>
        <w:rPr>
          <w:rtl w:val="true"/>
        </w:rPr>
        <w:t>فتح باب الاجتهاد لدی مذهب الإمامیّة</w:t>
      </w:r>
      <w:r>
        <w:rPr>
          <w:rtl w:val="true"/>
        </w:rPr>
        <w:t>:</w:t>
      </w:r>
      <w:bookmarkEnd w:id="317"/>
    </w:p>
    <w:p>
      <w:pPr>
        <w:pStyle w:val="BookText"/>
        <w:rPr/>
      </w:pPr>
      <w:r>
        <w:rPr>
          <w:rFonts w:ascii="IRNazanin" w:hAnsi="IRNazanin" w:eastAsia="IRNazanin"/>
          <w:color w:val="111111"/>
          <w:sz w:val="28"/>
          <w:sz w:val="28"/>
          <w:szCs w:val="28"/>
          <w:rtl w:val="true"/>
          <w:lang w:bidi="fa-IR"/>
        </w:rPr>
        <w:t>فی قبال ظاهرة سّد باب الاجتهاد وحصر المذاهب فی الأربعة خشیة تکثّر المذاهب، نجد أنّ هناک ظاهرة معاکسة اخری فی مدرسة أهل البیت علیهم السلام وهو فتح باب الاجتهاد علی مدی أربعة عشر قرناً، مع وحدة المذهب الفقهیّ، ولم یستحدث أیّ مذهب فقهیّ آخر فضلًا عن تکثّرها إلی مذاهب متعدّدة، فما هی البنیة الموجودة فی منهاج أهل البیت علیهم السلام التی لا یخشی معها من فتح باب الاجتهاد، وعلی العکس فهی مفقودة فی المذاهب الاخری فیخشی من فتح باب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فهاتان الظاهرتان؛ ظاهرة سدّ باب الاجتهاد لدی السنّة، وظاهرة فتح باب الاجتهاد لدی الشیعة، تضغطان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وبإلحاح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الباحثین فی الوصول إلی حقیقة الأسباب الکامنة وراءهما</w:t>
      </w:r>
      <w:r>
        <w:rPr>
          <w:rFonts w:eastAsia="IRNazanin" w:cs="IRNazanin"/>
          <w:color w:val="111111"/>
          <w:sz w:val="28"/>
          <w:szCs w:val="28"/>
          <w:rtl w:val="true"/>
          <w:lang w:bidi="fa-IR"/>
        </w:rPr>
        <w:t>.</w:t>
      </w:r>
    </w:p>
    <w:p>
      <w:pPr>
        <w:pStyle w:val="Heading5"/>
        <w:numPr>
          <w:ilvl w:val="4"/>
          <w:numId w:val="1"/>
        </w:numPr>
        <w:rPr/>
      </w:pPr>
      <w:bookmarkStart w:id="318" w:name="__RefHeading___Toc1101162_1468164448"/>
      <w:bookmarkStart w:id="319" w:name="_Toc117"/>
      <w:bookmarkEnd w:id="318"/>
      <w:r>
        <w:rPr>
          <w:rtl w:val="true"/>
        </w:rPr>
        <w:t>موقعیّة عملیّة استنباط أئمّة المذاهب الأربعة من الدین</w:t>
      </w:r>
      <w:r>
        <w:rPr>
          <w:rtl w:val="true"/>
        </w:rPr>
        <w:t>:</w:t>
      </w:r>
      <w:bookmarkEnd w:id="31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تقدّم من عدم جواز تخطّی وتجاوز ما قام به أئمّة المذاهب الفقهیّة الأربعة لدی السنّة من استنباط، ولزوم اتّباعهم لکلّ من جاء بعدهم</w:t>
      </w:r>
    </w:p>
    <w:p>
      <w:pPr>
        <w:pStyle w:val="BookText"/>
        <w:rPr/>
      </w:pPr>
      <w:r>
        <w:rPr>
          <w:rFonts w:ascii="IRNazanin" w:hAnsi="IRNazanin" w:eastAsia="IRNazanin"/>
          <w:color w:val="111111"/>
          <w:sz w:val="28"/>
          <w:sz w:val="28"/>
          <w:szCs w:val="28"/>
          <w:rtl w:val="true"/>
          <w:lang w:bidi="fa-IR"/>
        </w:rPr>
        <w:t>من الفقهاء، یتّضح أنّ الاعتبار والمکانة التی اعطیت لاستنباطات هؤلاء الأربعة، لیست بدرجة اعتبار الحجّیّة الفقهیّة المعتادة، بل حضیت باعتبار ومکانة القواعد الثابتة فی الدین والتی هی خارجة عن دائرة الاجتهاد والاستنباط، وإن اطلق علیها عملیّة استنباط واجتهاد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آراء واستنباطات الأربعة، اعتبرت لدی أتباعهم بمنزلة أقوال الإمام الصادق علیه السلام وأئمّة أهل البیت علیهم السلام لدی أتباع مذهب أهل البیت علیهم السلام، وإن لم یصرّح معتنقو المذاهب الأربعة بما صرّحت الإمامیّة عن أئمّتهم علیهم السلام بکونهم أوصیاء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لبقیّة المذاهب الفقهیّة الإسلامیّة کالإسماعیلیّة، والزیدیّة،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تلک المرحلة التی قام بها أئمّة کلّ مذهب، هی حلقة مفصلیّة ضروریّة فی بناء المنظومة الدینیّة، تتوسّط بین التشریع لمرحلة فرائض وسنن النبیّ صلی الله علیه و آله وبین مرحلة الاستنباط الظنّی الذی یقوم به المجتهدون من الفقهاء، وهی تکشف عن دور الإمامة فی التشریع الفقهیّ، بمعنی أنّها مرحلة تبیین وتفسیر توقیفی واستخراج تعبّدی للأحکام التفصیلیّة من فرائض الله وسنن نبیّه صلی الله علیه و آله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یتّضح أنّ هذه العملیّة التی یقوم بها أئمّة المذاهب لیست عملیّة استنباط ظنّی من الأدلّة، بل هی مرحلة ضروریّة فی التشریع لم ینکرها أیّ مذهب من مذاهب المسلمین، لإدراکهم أنّ منظومة التشریع الإسلامیّ تفرض ضرورة وجود هذه الموقعیّة من التشریع فی بناء الهیکلیّة التشریعیّة</w:t>
      </w:r>
      <w:bookmarkStart w:id="320" w:name="pg13703_133838"/>
    </w:p>
    <w:p>
      <w:pPr>
        <w:pStyle w:val="BookText"/>
        <w:rPr/>
      </w:pPr>
      <w:bookmarkEnd w:id="320"/>
      <w:r>
        <w:rPr>
          <w:rFonts w:ascii="IRNazanin" w:hAnsi="IRNazanin" w:eastAsia="IRNazanin"/>
          <w:color w:val="111111"/>
          <w:sz w:val="28"/>
          <w:sz w:val="28"/>
          <w:szCs w:val="28"/>
          <w:rtl w:val="true"/>
          <w:lang w:bidi="fa-IR"/>
        </w:rPr>
        <w:t>للرسالة الإسلامیّة</w:t>
      </w:r>
      <w:r>
        <w:rPr>
          <w:rFonts w:eastAsia="IRNazanin" w:cs="IRNazanin"/>
          <w:color w:val="111111"/>
          <w:sz w:val="28"/>
          <w:szCs w:val="28"/>
          <w:rtl w:val="true"/>
          <w:lang w:bidi="fa-IR"/>
        </w:rPr>
        <w:t>.</w:t>
      </w:r>
    </w:p>
    <w:p>
      <w:pPr>
        <w:pStyle w:val="Heading5"/>
        <w:numPr>
          <w:ilvl w:val="4"/>
          <w:numId w:val="1"/>
        </w:numPr>
        <w:rPr/>
      </w:pPr>
      <w:bookmarkStart w:id="321" w:name="__RefHeading___Toc1101164_1468164448"/>
      <w:bookmarkStart w:id="322" w:name="_Toc118"/>
      <w:bookmarkEnd w:id="321"/>
      <w:r>
        <w:rPr>
          <w:rtl w:val="true"/>
        </w:rPr>
        <w:t>الاستدلال القانونیّ‌علی ضرورة مرحلة الوصایة فی الدین</w:t>
      </w:r>
      <w:r>
        <w:rPr>
          <w:rtl w:val="true"/>
        </w:rPr>
        <w:t>:</w:t>
      </w:r>
      <w:bookmarkEnd w:id="322"/>
    </w:p>
    <w:p>
      <w:pPr>
        <w:pStyle w:val="BookText"/>
        <w:rPr/>
      </w:pPr>
      <w:r>
        <w:rPr>
          <w:rFonts w:ascii="IRNazanin" w:hAnsi="IRNazanin" w:eastAsia="IRNazanin"/>
          <w:color w:val="111111"/>
          <w:sz w:val="28"/>
          <w:sz w:val="28"/>
          <w:szCs w:val="28"/>
          <w:rtl w:val="true"/>
          <w:lang w:bidi="fa-IR"/>
        </w:rPr>
        <w:t>ولتوضیح ضرورة هذه المرحلة، یمکن الاستعانة باللغة القانونیّة، حیث بات واضحاً فی علم القانون، أنّ بناء منظومة القانون، إنّما یکون علی شکل هرمیّ، بمعنی أنّه ذو مراتب وحلقات ودرجات، فقمّة الهرم القانونیّ تمثّل الاسس والمبادئ التی تنطلق منها عملیّة الانشعاب والتفریع لما دونه من مراحل وطبقات التقنین، کما هو الحال فیما نشاهده فی النظام القانونیّ السیاسیّ للدولة، حیث یبدأ باولی مراحله التی تمثّل القمّة فی الهرم القانونیّ، وهی الفقه الدستوریّ، ثمّ تلیها المرحلة الثانیة، وهی عملیّة التشریع فی المجالس النیابیّة، ثمّ المرحلة الثالثة، وهی مرحلة التشریع الوزاریّ، ثمّ المرحلة الرابعة، وهی تشریع المجالس البلدیّة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المراحل الأربع مترتّبة ومتسلسلة بعضها علی بعض، وکلّ مرحلة متولّدة من المرحلة السابقة لها، ولا یمکن الوصول إلی المرحلة الثالثة إلّاعبر المرحلة الثانیة، کما لا یمکن الوصول إلی المرحلة الرابعة إلّابالمرور بالمرحلة الثالثة، فلا یمکن تخطّی کلّ مرحلة ما سبقها من المراحل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ترتّب هذا النظام القانونیّ بهذا الشکل، لیس من طریق الوضع البشریّ الاعتباریّ، وإنّما هی طبیعة ذاتیّة للقواعد القانونیّة، فإنّ المبادئ العامّة الکلّیّة، کأصل العدالة والحرّیّة والکرامة الإنسانیّة، والثوابت الدینیّة ونحوها، لا یمکن تطبیقها علی الموارد الجزئیّة التفصیلیّة</w:t>
      </w:r>
    </w:p>
    <w:p>
      <w:pPr>
        <w:pStyle w:val="BookText"/>
        <w:rPr/>
      </w:pPr>
      <w:r>
        <w:rPr>
          <w:rFonts w:ascii="IRNazanin" w:hAnsi="IRNazanin" w:eastAsia="IRNazanin"/>
          <w:color w:val="111111"/>
          <w:sz w:val="28"/>
          <w:sz w:val="28"/>
          <w:szCs w:val="28"/>
          <w:rtl w:val="true"/>
          <w:lang w:bidi="fa-IR"/>
        </w:rPr>
        <w:t>مباشرة، من دون توسّط مراحل تنزیلیّة قانونیّة لتلک الثوابت العامّة، وتتکفّل المراحل المتوسّطة، الموازنة والترکیب والتنسیق بین مجموعات متعدّدة من القواعد، تلتقی وتتشابک فی مراحل وطبقات التنزّل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فی کلّ طبقة ومرحلة من مراحل التنزیل القانونیّ تتطلّب مراعاة ضوابط وقواعد خاصّة تقوم بدور التنسیق بین التشریعات والقواعد الخاصّة بتلک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وتختلف هذه القواعد والضوابط التی تقوم بدور التنسیق بین المجموعات الاخری من القواعد التشریعیّة من مرحلة إلی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تنزّل مبدأ العدالة والحرّیّة فی المجالات المختلفة کالمجال السیاسیّ والاقتصادیّ والاجتماعیّ، وغیرها من المجالات، تظهر لها تداعیات متدافعة ومتزاحمة، وأیضاً نجد 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العدالة والحرّیّة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متدافعان فی تنزّل الکرامة الإنسانیّة، وهذا یتطلّب وجود ضوابط للتنسیق بین هذه الاصول لإیجاد صیاغات تشریعیّة 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نجد أنّ العمل بمرحلة من مراحل القانون، وهی التشریعات الدستوریّة فی القوانین الوضعیّة، لیس من صلاحیّات الحکومة التنفیذیّة، إلّابتوسّط مراحل تشریعیّة اخری، وهو ما تقوم به المجالس النیابیّة لتنزیل وتفصیل القوانین الدستوریّة إلی صیاغات تشریعیّة أکثر تفصیلًا وأضیق دائرةً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العمل فی تشریعات المجالس النیابیّة هی الاخری لیست من صلاحیّات مدیریّات وشعب الدوائر، إلّابتوسّط تشریعات اخری یقوم بها</w:t>
      </w:r>
      <w:bookmarkStart w:id="323" w:name="pg13703_133840"/>
    </w:p>
    <w:p>
      <w:pPr>
        <w:pStyle w:val="BookText"/>
        <w:rPr/>
      </w:pPr>
      <w:bookmarkEnd w:id="323"/>
      <w:r>
        <w:rPr>
          <w:rFonts w:ascii="IRNazanin" w:hAnsi="IRNazanin" w:eastAsia="IRNazanin"/>
          <w:color w:val="111111"/>
          <w:sz w:val="28"/>
          <w:sz w:val="28"/>
          <w:szCs w:val="28"/>
          <w:rtl w:val="true"/>
          <w:lang w:bidi="fa-IR"/>
        </w:rPr>
        <w:t>الوزراء ووکلاؤهم المعتمدین فی اللجان المختصّة، لتفصیل وتنزیل التشریعات النیابیّة إلی تشریعات أکثر تفصیلًا، وهکذا الأمر بالنسبة إلی العمل بالتشریعات الوزرایّة، لیس العمل بها من صلاحیّات عموم الناس إلّابتوسّط التشریعات التی فی المجالس البلدیّة الخاصّة بکلّ 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ومراعاة ترتیب هذه المراحل بعضها علی بعض لیس أمراً ارتجالیّاً واتّفاقیّاً، ولا من طریق المواضعة والتوافق التصالحیّ علی الاصطلاح، وإنّما هو أمر ذاتیّ تقتضیه کلّ طبیعة عامّة ذات مدار وسیع جدّاً، فهذه الطبیعة لا یمکن أن تأخذ طریقها إلی الموارد الجزئیّة الضیّقة المتشخّصة، إلّاعبر عناوین أضیق دائرة، مترامیة ومتعاقبة طولًا فی سلسلة التنزّل، بحیث تکون کلّ مرتبة لاحقة أضیق ممّا سبقها، إلی أن تصل إلی إمکانیّة تطبیقها علی الموارد الجزئیّة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تحلیل عقلیّ لبیان وجه الاستدلال علی ضرورة المراتب والطبقات والمراحل فی التشریع</w:t>
      </w:r>
      <w:r>
        <w:rPr>
          <w:rFonts w:eastAsia="IRNazanin" w:cs="IRNazanin"/>
          <w:color w:val="111111"/>
          <w:sz w:val="28"/>
          <w:szCs w:val="28"/>
          <w:rtl w:val="true"/>
          <w:lang w:bidi="fa-IR"/>
        </w:rPr>
        <w:t>.</w:t>
      </w:r>
    </w:p>
    <w:p>
      <w:pPr>
        <w:pStyle w:val="Heading5"/>
        <w:numPr>
          <w:ilvl w:val="4"/>
          <w:numId w:val="1"/>
        </w:numPr>
        <w:rPr/>
      </w:pPr>
      <w:bookmarkStart w:id="324" w:name="__RefHeading___Toc1101166_1468164448"/>
      <w:bookmarkStart w:id="325" w:name="_Toc119"/>
      <w:bookmarkEnd w:id="324"/>
      <w:r>
        <w:rPr>
          <w:rtl w:val="true"/>
        </w:rPr>
        <w:t>الأدلّة علی ضرورة عصمة الوصیّ فی الدین</w:t>
      </w:r>
      <w:r>
        <w:rPr>
          <w:rtl w:val="true"/>
        </w:rPr>
        <w:t>:</w:t>
      </w:r>
      <w:bookmarkEnd w:id="325"/>
    </w:p>
    <w:p>
      <w:pPr>
        <w:pStyle w:val="BookText"/>
        <w:rPr/>
      </w:pPr>
      <w:r>
        <w:rPr>
          <w:rFonts w:ascii="IRNazanin" w:hAnsi="IRNazanin" w:eastAsia="IRNazanin"/>
          <w:color w:val="111111"/>
          <w:sz w:val="28"/>
          <w:sz w:val="28"/>
          <w:szCs w:val="28"/>
          <w:rtl w:val="true"/>
          <w:lang w:bidi="fa-IR"/>
        </w:rPr>
        <w:t>هناک عدّة أدلّة لإثبات ضرورة العصمة للوصیّ فی الدین، الذی یقوم بدور تنزیل القواعد العامّة التی هی نوع من التشریع فی الدین، فی مراحله الاولی من التشریع، ومن هذه الأدلّة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الإحاطة بالروابط والنسب بین التشریعات، یتوقّف علی العصمة اللدنیة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هذا الدلیل هو أنّ الإحاطة بمبادئ التشریع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التشریع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تامّ ومتناسب بین النسب والتنسیق بین الروابط لتکون موافقة ومتطابقة عمّا علیه فی الواقع والحقیقة، لا یمکن، بل یستحیل تحقّقها إلّابنحو خاصّ من العلم، وهو العلم الإلهیّ اللدنیّ الذی هو أساس ومبدأ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المصالح الواقعیّة، یتوقّف علی العصمة اللدنیة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العناوین ذات الطبیعة العامّة تتنزّل وتنحدر إلی عناوین اخری وتصل إلی درجة تترامی وکأنّها عناوین متباینة لا صلة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هذه الرابطة والصلة بین تلک العناوین المنحدرة من العناوین العامّة، لا یمکن أن یطّلع أو یلمس طبیعة الرابطة والعلاقة فیما بینها، إلّامن زُوّد بالعلم الإلهیّ، ووقف علی حقائق تلک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هو ما نلمسه واضحاً فی مسیرة البشریّة فی التقنین للقوانین والدساتیر الوضعیّة، حیث نجدها دائمة التغیّر والتبدّل فی مبادئها واسسها العامّة، فضلًا عمّا دونها من المراحل، وهذا یکشف عن عدم الإحاطة التامّة بمنظومة الاسس والروابط والنسب بین تلک العناوین، وهو ما یطلق علیه بعدم إدراک المصالح الواقعیّة وعدم الإحاطة بها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وما أورد فی هذه الدراسة فی نظام الوحدة والتقریب ونظام التعایش الإسلامی الإسلامی لیس إلّابادرة فی مسیرة التنقیح لمزید من القواعد المنظّمة لعلاقة المسلمین فیما بینهم وفی علاقتهم مع الملل والنحل الاخری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الولایة فی صحة التوبة وصحة العبادات وقبولها والتقرب</w:t>
      </w:r>
      <w:r>
        <w:rPr>
          <w:rFonts w:eastAsia="IRNazanin" w:cs="IRNazanin"/>
          <w:color w:val="111111"/>
          <w:sz w:val="28"/>
          <w:szCs w:val="28"/>
          <w:rtl w:val="true"/>
          <w:lang w:bidi="fa-IR"/>
        </w:rPr>
        <w:t>)</w:t>
      </w:r>
      <w:bookmarkStart w:id="326" w:name="pg13703_133845"/>
    </w:p>
    <w:p>
      <w:pPr>
        <w:pStyle w:val="Heading2"/>
        <w:numPr>
          <w:ilvl w:val="1"/>
          <w:numId w:val="1"/>
        </w:numPr>
        <w:rPr/>
      </w:pPr>
      <w:bookmarkStart w:id="327" w:name="__RefHeading___Toc1101168_1468164448"/>
      <w:bookmarkStart w:id="328" w:name="_Toc120"/>
      <w:bookmarkEnd w:id="326"/>
      <w:bookmarkEnd w:id="327"/>
      <w:r>
        <w:rPr>
          <w:rtl w:val="true"/>
        </w:rPr>
        <w:t>القاعدة العشرون</w:t>
      </w:r>
      <w:r>
        <w:rPr>
          <w:rtl w:val="true"/>
        </w:rPr>
        <w:t xml:space="preserve">: </w:t>
      </w:r>
      <w:r>
        <w:rPr>
          <w:rtl w:val="true"/>
        </w:rPr>
        <w:t>قاعدة فی شرطیة الولایة فی صحة التوبة وصحة العبادات وقبولها والتقرب</w:t>
      </w:r>
      <w:bookmarkEnd w:id="328"/>
    </w:p>
    <w:p>
      <w:pPr>
        <w:pStyle w:val="Heading3"/>
        <w:numPr>
          <w:ilvl w:val="2"/>
          <w:numId w:val="1"/>
        </w:numPr>
        <w:rPr/>
      </w:pPr>
      <w:bookmarkStart w:id="329" w:name="__RefHeading___Toc1101170_1468164448"/>
      <w:bookmarkStart w:id="330" w:name="_Toc121"/>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نرید أن نبیّن تحت هذا العنوان دور التوسّل وشرطیته فی مقامات ثلاث،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شرائط التوبة وقبولها التوسّل بالنبیّ الأکرم صلی الله علیه و آله وأهل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شرائط قبول وصحة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والعبادات مطلقاً التوسّل والتوجّه بالنبیّ الأکرم صلی الله علیه و آله وأهل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 توجّه إلی الحضرة الربوبیة فی صدد نیل مقام من المقامات الإلهیة أو حظوة عند الله تعالی لابدّ فیه من التوجّه بالنبیّ الأکرم صلی الله علیه و آله وأهل بیته علیهم السلام والتوسّل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فقهاء الإمامیة وغیرهم أیضاً ذکروا أن ولایة أهل البیت علیهم السلام شرط فی تلک المقامات الثلاث، بمعنی معرفتهم والإیمان بإمامتهم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ما نرید إثباته هنا؛ إذ هو مع وضوحه خارج عن محلّ البحث</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ما نرید بیانه هنا هو شرطیة التوسّل بالنبیّ الأعظم صلی الله علیه و آله وأهل بیته علیهم السلام فی</w:t>
      </w:r>
      <w:bookmarkStart w:id="331" w:name="pg13703_133846"/>
    </w:p>
    <w:p>
      <w:pPr>
        <w:pStyle w:val="BookText"/>
        <w:rPr/>
      </w:pPr>
      <w:bookmarkEnd w:id="331"/>
      <w:r>
        <w:rPr>
          <w:rFonts w:ascii="IRNazanin" w:hAnsi="IRNazanin" w:eastAsia="IRNazanin"/>
          <w:color w:val="111111"/>
          <w:sz w:val="28"/>
          <w:sz w:val="28"/>
          <w:szCs w:val="28"/>
          <w:rtl w:val="true"/>
          <w:lang w:bidi="fa-IR"/>
        </w:rPr>
        <w:t>تلک المقامات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اشتراک ما ادّعیناه فی المقامات الثلاث فی طبیعة الأدلّة نستعرضها ببیان واحد، یکون صالحاً لإثبات المدّعیات الثلاثة فی المقامات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فیما یلی استعراض الأدلّة</w:t>
      </w:r>
      <w:r>
        <w:rPr>
          <w:rFonts w:eastAsia="IRNazanin" w:cs="IRNazanin"/>
          <w:color w:val="111111"/>
          <w:sz w:val="28"/>
          <w:szCs w:val="28"/>
          <w:rtl w:val="true"/>
          <w:lang w:bidi="fa-IR"/>
        </w:rPr>
        <w:t>:</w:t>
      </w:r>
    </w:p>
    <w:p>
      <w:pPr>
        <w:pStyle w:val="Heading3"/>
        <w:numPr>
          <w:ilvl w:val="2"/>
          <w:numId w:val="1"/>
        </w:numPr>
        <w:rPr/>
      </w:pPr>
      <w:bookmarkStart w:id="332" w:name="__RefHeading___Toc1101172_1468164448"/>
      <w:bookmarkStart w:id="333" w:name="_Toc122"/>
      <w:bookmarkEnd w:id="332"/>
      <w:r>
        <w:rPr>
          <w:rtl w:val="true"/>
        </w:rPr>
        <w:t>الدلیل الأول</w:t>
      </w:r>
      <w:r>
        <w:rPr>
          <w:rtl w:val="true"/>
        </w:rPr>
        <w:t xml:space="preserve">: </w:t>
      </w:r>
      <w:r>
        <w:rPr>
          <w:rtl w:val="true"/>
        </w:rPr>
        <w:t>معطیات الشهادة الثانیة</w:t>
      </w:r>
      <w:r>
        <w:rPr>
          <w:rtl w:val="true"/>
        </w:rPr>
        <w:t>:</w:t>
      </w:r>
      <w:bookmarkEnd w:id="333"/>
    </w:p>
    <w:p>
      <w:pPr>
        <w:pStyle w:val="BookText"/>
        <w:rPr/>
      </w:pPr>
      <w:r>
        <w:rPr>
          <w:rFonts w:ascii="IRNazanin" w:hAnsi="IRNazanin" w:eastAsia="IRNazanin"/>
          <w:color w:val="111111"/>
          <w:sz w:val="28"/>
          <w:sz w:val="28"/>
          <w:szCs w:val="28"/>
          <w:rtl w:val="true"/>
          <w:lang w:bidi="fa-IR"/>
        </w:rPr>
        <w:t>إن المعرفة والعقیدة والإیمان الذی هو من العبادات، بل أعظم الفرائض الإلهیة؛ لأنه إذعان وإخبات وتسلیم وخضوع وانقیاد لله‌تعالی، وهذه المعرفة الإیمانیة للعقل والقلب هی عبادتهما وطوعانیتهما لله‌نوع توجّه ولقاء لله‌تعالی ووفود علی الحضرة الربوبیة وزلفی وقرب بتوسّط الإیمان القلبی، وهذه العبادة القلبیة العظیمة ممتنعة بلا واسطة، وذلک لعظمة الله عزّ وجلّ، فلا اکتناه ولا إحاظة ولا مماسّة ولا ملامسة ولا مواجهة جسمیة أو عقلیة أو نفسیة؛ إذ لا یُجابه الجسم إلّاما یماثله فی الجسمیة، ولا یُجابه النفس أو العقل إلّاما یماثلهما، والله تعالی منزّه عن کونه جسماً أو نفساً أو عقلًا؛ لکونها من الممکنات المحدودة بحدود الماهیة والفقر والحاجة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لابدّ من الوسیلة والواسطة فی الإیمان، الذی هو أعظم العبادات وأعظم أنواع التوجّه إلی الله تعالی، والواسطة هی الإیمان بالنبیّ الأکرم صلی الله علیه و آله والإقرار بالشهادة الثانیة فی مقام الإدلاء بالشهادة التوحیدیة المقبولة عند الله تعالی، والموجبة للخروج من حظیرة الشرک إلی التوحید الإسلامی الخالص؛ لأنه أعظم آیة للحقّ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للوسیلة هذا الدور الخطیر فی المعرفة وأن التوجّه إلیها فی المعرفة توجّهاً إلی الله تعالی، والمعرفة أعظم شأناً من سائر العبادات، فکیف لا یکون التوجّه فی عبادة البدن والنفس إلی الله تعالی بالوسیلة؟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یسوغ التوجّه فی الخطاب الکلامی بألفاظ الدعاء إلی الوسیلة، ویکون دعاؤها دعاء بها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حاقّ وعمق عبادة الإیمان والتوجّه القلبی لابدّ من التوجّه بالنبیّ صلی الله علیه و آله للوفود علی الله عزّ وجلّ، فلا یتحقّق التوحید ولا یکون المرء مؤمناً، إلّاإذا توجّه بقلبه إلی الله تعالی بالشهادة الأولی والشهادة الثانیة، ومن ینفی أی إسم أو واسطة مع الله تعالی عند التوجّه إلیه فهو واقع فی مغبّة الشرک والوثنیة من حیث یشعر أو لا یشعر، نظیر وثنیة قریش، حیث کانوا لا یدینون الله تعالی بطاعة وولایة نبیّه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الإیمان والمعرفة کذلک فکیف بباقی العبادات التی هی أقلّ شأناً وخطورة؟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والإیمان والتوحید الذی یتضمّن الدین بأجمعه لا یحصل إلّابالتوسل بآیات الله الکبری، ومزاوجة الشهادة الثانیة بالشهادة الأولی، وهذا یعنی أن أی شأن من الشؤون الدینیة کالتوبة أو العبادة أو نیل مقام من المقامات الإلهیة لا یمکن أن یتحقّق إلّابالمحافظة علی الشهادة الثانیة، والإقرار بها وبمعطیاتها وتداعیاتها ومقتضیاتها فی کافّة أصول وفروع المعارف التوحیدیة، ولا شک أن الإیمان بالشهادة الثانیة توجّه قلبی بالنبیّ الأکرم لله عزّ وجلّ، إذ الإیمان کما أسلفنا طلب للقرب والزلفی ولقاء الله</w:t>
      </w:r>
      <w:bookmarkStart w:id="334" w:name="pg13703_133848"/>
    </w:p>
    <w:p>
      <w:pPr>
        <w:pStyle w:val="BookText"/>
        <w:rPr/>
      </w:pPr>
      <w:bookmarkEnd w:id="334"/>
      <w:r>
        <w:rPr>
          <w:rFonts w:ascii="IRNazanin" w:hAnsi="IRNazanin" w:eastAsia="IRNazanin"/>
          <w:color w:val="111111"/>
          <w:sz w:val="28"/>
          <w:sz w:val="28"/>
          <w:szCs w:val="28"/>
          <w:rtl w:val="true"/>
          <w:lang w:bidi="fa-IR"/>
        </w:rPr>
        <w:t>تعالی، وهذا القرب إنما یتحقّق بتوسیط الشهادة الثانیة، وهی شهادة أن محمّداً رسول الله وولیّه وخلیفته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یدعو إلی التوجّه بالنبیّ صلی الله علیه و آله فی الإیمان والاعتقاد وهو أفضل عبادة، فضلًا عن بقیّة العبادات الأخری، والإباء عن التوجّه فی العبادة بخاتم الأنبیاء إنکار للشهادة الثانیة، ودعوة إلی الشرک باسم التوحید، وهذا ما أخفق فیه السلفیون، حین جحدوا التوسّل بالنبی صلی الله علیه و آله، فلا تراهم یقرنون لون الشهادة الثانیة ومؤداها ومعطیاتها بلون الشهادة الأولی فی رسم بناء التوحید فی أدبیات کتبهم، فیقتصرون علی تفسیر الشهادة الأولی فی التوحید، من دون أن یهتدوا إلی کیفیة رکنیة مؤدّی الشهادة الثانیة فی أرکان التوحید، وکیفیة ضرورة الربط والارتباط بین مؤدّی کل من الشهادتین فی رسم أصل التوحید، ومنه یظهر أن التوسّل والتوجّه بالنبی صلی الله علیه و آله ضرورة ولیس مجرد خیار مشروعیة</w:t>
      </w:r>
      <w:r>
        <w:rPr>
          <w:rFonts w:eastAsia="IRNazanin" w:cs="IRNazanin"/>
          <w:color w:val="111111"/>
          <w:sz w:val="28"/>
          <w:szCs w:val="28"/>
          <w:rtl w:val="true"/>
          <w:lang w:bidi="fa-IR"/>
        </w:rPr>
        <w:t>.</w:t>
      </w:r>
    </w:p>
    <w:p>
      <w:pPr>
        <w:pStyle w:val="Heading3"/>
        <w:numPr>
          <w:ilvl w:val="2"/>
          <w:numId w:val="1"/>
        </w:numPr>
        <w:rPr/>
      </w:pPr>
      <w:bookmarkStart w:id="335" w:name="__RefHeading___Toc1101174_1468164448"/>
      <w:bookmarkStart w:id="336" w:name="_Toc123"/>
      <w:bookmarkEnd w:id="335"/>
      <w:r>
        <w:rPr>
          <w:rtl w:val="true"/>
        </w:rPr>
        <w:t>الدلیل الثانی</w:t>
      </w:r>
      <w:r>
        <w:rPr>
          <w:rtl w:val="true"/>
        </w:rPr>
        <w:t xml:space="preserve">: </w:t>
      </w:r>
      <w:r>
        <w:rPr>
          <w:rtl w:val="true"/>
        </w:rPr>
        <w:t>التوسّل ضرورة عقلیة</w:t>
      </w:r>
      <w:r>
        <w:rPr>
          <w:rtl w:val="true"/>
        </w:rPr>
        <w:t>:</w:t>
      </w:r>
      <w:bookmarkEnd w:id="336"/>
    </w:p>
    <w:p>
      <w:pPr>
        <w:pStyle w:val="Heading4"/>
        <w:numPr>
          <w:ilvl w:val="3"/>
          <w:numId w:val="1"/>
        </w:numPr>
        <w:rPr/>
      </w:pPr>
      <w:bookmarkStart w:id="337" w:name="__RefHeading___Toc1101176_1468164448"/>
      <w:bookmarkStart w:id="338" w:name="_Toc124"/>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علی الرغم من أن هناک من أعلام السنّة من أکّد علی رجحان التوسّل ومشروعیّته، کالقاضی عیاض فی کتابه الشفا بتعریف حقوق المصطفی والسُبکی فی شفاء السقام والسیف الصقیل والسمهودی فی وفاء الوفا وتقی الدین الحصنی الشافعی فی کتابه دفع الشبه عن الرسول والرسالة وغیرهم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ما نرمی إلیه فی هذه الأبحاث أبعد من ذلک؛ إذ أن الرجحان والمشروعیة لا یثبتان سوی التخییر وکون التوسّل أمراً مرغوباً فیه یجوز</w:t>
      </w:r>
      <w:bookmarkStart w:id="339" w:name="pg13703_133849"/>
    </w:p>
    <w:p>
      <w:pPr>
        <w:pStyle w:val="BookText"/>
        <w:rPr/>
      </w:pPr>
      <w:bookmarkEnd w:id="339"/>
      <w:r>
        <w:rPr>
          <w:rFonts w:ascii="IRNazanin" w:hAnsi="IRNazanin" w:eastAsia="IRNazanin"/>
          <w:color w:val="111111"/>
          <w:sz w:val="28"/>
          <w:sz w:val="28"/>
          <w:szCs w:val="28"/>
          <w:rtl w:val="true"/>
          <w:lang w:bidi="fa-IR"/>
        </w:rPr>
        <w:t>للمکلف تعاطیه وله ترکه أیضاً، وما نرید التأکید علیه هنا هو أن مبدأ التوسّل أمر ضروری یحکم العقل بلابدّیته وعدم إمکان المحیص عنه، وذلک لأن نفی الواسطة والوسیلة بین العبد وبین ربّه فی مقام التوجّه إلیه تعالی لا یخرج عن أحد فروض ثلاثة کلّها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المجابهة والمواجهة المباشرة لله‌تعالی حین التوجّه إلیه فی الدعاء والعبادة، وبطلان هذا الفرض واضح، إذ یلزم منه التشبیه للذات الإلهیة، وقد ثبت بطلانه فی الأبحاث العقائدیة؛ لتنافیه مع الصفات الکمالیة اللّامتناهیة لواجب الوجود</w:t>
      </w:r>
      <w:r>
        <w:rPr>
          <w:rFonts w:eastAsia="IRNazanin" w:cs="IRNazanin"/>
          <w:color w:val="111111"/>
          <w:sz w:val="28"/>
          <w:szCs w:val="28"/>
          <w:rtl w:val="true"/>
          <w:lang w:bidi="fa-IR"/>
        </w:rPr>
        <w:t>.</w:t>
      </w:r>
    </w:p>
    <w:p>
      <w:pPr>
        <w:pStyle w:val="Heading4"/>
        <w:numPr>
          <w:ilvl w:val="3"/>
          <w:numId w:val="1"/>
        </w:numPr>
        <w:rPr/>
      </w:pPr>
      <w:bookmarkStart w:id="340" w:name="__RefHeading___Toc1101178_1468164448"/>
      <w:bookmarkStart w:id="341" w:name="_Toc125"/>
      <w:bookmarkEnd w:id="340"/>
      <w:r>
        <w:rPr>
          <w:rtl w:val="true"/>
        </w:rPr>
        <w:t>بیان الملازمة</w:t>
      </w:r>
      <w:r>
        <w:rPr>
          <w:rtl w:val="true"/>
        </w:rPr>
        <w:t>:</w:t>
      </w:r>
      <w:bookmarkEnd w:id="34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مجابهة ومواجهة البشر العادیین المباشرة للذات الإلهیة المقدّسة إما أن تکون حسّیة جسمانیة أو نفسانیة روحیة أو عقلیة، وهذه الأقسام الثلاثة من المجابهة المباشرة هی التشبیه الباطل بعینه، وذلک لأن الارتباط المواجهة الجسمیة إنما تفرض مع ما هو جسم، لقانون التضایف بین المتجابهین، وهکذا التوجّه المواجهة الروحیة والقلبیة لما هو روح والمواجهة العقلیة لما هو عقل أیضاً، فکلّ هذه الأقسام المفروضة للمواجهة المباشرة لله‌تعالی لم تخرج عن دائرة التشبیه للذات المقدّسة بکونها جسماً أو روحاً أو عقلًا، وهو الشرک بعینه، لکونه موجباً لسلب واجب الوجود عن واجبیّته وکماله المطلق اللّامتناهی، ووصفه بصفات المخلوق المحدود بحدود الإمکان والماهیة والفقدان والاحتیاج والافتقار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هذا الفرض هو مواجهة البشر العادیین المباشرة لله‌تعالی، وهو فرض التشبیه الباطل بکلّ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بالتعطیل وعدم السبیل إلی الله تعالی ومعرفته والتوجّه إلیه، وهو باطل، لأن معرفة الله تعالی واجبة والتی هی نوع لقاء لله‌عزّ وجلّ وتوجّه إلیه وزلفی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دعوی أن الناس بأجمعهم لهم ارتباط مباشر مع الله تعالی فوق الجسم والروح والقلب والعقل بما لا یستلزم التشبیه، وهذا باطل بالوجدان، وقد رفض القرآن الکریم أیضاً الإیحاء والوحی إلی جمیع البشر واستنکر ذلک علی المشرکین،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یُرِیدُ کُلُّ امْرِئٍ مِنْهُمْ أَنْ یُؤْتی صُحُفاً مُنَشَّرَةً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الله عزّ وجلّ فی آیات أخری علی هذه المقالة الباطلة،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جاءَتْهُمْ آیَةٌ قالُوا لَنْ نُؤْمِنَ حَتّی نُؤْتی مِثْلَ ما أُوتِیَ رُسُلُ اللّهِ اللّهُ أَعْلَمُ حَیْثُ یَجْعَلُ رِسالَتَهُ سَیُصِیبُ الَّذِینَ أَجْرَمُوا صَغارٌ عِنْدَ اللّهِ وَ عَذابٌ شَدِیدٌ بِما کانُوا یَمْکُرُونَ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بطلان هذه الفروض الثلاثة تکون النتیجة ضرورة الإیمان بالوسائل والوسائط والآیات، والرجال المؤهّلین للإرتباط بالله تعالی، وهم الأنبیاء والأولیاء والمصطفین، الذین اصطفاهم الله عزّ وجلّ وجعلهم وسائط بینه وبین خلقه فی کلّ ما یحتاج الخلق إلیه وفی کلّ توجّه وطلب</w:t>
      </w:r>
      <w:bookmarkStart w:id="342" w:name="pg13703_133851"/>
    </w:p>
    <w:p>
      <w:pPr>
        <w:pStyle w:val="BookText"/>
        <w:rPr/>
      </w:pPr>
      <w:bookmarkEnd w:id="342"/>
      <w:r>
        <w:rPr>
          <w:rFonts w:ascii="IRNazanin" w:hAnsi="IRNazanin" w:eastAsia="IRNazanin"/>
          <w:color w:val="111111"/>
          <w:sz w:val="28"/>
          <w:sz w:val="28"/>
          <w:szCs w:val="28"/>
          <w:rtl w:val="true"/>
          <w:lang w:bidi="fa-IR"/>
        </w:rPr>
        <w:t>ودعاء وزلفی إلی الله تعالی، سواء کان علی مستوی التوبة أو سائر العبادات أو نیل مقام من المقامات الإلهیة، ولیس ضرورة التوسیط إلّالعظمة الله عزّ وجلّ وعلوه عن التجسیم والتشبیه والتعطیل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آیات الله الکبری وأسمائه العظمی التی جعلها واسطة فی التوجّه إلیه هی أیضاً لا تتوجّه إلی الله عزّ وجلّ بالمباشرة ولا تجابهه إلّابذواتها، فتوجّه الوسائط أیضاً إلی الله تعالی إنما یکون بذواتها التی هی آیة لمعرفة الله عزّ وجلّ، ولا توجد أی مجابهة بالمباشرة لأیّ مخلوق من المخلوقات</w:t>
      </w:r>
      <w:r>
        <w:rPr>
          <w:rFonts w:eastAsia="IRNazanin" w:cs="IRNazanin"/>
          <w:color w:val="111111"/>
          <w:sz w:val="28"/>
          <w:szCs w:val="28"/>
          <w:rtl w:val="true"/>
          <w:lang w:bidi="fa-IR"/>
        </w:rPr>
        <w:t>.</w:t>
      </w:r>
    </w:p>
    <w:p>
      <w:pPr>
        <w:pStyle w:val="Heading4"/>
        <w:numPr>
          <w:ilvl w:val="3"/>
          <w:numId w:val="1"/>
        </w:numPr>
        <w:rPr/>
      </w:pPr>
      <w:bookmarkStart w:id="343" w:name="__RefHeading___Toc1101180_1468164448"/>
      <w:bookmarkStart w:id="344" w:name="_Toc126"/>
      <w:bookmarkEnd w:id="343"/>
      <w:r>
        <w:rPr>
          <w:rtl w:val="true"/>
        </w:rPr>
        <w:t>التوسّل فی کل النشآت ولأصناف المخلوقات</w:t>
      </w:r>
      <w:r>
        <w:rPr>
          <w:rtl w:val="true"/>
        </w:rPr>
        <w:t>:</w:t>
      </w:r>
      <w:bookmarkEnd w:id="344"/>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لعظمته وعظیم صفاته لا یجابه ولا یواجه إلّا بالوسائل والآیات، ولا یستثنی من ذلک القانون وتلک السنّة الإلهیة التکوینیة أی مخلوق من المخلوقات فی کلّ شأن من شؤونه المعرفیة والعبادیة فی هذه النشأة وفی جمیع النشآت، ولذا قالت الصدّیقة فاطمة الزهراء علیهاالسلام فی مستهل خطبتها المعروفة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فاحمدوا الله الذی بعظمته ونوره ابتغی من فی السماوات ومن فی الأرض إلیه الوسیلة، فنحن وسیلته فی خلقه، ونحن آل رسوله، ونحن حجّة غیبه وورثة أنبیائه</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قال أمیر المؤمنین علیه السلام</w:t>
      </w:r>
      <w:r>
        <w:rPr>
          <w:rFonts w:eastAsia="IRNazanin" w:cs="IRNazanin"/>
          <w:color w:val="111111"/>
          <w:sz w:val="28"/>
          <w:szCs w:val="28"/>
          <w:rtl w:val="true"/>
          <w:lang w:bidi="fa-IR"/>
        </w:rPr>
        <w:t>:</w:t>
      </w:r>
      <w:bookmarkStart w:id="345" w:name="pg13703_133852"/>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وبعظمته ونوره ابتغی من فی السماوات والأرض من جمیع خلائقه إلیه الوسیلة</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قانون ومبدأ التوسّل ضرورة یدرکها العقل ویُقرّ بها، لعظمة الله تعالی، ولیس التوسّل أمراً تخییریاً ولا مشروعاً فحسب</w:t>
      </w:r>
      <w:r>
        <w:rPr>
          <w:rFonts w:eastAsia="IRNazanin" w:cs="IRNazanin"/>
          <w:color w:val="111111"/>
          <w:sz w:val="28"/>
          <w:szCs w:val="28"/>
          <w:rtl w:val="true"/>
          <w:lang w:bidi="fa-IR"/>
        </w:rPr>
        <w:t>.</w:t>
      </w:r>
    </w:p>
    <w:p>
      <w:pPr>
        <w:pStyle w:val="Heading3"/>
        <w:numPr>
          <w:ilvl w:val="2"/>
          <w:numId w:val="1"/>
        </w:numPr>
        <w:rPr/>
      </w:pPr>
      <w:bookmarkStart w:id="346" w:name="__RefHeading___Toc1101182_1468164448"/>
      <w:bookmarkStart w:id="347" w:name="_Toc127"/>
      <w:bookmarkEnd w:id="346"/>
      <w:r>
        <w:rPr>
          <w:rtl w:val="true"/>
        </w:rPr>
        <w:t>الدلیل الثالث</w:t>
      </w:r>
      <w:r>
        <w:rPr>
          <w:rtl w:val="true"/>
        </w:rPr>
        <w:t xml:space="preserve">: </w:t>
      </w:r>
      <w:r>
        <w:rPr>
          <w:rtl w:val="true"/>
        </w:rPr>
        <w:t>عموم طاعة الله ورسوله وأولی الأمر</w:t>
      </w:r>
      <w:r>
        <w:rPr>
          <w:rtl w:val="true"/>
        </w:rPr>
        <w:t>:</w:t>
      </w:r>
      <w:bookmarkEnd w:id="347"/>
    </w:p>
    <w:p>
      <w:pPr>
        <w:pStyle w:val="Heading4"/>
        <w:numPr>
          <w:ilvl w:val="3"/>
          <w:numId w:val="1"/>
        </w:numPr>
        <w:rPr/>
      </w:pPr>
      <w:bookmarkStart w:id="348" w:name="__RefHeading___Toc1101184_1468164448"/>
      <w:bookmarkStart w:id="349" w:name="_Toc128"/>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إن ضرورة المسلمین قائمة علی أن جمیع العبادات فیها ما هو فرائض قرآنیة إلهیة ومنها ما هو سنن نبویّة، کما فی الصلاة والصیام والحجّ والزکاة والجهاد وغیرها، إذ هی فرائض إلهیة فی أصل وجوبها فی الدین، وأما تفاصیلها وأجزائها وشرائطها وأقسامها فهی سنن نبویّة وصلتنا عن طریق أمر النبیّ صلی الله علیه و آله لکلّ المسلمین بتلک التفاصیل والتشریعات الخاصة، ومن أمثلة ذلک ما ورد فی روایات الفریقین من أن الصلوات کان فرضها من الله تعالی رکعتین لکلّ صلاة وما زاد علیها فی کلّ صلاة کان من سنّة النبیّ الأکرم صلی الله علیه و آله وأمره وفرضه</w:t>
      </w:r>
      <w:r>
        <w:rPr>
          <w:rStyle w:val="FootnoteAnchor"/>
          <w:rtl w:val="true"/>
        </w:rPr>
        <w:footnoteReference w:id="236"/>
      </w:r>
      <w:r>
        <w:rPr>
          <w:rFonts w:ascii="IRNazanin" w:hAnsi="IRNazanin" w:eastAsia="IRNazanin"/>
          <w:color w:val="111111"/>
          <w:sz w:val="28"/>
          <w:sz w:val="28"/>
          <w:szCs w:val="28"/>
          <w:rtl w:val="true"/>
          <w:lang w:bidi="fa-IR"/>
        </w:rPr>
        <w:t>وهکذا بقیّة التفصیلات والتشریعات القانونیة النبویّة ضمن الفرائض الإلهیة، وکتب الحدیث ملیئة بالأوامر النبویّة فی مجمل الأبواب الفقهیة وغیرها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فیکون الإتیان بالصلاة والزکاة والحجّ وغیرها طاعة لأمر الله وأمر رسوله صلی الله علیه و آله، ولا تُستعلم طاعة الله عزّ وجلّ من دون طاعة الرسول الأکرم فی</w:t>
      </w:r>
    </w:p>
    <w:p>
      <w:pPr>
        <w:pStyle w:val="BookText"/>
        <w:rPr/>
      </w:pPr>
      <w:r>
        <w:rPr>
          <w:rFonts w:ascii="IRNazanin" w:hAnsi="IRNazanin" w:eastAsia="IRNazanin"/>
          <w:color w:val="111111"/>
          <w:sz w:val="28"/>
          <w:sz w:val="28"/>
          <w:szCs w:val="28"/>
          <w:rtl w:val="true"/>
          <w:lang w:bidi="fa-IR"/>
        </w:rPr>
        <w:t>أوامره ونواهیه، فهو صلی الله علیه و آله باب طاعته تعالی؛ لأنه هو الدالّ والمبیّن والناطق الرسمی عن أوامر الله عزّ وجلّ ونواهیه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کنّا نُعبّر عنه بتداعیات ومقتضیات الشهادة الثانیة؛ إذ هی تستدعی الإتیان والالتزام بجملة الدین طاعة لله‌ورسوله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تکاثرت ودلّت علیه جملة من الآیات القرآنیة،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أَطِیعُوا اللّهَ وَ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اللّهَ وَ الرَّسُولَ لَعَلَّکُمْ تُرْحَمُونَ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الله عزّ وجلّ حذّر المسلمین من المخالفة لأوامر الرسول الأکرم، وبیّن فی آیات عدیدة العواقب الوخیمة التی تترتب علی مخالفة النبیّ صلی الله علیه و آله فی أوامره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بَیْنَکُمْ کَدُعاءِ بَعْضِکُمْ بَعْضاً قَدْ یَعْلَمُ اللّهُ الَّذِینَ یَتَسَلَّلُونَ مِنْکُمْ لِواذاً 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اللّهَ وَ أَطِیعُوا الرَّسُولَ وَ احْذَرُوا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رَسُولَهُ وَ لا تَوَلَّوْا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غیر ذلک من الآیات القرآنیة التی جاءت فی ضمن السلک العام والسنّة الإلهیة الشاملة لطاعة الرسل کافّة،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الجدیر بالإلتفات أن تتمة هذه الآیة المبارکة 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سیأتی الاستدلال بها علی شرطیة التوسّل فی المقامات الثلاث المتقدّمة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أوامر النبیّ صلی الله علیه و آله اقترنت بأوامر الله وفرائضه فی مجمل أحکام الدین الإسلامی، وقد أکّدت الآیات القرآنیة علی وجوب اقتران طاعة الله تعالی بطاعة رسوله صلی الله علیه و آله، وهذه طاعة عامّة کطاعة الله عزّ وجلّ فی کلّ أبواب الدین برمّته بلا استثناء لأی‌جانب من جوانب الشریعة الإسلامیة والدین الإسلامی، ومعنی ذلک أن نیّة القربة إلی الله تعالی وطاعته فی جمیع العبادات إنما تتحقّق بتوجّه العبد إلی ربّه بطاعة نبیّه، ففی کلّ عبادة إنما یتوجّه العبد إلی الله تعالی للتقرّب إلیه بطاعته وطاعة رسوله</w:t>
      </w:r>
      <w:r>
        <w:rPr>
          <w:rFonts w:eastAsia="IRNazanin" w:cs="IRNazanin"/>
          <w:color w:val="111111"/>
          <w:sz w:val="28"/>
          <w:szCs w:val="28"/>
          <w:rtl w:val="true"/>
          <w:lang w:bidi="fa-IR"/>
        </w:rPr>
        <w:t>.</w:t>
      </w:r>
      <w:bookmarkStart w:id="350" w:name="pg13703_133855"/>
    </w:p>
    <w:p>
      <w:pPr>
        <w:pStyle w:val="Heading4"/>
        <w:numPr>
          <w:ilvl w:val="3"/>
          <w:numId w:val="1"/>
        </w:numPr>
        <w:rPr/>
      </w:pPr>
      <w:bookmarkStart w:id="351" w:name="__RefHeading___Toc1101186_1468164448"/>
      <w:bookmarkStart w:id="352" w:name="_Toc129"/>
      <w:bookmarkEnd w:id="350"/>
      <w:bookmarkEnd w:id="351"/>
      <w:r>
        <w:rPr>
          <w:rtl w:val="true"/>
        </w:rPr>
        <w:t>فذلکة صناعیة لأخذ التوسّل فی نیة القربة</w:t>
      </w:r>
      <w:r>
        <w:rPr>
          <w:rtl w:val="true"/>
        </w:rPr>
        <w:t>:</w:t>
      </w:r>
      <w:bookmarkEnd w:id="352"/>
    </w:p>
    <w:p>
      <w:pPr>
        <w:pStyle w:val="BookText"/>
        <w:rPr/>
      </w:pPr>
      <w:r>
        <w:rPr>
          <w:rFonts w:ascii="IRNazanin" w:hAnsi="IRNazanin" w:eastAsia="IRNazanin"/>
          <w:color w:val="111111"/>
          <w:sz w:val="28"/>
          <w:sz w:val="28"/>
          <w:szCs w:val="28"/>
          <w:rtl w:val="true"/>
          <w:lang w:bidi="fa-IR"/>
        </w:rPr>
        <w:t>ولا شک أن حقیقة العبادات بالنیّة القربیّة، والنیّة القربیّة إنما تحصل بالسبب المؤدّی إلی القربة، والقربی غایة مسبّبة سببها الطاعة لأوامر لله‌تعالی، وطاعة الله عزّ وجلّ لا تتحقّق إلّاإذا کانت مقترنة بطاعة رسوله صلی الله علیه و آله، إذ أن النیّة التی هی روح العبادة إنما تحصل بوسیلة وواسطة طاعة النبیّ، ومن لم ینوِ القربة بهذا النحو فی العبادة تکون عبادته شرکاً بالله تعالی، لعدم التوجّه إلی الله عزّ وجلّ بأبوابه التی أمر بتوسیطها وطاعتها وامتثال العبادات انقیاداً لأوامرها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یرید أن یفصل فی صلاته وحجّه وصومه طاعة الله عن طاعة الرسول یکون علی الوثنیة الجاهلیة التی یشنؤها الله عزّ وجلّ وعبّر عنها فی قرآنه الکریم بالشرک والنجس، وطاعة کلّ من لم یأمر الله بطاعته وثن من الأوثان، بل حتی صلاته تصبح وثناً إذا کانت صادرة عن طاعة غیر من أمر الله بطاعته، وإن کان ذلک المطاع هو الهوی وتحکیم سلطان الذات علی سلطان الله عزّ وجلّ، کما فی الوثنیة القرشیة التی ذمّها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یتّضح أن أی عبادة من العبادات أو قربة من القربات أو نیل مقام من المقامات القربیة أو الفوز بحظوة عند الله تعالی لا یمکن أن تتحقّق من دون توسیط طاعة النبیّ الأکرم صلی الله علیه و آله فی تلک العبادة أو ذلک المقام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مقام التقرّب والنیّة والقصد جُعلت القبلة المعنویة طاعة النبیّ صلی الله علیه و آله والتدین بولایته والخضوع له، الذی هو خضوع لله عزّ وجلّ، کخضوع الملائکة لآدم لأنه باب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مقتضیات الشهادة الثانیة وضرورة اقترانها بالشهادة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أکّدت الآیات القرآنیة علی ضرورة الشهادة الثالثة واقترانها بالشهادة الثانیة تبعاً للشهادة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والشهادة الثالثة عبارة عن طاعة أولی الأمر، الذین أمر الله بطاعتهم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قرن طاعتهم بطاعته وطاعة رسوله صلی الله علیه و آله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بیّن الله تبارک وتعالی فی قرآنه الکریم المراد من أولی الأمر الذین تجب طاعتهم، بعد أن بیّن تعالی المقصود من الأمر الذی هم أولیاؤه، وأنه أمر ملکوتی من عالم کن فیکون،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وکذا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 تَبارَکَ اللّهُ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أفصحت الآیات القرآنیة عن کون الأمر عبارة عن تدبیر السماوات والأرض،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 مِنَ السَّماءِ إِلَی الْأَرْضِ ثُمَّ یَعْرُجُ إِلَیْهِ فِی یَوْمٍ 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 أَلْفَ سَنَةٍ مِمّا تَعُدُّونَ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أولو الأمر هم الذین یتنزّل علیهم الأمر فی لیلة القدر وفیها یفرق کلّ أمر حکیم،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عزّ وجلّ فی وصف لیلة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 إِنَّهُ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بیّن الله عزّ وجلّ أن شریعة النبیّ الأکرم من ذلک الأمر الحکیم الذی یفرق فی لیلة القدر، حیث قال عزّ وجلّ مخاطباً نبیّه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 عَلی شَرِیعَةٍ مِنَ الْأَمْرِ فَاتَّبِعْها وَ لا تَتَّبِعْ أَهْواءَ الَّذِینَ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صرّحت آیات أخری بأن الأمر الملکوتی یتنزّل علی عباد الله من دون أن تخصّص من لهم الأمر بالأنبیاء والرسل،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ما ذکرناه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من عالم الملکوت والغیب، وأنه مرتبط بتدبیر السماوات والأرض وغیر مختصّ بالشؤون الدنیویة المادّیة،</w:t>
      </w:r>
    </w:p>
    <w:p>
      <w:pPr>
        <w:pStyle w:val="BookText"/>
        <w:rPr/>
      </w:pPr>
      <w:r>
        <w:rPr>
          <w:rFonts w:ascii="Amiri" w:hAnsi="Amiri" w:eastAsia="Amiri" w:cs="Amiri"/>
          <w:color w:val="111111"/>
          <w:sz w:val="28"/>
          <w:sz w:val="28"/>
          <w:szCs w:val="28"/>
          <w:rtl w:val="true"/>
          <w:lang w:bidi="ar-SA"/>
        </w:rPr>
        <w:t>وأن الشرائع وهدایة الناس وإنذارهم مرتبطة به، وأنه شامل لأولیاء الله الأصفیاء المجتبین ولیس خاصّاً بمقام النبوّة والرسالة، وذلک لارتباطه المباشر بمقام الهدایة والإیصال إلی المطلوب وهو مقام الخلافة والإمامة کما تقدم؛ ولذا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والصبر والیقین للأئمة من أولی الأمر فی هذه الآیة المبارکة إشارة إلی‌العصمة فی مقام العلم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یوجد أولو أمر فی هذه الأمة بعد رسول الله تجب طاعتهم غیر أهل بیته صلی الله علیه و آله، الذین أذهب الله عنهم الرجس وطهرهم تطهیراً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اقتصار الأمر الإلهی علی السیاسة والأمور الاجتماعیة، بل هو أمر ملکوتی من عالم الغیب لهدایة الأمة وتدبیر السماوات والأرض یتنزّل فی لیلة القدر علی أولیاء الله وأصفیائه، وهؤلاء هم أوصیاء رسول الله صلی الله علیه و آله والأئمة من بعده الدالّون علی أوامره والذین أوکل لهم البیان الشرعی والقانونی للأوامر الإلهیة والنبویّة، فکما أن الدالّ علی أوامر الله ونواهیه هو النبیّ الأکرم صلی الله علیه و آله بأمره ونهیه، کذلک الدالّ علی أوامر الرسول الأکرم ونواهیه أولو الأمر من بعده بأمرهم ونهیهم، فالنبیّ الأکرم صلی الله علیه و آله أمر ونهی فی ضمن إطار الفرائض الإلهیة، وأولو الأمر أیضاً یأمرون وینهون فی ضمن دائرة السنن النبویّة المبارکة، بما یشبه الحالة التراتبیة فی التنزّل القانونی الوضعی فی الأدوار والصلاحیات، فهم الدالّون علی طاعة الرسول صلی الله علیه و آله کما کان هو دالّا علی طاعة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أصول تشریع الله تعالی وفرائضه یتبعها تشریعات النبیّ صلی الله علیه و آله تفصیلًا وبیاناً، ویتبعها تشریع أولی الأمر علی نحو التنزّل القانونی، الذی هو الفتق بعد الرتق، والتفصیل بعد الإجمال، والبسط بعد القبض للتشریعات، وهذه لغة قانونیة جعلها الله تعالی جسراً لإیصال أحکامه علی ما جری علیه البشر، کالتشریع للفقه الدستوری ثم النیابی ثم الوزاری، علی نحو التبعیة بلا منافاة، وهذا برهان قانونی علی التشریعات التی لابدّ من طاعتها، فالرتق یُفسَّر ویفتق فتقاً قانونیاً تابعاً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ویتجلّی ذلک المعنی أکثر إذا علمنا أن معظم بیان تشریع الشرائط والموانع وتفاصیل الأجزاء هی من تشریعات أئمة أهل البیت علیهم السلام، فلا تستعلم تلک الأمور مع ترکهم والإعراض عنهم وعدم الطاعة لأوامرهم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الطاعة فی الدین بطاعة الله، وطاعة الله بطاعة النبیّ الأکرم صلی الله علیه و آله وأولی الأمر، فالولیّ بعد الله تعالی رسوله صلی الله علیه و آله وبعد الرسول أولی الأمر، الذین لهم حقّ استنباط الدین وبیانه وتفصیله،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یتّضح مما ذکرناه أن طاعة أولی الأمر علی حدّ طاعة رسول الله مقترنة بها وشاملة للدین کلّه، کما أن ولایة الله تعالی وطاعته کذلک غیر مختصّة ببعض الشؤون السیاسیة أو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فالإتیان بجمیع العبادات والطقوس الدینیة طاعة لأمر الله وأمر رسوله وأولی الأمر من بعده وهم أهل بیته علیهم السلام، فالعبد ینقاد ویفد علی الله تعالی ویتقرّب ویتوجّه إلیه بطاعة الرسول وطاعة أولی الأمر، وهذا یعنی أن الشهادة الثانیة والثالثة مأخوذتان واسطتین فی حاقّ عبادة الله تعالی بما فیها عبادة المعرفة، التی هی أعظم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کان الدین عبارة عن ولایة الله وولایة الرسول وولایة أولی الأمر والطاعة لهم،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والولایة والطاعة أصالة لله‌وبالتبع للنبیّ وأولی الأمر بإذن وأمر من الله تعالی، کما أخضع الله عزّ وجلّ ملائکته ومن خلق من الجنّ وغیرهم لولیّ الله وخلیفته آدم، بما هو النموذج والمصداق لخلیفة الله فی الأرض، فکلّ من یتسنّم مقام الخلافة الإلهیة لابدّ من الإنقیاد والخضوع والطاعة 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أن التوجّه والقربة والزلفی لا تحصل إلّابالطاعة لله‌وللرسول، کذلک لا تحصل إلّابطاعة أولی الأمر مقترنة مع طاعة الله ورسوله، فلا یمکن قصد القربة فی العبادة ولا یحصل القرب إلی الله تعالی فی العبادات إلّابالخضوع والطاعة لولیّ الأمر والإتیان بالعبادة امتثالًا لأمره، تبعاً لأمر الله والرسول صلی الله علیه و آله، حیث یستعلم أمرهما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واتّضح من ذلک البیان أیضاً أن جمیع العبادات فرائض من الله تعالی وسنّة من نبیّه ومنهاج وهدی من أهل بیته علیهم السلام وعلی جمیع المستویات الاعتقادیة والعبادیة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تبیّن أن من یعبد الله من دون التوجّه بحجّة الله وولیّه، بطاعته وامتثال أمره عمله هباء؛ إذ لا تتحقّق منه القربة لعدم الطاعة فی مقاماتها الثلاث وعدم ضمّ الشهادات الثلاث إلی بعضها البعض، فلا یُصار إلی التوجّه إلی الله تعالی إلّا عن طریق آیاته وبیّناته، وهم الوسیلة إلیه فی المقامات الثلاث التی ذکرناها فی صدر البحث، بل فی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إقحام اسم النبیّ صلی الله علیه و آله وذکره والتوجّه القلبی إلیه وإلی أولی الأمر موجباً للشرک لَما قرن الله تعالی طاعته بطاعتهم، فلیس إنکار التوسّل والواسطة إلّا دعوة إلی التفریق بین الله ورسوله وأولی الأمر، وفصل الشهادات الثلاث وبتر بعضها عن البعض الآخر، وهذه هی عبادة الشرک التی آمن بها إبلیس، الذی أراد أن یفرّق بین طاعة الله وطاعة خلیفته، بخلاف الملائکة أهل عبادة التوحید الذین خضعوا لله‌ولولیّه آدم علیه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مورد هذه الآیة وهی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حکمت بوجوب الطاعة هو الدین کلّه، فکما أن طاعة الله عزّ وجلّ فی الدین کلّه، کذلک ما اقترن بها من طاعة الرسول الأکرم صلی الله علیه و آله وأولی الأمر من أهل بیته علیهم السلام</w:t>
      </w:r>
      <w:r>
        <w:rPr>
          <w:rFonts w:eastAsia="Amiri" w:cs="Amiri" w:ascii="Amiri" w:hAnsi="Amiri"/>
          <w:color w:val="111111"/>
          <w:sz w:val="28"/>
          <w:szCs w:val="28"/>
          <w:rtl w:val="true"/>
          <w:lang w:bidi="ar-SA"/>
        </w:rPr>
        <w:t>.</w:t>
      </w:r>
      <w:bookmarkStart w:id="353" w:name="pg13703_133862"/>
    </w:p>
    <w:p>
      <w:pPr>
        <w:pStyle w:val="BookText"/>
        <w:rPr/>
      </w:pPr>
      <w:bookmarkEnd w:id="353"/>
      <w:r>
        <w:rPr>
          <w:rFonts w:ascii="IRNazanin" w:hAnsi="IRNazanin" w:eastAsia="IRNazanin"/>
          <w:color w:val="111111"/>
          <w:sz w:val="28"/>
          <w:sz w:val="28"/>
          <w:szCs w:val="28"/>
          <w:rtl w:val="true"/>
          <w:lang w:bidi="fa-IR"/>
        </w:rPr>
        <w:t>وما ورد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أن محلّ بدن الخلیفة هو الأرض، ولکن خلافته لیست خاصّة بالأرض، ومن ثمّ أطوع له جمیع الملائکة فی جمیع النشآت، والشاهد علی ذلک أیضاً تقدیم الجار والمجرور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الخلیفة، فالدین الذی هو معرفة الله تعالی عامّ لا یستثنی منه أحد فی جمیع النشآت، ومن ثمّ تکون جمیع المخلوفات مکلّفة بالطاعة لأولی الأمر؛ ولذا أمر الله تعالی الملائکة بالسجود بما فیهم إبلیس وهو من الجنّ، فخلافة وطاعة أولی الأمر وولایتهم لا تحدّ بالجنّ والإنس ولا بأمر سیاسی أو اجتماعی، والکلّ یبتغی إلی الله الوسیلة ویخضع لولی الله فی توجّهه إلی خالقه، والتوجّه إلی الله من دون التوجّه إلیه بطاعة نبیّه وولیّه نجس وشرک ووثنیّة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ونیّة القربة إذا لم تکن علی هذا المنوال فی العبادة لا تقبل؛ لعدم تفتّح الأبواب بالآیات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کلّه یتمّ ما ذکرناه من شرطیة التوسّل والتوجّه فی المقامات الثلاثة المتقدّمة، استناداً إلی وجوب الطاعة فی مراتبها الثلاث</w:t>
      </w:r>
      <w:r>
        <w:rPr>
          <w:rFonts w:eastAsia="IRNazanin" w:cs="IRNazanin"/>
          <w:color w:val="111111"/>
          <w:sz w:val="28"/>
          <w:szCs w:val="28"/>
          <w:rtl w:val="true"/>
          <w:lang w:bidi="fa-IR"/>
        </w:rPr>
        <w:t>.</w:t>
      </w:r>
    </w:p>
    <w:p>
      <w:pPr>
        <w:pStyle w:val="Heading3"/>
        <w:numPr>
          <w:ilvl w:val="2"/>
          <w:numId w:val="1"/>
        </w:numPr>
        <w:rPr/>
      </w:pPr>
      <w:bookmarkStart w:id="354" w:name="__RefHeading___Toc1101188_1468164448"/>
      <w:bookmarkStart w:id="355" w:name="_Toc130"/>
      <w:bookmarkEnd w:id="354"/>
      <w:r>
        <w:rPr>
          <w:rtl w:val="true"/>
        </w:rPr>
        <w:t>الدلیل الرابع</w:t>
      </w:r>
      <w:r>
        <w:rPr>
          <w:rtl w:val="true"/>
        </w:rPr>
        <w:t xml:space="preserve">: </w:t>
      </w:r>
      <w:r>
        <w:rPr>
          <w:rtl w:val="true"/>
        </w:rPr>
        <w:t>إقتران اسم النبی صلی الله علیه و آله وأهل بیته</w:t>
      </w:r>
      <w:r>
        <w:rPr>
          <w:rtl w:val="true"/>
        </w:rPr>
        <w:t>:</w:t>
      </w:r>
      <w:bookmarkEnd w:id="355"/>
    </w:p>
    <w:p>
      <w:pPr>
        <w:pStyle w:val="Heading4"/>
        <w:numPr>
          <w:ilvl w:val="3"/>
          <w:numId w:val="1"/>
        </w:numPr>
        <w:rPr/>
      </w:pPr>
      <w:bookmarkStart w:id="356" w:name="__RefHeading___Toc1101190_1468164448"/>
      <w:bookmarkStart w:id="357" w:name="_Toc131"/>
      <w:bookmarkEnd w:id="356"/>
      <w:r>
        <w:rPr>
          <w:rtl w:val="true"/>
        </w:rPr>
        <w:t>بأعظم العبادات</w:t>
      </w:r>
      <w:r>
        <w:rPr>
          <w:rtl w:val="true"/>
        </w:rPr>
        <w:t>:</w:t>
      </w:r>
      <w:bookmarkEnd w:id="35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رفع الله عزّ وجلّ ذکر النبیّ الأکرم صلی الله علیه و آله وقرنه باسمه فی مجمل العبادات، التی تقع فی مصافّ أسس الدین وأرکان الإیمان، من حیث محوریتها فی المنظومة الدینیة، ونشیر فیما یلی إلی بعض تلک الشواهد فی هذا</w:t>
      </w:r>
    </w:p>
    <w:p>
      <w:pPr>
        <w:pStyle w:val="BookText"/>
        <w:rPr/>
      </w:pPr>
      <w:r>
        <w:rPr>
          <w:rFonts w:ascii="IRNazanin" w:hAnsi="IRNazanin" w:eastAsia="IRNazanin"/>
          <w:color w:val="111111"/>
          <w:sz w:val="28"/>
          <w:sz w:val="28"/>
          <w:szCs w:val="28"/>
          <w:rtl w:val="true"/>
          <w:lang w:bidi="fa-IR"/>
        </w:rPr>
        <w:t>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باسم النبیّ الأکرم صلی الله علیه و آله فی تشهّد الصلاة، حیث إن الصلاة علی النبیّ وأهل بیته راجحة بإجماع المسلمین</w:t>
      </w:r>
      <w:r>
        <w:rPr>
          <w:rStyle w:val="FootnoteAnchor"/>
          <w:rtl w:val="true"/>
        </w:rPr>
        <w:footnoteReference w:id="237"/>
      </w:r>
      <w:r>
        <w:rPr>
          <w:rFonts w:ascii="IRNazanin" w:hAnsi="IRNazanin" w:eastAsia="IRNazanin"/>
          <w:color w:val="111111"/>
          <w:sz w:val="28"/>
          <w:sz w:val="28"/>
          <w:szCs w:val="28"/>
          <w:rtl w:val="true"/>
          <w:lang w:bidi="fa-IR"/>
        </w:rPr>
        <w:t>، وهی شرط واجب فی الصلاة عند بعض المذاهب الإسلامیة، کمذهب أهل البیت علیهم السلام</w:t>
      </w:r>
      <w:r>
        <w:rPr>
          <w:rStyle w:val="FootnoteAnchor"/>
          <w:rtl w:val="true"/>
        </w:rPr>
        <w:footnoteReference w:id="238"/>
      </w:r>
      <w:r>
        <w:rPr>
          <w:rFonts w:ascii="IRNazanin" w:hAnsi="IRNazanin" w:eastAsia="IRNazanin"/>
          <w:color w:val="111111"/>
          <w:sz w:val="28"/>
          <w:sz w:val="28"/>
          <w:szCs w:val="28"/>
          <w:rtl w:val="true"/>
          <w:lang w:bidi="fa-IR"/>
        </w:rPr>
        <w:t>وبعض فقهاء المذاهب الأخری</w:t>
      </w:r>
      <w:r>
        <w:rPr>
          <w:rStyle w:val="FootnoteAnchor"/>
          <w:rtl w:val="true"/>
        </w:rPr>
        <w:footnoteReference w:id="239"/>
      </w:r>
      <w:r>
        <w:rPr>
          <w:rFonts w:ascii="IRNazanin" w:hAnsi="IRNazanin" w:eastAsia="IRNazanin"/>
          <w:color w:val="111111"/>
          <w:sz w:val="28"/>
          <w:sz w:val="28"/>
          <w:szCs w:val="28"/>
          <w:rtl w:val="true"/>
          <w:lang w:bidi="fa-IR"/>
        </w:rPr>
        <w:t>، تمسّکاً بما روته عائشة من الوجوب، حیث روت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صلاة إلّابطهور والصلاة علیّ</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بیّن النبیّ الأکرم الصلاة علیه عندما سُئل عن کیفیّتها،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یستحبّ الصلاة علی النبیّ محمّد صلی الله علیه و آله وآله بعد القنوت فی الصلاة، جزم بذلک النووی تبعاً للغزالی فی المُهذّب ونسبه إلی الجمهور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ذکر الصلاة علی النبیّ صلی الله علیه و آله وأهل بیته علیهم السلام نوع دعاء لهم وتحیّة وسلام، ونوع توجّه لهم بالمحیی والدعاء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 المصلّی فی صلاته التی هی الرکن الرکین فی العبادات،</w:t>
      </w:r>
    </w:p>
    <w:p>
      <w:pPr>
        <w:pStyle w:val="BookText"/>
        <w:rPr/>
      </w:pPr>
      <w:r>
        <w:rPr>
          <w:rFonts w:ascii="IRNazanin" w:hAnsi="IRNazanin" w:eastAsia="IRNazanin"/>
          <w:color w:val="111111"/>
          <w:sz w:val="28"/>
          <w:sz w:val="28"/>
          <w:szCs w:val="28"/>
          <w:rtl w:val="true"/>
          <w:lang w:bidi="fa-IR"/>
        </w:rPr>
        <w:t>والموجبة للعروج والقربان من الله تعالی، إن قبلت قبل ما سواها وإن رُدّت رُدّ ما سواها علی النبیّ صلی الله علیه و آله وأهل بیته علیهم السلام یتوجّه بالدعاء وإلقاء التحیّة والسلام، لکی تقبل صلاته وتوجب مزیداً من القرب إلی الله تعالی، فالصلاة التی هی من دعائم الدین مقرونة بالوسائط والأبواب الإلهیة، لکی تکون صحیحة مقبولة عند الله تعالی‌أو موجبة لمزید القرب منه، وإذا کانت الصلاة کذلک فکیف بباقی العبادات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إقحام اسم النبیّ صلی الله علیه و آله وأهل بیته علیهم السلام فی الصلاة والتوجّه إلیهم بالقلب موجباً للشرک لما کان الأمر فیها علی هذه الحال، فالفرق بین صلاة المشرکین وصلاة الموحّدین فی أن صلاة المشرکین تفتقد لذکر النبیّ الأکرم صلی الله علیه و آله فیها، بخلاف صلاة المسلمین، حیث یقرن فیها إسم النبیّ الأکرم إلی جانب 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قرن وجوب أو استحباب بعض العبادات الأخری غیر الصلاة باستحباب الصلاة علی النبیّ الأکرم صلی الله علیه و آله، کاستحباب الصلاة علی النبیّ صلی الله علیه و آله إذا فرغ الحاج من التلبیة فی الحجّ‌</w:t>
      </w:r>
      <w:r>
        <w:rPr>
          <w:rStyle w:val="FootnoteAnchor"/>
          <w:rtl w:val="true"/>
        </w:rPr>
        <w:footnoteReference w:id="243"/>
      </w:r>
      <w:r>
        <w:rPr>
          <w:rFonts w:ascii="IRNazanin" w:hAnsi="IRNazanin" w:eastAsia="IRNazanin"/>
          <w:color w:val="111111"/>
          <w:sz w:val="28"/>
          <w:sz w:val="28"/>
          <w:szCs w:val="28"/>
          <w:rtl w:val="true"/>
          <w:lang w:bidi="fa-IR"/>
        </w:rPr>
        <w:t>، واستحباب الصلاة علی النبیّ صلی الله علیه و آله عند ذبح الهدی أو الأضحیة</w:t>
      </w:r>
      <w:r>
        <w:rPr>
          <w:rStyle w:val="FootnoteAnchor"/>
          <w:rtl w:val="true"/>
        </w:rPr>
        <w:footnoteReference w:id="244"/>
      </w:r>
      <w:r>
        <w:rPr>
          <w:rFonts w:ascii="IRNazanin" w:hAnsi="IRNazanin" w:eastAsia="IRNazanin"/>
          <w:color w:val="111111"/>
          <w:sz w:val="28"/>
          <w:sz w:val="28"/>
          <w:szCs w:val="28"/>
          <w:rtl w:val="true"/>
          <w:lang w:bidi="fa-IR"/>
        </w:rPr>
        <w:t>، وقد جعلت الصلاة علی النبیّ صلی الله علیه و آله أحد أرکان الخطبة فی صلاة الجمعة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من أرکان صلاة المیّت الصلاة علی النبیّ صلی الله علیه و آله وآله علیهم السلام</w:t>
      </w:r>
      <w:r>
        <w:rPr>
          <w:rStyle w:val="FootnoteAnchor"/>
          <w:rtl w:val="true"/>
        </w:rPr>
        <w:footnoteReference w:id="2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أیضاً الصلاة علی النبیّ وآله قبل الأذان والإقامة وبعدهما، کما نصّ علی ذلک عبد العزیز الهندی نقلًا عن النووی فی شرح 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الفقهی فتح المعین</w:t>
      </w:r>
      <w:r>
        <w:rPr>
          <w:rStyle w:val="FootnoteAnchor"/>
          <w:rtl w:val="true"/>
        </w:rPr>
        <w:footnoteReference w:id="247"/>
      </w:r>
      <w:r>
        <w:rPr>
          <w:rFonts w:ascii="IRNazanin" w:hAnsi="IRNazanin" w:eastAsia="IRNazanin"/>
          <w:color w:val="111111"/>
          <w:sz w:val="28"/>
          <w:sz w:val="28"/>
          <w:szCs w:val="28"/>
          <w:rtl w:val="true"/>
          <w:lang w:bidi="fa-IR"/>
        </w:rPr>
        <w:t>، إلی غیر ذلک من الموارد التی لا تحصی فی الفقه، والتی قرنت فیها جملة وافرة من العبادات باسم النبیّ المبارک صلی الله علیه و آله وأهل بیته الطاهرین، ولیس ذلک إلّاتوجّه وتوسّل بهم علیهم السلام لقبول العبادة وحصول القرب من الله تعالی، ولفتح أبواب السماء لصعود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ورد النصّ علیه فی روایات عدیدة ومتضافرة من طرقنا وطرق السنّة، حیث نصّت علی أن الدعاء محجوب عن السماء ما لم یصلَّ علی النبیّ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محجوب عن السماء حتی یُتبع بالصلاة علی محمّد وآله</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أبی ذرّ عن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الدعاء محجوباً حتی یصلّی علیّ وعلی أهل بیتی</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عن الإمام جعفر بن محمّد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صلاتکم علیّ إجابة لدعائکم وزکاة لأعمالکم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أیضاً عن الإمام الصادق علیه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أتی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إنی جعلت ثلث صلاتی لک، فقال له خیراً،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 إنی جعلت نصف صلاتی 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کلّ صلاتی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یکفیک الله عزّ وجلّ ما أهمّک من أمر دنیاک وآخرتک،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یجعل صلاته له؟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الله عزّ وجلّ إلّابدأ بالصلاة علی محمّد وآله</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فضالة بن عبید،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رسول الله صلی الله علیه و آله رجلًا یدعو فی صلاته لم یمجّد الله تعالی ولم یصلِّ علی النبیّ صلی الله علیه و آله، فقال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دعاه فقال له أو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أحدکم فلیبدأ بتحمید ربّه عزّ وجلّ والثناء علیه، ثم یصلّی علی النبیّ، ثم یدعو بعد بما شاء</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أحدکم أن یسأل فلیبدأ بالمدحة والثناء علی الله بما هو أهله، ثم لیصلِّ علی النبیّ صلی الله علیه و آله، ثم لیسأل فإنه أجدر أن ینجح</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الهیثمی فی زوائده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ورجاله رجال الصحیح</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تجعلونی کقدح الراکب، فإن الراکب إذا أراد أن ینطلق علّق</w:t>
      </w:r>
    </w:p>
    <w:p>
      <w:pPr>
        <w:pStyle w:val="BookText"/>
        <w:rPr/>
      </w:pPr>
      <w:r>
        <w:rPr>
          <w:rFonts w:ascii="IRNazanin" w:hAnsi="IRNazanin" w:eastAsia="IRNazanin"/>
          <w:color w:val="111111"/>
          <w:sz w:val="28"/>
          <w:sz w:val="28"/>
          <w:szCs w:val="28"/>
          <w:rtl w:val="true"/>
          <w:lang w:bidi="fa-IR"/>
        </w:rPr>
        <w:t>معالقه، وملأ قدح ماء، فإن کانت له حاجة فی أن یتوضّأ توضّأ، وأن یشرب شرب، وإلّا أهراق، فاجعلونی فی وسط الدعاء وفی أوّله وفی آخره</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القاضی عیاض عن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دعاء محجوب دون السماء، فإذا جاءت الصلاة علیّ صعد الدعاء</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الروایات التی من طرقنا أیضاً ما فی موثقة السکونی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ولم یذکر النبیّ صلی الله علیه و آله رفرف الدعاء علی رأسه، فإذا ذکر النبیّ صلی الله علیه و آله رفع الدعاء</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لک إلی الله حاجة فابدأ بمسألة الصلاة علی النبیّ صلی الله علیه و آله ثم سل حاجتک، فإن الله أکرم من أن یُسأل حاجتین فیقضی إحداهما ویمنع الأخری</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کذلک عن أبی عبدالله علیه السلام 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 أحدکم فلیبدأ بالصلاة علی النبیّ، فإن الصلاة علی النبیّ مقبولة، ولم یکن الله لیقبل بعض الدعاء ویردّ بعضاً</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الحسن بن علی العسکری عن آبائه علیهم السلام عن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من کانت له إلیکم حاجة فسألکم بمن تحبّون أجبتم دعاءه، ألا فاعلموا أن أحبّ عبادی إلیّ وأکرمهم لدیّ محمّد وعلیّ حبیبی وولییّ، فمن کانت له حاجة إلیّ فلیتوسل إلیّ بهما، فإنی لا أردّ سؤال سائل یسألنی بهما وبالطیبین من عترتهما، فمن سألنی بهم فإنی لا أردّ دعاءه، وکیف أردّ دعاء من سألنی بحبیبی وصفوتی وولییّ وحجّتی وروحی ونوری وآیتی وبابی ورحمتی ووجهی ونعمتی؟ ألا وإنی خلقتهم من نور عظمتی، وجعلتهم أهل کرامتی وولایتی، فمن سألنی بهم عارفاً بحقّهم ومقامهم أوجبت له منّی الاجابة، وکان ذلک حقّاً علیّ</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بمجموعها والأحکام التی سبقت للصلاة علی النبیّ وآله فی الصلاة وغیرها من العبادة کاشفة عن اقتران اسم النبیّ صلی الله علیه و آله وأهل بیته الطاهرین بأعظم العبادات بل معظمها، وهذا یعنی أن الله عزّ وجلّ جعل تلک الأسماء المبارکة واسطة لفیضه وشرطاً حقیقیاً للتوسل إلیه فی التوبة وسائر العبادات القربیة والمقامات الإلهیة، وأن أبواب السماء مغلقة إلّاعن سبیلهم علیهم السلام وطریقهم، الذی نصبه الله تعالی مناراً لعباده ومحجّة واضحة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الشاهد الأوّل وهو اقتران الصلاة علی النبیّ وأهل بیته بالصلاة وغیرها من العبادات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اقتران اسم النبیّ صلی الله علیه و آله المبارک بالصلاة، وذلک</w:t>
      </w:r>
    </w:p>
    <w:p>
      <w:pPr>
        <w:pStyle w:val="BookText"/>
        <w:rPr/>
      </w:pPr>
      <w:r>
        <w:rPr>
          <w:rFonts w:ascii="IRNazanin" w:hAnsi="IRNazanin" w:eastAsia="IRNazanin"/>
          <w:color w:val="111111"/>
          <w:sz w:val="28"/>
          <w:sz w:val="28"/>
          <w:szCs w:val="28"/>
          <w:rtl w:val="true"/>
          <w:lang w:bidi="fa-IR"/>
        </w:rPr>
        <w:t>بالإتیان به فی جزء التسلیم من الصلاة، وهو قول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 فإن التسلیم الذی هو جزء من أجزاء الصلاة ولا تتمّ الصلاة إلّابإتمامه والفراغ منه جُعل شطر منه التسلیم علی النبیّ الأکرم صلی الله علیه و آله، فقبل إتمام الصلاة وفی حاقّها یستحبّ للمصلّی أن یسلّم علی نبیّ الإسلام باتفاق فرق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هذا التسلیم بالکیفیة المذکورة نوع زیارة للنبیّ الأکرم صلی الله علیه و آله وخطاب ونداء عن قرب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وتوسّل واستغاثة وتوجّه إلیه وبه إلی الله عزّ وجلّ؛ وذلک لأن الله تعالی عندما شرّع التسلیم والتحیّة للنبیّ الأکرم صلی الله علیه و آله فی الصلاة، التی شُرّعت لذکره عزّ وجلّ والتقرّب منه والعروج إلیه، فإن ذلک یعنی أن ذکر النبیّ ذکر لله‌تعالی‌ونداءه نداء للباری عزّ وجلّ، ولیس ذلک إلّالکون النبیّ صلی الله علیه و آله الآیة العظمی والوسیلة المحمودة بین الله وبین خلقه فی الصلاة، التی هی من عظیم العبادات والقربات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طبیعة الزیارة والنداء والندبة والاستغاثة والتوجّه بالنبیّ لنیل مقامات القرب فی الصلاة التی هی قربان کلّ تقی موجودة فی نفس الصلاة التی هی أکبر العبادات التوحیدیة ویمارسها الفرد المسلم فی یومه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الصلاة التی هی من دعائم الدین مقرونة بذکر النبیّ صلی الله علیه و آله لنیل مقامات القرب عند الله تعالی فکیف هو الحال بباقی العبادات والقربات الأخری فی الدین؟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غیر الله تعالی فی التوجّه إلیه عزّ وجلّ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هذا إلّاطمس لمعالم الشهادة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اسم النبیّ صلی الله علیه و آله باسم الله عزّ وجلّ فی الأذان، الذی هو عبادة من العبادات، ویُعدّ بوابة للصلاة التی إن قبلت قبل ما سواها وإن ردّت ردّ ما سواها، کذلک فی الإقامة، حیث أن الفرد المسلم کما یشهد أن لا إله إلّاالله کذلک یشهد أن محمّداً رسول الله، ولیس ذلک إلّالکون إسم النبیّ صلی الله علیه و آله باب الله الأعظم، وأن الصلاة التی هی الرکن الرکین فی العبادات ومعراج المؤمن إلی ربّه مفتاحها وباب الولوج إلیها إسم النبیّ الأکرم صلی الله علیه و آله مقروناً باسم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اسم النبیّ صلی الله علیه و آله وذکره والتوجّه القلبی إلیه أثناء العبادة موجباً للشرک لما أمکن تشریع الأمر علی هذا الحال، ولما أمر الله عزّ وجلّ بالتوجّه إلیه بنبیّه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التی هی من العبادات العظیمة عند الله تعالی، وأکّدت علیها الآیات القرآنیة فی مواطن عدیدة، لا یمکن أن تحصل إلّابالهجرة إلی الله ورسوله، فلکی تصحّ عبادة الهجرة لابدّ أن یتوجّه فیها إلی الله وإلی رسوله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یتحصّل من هذه الشواهد وغیرها أن إسم النبیّ الأکرم صلی الله علیه و آله</w:t>
      </w:r>
    </w:p>
    <w:p>
      <w:pPr>
        <w:pStyle w:val="BookText"/>
        <w:rPr/>
      </w:pPr>
      <w:r>
        <w:rPr>
          <w:rFonts w:ascii="IRNazanin" w:hAnsi="IRNazanin" w:eastAsia="IRNazanin"/>
          <w:color w:val="111111"/>
          <w:sz w:val="28"/>
          <w:sz w:val="28"/>
          <w:szCs w:val="28"/>
          <w:rtl w:val="true"/>
          <w:lang w:bidi="fa-IR"/>
        </w:rPr>
        <w:t>وکذا أهل بیته علیهم السلام إقترن باسم الله تعالی فی أعظم العبادات کالصلاة والحجّ وغیرهما، هذا فضلًا عمّا دونها من العبادات، وهو اقتران واجب فی بعض موارده کما تقدّم فی الصلاة، ومعنی ذلک شرطیة التوسّل والواسطة فی العبادات کما ادّعیناه فی بدایة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أحصی بعضهم فی هذا المجال جملة من المواطن العبادیة التی تقرن باسم النبیّ الأکرم صلی الله علیه و آله والصلاة علیه وعلی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 الأول والثانی فی الصلاة وآخر قنوت الصلاة وفی صلاة الجنائز وخطبة العیدین والجمعة والاستسقاء وبعد إجابة المؤذن وعند الإقامة وعند الدعاء وعند دخول المسجد وعند الخروج منه، وعلی الصفا والمروة وعند الفراغ من التلبیة وعند استلام الحجر وعند الوقوف علی قبره الشریف، وعقیب ختم القرآن الکریم، وعند الهمّ والشدائد وطلب المغفرة وعند تبلیغ العلم، وعقب الذنب إذا أراد أن یکفّر عنه وبعد الفراغ من الوضوء وفی کلّ موطن یُجتمع فیه لذکر الله، وعند طلب قضاء الحاجة وعقیب الصلوات فی سائر أجزاء الصلاة غیر التشهّد، إلی غیر ذلک من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أیضاً للصلاة علی النبیّ صلی الله علیه و آله، فوائد کثیرة جدّاً،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لغفران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تُصاعد الدعاء إلی عند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لشفاعته صلی الله علیه و آله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کفایة العبد ما أهمّه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لقرب العبد منه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لقضاء الحوائج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لتبشیر العبد قبل موته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للنجاة من أهوال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لتذکّر العبد ما نسیه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لطیب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لنفی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لنفی البخل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ترمی صاحبها علی طریق الجنّة وتخطی بتارکها عن طریقها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تُنجی من نتن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لوفور نور العبد علی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یخرج بها العبد من الجفاء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لابقاء الله سبحانه الثناء الحسن للمصلّی علیه بین أهل السماء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للبرکة فی ذات المصلّی وعمله وعمره وأسباب مصالحه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لنیل رحمة الله 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لدوام محبته للرسول وزیادتها وتضاعفها</w:t>
      </w:r>
      <w:r>
        <w:rPr>
          <w:rFonts w:eastAsia="IRNazanin" w:cs="IRNazanin"/>
          <w:color w:val="111111"/>
          <w:sz w:val="28"/>
          <w:szCs w:val="28"/>
          <w:rtl w:val="true"/>
          <w:lang w:bidi="fa-IR"/>
        </w:rPr>
        <w:t>.</w:t>
      </w:r>
      <w:bookmarkStart w:id="358" w:name="pg13703_133873"/>
    </w:p>
    <w:p>
      <w:pPr>
        <w:pStyle w:val="BookText"/>
        <w:rPr/>
      </w:pPr>
      <w:bookmarkEnd w:id="358"/>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لمحبّته صلی الله علیه و آله للعبد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لهدایة العبد وحیاة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سبب لعرض اسم المصلّی وذکره عنده، إلی غیر ذلک من الفوائد والثمرات</w:t>
      </w:r>
      <w:r>
        <w:rPr>
          <w:rFonts w:eastAsia="IRNazanin" w:cs="IRNazanin"/>
          <w:color w:val="111111"/>
          <w:sz w:val="28"/>
          <w:szCs w:val="28"/>
          <w:rtl w:val="true"/>
          <w:lang w:bidi="fa-IR"/>
        </w:rPr>
        <w:t>.</w:t>
      </w:r>
    </w:p>
    <w:p>
      <w:pPr>
        <w:pStyle w:val="Heading3"/>
        <w:numPr>
          <w:ilvl w:val="2"/>
          <w:numId w:val="1"/>
        </w:numPr>
        <w:rPr/>
      </w:pPr>
      <w:bookmarkStart w:id="359" w:name="__RefHeading___Toc1101192_1468164448"/>
      <w:bookmarkStart w:id="360" w:name="_Toc132"/>
      <w:bookmarkEnd w:id="359"/>
      <w:r>
        <w:rPr>
          <w:rtl w:val="true"/>
        </w:rPr>
        <w:t>الدلیل الخامس</w:t>
      </w:r>
      <w:r>
        <w:rPr>
          <w:rtl w:val="true"/>
        </w:rPr>
        <w:t xml:space="preserve">: </w:t>
      </w:r>
      <w:r>
        <w:rPr>
          <w:rtl w:val="true"/>
        </w:rPr>
        <w:t>ابتغاء الوسیلة ضرورة قرآنیة</w:t>
      </w:r>
      <w:r>
        <w:rPr>
          <w:rtl w:val="true"/>
        </w:rPr>
        <w:t>:</w:t>
      </w:r>
      <w:bookmarkEnd w:id="360"/>
    </w:p>
    <w:p>
      <w:pPr>
        <w:pStyle w:val="Heading4"/>
        <w:numPr>
          <w:ilvl w:val="3"/>
          <w:numId w:val="1"/>
        </w:numPr>
        <w:rPr/>
      </w:pPr>
      <w:bookmarkStart w:id="361" w:name="__RefHeading___Toc1101194_1468164448"/>
      <w:bookmarkStart w:id="362" w:name="_Toc133"/>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إن حقیقة هذا الدلیل الخامس عبارة عن مزید إیضاح وتعمیق ونظرة أدقّ لما تقدم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المقدّمة لابدّ من التنبیه علی أن التدبر فی الآیة الکریمة یفید أن الابتغاء المأمور به جعل متعلّقاً لکلّ من الوسیلة وذی الوسیلة وهو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الابتغاء والقصد والتوجّه إلی کلّ من الوسیلة والذات الإلهیة المقدّسة، فکلّ منهما أُمرنا بقصده والتوجّه إلیه، إلّاأن القصد والتوجّه إلی الوسیلة ابتداءً هو الذی یؤدّی وینتهی بنا إلی قصد الله تعالی، فالغایة القصوی هو الله عزّ وجلّ، إلّاأن الذی یقصد ابتداءً هو الوسیلة بداعی القصد إلی منتهی الغایة والأمل وهو الله تبارک وتعالی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لعلّ التدبّر الأعمق والنظر الأدقّ فی الآیة المبارکة یکشف عن أن</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إلی الوسیلة فقط، وأن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بالوسیلة، 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الوسیلة هی إلیه، فالابتغاء متوجّه إلی الوسیلة فقط، وصفة الوسیلة أنها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کمفعول به، وأما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متعلّقاً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الذی یعمل فی الجار والمجرور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فیها معنی المصدر والحدث، وأن التوسّل والوسیلة هو إلی الله تعالی، فالابتغاء من جهة الترکیب الإعرابی یعمل فی الوسیلة فقط ویتعلّق بها، والوسیلة تتعلّق بلفظ إلیه وتعمل فیه، وعلیه فیکون الابتغاء والتوجّه والقصد بحسب ظاهر الدلالة متعلّقاً بالوسیلة، فهی التی یتوجّه إلیها النداء والرجاء والخطاب، وحیث أن صفتها الذاتیة أنها تؤدّی إلی الله تعالی فیکون التوجّه إلیها توجّهاً إلی‌الله عزّ وجلّ ونداؤها نداءً بها إلیه تعالی، وقصدها قصد بها إلیه جلّ ثناؤه، کما فی التوجّه إلی الکعبة واستقبالها، فإنه توجّه بها إلی الله تعالی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یظهر أن مقتضی مفاد الآیة هو أن الإلتجاء وتوجیه الخطاب إنما یکون إلی الوسیلة، کقول الداعی والمتوسل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یانبیّ الرحمة إنی أتوجّه بک إلی الله ربی وربک لقضاء حاجتی، فیوجّه الخطاب والنداء إلی النبیّ صلی الله علیه و آله ویکون ذلک منه ابتغاءً للنبیّ صلی الله علیه و آله کوسیلة إلی الله عزّ وجلّ، وإلّا فإن جعل الخطاب لله‌تعالی فقط من دون التوجّه إلی النبی صلی الله علیه و آله فی الخطاب کوسیلة، لا یکون ابتغاءً وطلباً وتوجهاً إلی الوسیلة، بل ابتغاء مباشری</w:t>
      </w:r>
      <w:bookmarkStart w:id="363" w:name="pg13703_133875"/>
    </w:p>
    <w:p>
      <w:pPr>
        <w:pStyle w:val="BookText"/>
        <w:rPr/>
      </w:pPr>
      <w:bookmarkEnd w:id="363"/>
      <w:r>
        <w:rPr>
          <w:rFonts w:ascii="IRNazanin" w:hAnsi="IRNazanin" w:eastAsia="IRNazanin"/>
          <w:color w:val="111111"/>
          <w:sz w:val="28"/>
          <w:sz w:val="28"/>
          <w:szCs w:val="28"/>
          <w:rtl w:val="true"/>
          <w:lang w:bidi="fa-IR"/>
        </w:rPr>
        <w:t>لله‌تعالی من دون ابتغاء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البیانین لدلالة الآیة الشریفة تکون الآیة نصّ فی الدلالة علی الأمر بالتوجّه والنداء ودعاء الوسیلة وأنه دعاء لله‌تعالی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صیغة الأمر فی الآیة الکریمة یفید ضرورة التوسّل بالنبیّ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هذه الآیة المبارکة لیست فی مقام بیان مشروعیة التوسّل فحسب، بل الآیة المبارکة ترمی إلی بیان حتمیة ولابدّیة التوسّل، وأنه أمر تعیینیّ عینیّ، وذلک لأن المقصود من ابتغوا الوسیلة أی اقصدوها وتوجّهوا إلیها فی مقام توجّهکم إلی الله عزّ وجلّ، ومعنیّ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الآیة المبارکة أن هناک بُعداً بین العبد والباری تعالی وأن هناک مسافة لابدّ أن تطوی بابتغاء الوسیلة والحضور عندها، ولو کان هناک قُرباً تلقائیاً من طرف العبد إلی ربّه فلا حاجة إلی الوسیلة حینئذٍ للإقتراب من الله تعالی؛ لکونه تحصیلًا للحاصل ولا یکون معنی للوسیلة وابتغائها ولو بنحو التخییر أیضاً</w:t>
      </w:r>
      <w:r>
        <w:rPr>
          <w:rFonts w:eastAsia="IRNazanin" w:cs="IRNazanin"/>
          <w:color w:val="111111"/>
          <w:sz w:val="28"/>
          <w:szCs w:val="28"/>
          <w:rtl w:val="true"/>
          <w:lang w:bidi="fa-IR"/>
        </w:rPr>
        <w:t>.</w:t>
      </w:r>
    </w:p>
    <w:p>
      <w:pPr>
        <w:pStyle w:val="Heading4"/>
        <w:numPr>
          <w:ilvl w:val="3"/>
          <w:numId w:val="1"/>
        </w:numPr>
        <w:rPr/>
      </w:pPr>
      <w:bookmarkStart w:id="364" w:name="__RefHeading___Toc1101196_1468164448"/>
      <w:bookmarkStart w:id="365" w:name="_Toc134"/>
      <w:bookmarkEnd w:id="364"/>
      <w:r>
        <w:rPr>
          <w:rtl w:val="true"/>
        </w:rPr>
        <w:t>قرب الله وقرب العبد</w:t>
      </w:r>
      <w:r>
        <w:rPr>
          <w:rtl w:val="true"/>
        </w:rPr>
        <w:t>:</w:t>
      </w:r>
      <w:bookmarkEnd w:id="36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بابتغاء الوسیلة وقصدها معناه أن هناک بُعداً بین العبد وبین الله تعالی، وهو بُعد من جهة العبد فقط لا من طرف الباری عزّ وجلّ، لأن الله تعالی قریب أقرب إلی العباد من حبل الورید، کما قال تعالی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لکن العبد من طرفه یحتاج إلی الوسیلة لبُعده؛ لأن قرب الله</w:t>
      </w:r>
    </w:p>
    <w:p>
      <w:pPr>
        <w:pStyle w:val="BookText"/>
        <w:rPr/>
      </w:pPr>
      <w:r>
        <w:rPr>
          <w:rFonts w:ascii="IRNazanin" w:hAnsi="IRNazanin" w:eastAsia="IRNazanin"/>
          <w:color w:val="111111"/>
          <w:sz w:val="28"/>
          <w:sz w:val="28"/>
          <w:szCs w:val="28"/>
          <w:rtl w:val="true"/>
          <w:lang w:bidi="fa-IR"/>
        </w:rPr>
        <w:t>تعالی إلی العبد لیس قرباً جسمانیاً جغرافیاً، لکی یکون هناک تلازم تضایفی بین العبد وربه فی القرب والبُعد، وکذا لیس من نوع القرب العقلی أو الروحیّ لیحصل التجانس أو التماثل فی القرب؛ وذلک لما تقدّم من کون الله تعالی منزّه عن التضایف والتقابل الجسمانی أو العقلی أو الروحی، لأنه تشبیه باطل مناف لعظمة ذات 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القرب الإلهی تجاه العبد قرب القدرة والسلطنة والهیمنة والإحاطة، فالمقتدر والمهیمن والمحیط کلّما کانت قدرته، وهیمنته وإحاطته أشدّ کلّما کان أقرب من المحاط به، وعلی العکس یکون الطرف المقابل الضعیف، فهو یزداد ضعفاً کلّما کان طرفه المقابل أشدّ قوة واقتداراً، کذلک کلّما ازداد المهیمن إحاطة ازداد الطرف الآخر مُحاطیّة وبُعداً عن أن یحیط بالمحیط، فالقویّ قریب محیط والضعیف بعید محاط، ویبعد کلّما ازداد القویّ قوّة وهیمنة؛ لأن الضعیف حینئذٍ بعید من حیث افتقاده للصفات والکمالات اللّامتناهیة شدّة وعدّة، التی للقویّ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نمطاً من التعاکس فی القرب والبُعد، فطرف یکون قریباً والآخر بعیداً، کلّما ازداد الباری قرباً وإحاطة من حیث الصفات کلّما ازداد المخلوق بعداً من طرفه بالنسبة إلی الله تعالی، وذلک من حیث التعاکس فی الصفات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لابدّ من ابتغاء الوسیلة التی هی أشدّ کمالًا وأقرب إلی الباری تعالی، لکی یطوی المخلوق شیئاً من ذلک البُعد وینال درجة من درجات القرب برقیّه فی مدارج الکمال عن طریق الواسطة والوسیلة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والوسیلة هی الأقرب إلی الله تعالی من حیث الکمالات، إذ کلّما تکامل المخلوق فی الصفات ازداد قربه من الحضرة الربوبیة، وکلّما عظم المخلوق صفة وکمالًا کلّما کان أقرب من الخالق لازدیاد علمه ومعرفته بصفاته تعالی والعلم درجة من درجات القرب والوصول، إذ طالما تجلّت فی المخلوق صفات الخالق أکثر عرف ذلک المخلوق بتلک الکمالات والصفات، صفات الخالق عزّ وجلّ؛ ولذا یکون أکمل المخلوقات أعرفهم بربّه وأقربهم منه وأکثر دلالة علیه وأشدّهم آیة وعلامة ترشد إلیه وتقرّب منه؛ لأن ما یتجلّی فیه من بدیع الکمالات آیات لکمال الباری عزّ وجلّ، علی العکس من ذلک ما لو قلّت فی المخلوق الکمالات، فإنه تقلّ فیه الآیات الدالّة علی عظمة الله تعالی وقلّت بالطبع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المخلوق الذی یتّسم بالضعف والفقر والحاجة والبعد عن الله تعالی بحاجة إلی الوسیلة، التی هی أقرب صفة وکمالًا من الله عزّ وجلّ، کی تکون سبباً یقرّبه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فالوسیلة والوسائط هی أعاظم المخلوقات، وهی آیات الله وأسمائه وعلاماته الدالّة علیه، والتی یستدلّ الخلق بعظمتها علی عظمة الباری، فتزداد المعرفة ویحصل القرب بنیل الکمالات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الخطاب الوارد فی الآیة المبارکة الکاشف عن ضرورة الوسیلة بالبیان المتقدم عامّ وشامل للتوبة ومطلق العبادات وللمعرفة والإیمان أو التوجّه إلی الحضرة الإلهیة لنیل مقام أو حظوة عند الله تعالی</w:t>
      </w:r>
      <w:r>
        <w:rPr>
          <w:rFonts w:eastAsia="IRNazanin" w:cs="IRNazanin"/>
          <w:color w:val="111111"/>
          <w:sz w:val="28"/>
          <w:szCs w:val="28"/>
          <w:rtl w:val="true"/>
          <w:lang w:bidi="fa-IR"/>
        </w:rPr>
        <w:t>.</w:t>
      </w:r>
      <w:bookmarkStart w:id="366" w:name="pg13703_133878"/>
    </w:p>
    <w:p>
      <w:pPr>
        <w:pStyle w:val="Heading4"/>
        <w:numPr>
          <w:ilvl w:val="3"/>
          <w:numId w:val="1"/>
        </w:numPr>
        <w:rPr/>
      </w:pPr>
      <w:bookmarkStart w:id="367" w:name="__RefHeading___Toc1101198_1468164448"/>
      <w:bookmarkStart w:id="368" w:name="_Toc135"/>
      <w:bookmarkEnd w:id="366"/>
      <w:bookmarkEnd w:id="367"/>
      <w:r>
        <w:rPr>
          <w:rtl w:val="true"/>
        </w:rPr>
        <w:t>الوسیلة معنی الشفاعة</w:t>
      </w:r>
      <w:r>
        <w:rPr>
          <w:rtl w:val="true"/>
        </w:rPr>
        <w:t>:</w:t>
      </w:r>
      <w:bookmarkEnd w:id="368"/>
    </w:p>
    <w:p>
      <w:pPr>
        <w:pStyle w:val="BookText"/>
        <w:rPr/>
      </w:pPr>
      <w:r>
        <w:rPr>
          <w:rFonts w:ascii="IRNazanin" w:hAnsi="IRNazanin" w:eastAsia="IRNazanin"/>
          <w:color w:val="111111"/>
          <w:sz w:val="28"/>
          <w:sz w:val="28"/>
          <w:szCs w:val="28"/>
          <w:rtl w:val="true"/>
          <w:lang w:bidi="fa-IR"/>
        </w:rPr>
        <w:t>فللعلاقة بین العبد وربّه ولقطع مسافة البُعد لابدّ من الوسیلة، سواء فی المعرفة والإیمان أو فی قبول التوبة أو العبادات أو نیل المقامات، وقد أُطلق عن مثل هذا المقام فی لسان الشارع بالشفاعة؛ لأن الشفع فی الأصل بمعنی الزوج والاقتران، وهو فی المقام اقتران الذات الربوبیة بالآیات والأسماء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سبق أن الآیات العظمی والکلمات التامّات هم النبیّ الأکرم صلی الله علیه و آله وأهل بیته علیهم السلام، وقد وصف الله تعالی رسوله الکریم صلی الله علیه و آله بالعظمة،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علیهم السلام الأسماء الحسنی التی أمر الله أن یُدعی بها وتاب بها علی آدم وامتحن بها إبراهیم علیه السلام لنیل مقام الخلافة والإمامة، وهذا البیان الذی ذکرناه، من ضرورة الواسطة والوسیلة لعظمة الله تعالی هدی إلیه أمیر المؤمنین علیه السلام عند بیانه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یَدْعُونَ یَبْتَغُونَ إِلی رَبِّهِمُ الْوَسِیلَةَ أَیُّهُمْ أَقْرَبُ وَ یَرْجُونَ رَحْمَتَهُ وَ یَخافُونَ عَذابَهُ إِنَّ عَذابَ رَبِّکَ کانَ مَحْذُوراً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حیث بیّن أمیر المؤمنین علیه السلام ضرورة الوسیلة، وأن اشتباه وخطأ المشرکین إنما هو فی اتخاذهم وسیلة اقتراحیة غیر مأذون بها، حیث طبّقوا الوسیلة الأعظم کمالًا علی غیر المصداق والفرد الحقیقی لها، فذمّهم الله عزّ وجلّ علی ذلک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 فی هذا المجال</w:t>
      </w:r>
      <w:r>
        <w:rPr>
          <w:rFonts w:eastAsia="IRNazanin" w:cs="IRNazanin"/>
          <w:color w:val="111111"/>
          <w:sz w:val="28"/>
          <w:szCs w:val="28"/>
          <w:rtl w:val="true"/>
          <w:lang w:bidi="fa-IR"/>
        </w:rPr>
        <w:t>:</w:t>
      </w:r>
      <w:bookmarkStart w:id="369" w:name="pg13703_133879"/>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فبعظمته ونوره أبصر قلوب المؤمنین، وبعظمته ونوره عاداه الجاهلون، وبعظمته ونوره ابتغی من فی السماوات والأرض من جمیع خلائقه إلیه الوسیلة، بالأعمال المختلفة والأدیان المشتبهة، فکلّ محمول یحمله الله بنوره وعظمته وقدرته لا یستطیع لنفسه ضراً ولا نفعاً ولا موتاً ولا حیاة ولا نشوراً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فإن الأعمال المختلفة والأدیان المشتبهة ناتج اتخاذ الخلق الوسیلة إلی الله تعالی، بسبب عظمته ونوره وتعالیه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کلّه یتّضح أن من ینکر التوسّل أسوء حالًا من قریش، التی آمنت بالوسیلة وأخطأت المصداق، حیث جعلوا وسائط باقتراحهم من غیر سلطان أتاهم؛ لشعورهم بالفطرة التی خلقهم الله علیها بعظمته تعالی عن أن ینال أو یدرک بلا واسطة</w:t>
      </w:r>
      <w:r>
        <w:rPr>
          <w:rFonts w:eastAsia="IRNazanin" w:cs="IRNazanin"/>
          <w:color w:val="111111"/>
          <w:sz w:val="28"/>
          <w:szCs w:val="28"/>
          <w:rtl w:val="true"/>
          <w:lang w:bidi="fa-IR"/>
        </w:rPr>
        <w:t>.</w:t>
      </w:r>
    </w:p>
    <w:p>
      <w:pPr>
        <w:pStyle w:val="Heading4"/>
        <w:numPr>
          <w:ilvl w:val="3"/>
          <w:numId w:val="1"/>
        </w:numPr>
        <w:rPr/>
      </w:pPr>
      <w:bookmarkStart w:id="370" w:name="__RefHeading___Toc1101200_1468164448"/>
      <w:bookmarkStart w:id="371" w:name="_Toc136"/>
      <w:bookmarkEnd w:id="370"/>
      <w:r>
        <w:rPr>
          <w:rtl w:val="true"/>
        </w:rPr>
        <w:t>ترامی الوسائل وتعاقبها</w:t>
      </w:r>
      <w:r>
        <w:rPr>
          <w:rtl w:val="true"/>
        </w:rPr>
        <w:t>:</w:t>
      </w:r>
      <w:bookmarkEnd w:id="371"/>
    </w:p>
    <w:p>
      <w:pPr>
        <w:pStyle w:val="BookText"/>
        <w:rPr/>
      </w:pPr>
      <w:r>
        <w:rPr>
          <w:rFonts w:ascii="IRNazanin" w:hAnsi="IRNazanin" w:eastAsia="IRNazanin"/>
          <w:color w:val="111111"/>
          <w:sz w:val="28"/>
          <w:sz w:val="28"/>
          <w:szCs w:val="28"/>
          <w:rtl w:val="true"/>
          <w:lang w:bidi="fa-IR"/>
        </w:rPr>
        <w:t>ثم إن الآیات الکبری تتفاوت فیما بینها، فأهل البیت علیهم السلام شفیعهم ووسیطهم إلی الله تعالی النبیّ الأکرم صلی الله علیه و آله فی نیل المقامات، وبالنسبة للنبیّ ذاته فهو بذاته آیة وعلامة عظمی علی صفات الله تعالی، فتکون نفسه من حیث هی مخلوقة وفعل لله‌تعالی وسیلة لنفسه، نظیر ما ورد 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المشیّة بنفسها ثم خلق الأشیاء بالمشیّة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فالنبیّ صلی الله علیه و آله مرآة الکمالات والصفات الإلهیة له ولغیره فی جمیع جهات الإرتباط بالله تعالی کقبول التوبة أو بقیّة العبادات أو مطلق نیل مقامات</w:t>
      </w:r>
      <w:bookmarkStart w:id="372" w:name="pg13703_133880"/>
    </w:p>
    <w:p>
      <w:pPr>
        <w:pStyle w:val="BookText"/>
        <w:rPr/>
      </w:pPr>
      <w:bookmarkEnd w:id="372"/>
      <w:r>
        <w:rPr>
          <w:rFonts w:ascii="IRNazanin" w:hAnsi="IRNazanin" w:eastAsia="IRNazanin"/>
          <w:color w:val="111111"/>
          <w:sz w:val="28"/>
          <w:sz w:val="28"/>
          <w:szCs w:val="28"/>
          <w:rtl w:val="true"/>
          <w:lang w:bidi="fa-IR"/>
        </w:rPr>
        <w:t>القرب من الله عزّ وجلّ فهو صلی الله علیه و آله أمینه علی وحیه وعزائم أمره</w:t>
      </w:r>
      <w:r>
        <w:rPr>
          <w:rFonts w:eastAsia="IRNazanin" w:cs="IRNazanin"/>
          <w:color w:val="111111"/>
          <w:sz w:val="28"/>
          <w:szCs w:val="28"/>
          <w:rtl w:val="true"/>
          <w:lang w:bidi="fa-IR"/>
        </w:rPr>
        <w:t>.</w:t>
      </w:r>
    </w:p>
    <w:p>
      <w:pPr>
        <w:pStyle w:val="Heading3"/>
        <w:numPr>
          <w:ilvl w:val="2"/>
          <w:numId w:val="1"/>
        </w:numPr>
        <w:rPr/>
      </w:pPr>
      <w:bookmarkStart w:id="373" w:name="__RefHeading___Toc1101202_1468164448"/>
      <w:bookmarkStart w:id="374" w:name="_Toc137"/>
      <w:bookmarkEnd w:id="373"/>
      <w:r>
        <w:rPr>
          <w:rtl w:val="true"/>
        </w:rPr>
        <w:t>الدلیل السادس</w:t>
      </w:r>
      <w:r>
        <w:rPr>
          <w:rtl w:val="true"/>
        </w:rPr>
        <w:t xml:space="preserve">: </w:t>
      </w:r>
      <w:r>
        <w:rPr>
          <w:rtl w:val="true"/>
        </w:rPr>
        <w:t>شرطیة الاستجارة بالنبی صلی الله علیه و آله</w:t>
      </w:r>
      <w:bookmarkEnd w:id="374"/>
    </w:p>
    <w:p>
      <w:pPr>
        <w:pStyle w:val="Heading4"/>
        <w:numPr>
          <w:ilvl w:val="3"/>
          <w:numId w:val="1"/>
        </w:numPr>
        <w:rPr/>
      </w:pPr>
      <w:bookmarkStart w:id="375" w:name="__RefHeading___Toc1101204_1468164448"/>
      <w:bookmarkStart w:id="376" w:name="_Toc138"/>
      <w:bookmarkEnd w:id="375"/>
      <w:r>
        <w:rPr>
          <w:rtl w:val="true"/>
        </w:rPr>
        <w:t>فی طلب المغفرة</w:t>
      </w:r>
      <w:r>
        <w:rPr>
          <w:rtl w:val="true"/>
        </w:rPr>
        <w:t>:</w:t>
      </w:r>
      <w:bookmarkEnd w:id="376"/>
    </w:p>
    <w:p>
      <w:pPr>
        <w:pStyle w:val="BookText"/>
        <w:rPr/>
      </w:pPr>
      <w:r>
        <w:rPr>
          <w:rFonts w:ascii="Amiri" w:hAnsi="Amiri" w:eastAsia="Amiri" w:cs="Amiri"/>
          <w:color w:val="111111"/>
          <w:sz w:val="28"/>
          <w:sz w:val="28"/>
          <w:szCs w:val="28"/>
          <w:rtl w:val="true"/>
          <w:lang w:bidi="ar-SA"/>
        </w:rPr>
        <w:t>هنا أیضاً نرید التعرّض لبیان أدقّ وأعمق ودالّ علی المطلوب فی المقام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نصّت هذه الآیة المبارکة علی ثلاثة شروط لقبول التوبة والاستغفار من هذه الأمة،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المجیء إلی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ابراز الاستغفار من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امضاء النبیّ صلی الله علیه و آله لذلک الاستغفار، واستغفاره للتائبین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الآیة من ضمن مجموع الآیات التی تعرّضت لذکر شرائط التوبة، وأوّل شرط لقبول توبة المذنب والظالم لنفسه لیس إظهار الندامة من العبد أمام الله تعالی مباشرة، بل الشرط الأوّل هو المجیء إلی الحضرة النبویّة والالتجاء إلیه، واللّواذ والاستعاذة والاستجارة به صلی الله علیه و آله، فأولًا لابدّ أن یأتی العبد إلی النبیّ صلی الله علیه و آله ویلوذ به، ثم بعد ذلک یُظهر الندامة والاستغفار؛ إذ الترتیب للشروط فی الآیة المبارکة ترتیب رتبی ترتیبی، حیث أخذت المراتب</w:t>
      </w:r>
    </w:p>
    <w:p>
      <w:pPr>
        <w:pStyle w:val="BookText"/>
        <w:rPr/>
      </w:pPr>
      <w:r>
        <w:rPr>
          <w:rFonts w:ascii="IRNazanin" w:hAnsi="IRNazanin" w:eastAsia="IRNazanin"/>
          <w:color w:val="111111"/>
          <w:sz w:val="28"/>
          <w:sz w:val="28"/>
          <w:szCs w:val="28"/>
          <w:rtl w:val="true"/>
          <w:lang w:bidi="fa-IR"/>
        </w:rPr>
        <w:t>بعین الاعتبار، لا أنه ذکری فقط بقرینة العطف 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والمجیء إلی النبیّ الأکرم صلی الله علیه و آله هو عین التوجّه إلیه والتوسّل به فی قبول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الآیة کشفت النقاب عن شرطیة التوسّل بالنبیّ صلی الله علیه و آله فی أکبر خطر مصیریّ یُحدق بالإنسان وهو الذنب والمعصیة، التی قد تؤدّی بالعبد إلی الهلاک والسقوط فی الهاویة، فی مثل هذا الأمر الخطیر جعل الله تعالی الملاذ والملجأ هو النبیّ صلی الله علیه و آله، فلابدّ من الکینونة فی الحضرة النبویة ثم إظهار عبادة الاستغفار، لأنه صلی الله علیه و آله باب الله تعالی الذی منه یؤتی، فیکون اللّواذ بالله عزّ وجلّ باللّواذ بنبیّه الأکرم صلی الله علیه و آله؛ ولذا بعد الاستجارة بالنبیّ صلی الله علیه و آله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اللّهَ تَوّاباً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الاستعاذة والاستجارة واللجوء إلی الله بنبیّه أُخذ شرطاً فی أخطر موقف للعبد مع ربّه وهو التوبة وغفران الذنوب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أیضاً أن الظلم المذکور فی الآیة المبارکة لیس مختصّاً بالذنوب الفردیة التی بین العبد وربّه، وإنما هو شامل للظلم الاجتماعی السیاسی أو النظام الاقتصادی المعاشی أو التعدّی علی المنظومة الحقوقیة والأخلاقیّة، ومعنی ذلک أن استعلام ومعرفة تلک الأمور الفردیة والاجتماعیة لا یمکن أن یتحقّق إلّاعن طریق الإلتجاء واللّواذ بالنبیّ صلی الله علیه و آله، فکلّ حیف أو زیغ یحصل من الفرد أو المجتمع فی تلک الأمور لابدّ من الرجوع فیها إلی الرسول الأکرم صلی الله علیه و آله، وفی مقابل تعدّد أنواع الظلم یتعدّد أنواع اللجوء والتولّی والتوجّه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ذکر التوبة والاستغفار فی الآیة المبارکة لا لخصوصیة فیها، وإنما ذکرت بما هی عبادة من العبادات، لکونها أوبة ورجوع إلی الله تعالی واقتراب منه وقصد وتوجّه إلیه، فلیست الآیة فی ذکرها لشرطیة التوسّل بالنبیّ صلی الله علیه و آله خاصّة بالتوبة، بل هی شاملة فی ذلک لکلّ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وأن التوبة هی الأوبة، من آب یؤوب، والأوبة الرجوع إلی الله تعالی، أی الاقتراب والزلفی منه عزّوجلّ، ولا شک أن العبادات بمجموعها طلب الأوبة والقرب والزلفی إلی الله تعالی، فهی نوع من أنواع التوبة، وبناءً علی ذلک لا تکون التوبة عملًا منحازاً ومنفصلًا عن سائر العبادات کالصلاة والحجّ وغیرهما، بل هی عمل عام وشامل لکافّة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التوبة نوع من أنواع الدعاء، لأنها طلب المغفرة من الله تعالی ودعاء بالغفران، فمضمون هذه الآیة المبارکة مشترک مع ما تقدم من الروایات الدالّة علی أن الدعاء وطلب العبد القرب من الله تعالی لا یرتفع إلی السماء ولا تُفتّح له الأبواب ما لم یقترن بذکر النبیّ صلی الله علیه و آله بالصلاة علی محمّد وآل محمّد، وإذا کان کذلک فإن الدعاء وطلب القرب من الله عزّ وجلّ شامل للمقامات الثلاث التی ذُکرت فی صدر البحث، وهو قبول التوبة والعبادة ونیل مقامات القرب، وهو لا یقبل إلّاباللّواذ بالنبیّ صلی الله علیه و آله والتوجّه إلیه والاستعاذة والاستجارة والتوسّل به، بالمجیء فی حضرته المبارکة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الآیة الکریمة الدالّة علی شرطیة التوجّه التوسّل وضرورته فی جمیع المقامات لیست خاصّة بحیاة النبیّ صلی الله علیه و آله؛ إذ لیس المراد من المجیء الحضور الفیزیائی لبدن المذنب عند النبیّ الأکرم صلی الله علیه و آله فقط، بل المجیء الفیزیائی</w:t>
      </w:r>
    </w:p>
    <w:p>
      <w:pPr>
        <w:pStyle w:val="BookText"/>
        <w:rPr/>
      </w:pPr>
      <w:r>
        <w:rPr>
          <w:rFonts w:ascii="IRNazanin" w:hAnsi="IRNazanin" w:eastAsia="IRNazanin"/>
          <w:color w:val="111111"/>
          <w:sz w:val="28"/>
          <w:sz w:val="28"/>
          <w:szCs w:val="28"/>
          <w:rtl w:val="true"/>
          <w:lang w:bidi="fa-IR"/>
        </w:rPr>
        <w:t>والبدنی المکانی أحد المصادیق المقصودة فی الآیة المبارکة، والتعبیر بالمجیء کنائی، یراد به مطلق الاستغاثة والتوسّل والتوجّه القلبی إلی النبیّ صلی الله علیه و آله، والشواهد علی ذلک عدیدة،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الآیة المبارکة جاءت لبیان ماهیة التوبة وشرائطها العامة، التی یشترک فیها کافّة المسلمین وفی جمیع الأزمنة، فلا یمکن أن تکون مختصّة بالفترة التی عاشها النبیّ الأکرم صلی الله علیه و آله أو بمن زامن وعایش تلک الفترة، فالمراد من المجی مطلق الارتباط بالنبیّ صلی الله علیه و آله، بالتوجّه إلیه والکینونة فی حضرته المبارکة، ثم الاتیان بعبادة الاستغفار، وهذا المضمون متطابق مع مفاد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معنی ذلک أن حضرة الأنبیاء ومحضرهم مشاعر شعّرها الله تعالی لیتقرّب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هذا الشاهد أکثر إذا علمنا أن النبیّ الأکرم صلی الله علیه و آله بُعث رحمة للعالمین، وهذه من الرحمات العامة للنبیّ الأکرم صلی الله علیه و آله علی هذه الأمة، وغیر مختصّة بمن حضر الحضور الفیزیائی البدنی عند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نفس التعبیر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معنی اللّواذ واللجوء والاستغاثة والتوسّل والتوجّه القلبی، ولیس فیه دلالة علی الاختصاص بالحضور الجسمانی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آدم علیه السلام وتوبته أیضاً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بالمجیء للنبیّ الأکرم صلی الله علیه و آله، ولکن کان مجیئه إلیه فی أفق القلب والقصد، فقد ورد فی روایات الفریقین أن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اقترف آدم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أسألک بحقّ محمّد لما غفرت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یاآدم وکیف عرفت محمّداً ولم أخلقه؟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لأنک لما خلقتنی بیدک ونفخت فیّ من روحک رفعت رأسی فرأیت علی قوائم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فعلمت أنک لم تُضف إلی اسمک إلّاأحبّ الخلق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یاآدم إنه لأحبّ الخلق إلیّ، ادعنی بحقّه فقد غفرت لک، ولولا محمّد ما خلقتک</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 الدالّة علی أن مجیء آدم إلی النبیّ صلی الله علیه و آله ولواذه به کان بالتوجّه القلبی به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الأخیرة التی نقلناها إشارة أخری إلی اقتران اسم النبیّ الأکرم صلی الله علیه و آله باسم الله عزّ وجلّ فی أعظم عبادة وأشرف کلمة فی الإسلام، وهی کلمة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المسلمین فی سیرتهم منذ الصدر الأول فهموا من هذه الروایة الشمول والعموم وعدم الاختصاص بالفترة الزمنیة التی عاشها النبیّ صلی الله علیه و آله، وهذا دلیل علی عموم المعنی المستعمل فی ارتکاز أبناء اللغة، ولذا کانوا یتوجّهون إلی النبیّ الأکرم صلی الله علیه و آله فی طلب المغفرة ویأمرون الآخرین بذلک حتی بعد وفاة النبیّ الأکرم صلی الله علیه و آله، والشواهد الروائیة والتاریخیة علی ذلک کثیرة جدّاً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النووی عن العتبی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عند قبر النبیّ صلی الله علیه و آله فجاء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یارسول الله، سمعت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جئتک مستغفراً من ذنبی مستشفعاً بک إلی ربّی، ثم أنشأ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یاخیر من دفنت بالقاع أعظمه فطاب من طیبهن القاع والأکم</w:t>
      </w:r>
    </w:p>
    <w:p>
      <w:pPr>
        <w:pStyle w:val="BookText"/>
        <w:rPr/>
      </w:pPr>
      <w:r>
        <w:rPr>
          <w:rFonts w:ascii="IRNazanin" w:hAnsi="IRNazanin" w:eastAsia="IRNazanin"/>
          <w:color w:val="111111"/>
          <w:sz w:val="28"/>
          <w:sz w:val="28"/>
          <w:szCs w:val="28"/>
          <w:rtl w:val="true"/>
          <w:lang w:bidi="fa-IR"/>
        </w:rPr>
        <w:t>نفسی الفداء لقبر أنت ساکنه فیه العفاف وفیه الجود والکرم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فحملتنی عینای فرأیت النبیّ صلی الله علیه و آله فی النوم،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یاعتبی، إلحق الأعرابی فبشّره بأن الله تعالی قد غفر له</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السیوطی عن أبی حرب الهلالیّ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أعرابی، فلما جاء إلی باب مسجد رسول الله صلی الله علیه و آله أناخ راحلته فعقلها، ثم دخل المسجد حتی دخل القبر ووقف بحذاء وجه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یارسول الله، جئتک مثقلًا بالذنوب والخطایا مستشفعاً بک علی ربّک، لأنه قال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جئتک بأبی أنت وأمی مثقلًا بالذنوب والخطایا استشفع بک علی الله ربّک أن یغفر لی ذنوبی وأن یشفع فیّ</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أمیر المؤمنین علیّ بن أبی طالب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أعرابی بعد ما دفنّا رسول الله صلی الله علیه و آله بثلاثة أیام فرمی بنفسه علی قبر النبیّ صلی الله علیه و آله وحثا من ترابه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قلت فسمعنا قولک ووعیت عن الله فوعینا عنک، وکان فیما أنزل الله علیک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ظلمت نفسی وجئتک تستغفر لی، فنودی من القبر أنه غفر لک</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إلی غیر ذلک من الشواهد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القرآن الکریم قد دلّ علی حیاة النبی صلی الله علیه و آله عند ربّه، کما قال تعالی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نَبْعَثُ فِی کُلِّ أُمَّةٍ شَهِیداً عَلَیْهِمْ مِنْ أَنْفُسِهِمْ وَ جِئْنا بِکَ شَهِیداً عَلی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عشرات الآیات الدالّة علی أن النبی صلی الله علیه و آله یری ویشهد علی جمیع أعمال العباد إلی یوما لقیامة، فهو حیّ عند ربّه، کیف لا وقد دلّ القرآن علی حیاة الشهداء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اتّفقت روایات الفریقین المتواترة أیضاً الدالّة علی حیاة النبیّ الأکرم صلی الله علیه و آله، منها ما ورد</w:t>
      </w:r>
    </w:p>
    <w:p>
      <w:pPr>
        <w:pStyle w:val="BookText"/>
        <w:rPr/>
      </w:pPr>
      <w:r>
        <w:rPr>
          <w:rFonts w:ascii="IRNazanin" w:hAnsi="IRNazanin" w:eastAsia="IRNazanin"/>
          <w:color w:val="111111"/>
          <w:sz w:val="28"/>
          <w:sz w:val="28"/>
          <w:szCs w:val="28"/>
          <w:rtl w:val="true"/>
          <w:lang w:bidi="fa-IR"/>
        </w:rPr>
        <w:t>عن الإمام الحسن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کنتم فصلّوا علیّ فإن صلاتکم تبلغنی</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 أحیاء فی قبورهم یصلّون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والبزاز ورجال أبی یعلی ثقات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السقّاف فی کتابه الاغاثة جملة من الروایات وکلمات علماء السنّة التی ادّعی فیها الاجماع والتواتر والعلم القطعی بحیاة النبیّ الأکرم فراجع</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ثبت ذلک ثبت عموم الآیة المبارکة بالرجوع إلی النبیّ الأکرم صلی الله علیه و آله والاستغاثة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وروایات عرض الأعمال علی الرسول صلی الله علیه و آله،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فَسَیَرَی اللّهُ عَمَلَکُمْ وَ 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الآیة متطابقة ومتشاهدة مع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الروایات فی هذا المجال فهی کثیرة جدّاً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الأعمال علی رسول الله صلی الله علیه و آله کلّ صباح أبرارها وفجّارها فاحذروها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أبی جعفر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الأعمال تعرض علی نبیکم کلّ عشیة خمیس، فلیستحی أحدکم أن یعرض علی نبیه العمل القبیح</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 خیر لکم تحدّثون وتحدّث لکم، ووفاتی خیر لکم تعرض علیّ أعمالکم، فما رأیت من خیر حمدت الله علیه، وما رأیت من شرّ استغفرت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البزاز ورجاله رجال الصحیح</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وغیرها منسجمة المضمون مع الشرط الثالث فی الآیة التی هی محلّ البحث، حیث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فالتائب والمستغفر یتوجّه إلی النبیّ الأکرم صلی الله علیه و آله ویعرض استغفاره عنده لکی یستغفر له الرسول صلی الله علیه و آله ویشفع له عند الله تعالی فی قبول توبته، فعبادات الأمة لابدّ أن یشفع النبیّ صلی الله علیه و آله عند ربّه فی قبولها، وهو المضمون والغرض والحکمة من عرض الأعمال وأن قبولها مشروط بإمضاء النبیّ صلی الله علیه و آله وشفاعته، فکما أن آیات وروایات عرض الأعمال ذکرت أن سبب العرض هو أن یستغفر النبیّ صلی الله علیه و آله لأمته، کذلک فی الآیة المبارکة إنما یعرض العبد استغفاره فی الحضرة النبویّة</w:t>
      </w:r>
    </w:p>
    <w:p>
      <w:pPr>
        <w:pStyle w:val="BookText"/>
        <w:rPr/>
      </w:pPr>
      <w:r>
        <w:rPr>
          <w:rFonts w:ascii="IRNazanin" w:hAnsi="IRNazanin" w:eastAsia="IRNazanin"/>
          <w:color w:val="111111"/>
          <w:sz w:val="28"/>
          <w:sz w:val="28"/>
          <w:szCs w:val="28"/>
          <w:rtl w:val="true"/>
          <w:lang w:bidi="fa-IR"/>
        </w:rPr>
        <w:t>لکی یستغفر له، وإذا کانت آیات وروایات العرض عامة لحال الحیاة وبعد الممات فکذلک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ذکرناه أخیراً هو الشرط الثالث فی الآیة المبارکة وهو استغفار النبیّ صلی الله علیه و آله للمذنب الظالم لنفسه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الأحکام فی الآیات التی أخذ فیها الحکم مرتبطاً بالرسول صلی الله علیه و آله فی الآیات الکثیرة کلّها لا تختص بحیاة الرسول صلی الله علیه و آله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الآیات، فإنه لو توهم اختصاصها بحیاته صلی الله علیه و آله الدنیویة لعُطّل العمل بهذه الآیات، وتقوّضت أرکان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یتحصّل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المجیء إلی النبیّ صلی الله علیه و آله والتوجّه إلیه شرط فی قبول التوبة، بل کافّة العبادات ومطلق المقامات القربیة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الآیة المبارکة أیضاً أن التوسّل والتوجّه أمر تعیینی ضروری لابدّ منه، ولیس هو أمراً تخییریاً بید العبد فعله أو ترکه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واتضح أن التوجّه للنبیّ صلی الله علیه و آله فی تلک المقامات لیس خاصّاً بالتوجّه</w:t>
      </w:r>
    </w:p>
    <w:p>
      <w:pPr>
        <w:pStyle w:val="BookText"/>
        <w:rPr/>
      </w:pPr>
      <w:r>
        <w:rPr>
          <w:rFonts w:ascii="IRNazanin" w:hAnsi="IRNazanin" w:eastAsia="IRNazanin"/>
          <w:color w:val="111111"/>
          <w:sz w:val="28"/>
          <w:sz w:val="28"/>
          <w:szCs w:val="28"/>
          <w:rtl w:val="true"/>
          <w:lang w:bidi="fa-IR"/>
        </w:rPr>
        <w:t>الفیزیائی البدنی، بل شامل للتوجّه القلبی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المجیء إلی النبیّ والتوسّل به بمعنی الارتباط به والإنتماء إلیه بکلّ أنحاء الانتماء، کانتماء المواطنة والانتماء الأُسری والوظیفی والتنظیمی، وغیرها من أنحاء الانتماء إلی الرسالة الخاتمة والحاکمیة الإلهیة المتمثّلة بالنبیّ صلی الله علیه و آله وأهل بیته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لابدّ أن یعلم أن الآیة الخاصّة فی المقام غیر مختصّة بالرسول الأعظم صلی الله علیه و آله، بل هی سنّة إلهیّة جاریة فی النبیّ صلی الله علیه و آله وأهل بیته علیهم السلام فالآیة عامة؛ ولذا نصّت علی هذا العموم آیة عرض الأعمال، حیث شملت الذین آمنوا وهم أولوا الأمر من أهل بیت النبیّ صلی الله علیه و آله، کما نصّ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اجْتَباکُمْ وَ ما جَعَلَ عَلَیْکُمْ فِی الدِّینِ مِنْ حَرَجٍ مِلَّةَ أَبِیکُمْ إِبْراهِیمَ هُوَ سَمّاکُمُ الْمُسْلِمِینَ مِنْ قَبْلُ وَ فِی هذا لِیَکُونَ الرَّسُولُ شَهِیداً عَلَیْکُمْ وَ تَکُونُوا شُهَداءَ عَلَی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الأمة المسلمة من ذریة إبراهیم وإسماعیل المجتباة الذین بعث فیهم النبی صلی الله علیه و آله وجعلهم الله شهداء علی الناس وأعمالهم وعقائدهم، ویدلّ علی العموم أیضاً الآیات المتقدّمة التی نصّت علی وجوب المجیء إلی إبراهیم فی الحجّ ووجوب الصلاة عند مصلّاه وهویّ القلوب إلی ذرّیته، وسیأتی من الآیات ما یدلّ علی العموم أیضاً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التوجّه إلی النبیّ صلی الله علیه و آله وأهل بیته علیهم السلام فی التوبة والعبادة ونیل المقامات شرط ومشارطة إلهیة لابدّ من توفّرها لنیل ما یبتغیه العبد</w:t>
      </w:r>
      <w:r>
        <w:rPr>
          <w:rFonts w:eastAsia="IRNazanin" w:cs="IRNazanin"/>
          <w:color w:val="111111"/>
          <w:sz w:val="28"/>
          <w:szCs w:val="28"/>
          <w:rtl w:val="true"/>
          <w:lang w:bidi="fa-IR"/>
        </w:rPr>
        <w:t>.</w:t>
      </w:r>
      <w:bookmarkStart w:id="377" w:name="pg13703_133891"/>
    </w:p>
    <w:p>
      <w:pPr>
        <w:pStyle w:val="Heading3"/>
        <w:numPr>
          <w:ilvl w:val="2"/>
          <w:numId w:val="1"/>
        </w:numPr>
        <w:rPr/>
      </w:pPr>
      <w:bookmarkStart w:id="378" w:name="__RefHeading___Toc1101206_1468164448"/>
      <w:bookmarkStart w:id="379" w:name="_Toc139"/>
      <w:bookmarkEnd w:id="377"/>
      <w:bookmarkEnd w:id="378"/>
      <w:r>
        <w:rPr>
          <w:rtl w:val="true"/>
        </w:rPr>
        <w:t>الدلیل السابع</w:t>
      </w:r>
      <w:r>
        <w:rPr>
          <w:rtl w:val="true"/>
        </w:rPr>
        <w:t xml:space="preserve">: </w:t>
      </w:r>
      <w:r>
        <w:rPr>
          <w:rtl w:val="true"/>
        </w:rPr>
        <w:t>التوسّل بالرسول صلی الله علیه و آله میثاق الأنبیاء</w:t>
      </w:r>
      <w:r>
        <w:rPr>
          <w:rtl w:val="true"/>
        </w:rPr>
        <w:t>:</w:t>
      </w:r>
      <w:bookmarkEnd w:id="379"/>
    </w:p>
    <w:p>
      <w:pPr>
        <w:pStyle w:val="Heading4"/>
        <w:numPr>
          <w:ilvl w:val="3"/>
          <w:numId w:val="1"/>
        </w:numPr>
        <w:rPr/>
      </w:pPr>
      <w:bookmarkStart w:id="380" w:name="__RefHeading___Toc1101208_1468164448"/>
      <w:bookmarkStart w:id="381" w:name="_Toc140"/>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فالمیثاق المذکور فی هذه الآیة المبارکة معناه أن هناک تعاقداً بین الله تعالی والأنبیاء علیهم السلام، والطرفان اللذان وقع علیهم المیثاق والتعاقد هما النبوّة والمقامات الغیبة التی أعطاها الله تعالی للأنبیاء فی مقابل أمر مهمّ وخطیر لابدّ أن یؤمنوا به،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جاءَکُمْ رَسُولٌ مُصَدِّقٌ لِما مَعَکُمْ 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فالمقامات الإلهیة والمنح الربّانیة إنما تعطی للأنبیاء بشرط الإیمان بخاتمهم ونصرته، ولا شک أن الذی یکون ناصراً إنما هو تابع للمنصور والمنصور قائد له، فالأنبیاء کلّهم مأمومون والرسول الأکرم إمامهم، والأنبیاء سبقوا الناس بالإصطفاء الإلهی الخاصّ وحُبوا بالنبوّة والرسالة والمقامات الغیبیّة بتوسّط إیمانهم بولایة النبیّ صلی الله علیه و آله وتعهّدهم بنصرته ومؤازرته، وهم أسبق الناس شیعة وإسلاماً لخاتم الأنبیاء صلی الله علیه و آله</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101210_1468164448"/>
      <w:bookmarkStart w:id="383" w:name="_Toc141"/>
      <w:bookmarkEnd w:id="382"/>
      <w:r>
        <w:rPr>
          <w:rtl w:val="true"/>
        </w:rPr>
        <w:t>الأنبیاء علی دین النبی الأکرم صلی الله علیه و آله</w:t>
      </w:r>
      <w:r>
        <w:rPr>
          <w:rtl w:val="true"/>
        </w:rPr>
        <w:t>:</w:t>
      </w:r>
      <w:bookmarkEnd w:id="38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فإن هذه الآیة المبارکة تدلّل علی أن دین الأنبیاء بعد الایمان بالله عزّ وجلّ هو الإیمان بخاتم الأنبیاء ومشایعته ومؤازرته، فالأنبیاء کانوا علی دین النبیّ محمّد صلی الله علیه و آله وهو الإسلام، بیان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قوله تعالی فی الآیة المبارکة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لِما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النبیّ الأکرم صلی الله علیه و آله لیس تابعاً للأنبیاء، بل تابع للوحی الإلهی جملة، الذی هو فعل الله تعالی؛ ولذا لم یأمر الله عزّ وجلّ نبیّه الأکرم صلی الله علیه و آله بالاقتداء بالأنبیاء وإنما بالهدی الذی هم علیه،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فالنبیّ الأکرم صلی الله علیه و آله لیس علی هدی نبیّ من الأنبیاء ولیس هو تابعاً لأحد من الرسل، بل هو علی هدی الله عزّ وجلّ، وهو أوّل المسلمین، والفاتح الأول للهدی الإلهی والدین الاسلامی الواحد هو خاتم الأنبیاء، ولم یُعبَّر عن نبیّ من الأنبیاء فی القرآن الکریم بأنه أوّل المسلیمن علی الاطلاق سوی النبیّ محمّد صلی الله علیه و آله،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غَیْرَ اللّهِ أَتَّخِذُ وَلِیًّا فاطِرِ السَّماواتِ وَ الْأَرْضِ وَ هُوَ یُطْعِمُ وَ لا یُطْعَمُ قُلْ إِنِّی أُمِرْتُ أَنْ أَکُونَ أَوَّلَ مَنْ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أُمِرْتُ وَ أَنَا أَوَّلُ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أَکُونَ أَوَّلَ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سائر الأنبیاء فقد عُبّر عنهم فی القرآن الکریم بأنهم من المسلمین، بما فیهم أنبیاء أولی العزم، فقد حکی الله عزّ وجلّ علی لسان نوح قوله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تَوَلَّیْتُمْ فَما سَأَلْتُکُمْ مِنْ أَجْرٍ إِنْ أَجْرِیَ إِلاّ عَلَی اللّهِ وَ أُمِرْتُ أَنْ</w:t>
      </w:r>
    </w:p>
    <w:p>
      <w:pPr>
        <w:pStyle w:val="BookText"/>
        <w:rPr/>
      </w:pPr>
      <w:r>
        <w:rPr>
          <w:rFonts w:ascii="Amiri" w:hAnsi="Amiri" w:eastAsia="Amiri" w:cs="Amiri"/>
          <w:color w:val="111111"/>
          <w:sz w:val="28"/>
          <w:sz w:val="28"/>
          <w:szCs w:val="28"/>
          <w:rtl w:val="true"/>
          <w:lang w:bidi="ar-SA"/>
        </w:rPr>
        <w:t>أَکُونَ مِنَ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یُعبَّر عنه بأنه أوّل المسلمین، ولا شک أن الدین عند الله عزّ وجلّ واحد،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یتقبّل من مخلوق من المخلوقات غیر الاسلام،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فالنبیّ الأکرم صلی الله علیه و آله أوّل المسلمین وأوّل من نطق بمیثاق التوحید والتسلیم لله‌عزّ وجلّ، فکان هو أفضل الأنبیاء وهو الإمام المتبوع وهم المأمومون التابعون له فی الدین الاسلامی، فضلًا عن غیرهم من المخلوقین، ولذا ورد فی الحدیث عن أبی عبد 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قریش قال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 الأنبیاء وأنت بعثت آخرهم وخاتمهم؟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أوّل من آمن بربّی وأوّل من أجاب حین أخذ الله میثاق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أَشْهَدَهُمْ عَلی أَنْفُسِهِمْ 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أنا أوّل نبیّ قال بلی، فسبقتهم بالإقرار بالله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أیضاً عن النبیّ الأکرم صلی الله علیه و آله فی حدیثه لأصحابه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لی العهد والمیثاق علی جمیع النبیین، وهو قوله الذی أکرمنی به جلّ من قائل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علمتهم أن المیثاق أخذ لی علی جمیع النبیّین، وأنا الرسول الذی ختم الله بی الرسل، 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خاتَمَ النَّبِیِّینَ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فکنت والله قبلهم وبعثت بعدهم وأعطیت ما أعطوا وزادنی ربّی من فضله ما لم یعطه لأحد من خلقه غیری، فمن ذلک إنه أخذ لی المیثاق علی سائر النبیّین ولم یأخذ میثاقی لأحد، ومن ذلک ما نَبَّأ نبیّاً ولا أرسل رسولًا إلّاأمره بالإقرار بی وأن یبشّر أمته بمبعثی ورسالتی</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فالدین دین محمّد صلی الله علیه و آله وهو فاتح ذلک الصرح العظیم، وإن کانت الفطرة والملّة ملّة إبراهیم علیه السلام وهی غیر الدین، وکذلک للأنبیاء شرائع ومناهج مختلفة وهی غیر الدین أیضاً، وإنما هی تفصیلات وتنزّلات کلّیات ذلک الدین الحنیف وهو الإسلام، ولذا جاء فی دعاء التوجّه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والأرض حنیفاً مسلماً علی ملّة إبراهیم ودین محمّد صلی الله علیه و آله وهدی علی أمیر المؤمنین علیه السلام وما أنا من المشرکین</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الإسلام دین النبیّ والأنبیاء علی دینه ومن شیعته، ولذا فُسّر قوله تعالی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بالنبیّ الأکرم صلی الله علیه و آله وأن إبراهیم من شیعته وعلی دینه الحنیف، حیث ورد عن الإمام الصادق علیه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إن إبراهیم علیه السلام من شیعة النبیّ صلی الله علیه و آله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اختار هذا القول الکلبی وابن السائب والفرّاء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فالنبیّ الأکرم صلی الله علیه و آله لیس تابعاً للأنبیاء بل علی العکس، فهو علی الهدی الذی هو هدی الله تعالی، ومصدّق لما مع الأنبیاء، أی شاهد علی ما هم علیه من دینه الحنیف وبإمضائه یُصدّق ما هم علیه، أما الأنبیاء فهم یؤمنون بخاتم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أنهم یؤمنون بما معه، فإیمانهم بذات النبیّ صلی الله علیه و آله، فهو صلی الله علیه و آله شاهد مطّلع مصدّق علی ما عندهم، وأما هم فیؤمنون به، وهذا یعنی أنه لا یوجد فی مقامات الأنبیاء ودرجاتهم عند الله تعالی ما هو غیب عن النبیّ صلی الله علیه و آله، وأما الذی یؤمن بذات النبیّ صلی الله علیه و آله وهم سائر الأنبیاء علیهم السلام فهو یؤمن بأمر غیبیّ، فمقام النبیّ صلی الله علیه و آله بالنسبة إلی باقی الأنبیاء غیب الغیوب، وأما مقامات سائر الأنبیاء فالنبیّ الأکرم صلی الله علیه و آله مطّلع علیها ویعلمها ویشهد لهم علی صدقها، والأنبیاء فی أصل نیلهم لمقام النبوّة إنما استأهلوه بعد أن آمنوا بخاتم الأنبیاء قبل سائر الأرواح فی عالم الأرواح وشرطوا علی أنفسهم نصرته، ولذا فإن النبیّ صلی الله علیه و آله شفیع الکلّ، والأنبیاء لم ینالوا ما نالوا إلّابالدیانة لخاتم الأنبیاء، فهو الشفیع لقبول الأعمال، وهو باب رحمة الله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84" w:name="pg13703_133896"/>
    </w:p>
    <w:p>
      <w:pPr>
        <w:pStyle w:val="BookText"/>
        <w:rPr/>
      </w:pPr>
      <w:bookmarkEnd w:id="384"/>
      <w:r>
        <w:rPr>
          <w:rFonts w:ascii="IRNazanin" w:hAnsi="IRNazanin" w:eastAsia="IRNazanin"/>
          <w:color w:val="111111"/>
          <w:sz w:val="28"/>
          <w:sz w:val="28"/>
          <w:szCs w:val="28"/>
          <w:rtl w:val="true"/>
          <w:lang w:bidi="fa-IR"/>
        </w:rPr>
        <w:t>ومن ذلک کلّه یتّضح أن هذه الآیة المبارکة نصّ فی المقام الثالث، وأن التوجّه إلی الله لنیل أی مقام أو قربی أو زلفی لا یتمّ إلّابالتوسل بالنبیّ صلی الله علیه و آله والتشفّع به، وبالتشفّع به یعطی للعبد أعظم الأرزاق وهو النبوّة والکتاب والحکمة، فکیف بک بسائر الأرزاق الأخری، التی لا تقاس بمقامات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 الکریمة رسمت خطورة الأمر فی ضمن تأکیدات مغلّظة، حیث جاء فیها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أَقْرَرْتُمْ وَ أَخَذْتُمْ عَلی ذلِکُمْ إِصْرِی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تم الإقرار والمعاهدة والمعاقدة المشدّدة أشهدهم الله تعالی علی ذلک،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وَ أَنَا مَعَکُمْ مِنَ الشّاهِدِینَ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یعنی أن للتوسل والتوجّه دوراً مهمّاً ومحوریة رئیسیة فی رسم معالم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وإنکار التوسّل فی المسائل الدنیویة غیر الخطیرة لیس إلّاتعظیماً لصغائر الأمور وتصغیراً لما عظّمه الله عزّ وجلّ، فإن الإیمان بکون الأنبیاء لم یستحقّوا ما استحقّوه إلّابتوسلهم بالإیمان بالنبیّ صلی الله علیه و آله، وإنکار التوسّل فی بعض الأمور الدنیویّة والحاجات المعاشیة لیس له معنی إلّاالاستهانة بتلک المقامات الشامخة وتعظیم وتهویل ما لیس حقّه ذلک</w:t>
      </w:r>
      <w:r>
        <w:rPr>
          <w:rFonts w:eastAsia="IRNazanin" w:cs="IRNazanin"/>
          <w:color w:val="111111"/>
          <w:sz w:val="28"/>
          <w:szCs w:val="28"/>
          <w:rtl w:val="true"/>
          <w:lang w:bidi="fa-IR"/>
        </w:rPr>
        <w:t>.</w:t>
      </w:r>
    </w:p>
    <w:p>
      <w:pPr>
        <w:pStyle w:val="Heading4"/>
        <w:numPr>
          <w:ilvl w:val="3"/>
          <w:numId w:val="1"/>
        </w:numPr>
        <w:rPr/>
      </w:pPr>
      <w:bookmarkStart w:id="385" w:name="__RefHeading___Toc1101212_1468164448"/>
      <w:bookmarkStart w:id="386" w:name="_Toc142"/>
      <w:bookmarkEnd w:id="385"/>
      <w:r>
        <w:rPr>
          <w:rtl w:val="true"/>
        </w:rPr>
        <w:t>أهل البیت علیهم السلام شرکاء النبیّ صلی الله علیه و آله فی المیثاق</w:t>
      </w:r>
      <w:r>
        <w:rPr>
          <w:rtl w:val="true"/>
        </w:rPr>
        <w:t>:</w:t>
      </w:r>
      <w:bookmarkEnd w:id="38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أهل البیت علیهم السلام یشترکون مع النبیّ الأکرم صلی الله علیه و آله فی دائرة المیثاق والدین الحنیف، الذی أخذ علی الأنبیاء الإیمان به ونصرته والدعوة إلیه، وإن کان أهل البیت علیهم السلام تابعین للنبیّ صلی الله علیه و آله وهم یتوجّهون به إلی الله تعالی، وبشفاعته</w:t>
      </w:r>
    </w:p>
    <w:p>
      <w:pPr>
        <w:pStyle w:val="BookText"/>
        <w:rPr/>
      </w:pPr>
      <w:r>
        <w:rPr>
          <w:rFonts w:ascii="IRNazanin" w:hAnsi="IRNazanin" w:eastAsia="IRNazanin"/>
          <w:color w:val="111111"/>
          <w:sz w:val="28"/>
          <w:sz w:val="28"/>
          <w:szCs w:val="28"/>
          <w:rtl w:val="true"/>
          <w:lang w:bidi="fa-IR"/>
        </w:rPr>
        <w:t>یکونون معه صلی الله علیه و آله فی مقامه، وهو مقام الشفاعة الکبری والوسیلة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اشتراک أهل البیت علیهم السلام مع النبیّ الأکرم صلی الله علیه و آله فی دائرة المیثاق الذی أخذ علی الأنبیاء وجوه عدیدة، وإلیک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نصرة الأنبیاء للرسول صلی الله علیه و آله لم تتحقّق إلی یومنا الحاضر، وهی إنما تتحقّق بالنصرة لأهل بیته عند ظهور المهدی من آل محمّد، وعند رجعة الأئمة علیهم السلام، کما نصّت علی ذلک الروایات المتضافرة، حیث جاء فیها أن عیسی علیه السلام وإدریس وغیرهما من الأنبیاء سوف یقاتلون بین یدی الإمام المهدی علیه السلام عند قیامه بدولة الحقّ والعدل، هذا من طرق الفریقین، وأما من طرقنا فقد دلّت الروایات المتضافرة أیضاً علی أن جمیع الأنبیاء والمرسلین سوف یقاتلون مع الأئمة علیهم السلام عند رجوعهم وکرّتهم فی دولتهم العالمیة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بعض الأنبیاء کإلیاس والخضر علیهما السلام علی القول بنبوّة الخضر علیه السلام الآن هم وزراء فی حکومة الإمام المهدی علیه السلام الخفیّة، وهی حکومة خلیفة الله فی أرضه، التی لا یمکن أن تفتقدها البشریة فی لحظة من اللحظات، وإلّا لساخت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ونشیر فیما یلی إلی بعض تلک الروایات التی وردت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الروایات التی دلّت علی أن المسیح عیسی بن مریم علیه السلام ینزل لنصرة المهدی علیه السلام، وإلیک فیما یلی هذه الروایة، ننقلها بطولها لارتباطها بالبحث الذی نحن فیه، قال أبو عبدالله الصادق علیه السلام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یهودی النبیّ صلی الله علیه و آله، فقام بین یدیه یحدّ النظر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یایهودی ما</w:t>
      </w:r>
    </w:p>
    <w:p>
      <w:pPr>
        <w:pStyle w:val="BookText"/>
        <w:rPr/>
      </w:pPr>
      <w:r>
        <w:rPr>
          <w:rFonts w:ascii="IRNazanin" w:hAnsi="IRNazanin" w:eastAsia="IRNazanin"/>
          <w:color w:val="111111"/>
          <w:sz w:val="28"/>
          <w:sz w:val="28"/>
          <w:szCs w:val="28"/>
          <w:rtl w:val="true"/>
          <w:lang w:bidi="fa-IR"/>
        </w:rPr>
        <w:t>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النبیّ الذی کلّمه الله، وأنزل علیه التوراة والعصا وفلق له البحر وأظلّه بالغمام؟</w:t>
      </w:r>
    </w:p>
    <w:p>
      <w:pPr>
        <w:pStyle w:val="BookText"/>
        <w:rPr/>
      </w:pP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للعبد أن یزکّی نفسه،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لما أصاب الخطیئة کانت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غفرت لی فغفرها الله له، وإن نوحاً علیه السلام لما رکب فی السفینة وخاف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نجّیتنی من الغرق، فنجّاه الله منه، وإن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نجّیتنی منها، فجعلها الله علیه برداً وسلاماً، وإن موسی علیه السلام لما ألقی عصاه أوجس فی نفسه خیفة، قال اللّهم إنی أسألک بحقّ محمّد وآل محمّد لما آمنتنی منها، فقال الله 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لو أدرکنی ثم لم یؤمن بی وبنبوّتی ما نفعه إیمانه شیئاً ولا نفعته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یایهودی ومن ذریتی المهدی إذا خرج نزل عیسی بن مریم لنصرته، فقدّمه وصلّی خلفه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فیلتفت المهدی فینظر عیسی علیه السلام فیقول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البتول صلّ بالناس،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أقیمت الصلاة، فیتقدّم المهدی فیصلّی</w:t>
      </w:r>
    </w:p>
    <w:p>
      <w:pPr>
        <w:pStyle w:val="BookText"/>
        <w:rPr/>
      </w:pPr>
      <w:r>
        <w:rPr>
          <w:rFonts w:ascii="IRNazanin" w:hAnsi="IRNazanin" w:eastAsia="IRNazanin"/>
          <w:color w:val="111111"/>
          <w:sz w:val="28"/>
          <w:sz w:val="28"/>
          <w:szCs w:val="28"/>
          <w:rtl w:val="true"/>
          <w:lang w:bidi="fa-IR"/>
        </w:rPr>
        <w:t>بالناس ویصلّی عیسی خلفه ویبایعه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المبایعة لأجل نصرته علیه السلام لإقامة دولة الحقّ، بقرینة تتمّة الروایة حیث ورد فیها أن المسیح عیسی بن مریم علیه السلام بعد المبایعة یکون من وزراء المهدی علیه السلام ویخرج لقتال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دلّت علی أن نصرة الأنبیاء للرسول الأکرم صلی الله علیه و آله إنما تحصل بالنصرة لوصیّه أمیر المؤمنین علیّ علیه السلام والقتال بین یدیه عند الکرّة والرجعة فی دولة الحقّ، وذلک نظیر ما أخرجه سعد بن عبدالله القمی عن فیض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 وتلا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برسول الله صلی الله علیه و آله ولتنصرنّ علیاً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من لدن آدم وهلمّ جراً، فلم یبعث الله نبیّاً ولا رسولًا إلّاردّ جمیعهم إلی الدنیا حتّی یقاتلوا بین یدی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نصرة أمیر المؤمنین علیه السلام نصرة لرسول الله صلی الله علیه و آله وللدین الذی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هذه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اشتراک أهل البیت علیهم السلام مع النبیّ صلی الله علیه و آله فی المیثاق الذی أخذ علی الأنبیاء، إذ أن إیفاءهم بالعهد إنما یکون بنصرتهم لأهل بیت النبیّ صلی الله علیه و آله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بنا أن الدین عند الله الإسلام وهو واحد لا تعدّد فیه، وأن جمیع</w:t>
      </w:r>
    </w:p>
    <w:p>
      <w:pPr>
        <w:pStyle w:val="BookText"/>
        <w:rPr/>
      </w:pPr>
      <w:r>
        <w:rPr>
          <w:rFonts w:ascii="IRNazanin" w:hAnsi="IRNazanin" w:eastAsia="IRNazanin"/>
          <w:color w:val="111111"/>
          <w:sz w:val="28"/>
          <w:sz w:val="28"/>
          <w:szCs w:val="28"/>
          <w:rtl w:val="true"/>
          <w:lang w:bidi="fa-IR"/>
        </w:rPr>
        <w:t>المخلوقات بما فیهم سائر الأنبیاء عجزوا عن تحمّل الدین والسبق فی فتح سبله وبلوغ مقاماته الرفیعة، سوی الذات النبویّة المبارکة التی لها الأهلیة والاستعداد لتلقّی ذلک عن الله عزّ وجلّ، فکان للنبیّ صلی الله علیه و آله الأسبقیة فی الإسلام والتسلیم لله‌تعالی؛ ولذا کان الدین دین محمّد صلی الله علیه و آله، إذن دین الإسلام الواحد عبارة عن تلک المقامات السامیة والنور الأعظم الذی لم یتحمّله مخلوق عن الله تعالی سوی خاتم الرسل صلی الله علیه و آله، فأسکن الله عزّ وجلّ ذلک النور فی بیوت أذن الله أن ترفع ویذکر فیها اسمه، وکان بدن النبیّ الأکرم مسکناً لذلک النور، لأنه أوّل من قال بلی عندما قال الله تعالی للبشر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هنا یتّضح أن المیثاق والعهد الذی أخذه الله علی أنبیائه هو الإیمان بذات الرسول صلی الله علیه و آله، والإیمان بمقامه صلی الله علیه و آله هو الدین الذی بعث به جمیع الأنبیاء، وهو بدرجاته العالیة غیب الله وسره المکنون الذی أمر الأنبیاء بالإیمان به والتسلیم له، وکان نیل مقامات النبوّة علی قدر درجة التسلیم لذلک الدین، وقد مدح الله تعالی أنبیاءه لکونهم مسلمین،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إِبْراهِیمُ یَهُودِیًّا وَ لا نَصْرانِیًّا وَ لکِنْ کانَ حَنِیفاً مُسْلِماً وَ ما کانَ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أمر الله تعالی أنبیاءه باتخاذ الاسلام دیناً، کما فی قوله لإبراهیم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الدین الواحد هو المیثاق الذی أخذ علی جمیع الأنبیاء التسلیم له</w:t>
      </w:r>
    </w:p>
    <w:p>
      <w:pPr>
        <w:pStyle w:val="BookText"/>
        <w:rPr/>
      </w:pPr>
      <w:r>
        <w:rPr>
          <w:rFonts w:ascii="IRNazanin" w:hAnsi="IRNazanin" w:eastAsia="IRNazanin"/>
          <w:color w:val="111111"/>
          <w:sz w:val="28"/>
          <w:sz w:val="28"/>
          <w:szCs w:val="28"/>
          <w:rtl w:val="true"/>
          <w:lang w:bidi="fa-IR"/>
        </w:rPr>
        <w:t>والإیمان به ونصرته، وهو دین النبیّ الأکرم صلی الله علیه و آله المتمثّل برسالته ووساطته بین الله وخلقه، فهو دین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کان الأمر کذلک فکلّ ما هو داخل فی دائرة الدین یکون من المیثاق الذی‌أخذ علی الأنبیاء الإیمان به ونصرته والتسلیم له، ومن الدین ولایة أهل البیت علیهم السلام بنصّ القرآن الکریم،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نصّت روایات الفریقین علی أن هذا المقطع من الآیة المبارکة نزل عند تنصیب الله عزّ وجلّ أمیر المؤمنین علیه السلام لمقام الخلافة والإمامة بعد رسول الله صلی الله علیه و آله وذلک فی واقعة الغدیر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الولایة والخلافة بعد رسول الله صلی الله علیه و آله من الدین الذی بعث به جمیع الأنبیاء، وقد أُکمل بتنصیب أمیر المؤمنین علیه السلام بعد حجّة الوداع مضافاً إلی أن جملة الآیات والأدلّة القائمة علی إمامة أهل البیت علیهم السلام دالّة علی أن إمامتهم وولایتهم من أصول الدین تتلو أصل النبوّة، سیما وأن الأنبیاء مخاطبون بآیات الولایة والقربی والمودّة عند رجوعهم للنصرة، فهم مأمورون بطاعة أولی الأمر والمودّة للقربی والتوجّه بهم إلی الله تعالی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یبعث نبیّ من الأنبیاء إلّابعد أن آمن وسلّم بالدین الذی هو ولایة النبیّ صلی الله علیه و آله وأهل بیته، فالولایة دین الله الذی بتسلیمه استحقّ</w:t>
      </w:r>
    </w:p>
    <w:p>
      <w:pPr>
        <w:pStyle w:val="BookText"/>
        <w:rPr/>
      </w:pPr>
      <w:r>
        <w:rPr>
          <w:rFonts w:ascii="Amiri" w:hAnsi="Amiri" w:eastAsia="Amiri" w:cs="Amiri"/>
          <w:color w:val="111111"/>
          <w:sz w:val="28"/>
          <w:sz w:val="28"/>
          <w:szCs w:val="28"/>
          <w:rtl w:val="true"/>
          <w:lang w:bidi="ar-SA"/>
        </w:rPr>
        <w:t>الأنبیاء مقام النبوّة کلّ بحسب ما بلغه من درجة التسلیم، فإن للولایة والتسلیم درجات وبحسب درجة التسلیم لکلّ نبیّ یعطی ذلک النبیّ مقام الحظوة عند الله تعالی ویستحقّ مقام النبوّة، وإذا ازدادت درجة التسلیم کان ذلک النبیّ من أولی العزم، فتفضیل الأنبیاء الوارد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النَّبِیِّینَ عَلی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کذلک تفضیل الرسل،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 مِنْهُمْ مَنْ کَلَّمَ اللّهُ وَ رَفَعَ بَعْضَهُمْ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کلّ ذلک التفضیل بحسب درجة التسلیم والتولّی لدین الله عزّ وجلّ، وذلک بالولایة للنبیّ الأکرم صلی الله علیه و آله وأهل بیته، فالتسلیم للنبیّ وأهل بیته والإیمان بولایتهم نوع توجّه قلبی إلی الله عزّ وجلّ بهم، وهو شرط لنیل المقامات العظیمة عند الله تعالی کالنبوّة والرسالة، فضلًا عن غیرها من العبادات وقبول التوبة واستدرار الأرزاق الإلهیّة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بیّن الله عزّ وجلّ حقیقة المیثاق الذی أخذه علی الأنبیاء وکیفیة إقرارهم وإیمانهم به وثباتهم علیه، کما فی قصة آدم علیه السلام، حیث جاء فیها أن الأمانة والمیثاق الذی أقرّ به آدم وتحمّله لنیل منصب الخلافة الإلهیة عبارة عن الأسماء الحیّة العاقلة الشاعرة، التی علّمها الله عزّ وجلّ آدم ولیست هی من السماوات والأرض، بل هی ملکوتها وباطنها ومحیطة بها ومهیمنة علیها، والأسماء هم الرسول صلی الله علیه و آله وأهل بیته علیهم السلام، کما تقدّم فی الأبحاث السابقة کما نصّت علیه روایات الفریقین، وعلیه فیکون المیثاق الذی تحمّله آدم وآمن به</w:t>
      </w:r>
    </w:p>
    <w:p>
      <w:pPr>
        <w:pStyle w:val="BookText"/>
        <w:rPr/>
      </w:pPr>
      <w:r>
        <w:rPr>
          <w:rFonts w:ascii="IRNazanin" w:hAnsi="IRNazanin" w:eastAsia="IRNazanin"/>
          <w:color w:val="111111"/>
          <w:sz w:val="28"/>
          <w:sz w:val="28"/>
          <w:szCs w:val="28"/>
          <w:rtl w:val="true"/>
          <w:lang w:bidi="fa-IR"/>
        </w:rPr>
        <w:t>ونال بواسطته مقام الخلافة هو الولایة للنبیّ الأکرم صلی الله علیه و آله وأهل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الحال فی الکلمات التی ابتلی بها إبراهیم علیه السلام، فلما أتمّهن نال مقام الإمامة، فهذه الکلمات هی میثاق إبراهیم علیه السلام لما أتمّها وآمن بها وأسلم بواسطتها لله‌ربّ العالمین استحقّ مقام الإمامة الإلهیة، وسبق أیضاً أن تلک الکلمات التی ابتلی بها إبراهیم وکان إتمامها سبباً لنیل المقامات العالیة هم محمّد صلی الله علیه و آله وآله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المیثاق عبارة عن أمتحان وابتلاء لنیل المقامات الرفیعة کالنبوّة والإمامة، والمیثاق هو ولایة أهل البیت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النبیّ الأکرم صلی الله علیه و آله أعلی مقاماً من أهل بیته علیهم السلام وهم یتوجّهون بالنبیّ صلی الله علیه و آله إلی الله عزّ وجلّ وبشفاعته ینالون درجة مقامه عند الله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ولایة أمیر المؤمنین علیه السلام وأهل البیت علیهم السلام ذکرت تلو ولایة النبیّ الأکرم فی جملة من آیات الطاعة والولایة، التی تقدم ذکرها، مما یدلّل علی أن ولایة المعصومین علیهم السلام من الدین الذی بعث به الأنبیاء، إذ الدین دائرته موحّدة بین الأنبیاء، والذی هو عبارة عن أصول العقائد وأصول الواجبات والمحرّمات، التی هی أرکان الفروع کأصل وجوب الصلاة والحجّ والجهاد والأمر بالمعروف والنهی عن المنکر، فهذه کلّها من دائرة الدین لا الشریعة المختلفة من نبیّ إلی آخر، وولایة أمیر المؤمنین علیه السلام من الدین الذی بعث به جمیع الأنبیاء والرسل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من الآیات التی قرنت الرسول الأکرم بأهل بیته علیهم السلام آیات الفیء والخمس،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الآیة المبارکة تبیّن أن أولیاء الخمس الذین لهم الولایة علی اقتصاد الدولة الإسلامیة هم الله تعالی ورسوله وذوی القربی، بقرینة الاشتراک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علی ملکیة التصرف فی أموال الدولة الإسلامیة، وأما الیتامی والمساکین وابن السبیل فهم موارد مصرف الخمس؛ ولذا تغیّر التعبیر فیهم بحذف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بنفس البیان 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فلإقامة العدالة المالیة والاقتصادیة علی الأرض لابدّ أن تدار الأموال العامة التی ترجع إلی بلاد الإسلام بولایة الله ورسوله وذوی القربی، وهم قربی الرسول الأکرم الذین جعلت مودّتهم أجراً وعدلًا لما جاء به النبیّ الأکرم من الدین الحنیف،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یکشف عن أهمیّة تولّی ذوی القربی وأن ولایتهم مفتاح لسائر أبواب الدین ومن دون التوسّل بها یخطأ الشخص ویضلّ طریق التوحید، فیقع فی مثل الجبر أو التفویض أو غیر ذلک، فلابدّ من الولوج إلی الدین عن</w:t>
      </w:r>
    </w:p>
    <w:p>
      <w:pPr>
        <w:pStyle w:val="BookText"/>
        <w:rPr/>
      </w:pPr>
      <w:r>
        <w:rPr>
          <w:rFonts w:ascii="IRNazanin" w:hAnsi="IRNazanin" w:eastAsia="IRNazanin"/>
          <w:color w:val="111111"/>
          <w:sz w:val="28"/>
          <w:sz w:val="28"/>
          <w:szCs w:val="28"/>
          <w:rtl w:val="true"/>
          <w:lang w:bidi="fa-IR"/>
        </w:rPr>
        <w:t>الطریق والباب الذی نصبه الله عزّ وجلّ لخلقه، ولا یمکن الوقوف علی حقیقة الدین إلّا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فمودّة ذوی القربی أمر عظیم إذا سَلِم سَلِمت بقیّة أصول الدین، ولا یوجد قربی للنبیّ الأکرم صلی الله علیه و آله بهذا الشأن الخطیر سوی المعصومین من أهل بیته، فولایتهم عاصمة عن الضلال وهی رکن رکین فی الدین الذی بعث به الأنبیاء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أن الدین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ستأتی الإشارة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یستثنی منه أحد فی جمیع النشآت بنحو الأبد وعدم الانقطاع، ومن ثمّ یکون وجوب الطاعة والولایة مکلَّف به جمیع المخلوقات بنحو من التأبید والخلود، فخلافة وولایة أولی الأمر ووجوب طاعتهم لا تختصّ بالجنّ أو الإنس ولا بالأمور السیاسیة الدنیویة ولیس لأمدها حدّ ولا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أیضاً آیات أخری ستأتی لاحقاً قرنت بین النبیّ الأکرم صلی الله علیه و آله وأهل بیته، مما یکشف عن أن مقامات الأنبیاء ونیل الحظوة الإلهیة لا یتم إلّابالتوسل والتوجّه بهم إلی الله تعالی، وأن تولّیهم واسطة للفیض الإلهی، ولولاهم لما بعث الأنبیاء والمرسلون، فهم الوسیلة إلی الله تعالی فی عظائم الأمور، فکیف بالقضایا الأخری التی هی أقلّ شأناً مما یرتبط بالأمور الحیاتیة والمعیشیة للناس؟</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کلّه یصلح بیاناً بذاته لتبعیة الأنبیاء جمیعاً لخاتم الأنبیاء وأهل بیته علیهم السلام مع سبقهم الزمنی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آخر لتوسل الأنبیاء بالرسول الأکرم وأهل بیته فی نیل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وأهل بیته قدوة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یشیر إلی کون النبیّ صلی الله علیه و آله وأهل بیته علیهم السلام قدوة لجمیع الأنبیاء والمرسلین حتّی أولی العزم منهم، وبالتالی اتّباعهم للنبیّ صلی الله علیه و آله وأهل بیته علیهم السلام وسیلة لبلوغهم إلی المقامات العالیة من النبوّة والرسالة والخلّة والإمامة وغیرها، مع أن النبیّ وأهل بیته متأخرین عنهم من حیث الزمان فی النشأة الأرضیة، هو ما دلّت علیه جملة من الآیات والروایات من أن الله تعالی أنبأ آدم ونوح وإبراهیم وموسی وعیسی وغیرهم من الأنبیاء والرسل بالأحوال والحوادث التی تجری علی خاتم الأنبیاء صلی الله علیه و آله وأهل بیته علیهم السلام، من المحن والمصائب والابتلاءات والامتحانات والشدائد وکیفیة ثباتهم علیهم السلام فیها وصبرهم ورضاهم وتسلیمهم بقضاء الله وقدره وتنمّرهم فی ذات الله، وأطلعهم علی الکمالات والمقامات الرفیعة التی یکونون علیها، مع عظیم ابتلائهم بتلک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یوجب تربیة روحیة عالیة لهم لیتحلّوا بالکمالات عند مواجهتهم للشدائد والفتن والمحن وبالتالی نیل المقامات التی حظوا بها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فیما أوحی الله عزّ وجلّ لهم عن أحوال النبیّ وأهل بیته بأنماط متعدّدة من الوحی، أی من الوحی الصوری نظیر الرؤیا أو الوحی بالإلهام والمعنی وغیرها من أنماط الوحی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سیرة النبیّ صلی الله علیه و آله وأهل بیته علیهم السلام تمثالًا منصوباً وشعاراً مرفوعاً لهم یحتذون ویقتدون به، ماثل أمام أعینهم طیلة مسیرة أیام نبوّتهم ورسالتهم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أحد معانی اقتداء الأنبیاء والمرسلین بالنبیّ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الآیات التی تشیر إلی هذا المعنی فهی عدیدة نشیر إلی جانب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دالّة علی أن الله عزّ وجلّ أخبرهم عن خاتم الأنبیاء ومقاماته وأن الدین دینه وهو فاتح حصونه، ثم بعد ذلک أمرهم بالتسلیم له والإیمان به ونصرته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 علی لسان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 فی یهود المدینة، قُبیل ولادة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نقل المفسّرون فی ذیل هذه الآیة المبارکة أن الیهود من أهل المدینة وخیبر کانوا إذا قاتلوا من یلیهم من مشرکی العرب من الأوس والخزرج یستنصرون بالنبیّ صلی الله علیه و آله علیهم ویستفتحون به، لما یجدون من ذکره وصفاته وشمائله ومحلّ ولادته فی التوراة، وکانوا یدعون ویتوسلون بحقّه للنصرة علیهم، حیث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نستنصرک بحقّ النبیّ الأمیّ إلّانصرتنا علیهم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یهود خیبر تقاتل غطفان فکلّما التقوا</w:t>
      </w:r>
    </w:p>
    <w:p>
      <w:pPr>
        <w:pStyle w:val="BookText"/>
        <w:rPr/>
      </w:pPr>
      <w:r>
        <w:rPr>
          <w:rFonts w:ascii="IRNazanin" w:hAnsi="IRNazanin" w:eastAsia="IRNazanin"/>
          <w:color w:val="111111"/>
          <w:sz w:val="28"/>
          <w:sz w:val="28"/>
          <w:szCs w:val="28"/>
          <w:rtl w:val="true"/>
          <w:lang w:bidi="fa-IR"/>
        </w:rPr>
        <w:t>هزمت یهود خیبر، فعاذت الیهود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نسألک بحقّ محمّد النبیّ الأمیّ الذی وعدتنا أن تخرجه لنا فی آخر الزمان إلّانصرتنا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إذا التقوا دعوا بهذا الدعاء فهزموا غطفان، فلما بُعث النبیّ صلی الله علیه و آله کفروا به، فأنزل الله وقد کانوا یستفتحون بک یامحمّد علی الکافرین</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 فی الیهود والنصاری الذین آمنوا بالنبیّ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 فی معرفة أهل الکتاب بصفات وشمائل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هذه الأربع آیات الأخیرة صریحة فی إخبار الأنبیاء علیهم السلام أممهم بأحوال خاتم الأنبیاء صلی الله علیه و آله وسیرته، وهذا یکشف عن أن الله تعالی أطلع أنبیاءه علی سیرة النبیّ الأعظم وما یجری علیه من المحن والشدائد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 علی لسان إبراهیم فی دعائه لذریّته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دالّة علی أن إبراهیم کان مطّلعاً علی سیرة ذرّیته الطاهرة، ودعا الله عزّ وجلّ بمودّة الناس لهم وهویّ القلوب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بالنسبة إلی الآیات المبارکة، وهی دالّة علی أن الأنبیاء علیهم السلام کانوا علی اطّلاع بالنبیّ الأکرم وأهل بیته الطاهرین وما یجری علیهم من البلایا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فی هذا المجال فهی کثیرة جدّاً نشیر إلی شطر منها علی سبیل الاختصار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أخرجه القندوزی الحنفی فی الینابیع، عن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یاعباد الله إن آدم علیه السلام لما رأی النور ساطعاً من صلبه، إذ کان الله تعالی نقل أشباحنا من ذروة العرش إلی ظهره، رأی النور ولم یتبیّن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ما هذه الأنوار؟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العرش إلی ظهرک، ولذلک أمرت الملائکة بالسجود لک، إذ کنت وعاءً لتلک الأشباح، 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لو بیّنتها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یاآدم إلی ذروة العرش</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آدم علیه السلام ووقع نور أشباحنا من ظهر آدم علیه السلام إلی ذروة العرش، فانطبع فیه صور أنوار أشباحنا التی فی ظهره کما ینطبع وجه الانسان فی المرآة الصافیة، فرأی أشباحنا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الأشباح یاربّ؟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یاآدم هذه الأشباح أشباح أفضل خلائقی وبریّاتی، هذا محمّد وأنا المحمود فی أفعالی، شققت له اسماً من اسمی، وهذا علی‌وأنا العلیّ العظیم شققت له اسماً من اسمی، وهذه فاطمة وأنا فاطر السماوات والأرض، فاطم أعدائی من رحمتی یوم فصل القضاء، وفاطم أولیائی مما یبیرهم ویشینهم، شققت لها اسماً من اسمی، وهذا الحسن وهذا الحسین وأنا المحسن المجمل ومنّی الاحسان، شققت اسمیهما من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خیار خلقی وکرائم بریّتی، بهم آخذ وبهم أعطی، وبهم أعاقب وبهم أثیب، فتوسل بهم إلیّ یاآدم، وإذا دهتک داهیة فاجعلهم إلیّ شفعائک فإنی آلیت علی نفسی قسماً حقّاً لا أُخیّب لهم آملًا ولا أردّ لهم سائلًا</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صریحة فی أن الله تعالی أطلع خلیفته ونبیّه آدم علی حقائق أهل البیت علیهم السلام، لیکونوا له قدوة یقتدی بهم وشفعاء یتوسل بهم إلی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 علیه السلام لما هبط إلی الأرض لم یرَ حواء، فصار یطوف الأرض فی طلبها، فمرّ بکربلاء فاغتمّ وضاق صدره من غیر سبب، وعثر فی الموضع الذی قُتل فیه الحسین علیه السلام حتی سال الدمّ من رجله، فرفع رأسه إلی السماء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هل حدث منّی ذنب آخر فعاقبتنی به؟ فإنی طفت جمیع الأرض وما أصابنی سوء مثل ما أصابنی فی هذه الأرض</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تعالی إلیه یاآدم ما حدث منک ذنب، ولکن یقتل فی هذه</w:t>
      </w:r>
    </w:p>
    <w:p>
      <w:pPr>
        <w:pStyle w:val="BookText"/>
        <w:rPr/>
      </w:pPr>
      <w:r>
        <w:rPr>
          <w:rFonts w:ascii="IRNazanin" w:hAnsi="IRNazanin" w:eastAsia="IRNazanin"/>
          <w:color w:val="111111"/>
          <w:sz w:val="28"/>
          <w:sz w:val="28"/>
          <w:szCs w:val="28"/>
          <w:rtl w:val="true"/>
          <w:lang w:bidi="fa-IR"/>
        </w:rPr>
        <w:t>الأرض ولدک الحسین ظلماً، فسال دمک موافقة لدمه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أخرجه المجلسی فی البحار عن صاحب الدرّ الثمین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رأی ساق العرش وأسماء النبیّ والأئمة علیهم السلام، فلقّنه جبرئیل،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یاحمید بحقّ محمّد، یاعالی بحقّ علیّ یافاطر بحقّ فاطمة، یامحسن بحقّ الحسن والحسین ومنک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ذکر الحسین سالت دموعه وانخشع قلبه،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یاأخی جبرئیل فی ذکر الخامس ینکسر قلبی وتسیل عبرتی؟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ولدک هذا یصاب بمصیبة تصغر عندها المصائب،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یاأخی 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عطشاناً غریباً وحیداً فریداً لیس له ناصر ولا معین</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أخرجه الصدوق عن علیّ بن موسی الرضا علیه السلام، قال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 الله تبارک وتعالی إبراهیم علیه السلام أن یذبح مکان ابنه إسماعیل الکبش الذی أنزله علیه تمنّی إبراهیم علیه السلام أن یکون یذبح ابنه إسماعیل علیه السلام بیده، وأنه لم یؤمر بذبح الکبش مکانه؛ لیرجع إلی قلبه ما یرجع إلی قلب الوالد الذی یذبح أعزّ ولده بیده فیستحقّ بذلک أرفع درجات أهل الثواب علی المصائب،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یاإبراهیم من أحبّ خلقی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ما خلقت خلقاً هو أحبّ إلیّ من حبیبک محمّد صلی الله علیه و آله،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یاإبراهیم أفهو أحبّ إلیک أو نفسک؟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إلیّ من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إلیک أو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علی أیدی أعدائه أوجع لقلبک أو ذبح ولدک بیدک فی طاعتی؟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بل ذبحه علی أیدی أعدائه أوجع لقلبی،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یاإبراهیم فإن طائفة تزعم إنها من أمة محمّد صلی الله علیه و آله ستقتل الحسین علیه السلام إبنه من بعده ظلماً وعدواناً کما یذبح الکبش، فیستوجبون بذلک سخطی، فجزع إبراهیم علیه السلام لذلک وتوجّع قلبه وأقبل یبکی،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یاإبراهیم قد فدیت جزعک علی إبنک إسماعیل لو ذبحته بیدک بجزعک علی الحسین علیه السلام وقتله، وأوجبت لک أرفع درجات أهل الثواب علی المصائب</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أخرجه ابن قولویه فی کامل الزیارات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إسماعیل الذی قال الله تعالی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 یکن إسماعیل ابن إبراهیم علیه السلام، بل کان نبیّاً من الأنبیاء بعثه الله إلی قومه، فأخذوه فسلخوا فروة رأسه ووجهه، فأتاه ملک عن الله تبارک وتعالی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بعثنی إلیک فمرنی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أسوة بما یصنع بالحسین علیه السلام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آخر 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إسماعیل بن حزقیل النبیّ علیه السلام، بعثه الله إلی قومه فکذّبوه فقتلوه وسلخوا وجهه، فغضب الله له علیهم فوجّه إلیه اسطاطائیل ملک العذاب،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اسطاطائیل ملک العذاب، وجّهنی إلیک ربّ العزّة لأعذّب قومک بأنواع العذاب إن شئت، فقال له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لی فی ذلک، فأوحی الله إلیه فما حاجتک یاإسماعیل؟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إنک أخذت المیثاق لنفسک بالربوبیة ولمحمّد صلی الله علیه و آله بالنبوّة ولأوصیائه بالولایة، وأخبرت خیر خلقک بما تفعل أمته بالحسین بن علیّ علیه السلام من بعد نبیّها، وأنک وعدت الحسین علیه السلام أن تکرَّهُ إلی الدنیا حتی ینتقم بنفسه ممن فعل ذلک به، فحاجتی إلیک یاربّی أن تکرّنی إلی الدنیا حتّی أنتقم ممن فعل ذلک بی، کما تکرّ الحسین علیه السلام، فوعد الله إسماعیل بن حزقیل ذلک، فهو یکرّ مع الحسین علیه السلام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سعد بن عبدالله القمی فی سؤاله للإمام المهدی علیه السلام فی محضر الإمام الحسن العسکری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یاابن رسول الله عن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الحروف من أنباء الغیب، أطلع الله علیها عبده زکریّا، ثم قصّها علی محمّد صلی الله علیه و آله، وذلک إن زکریا سأل ربّه أن یعلّمه أسماء الخمسة، فأهبط علیه جبرئیل فعلّمه إیاها، فکان زکریا إذا ذکر محمّداً وعلیاً وفاطمة والحسن والحسین، سری عنه همّه، وانجلی کربه، وإذا ذکر الحسین خنقته العبرة،</w:t>
      </w:r>
    </w:p>
    <w:p>
      <w:pPr>
        <w:pStyle w:val="BookText"/>
        <w:rPr/>
      </w:pPr>
      <w:r>
        <w:rPr>
          <w:rFonts w:ascii="IRNazanin" w:hAnsi="IRNazanin" w:eastAsia="IRNazanin"/>
          <w:color w:val="111111"/>
          <w:sz w:val="28"/>
          <w:sz w:val="28"/>
          <w:szCs w:val="28"/>
          <w:rtl w:val="true"/>
          <w:lang w:bidi="fa-IR"/>
        </w:rPr>
        <w:t>ووقعت علیه البهرة</w:t>
      </w:r>
      <w:r>
        <w:rPr>
          <w:rStyle w:val="FootnoteAnchor"/>
          <w:rtl w:val="true"/>
        </w:rPr>
        <w:footnoteReference w:id="289"/>
      </w:r>
      <w:r>
        <w:rPr>
          <w:rFonts w:ascii="IRNazanin" w:hAnsi="IRNazanin" w:eastAsia="IRNazanin"/>
          <w:color w:val="111111"/>
          <w:sz w:val="28"/>
          <w:sz w:val="28"/>
          <w:szCs w:val="28"/>
          <w:rtl w:val="true"/>
          <w:lang w:bidi="fa-IR"/>
        </w:rPr>
        <w:t>، فقال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یاإلهی ما بالی إذا ذکرت</w:t>
      </w:r>
    </w:p>
    <w:p>
      <w:pPr>
        <w:pStyle w:val="BookText"/>
        <w:rPr/>
      </w:pPr>
      <w:r>
        <w:rPr>
          <w:rFonts w:ascii="IRNazanin" w:hAnsi="IRNazanin" w:eastAsia="IRNazanin"/>
          <w:color w:val="111111"/>
          <w:sz w:val="28"/>
          <w:sz w:val="28"/>
          <w:szCs w:val="28"/>
          <w:rtl w:val="true"/>
          <w:lang w:bidi="fa-IR"/>
        </w:rPr>
        <w:t>أربعاً منهم تسلّیت بأسمائهم من همومی، وإذا ذکرت الحسین تدمع عینی وتثور زفرتی؟ فأنبأه الله تعالی عن 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ذلک زکریا لم یفارق مسجده ثلاثة أیام ومنع فیها الناس من الدخول علیه، وأقبل علی البکاء والنحیب، وکانت ندبته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أتفجع خیر خلقک بولده؟</w:t>
      </w:r>
    </w:p>
    <w:p>
      <w:pPr>
        <w:pStyle w:val="BookText"/>
        <w:rPr/>
      </w:pPr>
      <w:r>
        <w:rPr>
          <w:rFonts w:ascii="IRNazanin" w:hAnsi="IRNazanin" w:eastAsia="IRNazanin"/>
          <w:color w:val="111111"/>
          <w:sz w:val="28"/>
          <w:sz w:val="28"/>
          <w:szCs w:val="28"/>
          <w:rtl w:val="true"/>
          <w:lang w:bidi="fa-IR"/>
        </w:rPr>
        <w:t>إلهی أتنزل بلوی هذه الرزیة بفنائه؟ إلهی أتلبس علیاً وفاطمة ثیاب هذه المصیبة؟ إلهی أتحلّ کربة هذه الفجیعة بساحتهما؟</w:t>
      </w:r>
    </w:p>
    <w:p>
      <w:pPr>
        <w:pStyle w:val="BookText"/>
        <w:rPr/>
      </w:pPr>
      <w:r>
        <w:rPr>
          <w:rFonts w:ascii="IRNazanin" w:hAnsi="IRNazanin" w:eastAsia="IRNazanin"/>
          <w:color w:val="111111"/>
          <w:sz w:val="28"/>
          <w:sz w:val="28"/>
          <w:szCs w:val="28"/>
          <w:rtl w:val="true"/>
          <w:lang w:bidi="fa-IR"/>
        </w:rPr>
        <w:t>ثم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ارزقنی ولداً تقرّ به عینی علی الکبر، واجعله وارثاً وصیّاً، واجعل محلّه منّی محلّ الحسین، فإذا رزقتنیه فافتنّی بحبّه ثم افجعنی به کما تفجع محمّداً حبیبک بولده، فرزقه الله یحیی وفجعه به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فی هذا المجال کثیرة جدّاً، وهی دالّة علی ما أردنا التنبیه علیه من تبعیة الأنبیاء لمحمّد وأهل بیته علیهم السلام، وکونهم قدوة لهم وواسطة فی بلوغ ما وصلوا إلیه من المقامات، وذلک عن طریق استعراض سیرتهم والحوادث التی جرت علیهم علیهم السلام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أخری فی اقتران أهل البیت علیهم السلام بالنبیّ صلی الله علیه و آله فی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قرنت هذه الآیة المبارکة بالنبیّ الأکرم صلی الله علیه و آله أهل بیته علیهم السلام وجعلتهم شرکاء له تابعون فی الطهارة، وهی تعنی درجة العصمة التی للرسول صلی الله علیه و آله، فهو صلی الله علیه و آله سیّد الأنبیاء ویفوق الکلّ فی درجة العصمة والطهارة، إلّا أن سنخ عصمته صلی الله علیه و آله متقاربة ومتقارنة مع سنخ العصمة التی لأهل البیت علیهم السلام، ففی الوقت الذی قرن الله تعالی بنبیّه صلی الله علیه و آله أهل بیته فی العصمة والطهارة، لم یقرن أحداً من الأنبیاء فی نمط التطهیر والعصمة الذی 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یُنزَّل أحد کنفس النبیّ صلی الله علیه و آله إلّاعلیّ علیه السلام، وقرن الله تعالی بالنبیّ صلی الله علیه و آله أهل بیته علیهم السلام فی الحجّیة، فالخمسة علیهم السلام معاً حجج علی جمیع الأدیان السماویة والبشریة عموماً إلی یوم القیامة، فهم علیهم السلام شرکاء النبیّ صلی الله علیه و آله فی الرسالة؛ لأن المباهلة نوع محالفة، وفی الحلف لابدّ أن یحلف الأصیل ولا وکالة فی الحلف، وهذا یعنی أنهم علیهم السلام شرکاء فی الرسالة أصالة، ولکنهم تابعون فی ذلک للنبیّ صلی الله علیه و آله وهو سیّدهم وبشفاعته نالوا الأصالة فی الحجّیة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البیت علیهم السلام مقرونون بسیّد الأنبیاء فی المقامات تبعاً</w:t>
      </w:r>
      <w:bookmarkStart w:id="387" w:name="pg13703_133916"/>
    </w:p>
    <w:p>
      <w:pPr>
        <w:pStyle w:val="BookText"/>
        <w:rPr/>
      </w:pPr>
      <w:bookmarkEnd w:id="387"/>
      <w:r>
        <w:rPr>
          <w:rFonts w:ascii="IRNazanin" w:hAnsi="IRNazanin" w:eastAsia="IRNazanin"/>
          <w:color w:val="111111"/>
          <w:sz w:val="28"/>
          <w:sz w:val="28"/>
          <w:szCs w:val="28"/>
          <w:rtl w:val="true"/>
          <w:lang w:bidi="fa-IR"/>
        </w:rPr>
        <w:t>له صلی الله علیه و آله، وهذا یعنی أن الإیمان بأهل البیت والتولّی لهم من الدین الذی أخذ علی الأنبیاء الإیمان به ونصرته لأجل نیل المقامات العالیة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الدلیل السابع علی عموم شرطیة التوسّل بالنبیّ صلی الله علیه و آله وأهل بیته علیهم السلام لصحّة الإیمان وللتوبة وسائر العبادات ولنیل مقامات القرب</w:t>
      </w:r>
      <w:r>
        <w:rPr>
          <w:rFonts w:eastAsia="IRNazanin" w:cs="IRNazanin"/>
          <w:color w:val="111111"/>
          <w:sz w:val="28"/>
          <w:szCs w:val="28"/>
          <w:rtl w:val="true"/>
          <w:lang w:bidi="fa-IR"/>
        </w:rPr>
        <w:t>.</w:t>
      </w:r>
    </w:p>
    <w:p>
      <w:pPr>
        <w:pStyle w:val="Heading3"/>
        <w:numPr>
          <w:ilvl w:val="2"/>
          <w:numId w:val="1"/>
        </w:numPr>
        <w:rPr/>
      </w:pPr>
      <w:bookmarkStart w:id="388" w:name="__RefHeading___Toc1101214_1468164448"/>
      <w:bookmarkStart w:id="389" w:name="_Toc143"/>
      <w:bookmarkEnd w:id="388"/>
      <w:r>
        <w:rPr>
          <w:rtl w:val="true"/>
        </w:rPr>
        <w:t>الدلیل الثامن</w:t>
      </w:r>
      <w:r>
        <w:rPr>
          <w:rtl w:val="true"/>
        </w:rPr>
        <w:t>:</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تقدّم أن هذه الآیة المبارکة دالّة علی مبدأ التوسّل، ونشیر هنا أیضاً إلی أنها دالّة عموم شرطیة التوسّل فی التوجّه إلی الحضرة الإلهیة، فلابدّ من التوسّل بالذریّة والتوجّه بهم وصلتهم والمجیء إلیهم، وسبق کذلک أن التوجّه نوع دعاء وهو لا یرتفع ولا تفتّح له أبواب السماء إلّابالتوسل بالنبیّ صلی الله علیه و آله وأهل بیته علیهم السلام وهویّ القلوب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کانت مودّة أهل البیت علیهم السلام أجر الرسالة الخاتمة، کما فی قوله تعالی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یعنی أن مودّة أهل البیت علیهم السلام یعود نفعها للأمة جمعاء،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إِلاّ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أَنْ یَتَّخِذَ إِلی رَبِّهِ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ومعنی ذلک أن مودّتهم علیهم السلام هی السبیل الوحید والطریق والوسیلة المنحصرة إلی الله تعالی، فهم السبیل إلیه والمسلک إلی رضوانه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الاستکبار والصدّ عن آیات الله تعالی موجب لحبط الأعمال</w:t>
      </w:r>
    </w:p>
    <w:p>
      <w:pPr>
        <w:pStyle w:val="BookText"/>
        <w:rPr/>
      </w:pPr>
      <w:r>
        <w:rPr>
          <w:rFonts w:ascii="Amiri" w:hAnsi="Amiri" w:eastAsia="Amiri" w:cs="Amiri"/>
          <w:color w:val="111111"/>
          <w:sz w:val="28"/>
          <w:sz w:val="28"/>
          <w:szCs w:val="28"/>
          <w:rtl w:val="true"/>
          <w:lang w:bidi="ar-SA"/>
        </w:rPr>
        <w:t>نرید أن نتعرض هنا فی الاستدلال علی المقام بما تقدّم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أن نضیف علی ما تقدم من بیان هذه الآیة الکریمة بما له دلالة علی المطلوب فی المقام، وذلک بالبیان التالی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الآیة المبارکة تتعرّض لبعض الأحکام المترتّبة علی التکذیب بآیات الله تعالی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من الآیات هی الحجج الإلهیة، حیث أطلق الله عزّ وجلّ لفظ الآیة علی مریم وعیسی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کان عیسی علیه السلام لم ینل ما ناله إلّابولایته وإقراره وإیمانه بسیّد الأنبیاء فکیف بنفس النبیّ الأکرم صلی الله علیه و آله، فهو أعظم آیة لله‌تعالی؟ وإذا کان عیسی علیه السلام من وزراء الإمام المهدی علیه السلام وتابعاً له فی دولته، فکیف لا یکون أهل البیت علیهم السلام من أعظم آیات الله تعالی؟ خصوصاً وأن الله تعالی قرن بالنبیّ الأکرم صلی الله علیه و آله أهل</w:t>
      </w:r>
    </w:p>
    <w:p>
      <w:pPr>
        <w:pStyle w:val="BookText"/>
        <w:rPr/>
      </w:pPr>
      <w:r>
        <w:rPr>
          <w:rFonts w:ascii="IRNazanin" w:hAnsi="IRNazanin" w:eastAsia="IRNazanin"/>
          <w:color w:val="111111"/>
          <w:sz w:val="28"/>
          <w:sz w:val="28"/>
          <w:szCs w:val="28"/>
          <w:rtl w:val="true"/>
          <w:lang w:bidi="fa-IR"/>
        </w:rPr>
        <w:t>بیته علیهم السلام فی الطهارة والعصمة والحجّیة والولایة وغیرها من المقامات التی تقدّم التعرّض لها آنفاً، فلا شک أن النبیّ الأکرم صلی الله علیه و آله وأهل بیته علیهم السلام المصداق البارز للآیة التی نحن بصدد بیانها، فهم علیهم السلام أوضح وأبرز وأعظم آیات الله تعالی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والذین یکذّبون بآیات الله تعالی ویصدّون ویستکبرون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إبلیس مع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لهم أبواب السماء، فلکی تفتّح أبواب السماء لقبول الأعمال والعبادات والعقائد وجمیع المقامات، 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والکلم الطیب هو العقیدة، فبیّنت الآیة أن الإیمان والعقیدة لابدّ له أن یصعد فی مسیر قبوله عند الله تعالی، والصعود إلی السماء لابدّ أن تفتّح له أبواب السماء، وقد بیّنت الآیة السابقة أن مفتاح أبواب السماء هو کلّ من التصدیق بالآیات الإلهیة والخضوع لها واللُجأ إلیها وعدم الصدّ عنها، ومن أجل الرقی والعروج إلی السماء لابدّ من التوجّه إلی آیات الله تعالی واللجوء إلیها والتصدیق بها وعدم الصدّ عنها، فالآیة صریحة فی أن التوبة والعبادة وأیّ قربی أو زلفی إلی الله عزّ وجلّ تفتقر إلی تفتّح أبواب السماء وأنها لا تفتّح أبداً مع الاستکبار علی الآیات الإلهیة، فلیس الإیمان بآیات الله فحسب کافٍ فی قبول العبادات ورقی المقامات، بل لابدّ من المودّة والصلة والإقبال والتوجّه إلی الآیات والتوسّل بها إلی الله، وعدم الصدّ والإعراض والإستکبار عنها، لأن الآیة جعلت شرطین لفتح أبواب السماء ولدخول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التکذیب، أی التصدیق والإیمان والمعرفة بآیات الله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الاستکبار عنها، وهذا الأمر یتضمّن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الاستکبار أی الخضوع والتواضع، 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الصدّ الذی قد ضُمّن فی فعل الاستکبار بقرنیة عن، نظیر ما ذکرته الآیات فی مسبب کفر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فالإباء هو الجحود مقابل التصدیق، والاستکبار مقابل الخضوع والاتباع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ونظیر ذلک ما ورد فی سورة المنافقین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الآیة الکریمة صریحة فی أن الاستغفار وقبول التوبة متوقّف علی المجیء إلی النبیّ صلی الله علیه و آله، وأن صفة المنافق الصدّ عن الآیات الإلهیة والاستکبار علیها والابتعاد عنها وعدم اللجوء واللواذ إلیها، وهذا نوع من التشاهد بین الآیات القرآنیة، فالآیة تدلّ علی أن الأوبة إلی الله تعالی والقرب إلیه لابدّ فیه من التوجّه أوّلاً إلی الحضرة النبوّیة والتوسّل والاستشفاع بالنبی صلی الله علیه و آله ثم شفاعته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فالتوسّل خیار حصری لابدّی شرطی منحصر بالمجیء واللجوء إلی الحضرة النبویّة واللّواذ بها والاستغاثة به صلی الله علیه و آله، ثم إبداء التوبة والاستغفار وإمضاء النبیّ صلی الله علیه و آله له باستغفاره وشفاعته لهم من أجل تحقّق التوبة ومقام المغفرة وقبول العبادة التی منها عبادة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ونظیر هذه الآیات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وَ اسْتَکْبَرُوا عَنْها 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الشواهد أیضاً علی أن المراد من الآیات هنا هم الأنبیاء والخلفاء الأوصیاء الحجج هو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مقابل التصدیق فیما یزعمون من مناصب وفیما لهم من دعوی، وأما الآیة الکونیة فلیس فیها تکذیب أو تصدیق، بل إنما یقع الغفلة والإعراض عنها؛ إذ لا یوجد فیها زعم أو دعوی معیّنة کی یصدق فی حقّها التصدیق أو التکذیب، فالتصدیق أو التکذیب إنما یکون للحجج الإلهیة التی تدّعی مقاماً إلهیاً وکذا فیما تبلّغه عن الله تعالی، فالمراد بالآیة والآیات فی المقام الحجج الإلهیة من الأنبیاء والرسل والأصفیاء والأوصیاء، الذین أُسندت إلیهم المقامات الإلهیة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الآیات المبارکة تبیّن أن مفتاح أبواب سماء الحضرة الربوبیة الإقرار بالحجج والآیات والتوجّه إلیها والتوسّل والتشبّث بها والإنقطاع إلیها لا عنها، وأبرز وأعظم تلک الآیات النبیّ صلی الله علیه و آله وأهل بیته علیهم السلام، فهم مفاتیح أبواب السماء فی قبول وصعود التوبة والعبادة والمعرفة والإیمان والعقیدة ونیل المقامات، فلا ترتفع أی عبادة ولا ینال مقام ولا تتحقّق التوبة مع عدم التصدیق بالآیات وصلتها ومودّتها والتوجّه إلیها والتوسّل بها، والإعراض عنها یوجب حبط الأعمال وامتناع دخولهم الجنّة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یَدْخُلُونَ الْجَنَّةَ حَتّی یَلِجَ الْجَمَلُ فِی سَمِّ الْخِیاطِ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فشرط النجاة یوم القیامة الارتباط بالآیات الإلهیّة</w:t>
      </w:r>
      <w:bookmarkStart w:id="390" w:name="pg13703_133921"/>
    </w:p>
    <w:p>
      <w:pPr>
        <w:pStyle w:val="BookText"/>
        <w:rPr/>
      </w:pPr>
      <w:bookmarkEnd w:id="390"/>
      <w:r>
        <w:rPr>
          <w:rFonts w:ascii="IRNazanin" w:hAnsi="IRNazanin" w:eastAsia="IRNazanin"/>
          <w:color w:val="111111"/>
          <w:sz w:val="28"/>
          <w:sz w:val="28"/>
          <w:szCs w:val="28"/>
          <w:rtl w:val="true"/>
          <w:lang w:bidi="fa-IR"/>
        </w:rPr>
        <w:t>والإنتماء إلیها والتوسّل بها، لکونها قنوات غیبیّة توجب القرب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فالتوسل شرط فی تفتّح الأبواب لقبول وصحّة الإیمان والتوبة وقبول الأعمال وسائر المقامات</w:t>
      </w:r>
      <w:r>
        <w:rPr>
          <w:rFonts w:eastAsia="IRNazanin" w:cs="IRNazanin"/>
          <w:color w:val="111111"/>
          <w:sz w:val="28"/>
          <w:szCs w:val="28"/>
          <w:rtl w:val="true"/>
          <w:lang w:bidi="fa-IR"/>
        </w:rPr>
        <w:t>.</w:t>
      </w:r>
    </w:p>
    <w:p>
      <w:pPr>
        <w:pStyle w:val="Heading3"/>
        <w:numPr>
          <w:ilvl w:val="2"/>
          <w:numId w:val="1"/>
        </w:numPr>
        <w:rPr/>
      </w:pPr>
      <w:bookmarkStart w:id="391" w:name="__RefHeading___Toc1101216_1468164448"/>
      <w:bookmarkStart w:id="392" w:name="_Toc144"/>
      <w:bookmarkEnd w:id="391"/>
      <w:r>
        <w:rPr>
          <w:rtl w:val="true"/>
        </w:rPr>
        <w:t>الدلیل العاشر</w:t>
      </w:r>
      <w:r>
        <w:rPr>
          <w:rtl w:val="true"/>
        </w:rPr>
        <w:t xml:space="preserve">: </w:t>
      </w:r>
      <w:r>
        <w:rPr>
          <w:rtl w:val="true"/>
        </w:rPr>
        <w:t>خضوع الملائکة لآدم علیه السلام</w:t>
      </w:r>
      <w:bookmarkEnd w:id="392"/>
    </w:p>
    <w:p>
      <w:pPr>
        <w:pStyle w:val="Heading4"/>
        <w:numPr>
          <w:ilvl w:val="3"/>
          <w:numId w:val="1"/>
        </w:numPr>
        <w:rPr/>
      </w:pPr>
      <w:bookmarkStart w:id="393" w:name="__RefHeading___Toc1101218_1468164448"/>
      <w:bookmarkStart w:id="394" w:name="_Toc145"/>
      <w:bookmarkEnd w:id="393"/>
      <w:r>
        <w:rPr>
          <w:rtl w:val="true"/>
        </w:rPr>
        <w:t>کلّ خلیفة الله الباب الأعظم لملائکته</w:t>
      </w:r>
      <w:bookmarkEnd w:id="394"/>
    </w:p>
    <w:p>
      <w:pPr>
        <w:pStyle w:val="BookText"/>
        <w:rPr/>
      </w:pPr>
      <w:r>
        <w:rPr>
          <w:rFonts w:ascii="IRNazanin" w:hAnsi="IRNazanin" w:eastAsia="IRNazanin"/>
          <w:color w:val="111111"/>
          <w:sz w:val="28"/>
          <w:sz w:val="28"/>
          <w:szCs w:val="28"/>
          <w:rtl w:val="true"/>
          <w:lang w:bidi="fa-IR"/>
        </w:rPr>
        <w:t>لقد سبق ذکر الآیات التی تعرّضت لقصة آدم علیه السلام وأمر الملائکة کلّهم أجمعین بالسجود له، وقلنا إن الأمر بسجود الملائکة وخضوعهم وانقیادهم لیس خاصّاً بآدم علیه السلام، لأنها معادلة دائمة فی عالم الخلقة لکلّ من یتحلّی بمقام الخلافة الإلهیة، فمن یتحلّی بهذا المقام یطوع الله عزّ وجلّ له الملائکة ویدینون بأجمعهم لله‌تعالی بطاعته بما فیهم کبار الملائکة المقرّبین، وهم فی کلّ ما یقومون به من أدوار عظیمة فی عالم الإمکان والکون خاضعون لولیّ الله، وهو خضوع حقیقی قائم علی أساس العلوّ الرتبیّ التکوینی لخلیفة الله تعالی، وحینئذٍ یکون الأمر بالسجود والخضوع للخلیفة شامل للأنبیاء، وخصوصاً أولی العزم منهم کنوح وإبراهیم وموسی وعیسی والرسول الأکرم وأوصیائه علیهم السلام، فالملائکة المقرّبین وغیرهم بابهم إلی الله تعالی خلیفة الله الذی یُنبئهم بالأسماء والمقامات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الآیات والروایات ذکرت أن الملائکة عندما اعترضت علی جعل خلیفة الله فی الأرض وهو من ترک الأولی الناشئ من ضیق الأفق وعدم سعة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آبت وتابت إلی الله عزّ وجلّ بالسجود لآدم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سنّة الله للملائکة کدین هو الإقبال علی ولیّ الله، وهو شرط أوبتهم وقبول عبادتهم وحظوتهم بالمقامات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عالم الغیب الذی هو خال عن نشأة التشریع الأرضی، ولیس خالٍ عن الدین الإلهی،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افتقرت الملائکة إلی أن یکون بینهم وبین الله تعالی واسطة فی الخضوع والإنباء والمعرفة والعبادة والتقرّب إلی الله تعالی، فما بالک بالنشآت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آدم أبو البشر نبیّ الملائکة وقناة الإنباء والفیوضات العلمیة وغیرها علیهم من الله تعالی، وهو ولیّهم وهم طائعون له لا یتمرّدون علیه ولا ینبغی لهم ذلک، فکیف بسیّد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الملائکة منقادة وطائعة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تکون الملائکة مشمولة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اختصاص بالنشأة الأرضیّة، وهذا لوحدة الدین وشموله لجمیع المخلوقات کما سیأتی لاحقاً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فالخلیفة نبیّ الملائکة وله مقام إنبائهم وتعلیمهم؛ لأنه مزوّد بالعلم اللّدنی الأسمائی، فهو نبیّ المعارف وإن لم یکن نبیّ شریعة للناس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المقامات التکوینیّة العالیة للملائکة لا یمکن أن تنال إلّابطاعة ولیّ الله والإقبال علیه والتوجّه إلیه وبه إلی الله تعالی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میثاق ولایة أهل البیت علیهم السلام معرفة وتوسّلًا فی جمیع النشآت علی</w:t>
      </w:r>
    </w:p>
    <w:p>
      <w:pPr>
        <w:pStyle w:val="BookText"/>
        <w:rPr/>
      </w:pPr>
      <w:r>
        <w:rPr>
          <w:rFonts w:ascii="IRNazanin" w:hAnsi="IRNazanin" w:eastAsia="IRNazanin"/>
          <w:color w:val="111111"/>
          <w:sz w:val="28"/>
          <w:sz w:val="28"/>
          <w:szCs w:val="28"/>
          <w:rtl w:val="true"/>
          <w:lang w:bidi="fa-IR"/>
        </w:rPr>
        <w:t>أصناف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 الذی هو عند الله الإسلام لا یختصّ بنشأة من النشآت، بل الکلّ مکلّف بالطاعة لله‌والإسلام له فی أصول معالم دینه،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فَغَیْرَ دِینِ اللّهِ یَبْغُونَ وَ لَهُ أَسْلَمَ مَنْ فِی السَّماواتِ وَ الْأَرْضِ طَوْعاً وَ کَرْهاً وَ إِلَیْهِ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کان الأمر بالسجود لآدم غیر خاصّ بالملائکة، بل شامل لکل النشآت ومن هنا عمّ الأمر إبلیس، لأن دین الله عزّ وجلّ وهو التسلیم دین جمیع المخلوقات، فالملائکة أیضاً مأمورة بالتوحید لله‌تعالی وطاعة ولیّ الله بالسجود له، وعلی هذا فکلّ ما یبیّن فی النصوص القرآنیة بأنه من أرکان الدین فقد أخذ علی جمیع الملائکة الإیمان به، ومن تلک الأرکان تولّی خلیفة الله والطاعة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عرفت ذلک یتّضح لک ما ورد فی الروایات من أن ولایة النبیّ صلی الله علیه و آله وأهل بیته علیهم السلام أُخذت من جمیع الملائکة وسائر الکائنات، وذلک لکونها من الدین غیر الخاص بنشأة من النشآت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فنبوّة خاتم الأنبیاء وولایة سیّد الأوصیاء لا تختصّ بالموجودات الأرضیة، وهذا یعنی أن الشهادة الثانیة والثالثة لم تؤخذ علی أهل هذه الدنیا فحسب، لأن الإنباء ونیل الفیوضات عموماً یحتاج إلی وجود خلیفة الله ولابدّ من التوجّه إلیه لنیل المقامات وقبول الطاعات فی جمیع النشآت؛ لأنه واسطة الله وسفیره بینه وبین خلقه فی کلّ المقامات العلمیة والتکوینیة</w:t>
      </w:r>
      <w:r>
        <w:rPr>
          <w:rFonts w:eastAsia="IRNazanin" w:cs="IRNazanin"/>
          <w:color w:val="111111"/>
          <w:sz w:val="28"/>
          <w:szCs w:val="28"/>
          <w:rtl w:val="true"/>
          <w:lang w:bidi="fa-IR"/>
        </w:rPr>
        <w:t>.</w:t>
      </w:r>
      <w:bookmarkStart w:id="395" w:name="pg13703_133924"/>
    </w:p>
    <w:p>
      <w:pPr>
        <w:pStyle w:val="BookText"/>
        <w:rPr/>
      </w:pPr>
      <w:bookmarkEnd w:id="395"/>
      <w:r>
        <w:rPr>
          <w:rFonts w:ascii="IRNazanin" w:hAnsi="IRNazanin" w:eastAsia="IRNazanin"/>
          <w:color w:val="111111"/>
          <w:sz w:val="28"/>
          <w:sz w:val="28"/>
          <w:szCs w:val="28"/>
          <w:rtl w:val="true"/>
          <w:lang w:bidi="fa-IR"/>
        </w:rPr>
        <w:t>تأبید رسالة الرسول صلی الله علیه و آله ووساطته فی الوحی الإلهی لجمیع النشآت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الشهادة‌الثانیة والثالثة إقرار بالواسطة الأبدیة غیرالخاصة بالنشأة الأرضیة، وهذه هی تداعیات ومقتضیات الشهادة الثانیة والثالثة، التی لا یتمّ التوحید بدونها، ومن دونها لا یتحقّق قرب المخلوق إلی ربّه، ذلک المخلوق البعید عن مقامات الربوبیة وعظمة الصفات الإلهیة</w:t>
      </w:r>
      <w:r>
        <w:rPr>
          <w:rFonts w:eastAsia="IRNazanin" w:cs="IRNazanin"/>
          <w:color w:val="111111"/>
          <w:sz w:val="28"/>
          <w:szCs w:val="28"/>
          <w:rtl w:val="true"/>
          <w:lang w:bidi="fa-IR"/>
        </w:rPr>
        <w:t>.</w:t>
      </w:r>
    </w:p>
    <w:p>
      <w:pPr>
        <w:pStyle w:val="Heading4"/>
        <w:numPr>
          <w:ilvl w:val="3"/>
          <w:numId w:val="1"/>
        </w:numPr>
        <w:rPr/>
      </w:pPr>
      <w:bookmarkStart w:id="396" w:name="__RefHeading___Toc1101220_1468164448"/>
      <w:bookmarkStart w:id="397" w:name="_Toc146"/>
      <w:bookmarkEnd w:id="396"/>
      <w:r>
        <w:rPr>
          <w:rtl w:val="true"/>
        </w:rPr>
        <w:t>جحود التوسّل سنّة إبلیس فی الاستکبار</w:t>
      </w:r>
      <w:r>
        <w:rPr>
          <w:rtl w:val="true"/>
        </w:rPr>
        <w:t>:</w:t>
      </w:r>
      <w:bookmarkEnd w:id="397"/>
    </w:p>
    <w:p>
      <w:pPr>
        <w:pStyle w:val="BookText"/>
        <w:rPr/>
      </w:pPr>
      <w:r>
        <w:rPr>
          <w:rFonts w:ascii="IRNazanin" w:hAnsi="IRNazanin" w:eastAsia="IRNazanin"/>
          <w:color w:val="111111"/>
          <w:sz w:val="28"/>
          <w:sz w:val="28"/>
          <w:szCs w:val="28"/>
          <w:rtl w:val="true"/>
          <w:lang w:bidi="fa-IR"/>
        </w:rPr>
        <w:t xml:space="preserve">ومن یأبی ذلک یحصل له العتوّ والاستکبار فی نفسه والتعظیم لها، مع أن نفسه صغیرة فقیرة بعیدة عن ساحة عظمة الصفات الإلهیة، فهی أی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محتاجة إلی الواسطة والسفارة التی یتوجّه بها إلی الله تعالی،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أیضاً أن معطیات الشهادة الثانیة والثالثة ومؤداهما مرتبطة بالمعارف الدینیّة الأبدیّة الشاملة للملائکة والجنّ والإنس والبرزخ والجنّة والنار والآخرة، فضلًا عن النشأة الأرضیة، کذلک الوساطة والشهادة الثانیة والثالثة شاملة لعالم العقول والأرواح، ولذا نجد أن مجری الفیض فی تکامل عقول علماء هذه الأمة ومستویاتها العلمیّة فی الدین هو النبیّ صلی الله علیه و آله وأهل</w:t>
      </w:r>
    </w:p>
    <w:p>
      <w:pPr>
        <w:pStyle w:val="BookText"/>
        <w:rPr/>
      </w:pPr>
      <w:r>
        <w:rPr>
          <w:rFonts w:ascii="IRNazanin" w:hAnsi="IRNazanin" w:eastAsia="IRNazanin"/>
          <w:color w:val="111111"/>
          <w:sz w:val="28"/>
          <w:sz w:val="28"/>
          <w:szCs w:val="28"/>
          <w:rtl w:val="true"/>
          <w:lang w:bidi="fa-IR"/>
        </w:rPr>
        <w:t>بیته علیهم السلام، حیث تمّ بجهودهم المبارکة تشیید المعارف الصحیحة ورفض الجبر والتفویض والتجسیم والتشبیه والتعطیل وغیرها من العقائد الفاسدة، فهم علیهم السلام وسائط الفیض وسفراء الأرواح والعقول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بیان عقلی لمعطیات الشهادة الثانیة والشهادة الثالثة یُضاف إلی البیانات السابقة المعتمدة علی الآیات القرآنیة المبارکة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شرطیة التوسّل فی المقامات الثلاث المذکورة تعمّ جمیع الأنبیاء والرسل وکلّ المخلوقات من الملائکة وغیرها</w:t>
      </w:r>
      <w:r>
        <w:rPr>
          <w:rFonts w:eastAsia="IRNazanin" w:cs="IRNazanin"/>
          <w:color w:val="111111"/>
          <w:sz w:val="28"/>
          <w:szCs w:val="28"/>
          <w:rtl w:val="true"/>
          <w:lang w:bidi="fa-IR"/>
        </w:rPr>
        <w:t>.</w:t>
      </w:r>
      <w:bookmarkStart w:id="398" w:name="pg13703_133927"/>
    </w:p>
    <w:p>
      <w:pPr>
        <w:pStyle w:val="Heading3"/>
        <w:numPr>
          <w:ilvl w:val="2"/>
          <w:numId w:val="1"/>
        </w:numPr>
        <w:rPr/>
      </w:pPr>
      <w:bookmarkStart w:id="399" w:name="__RefHeading___Toc1101222_1468164448"/>
      <w:bookmarkStart w:id="400" w:name="_Toc147"/>
      <w:bookmarkEnd w:id="398"/>
      <w:bookmarkEnd w:id="399"/>
      <w:r>
        <w:rPr>
          <w:rtl w:val="true"/>
        </w:rPr>
        <w:t>الفصل الرابع</w:t>
      </w:r>
      <w:r>
        <w:rPr>
          <w:rtl w:val="true"/>
        </w:rPr>
        <w:t xml:space="preserve">: </w:t>
      </w:r>
      <w:r>
        <w:rPr>
          <w:rtl w:val="true"/>
        </w:rPr>
        <w:t>شبهات وردود</w:t>
      </w:r>
      <w:bookmarkEnd w:id="400"/>
    </w:p>
    <w:p>
      <w:pPr>
        <w:pStyle w:val="Heading4"/>
        <w:numPr>
          <w:ilvl w:val="3"/>
          <w:numId w:val="1"/>
        </w:numPr>
        <w:rPr/>
      </w:pPr>
      <w:bookmarkStart w:id="401" w:name="__RefHeading___Toc1101224_1468164448"/>
      <w:bookmarkStart w:id="402" w:name="_Toc148"/>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عبادة لغیر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مناف لکلمة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مناف للآیات القرآنیة</w:t>
      </w:r>
    </w:p>
    <w:p>
      <w:pPr>
        <w:pStyle w:val="BookText"/>
        <w:rPr/>
      </w:pPr>
      <w:r>
        <w:rPr>
          <w:rFonts w:ascii="IRNazanin" w:hAnsi="IRNazanin" w:eastAsia="IRNazanin"/>
          <w:color w:val="111111"/>
          <w:sz w:val="28"/>
          <w:sz w:val="28"/>
          <w:szCs w:val="28"/>
          <w:rtl w:val="true"/>
          <w:lang w:bidi="fa-IR"/>
        </w:rPr>
        <w:t>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الصالحة هی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الإبراهیمی یأبی التوسّل بغیر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یعنی التفویض وعجز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المخلوقات الامکانیة کلّه ابداعیّ بلا واسطة</w:t>
      </w:r>
      <w:r>
        <w:rPr>
          <w:rFonts w:eastAsia="IRNazanin" w:cs="IRNazanin"/>
          <w:color w:val="111111"/>
          <w:sz w:val="28"/>
          <w:szCs w:val="28"/>
          <w:rtl w:val="true"/>
          <w:lang w:bidi="fa-IR"/>
        </w:rPr>
        <w:t>.</w:t>
      </w:r>
    </w:p>
    <w:p>
      <w:pPr>
        <w:pStyle w:val="Heading4"/>
        <w:numPr>
          <w:ilvl w:val="3"/>
          <w:numId w:val="1"/>
        </w:numPr>
        <w:rPr/>
      </w:pPr>
      <w:bookmarkStart w:id="403" w:name="__RefHeading___Toc1101226_1468164448"/>
      <w:bookmarkStart w:id="404" w:name="_Toc149"/>
      <w:bookmarkEnd w:id="403"/>
      <w:r>
        <w:rPr>
          <w:rtl w:val="true"/>
        </w:rPr>
        <w:t>شبهات وردود</w:t>
      </w:r>
      <w:r>
        <w:rPr>
          <w:rtl w:val="true"/>
        </w:rPr>
        <w:t>:</w:t>
      </w:r>
      <w:bookmarkEnd w:id="40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فی بیان الشبهات والأجوبة التفصیلیة عنها لابدّ من التنبیه علی نقطة جدیرة بالإلتفات، وهی إننا لا نخطّئ قول أصحاب الشبهة فی تأثیر التوسّل ومدخلیته المباشرة فی العقیدة التوحیدیة، وذلک لأن فروع الدین الاعتقادیة، بل کلّ فروع الدین ترجع فی لبّها وجذرها إلی أصول الدین، فإن معنی کونها من فروع الدین أنها تنحدر وتنشعب وتتنزّل من</w:t>
      </w:r>
    </w:p>
    <w:p>
      <w:pPr>
        <w:pStyle w:val="BookText"/>
        <w:rPr/>
      </w:pPr>
      <w:r>
        <w:rPr>
          <w:rFonts w:ascii="IRNazanin" w:hAnsi="IRNazanin" w:eastAsia="IRNazanin"/>
          <w:color w:val="111111"/>
          <w:sz w:val="28"/>
          <w:sz w:val="28"/>
          <w:szCs w:val="28"/>
          <w:rtl w:val="true"/>
          <w:lang w:bidi="fa-IR"/>
        </w:rPr>
        <w:t>الشجرة المبارکة الطیّبة لأصول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فعبادة التوسّل توحیدیة، بمعنی أن لها عمقاً توحیدیاً وجذراً تنشعب منه یربطها بأصول الدین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معنی أن التوحید لا یتمّ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لابدّ من أدبیات ومعطیات الشهادة الثانیة لکی یتمّ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لیست مرتبطة بصورة الفعل الذی یأتی به العبد، بل الأمر یعود إلی لبّ ذلک الفعل وجذره وهو التوحید، ولکن بعد أن أثبتنا ضرورة التوسّل فضلًا عن مشروعیته، بل شرطیته فی صحّة العقیدة والأعمال، یکون الأمر علی عکس ما ذکروه من أن التوسّل بغیر الله تعالی یوجب الکفر والخروج عن العقیدة التوحیدیة،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التوسّل والتوجّه یوجب الجحود والاستکبار والکفر والخروج عن عقیدة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من الجدیر بالإلتفات أن ثبوت ضرورة التوسّل بآیات الله وکلماته من الأنبیاء والأولیاء والأوصیاء معناه ضرورة الإرتباط بکائن حیّ بشری یربطنا مع الحیّ القیوم، فلابدّ من استشعار ضرورة وجود نموذج بشری نرتبط به وله القدرة علی أن یکون حلقة الوصل بین الله عزّ وجلّ وبین عبیده، ولیس ذلک إلّا لعظمة الله تعالی وتنزّهه عن التشبیه والتجسیم والتعطیل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غیر هذه الصورة تکون جمیع المناسک العبادیة کمناسک الحجّ عبارة عن جمادات لا حیویة فیها، وهذا یعطی استشعاراً بأننا نعظّم أحجاراً جامدة لا حیویة فیها ولا تماسّ لها بالله الذی لا إله إلّاهو الحیّ القیوم</w:t>
      </w:r>
      <w:r>
        <w:rPr>
          <w:rFonts w:eastAsia="IRNazanin" w:cs="IRNazanin"/>
          <w:color w:val="111111"/>
          <w:sz w:val="28"/>
          <w:szCs w:val="28"/>
          <w:rtl w:val="true"/>
          <w:lang w:bidi="fa-IR"/>
        </w:rPr>
        <w:t>.</w:t>
      </w:r>
      <w:bookmarkStart w:id="405" w:name="pg13703_133929"/>
    </w:p>
    <w:p>
      <w:pPr>
        <w:pStyle w:val="BookText"/>
        <w:rPr/>
      </w:pPr>
      <w:bookmarkEnd w:id="405"/>
      <w:r>
        <w:rPr>
          <w:rFonts w:ascii="IRNazanin" w:hAnsi="IRNazanin" w:eastAsia="IRNazanin"/>
          <w:color w:val="111111"/>
          <w:sz w:val="28"/>
          <w:sz w:val="28"/>
          <w:szCs w:val="28"/>
          <w:rtl w:val="true"/>
          <w:lang w:bidi="fa-IR"/>
        </w:rPr>
        <w:t>بعد هذا البیان الموجز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المنکرین لمشروعیة التوسّل استدلّوا علی دعواهم ببعض الأدلّة، وهی بعد بیان ما هو الحقّ فی المسألة وأن التوسّل ضرورة لابدّ منها تکون شبهات وتلبیسات لابدّ من الإجابة عنها، وهذه عمدتها</w:t>
      </w:r>
      <w:r>
        <w:rPr>
          <w:rFonts w:eastAsia="IRNazanin" w:cs="IRNazanin"/>
          <w:color w:val="111111"/>
          <w:sz w:val="28"/>
          <w:szCs w:val="28"/>
          <w:rtl w:val="true"/>
          <w:lang w:bidi="fa-IR"/>
        </w:rPr>
        <w:t>:</w:t>
      </w:r>
    </w:p>
    <w:p>
      <w:pPr>
        <w:pStyle w:val="Heading4"/>
        <w:numPr>
          <w:ilvl w:val="3"/>
          <w:numId w:val="1"/>
        </w:numPr>
        <w:rPr/>
      </w:pPr>
      <w:bookmarkStart w:id="406" w:name="__RefHeading___Toc1101228_1468164448"/>
      <w:bookmarkStart w:id="407" w:name="_Toc150"/>
      <w:bookmarkEnd w:id="406"/>
      <w:r>
        <w:rPr>
          <w:rtl w:val="true"/>
        </w:rPr>
        <w:t>شبهات المنکرین لجواز التوسّل</w:t>
      </w:r>
      <w:r>
        <w:rPr>
          <w:rtl w:val="true"/>
        </w:rPr>
        <w:t>:</w:t>
      </w:r>
      <w:bookmarkEnd w:id="407"/>
    </w:p>
    <w:p>
      <w:pPr>
        <w:pStyle w:val="Heading5"/>
        <w:numPr>
          <w:ilvl w:val="4"/>
          <w:numId w:val="1"/>
        </w:numPr>
        <w:rPr/>
      </w:pPr>
      <w:bookmarkStart w:id="408" w:name="__RefHeading___Toc1101230_1468164448"/>
      <w:bookmarkStart w:id="409" w:name="_Toc151"/>
      <w:bookmarkEnd w:id="408"/>
      <w:r>
        <w:rPr>
          <w:rtl w:val="true"/>
        </w:rPr>
        <w:t>الشبهة الأولی</w:t>
      </w:r>
      <w:r>
        <w:rPr>
          <w:rtl w:val="true"/>
        </w:rPr>
        <w:t xml:space="preserve">: </w:t>
      </w:r>
      <w:r>
        <w:rPr>
          <w:rtl w:val="true"/>
        </w:rPr>
        <w:t>التوسّل عبادة لغیر الله تعالی</w:t>
      </w:r>
      <w:r>
        <w:rPr>
          <w:rtl w:val="true"/>
        </w:rPr>
        <w:t>:</w:t>
      </w:r>
      <w:bookmarkEnd w:id="409"/>
    </w:p>
    <w:p>
      <w:pPr>
        <w:pStyle w:val="Heading6"/>
        <w:numPr>
          <w:ilvl w:val="5"/>
          <w:numId w:val="1"/>
        </w:numPr>
        <w:rPr/>
      </w:pPr>
      <w:bookmarkStart w:id="410" w:name="__RefHeading___Toc1101232_1468164448"/>
      <w:bookmarkStart w:id="411" w:name="_Toc152"/>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إن الدعاء عبارة عن النداء وطلب الحاجة، ولا شک أن الدعاء عبادة للمدعو؛ لأن الدعاء فیه نوع من التوجّه والقصد والنیّة، وهذه الأمور هی روح العبادة وقوامها، ولذا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الدعاء مخ العبادة وجوهرها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یکون دعاء غیر الله تعالی وندبته وطلب الحاجة منه عبادة له، وهو من أوضح أنواع الشرک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ویعبّر عنه بالشرک الصریح أو الشرک الأکبر، الذی یوجب الرّدة والارتداد عن الدین والمنافاة لأولیّات الدین الاسلامی، والخروج عن المواثیق والعهود التی التزم بها الشخص بالتزامه وتشهّده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 جمیع طقوس العبادة لا تبلغ درجة الدعاء الذی هو قوام حقیقة العبودیة، وهو نوع افتقار إلی الباری تعالی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والنداء وطلب الحوائج من غیر الله تعالی من</w:t>
      </w:r>
    </w:p>
    <w:p>
      <w:pPr>
        <w:pStyle w:val="BookText"/>
        <w:rPr/>
      </w:pPr>
      <w:r>
        <w:rPr>
          <w:rFonts w:ascii="IRNazanin" w:hAnsi="IRNazanin" w:eastAsia="IRNazanin"/>
          <w:color w:val="111111"/>
          <w:sz w:val="28"/>
          <w:sz w:val="28"/>
          <w:szCs w:val="28"/>
          <w:rtl w:val="true"/>
          <w:lang w:bidi="fa-IR"/>
        </w:rPr>
        <w:t>أغلظ أنواع العبادة والتألیه للشخص المدعو، وهو عبارة عن الشرک الصریح أو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الشبهة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خلاصة الشبهة هو أن الدعاء والنداء وطلب الحاجة عبادة لا تجوز لغیر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هذه الشبهة اتضح ضمناً سابقاً فی بیان ما هو الحقّ فی المسألة، وأن الدعاء بمعنی النداء، والطلب إنما یکون عبادة للمدعو إذا اعتقد الداعی أن المدعو مستقل بالقدرة غنی بالذات، وأما إذا اعتقد الداعی أن المدعو لا یستقل بالقدرة، بل یستمد القدرة من الباری تعالی وأن الحول والقدرة التی لدیه هی من الباری تعالی وأن المدعو إنما حصل علیها لمکان حظوته وقربه عند الباری وأن الداعی إنما یدعوه نظراً لقربه ووجاهته من الباری وأن تکریم الله له بالقرب والوجاهة حفاوة منه تعالی وإذن منه للاستشفاع والتوسّل والتوجّه به إلیه عزّوجلّ، فإن دعاء ذلک الغیر یعدّ حینئذٍ توجّهاً وقصداً إلی الحضرة الإلهیة، لأن قصد القریب من الحضرة الإلهیة قصد للحضرة، کما أن الصدّ والإعراض عن القریب ابتعاد عن الحضرة الإلهیة، فدعاء ذلک الغیر هو دعاء لله‌بآیاته العظیمة ودعاء له بأسمائه الحسنی التی یظهر بها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وینقض أیضاً علی هذه الشبهة بطلب الحیّ الحاجة من الحیّ، مثل طلب العلاج من الطبیب، وطلب البناء من البنّاء، واصلاح الزراعة من الزرّاع، فإنه لا ریب فی عدم توقّف أحد من المسلمین، بل ولا من البشر عموماً فی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یقل أحد أن ذلک یوجب کفراً أو زندقة أو شرکاً، والحال إنه علی مقتضی کلامهم لابدّ أن یکون ذلک کفراً وشرکاً؛ لأن الحدّ الذی ذکروه لبیان معنی الشرک ینطبق علی نداء الحیّ للحیّ وطلب الحیّ الحاجة من الحیّ واستغاثته به،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التوسّل والتشفّع وتوسیط الحیّ للحیّ، فإنه لم یدّع أحد أن ذلک من الشرک والکفر، مع أن حدّ الشرک الذی زعموه ینطبق علیه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وأن هذه المباحث من المباحث العقلیة التکوینیة وهی لا تقبل التخصیص، بخلاف المباحث الاعتباریة الجعلیة التی قد لا تکون مطّردة فی جمیع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أصحاب هذه المقالة حاولوا أن یجیبوا عن هذا النقض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سؤال الحیّ الحاضر بما یقدر علیه والاستعانة به فی الأمور الحسّیة التی یقدر علیها لیس ذلک من الشرک، بل من الأمور العادیة الحیاتیة الجائزة بین المسلمین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العادیة والأسباب الحسّیة التی یقدر علیها المخلوق الحیّ الحاضر لیست من العبادة، بل تجوز بالنصّ والاجماع، بأن یستعین الإنسان بالإنسان الحیّ القادر فی الأمور العادیة، التی یقدر علیها کأن یستعین به أو یستغیث به فی دفع شرٍ ولده أو خادمه أو کلبه، وما أشبه ذلک،</w:t>
      </w:r>
      <w:bookmarkStart w:id="412" w:name="pg13703_133932"/>
    </w:p>
    <w:p>
      <w:pPr>
        <w:pStyle w:val="BookText"/>
        <w:rPr/>
      </w:pPr>
      <w:bookmarkEnd w:id="412"/>
      <w:r>
        <w:rPr>
          <w:rFonts w:ascii="IRNazanin" w:hAnsi="IRNazanin" w:eastAsia="IRNazanin"/>
          <w:color w:val="111111"/>
          <w:sz w:val="28"/>
          <w:sz w:val="28"/>
          <w:szCs w:val="28"/>
          <w:rtl w:val="true"/>
          <w:lang w:bidi="fa-IR"/>
        </w:rPr>
        <w:t>وکأن یستعین الانسان بالانسان الحیّ الحاضر القادر أو الغائب بواسطة الأسباب الحسّیة، کالمکاتبة ونحوها فی بناء بیته أو إصلاح سیارته أو ما أشبه ذلک، ومن ذلک الاستغاثة التی جرت لأحد بنی إسرائیل عندما استغاث بموسی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استغاثه الانسان بأصحابه فی الجهاد أو الحرب أو نحو ذلک، وأما الاستغاثة بالأموات والجنّ والملائکة والأشجار والأحجار فذلک من الشرک الأکبر، وهو من جنس عمل المشرکین الأوّلین مع آلهتهم کاللّات والعزّی وغیرهما</w:t>
      </w:r>
      <w:r>
        <w:rPr>
          <w:rFonts w:eastAsia="IRNazanin" w:cs="IRNazanin"/>
          <w:color w:val="111111"/>
          <w:sz w:val="28"/>
          <w:szCs w:val="28"/>
          <w:rtl w:val="true"/>
          <w:lang w:bidi="fa-IR"/>
        </w:rPr>
        <w:t>.</w:t>
      </w:r>
    </w:p>
    <w:p>
      <w:pPr>
        <w:pStyle w:val="Heading6"/>
        <w:numPr>
          <w:ilvl w:val="5"/>
          <w:numId w:val="1"/>
        </w:numPr>
        <w:rPr/>
      </w:pPr>
      <w:bookmarkStart w:id="413" w:name="__RefHeading___Toc1101234_1468164448"/>
      <w:bookmarkStart w:id="414" w:name="_Toc153"/>
      <w:bookmarkEnd w:id="413"/>
      <w:r>
        <w:rPr>
          <w:rtl w:val="true"/>
        </w:rPr>
        <w:t>دفع الجوابین</w:t>
      </w:r>
      <w:r>
        <w:rPr>
          <w:rtl w:val="true"/>
        </w:rPr>
        <w:t xml:space="preserve">: </w:t>
      </w:r>
      <w:r>
        <w:rPr>
          <w:rtl w:val="true"/>
        </w:rPr>
        <w:t>جحود التوسّل یستند إلی التفویض</w:t>
      </w:r>
      <w:r>
        <w:rPr>
          <w:rtl w:val="true"/>
        </w:rPr>
        <w:t>:</w:t>
      </w:r>
      <w:bookmarkEnd w:id="414"/>
    </w:p>
    <w:p>
      <w:pPr>
        <w:pStyle w:val="BookText"/>
        <w:rPr/>
      </w:pPr>
      <w:r>
        <w:rPr>
          <w:rFonts w:ascii="IRNazanin" w:hAnsi="IRNazanin" w:eastAsia="IRNazanin"/>
          <w:color w:val="111111"/>
          <w:sz w:val="28"/>
          <w:sz w:val="28"/>
          <w:szCs w:val="28"/>
          <w:rtl w:val="true"/>
          <w:lang w:bidi="fa-IR"/>
        </w:rPr>
        <w:t>أما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فالوهن فیه واضح؛ لأنه یقول الاستعانة بالانسان الحیّ القادر علی الأمور العادیة الحسّیة لیس من الشرک، وکونه حیّاً أو میّتاً لا یؤثّر فی تحقّق الغیریة مع الله عزّ وجلّ، والشرک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بالغیریّة مع الله تعالی، والغیریّة لغة وعقلًا لا تختلف سواء جعل مصداق الغیر والغیریّة الحیّ أو المیّت، فإن أحد الأجزاء المقوّمة لحصول الشرک کما ذکروا هو ضمّ غیر الله تعالی إلیه، وهذا لا یختلف فی تحقّقه سواء کان الغیر حیّاً أو میّتاً، فالتفریق بلا فارق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ذکروه من التعلّق بالقادر، حیث قیّد الجواب بالقادر، فنقول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القدرة التی یعتقدها للحیّ نابعة من ذاته بلحاظ الاستقلال لا</w:t>
      </w:r>
      <w:bookmarkStart w:id="415" w:name="pg13703_133933"/>
    </w:p>
    <w:p>
      <w:pPr>
        <w:pStyle w:val="BookText"/>
        <w:rPr/>
      </w:pPr>
      <w:bookmarkEnd w:id="415"/>
      <w:r>
        <w:rPr>
          <w:rFonts w:ascii="IRNazanin" w:hAnsi="IRNazanin" w:eastAsia="IRNazanin"/>
          <w:color w:val="111111"/>
          <w:sz w:val="28"/>
          <w:sz w:val="28"/>
          <w:szCs w:val="28"/>
          <w:rtl w:val="true"/>
          <w:lang w:bidi="fa-IR"/>
        </w:rPr>
        <w:t>من إقدار الله عزّ وجلّ وتمکینه فهو الشرک الأکبر، وقد کرّ هذا المجیب علی ما 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یعتقد أن هذه القدرة من الله تعالی ومضافة إلی المخلوق من قبل الخالق فأی فرق بین الحیّ والمیت؟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قد یُقدر تعالی الحیّ یُقدر روح المیّت علی ما أقدر علیه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معنی للتفریق أیضاً بین الاستعانة بالأمور العادیة وغیرها، فهل إن قدرة الله تعالی تنحسر فی الأمور العادیة والحسّیة ویکون هناک ندّ فیها لقدرة الربّ عزّ وجلّ وهی قدرة الحیّ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هو القول بالثنویة، ومعناه أنه فی الأمور غیر العادیة لابدّ من التوحید بقدرة الربّ فیها وأما فی الأمور العادیة فنؤمن بالثنویة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الثنویة باطلة وشرک صریح فلابدّ من التوحید فی جمیع الأفعال الإلهیة، وأنها کلّها تستند من دون جبر إلی الباری عزّ وجلّ، من دون أی درجة من درجات التفویض، وحینئذٍ یستوی الحال فی الأمور العادیة والأمور غیر العادیة</w:t>
      </w:r>
      <w:r>
        <w:rPr>
          <w:rFonts w:eastAsia="IRNazanin" w:cs="IRNazanin"/>
          <w:color w:val="111111"/>
          <w:sz w:val="28"/>
          <w:szCs w:val="28"/>
          <w:rtl w:val="true"/>
          <w:lang w:bidi="fa-IR"/>
        </w:rPr>
        <w:t>.</w:t>
      </w:r>
    </w:p>
    <w:p>
      <w:pPr>
        <w:pStyle w:val="Heading6"/>
        <w:numPr>
          <w:ilvl w:val="5"/>
          <w:numId w:val="1"/>
        </w:numPr>
        <w:rPr/>
      </w:pPr>
      <w:bookmarkStart w:id="416" w:name="__RefHeading___Toc1101236_1468164448"/>
      <w:bookmarkStart w:id="417" w:name="_Toc154"/>
      <w:bookmarkEnd w:id="416"/>
      <w:r>
        <w:rPr>
          <w:rtl w:val="true"/>
        </w:rPr>
        <w:t>جحود التوسّل یستند إلی المذاهب الحسیّة المادیة</w:t>
      </w:r>
      <w:r>
        <w:rPr>
          <w:rtl w:val="true"/>
        </w:rPr>
        <w:t>:</w:t>
      </w:r>
      <w:bookmarkEnd w:id="417"/>
    </w:p>
    <w:p>
      <w:pPr>
        <w:pStyle w:val="BookText"/>
        <w:rPr/>
      </w:pPr>
      <w:r>
        <w:rPr>
          <w:rFonts w:ascii="IRNazanin" w:hAnsi="IRNazanin" w:eastAsia="IRNazanin"/>
          <w:color w:val="111111"/>
          <w:sz w:val="28"/>
          <w:sz w:val="28"/>
          <w:szCs w:val="28"/>
          <w:rtl w:val="true"/>
          <w:lang w:bidi="fa-IR"/>
        </w:rPr>
        <w:t>ثم ما هو الفرق فی التوسّل فی شفاء مریض علی ید طبیب نادرة زمانة وبین التوسّل بأحد أولیاء الله تعالی فی الشفاء؟</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مورد الحاجة فی هذا المثال عادی، فهل الکلام فی مورد الحاجة وأنه لابدّ أن یکون من الأمور العادیة أو فی السبب المتوسل به؟ وما هو الفرق فی</w:t>
      </w:r>
      <w:bookmarkStart w:id="418" w:name="pg13703_133934"/>
    </w:p>
    <w:p>
      <w:pPr>
        <w:pStyle w:val="BookText"/>
        <w:rPr/>
      </w:pPr>
      <w:bookmarkEnd w:id="418"/>
      <w:r>
        <w:rPr>
          <w:rFonts w:ascii="IRNazanin" w:hAnsi="IRNazanin" w:eastAsia="IRNazanin"/>
          <w:color w:val="111111"/>
          <w:sz w:val="28"/>
          <w:sz w:val="28"/>
          <w:szCs w:val="28"/>
          <w:rtl w:val="true"/>
          <w:lang w:bidi="fa-IR"/>
        </w:rPr>
        <w:t>السبب بین العادی وغیر العادی إذا کان الأمر بید الله تعالی وهو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الأدلّة الشرعیة والدراسات الحدیثة العلمیة أثبتت أن طاقات البدن البرزخی لا تقاس بطاقات بدننا المادّی وقدرته، وأن البدن البرزخی یحتوی علی طاقات هائلة تفوق قدرة أبداننا المادّیة بکثیر جدّاً، وعلیه کیف نتصور أن الحیّ قادر علی قضاء الحوائج بما لا قدرة للمیت علیه بروحه وبدنه البرزخی؟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کلّه أن تقیید الاستعانة والتوسّل بالأمور الحسّیة ناشی من الایمان بأصالة الحسّ والمادّة والتنکّر للعوالم المخلوقة الأخری التی ما وراء الحسّ والمادّة، وأن کلّ ما غاب عن الحسّ ینکر، وهذا الکلام أشبه بالفلسفات المادّیة الحسّیة، التی آمنت بأضعف العوالم وأدنی المراتب الوجودیة وتنکّرت لبقیّة العوالم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دفع الجواب الأول</w:t>
      </w:r>
      <w:r>
        <w:rPr>
          <w:rFonts w:eastAsia="IRNazanin" w:cs="IRNazanin"/>
          <w:color w:val="111111"/>
          <w:sz w:val="28"/>
          <w:szCs w:val="28"/>
          <w:rtl w:val="true"/>
          <w:lang w:bidi="fa-IR"/>
        </w:rPr>
        <w:t>.</w:t>
      </w:r>
    </w:p>
    <w:p>
      <w:pPr>
        <w:pStyle w:val="Heading6"/>
        <w:numPr>
          <w:ilvl w:val="5"/>
          <w:numId w:val="1"/>
        </w:numPr>
        <w:rPr/>
      </w:pPr>
      <w:bookmarkStart w:id="419" w:name="__RefHeading___Toc1101238_1468164448"/>
      <w:bookmarkStart w:id="420" w:name="_Toc155"/>
      <w:bookmarkEnd w:id="419"/>
      <w:r>
        <w:rPr>
          <w:rtl w:val="true"/>
        </w:rPr>
        <w:t>تفصیل الجاحدین للتوسّل فی الوسائط</w:t>
      </w:r>
      <w:r>
        <w:rPr>
          <w:rtl w:val="true"/>
        </w:rPr>
        <w:t>:</w:t>
      </w:r>
      <w:bookmarkEnd w:id="420"/>
    </w:p>
    <w:p>
      <w:pPr>
        <w:pStyle w:val="BookText"/>
        <w:rPr/>
      </w:pPr>
      <w:r>
        <w:rPr>
          <w:rFonts w:ascii="IRNazanin" w:hAnsi="IRNazanin" w:eastAsia="IRNazanin"/>
          <w:color w:val="111111"/>
          <w:sz w:val="28"/>
          <w:sz w:val="28"/>
          <w:szCs w:val="28"/>
          <w:rtl w:val="true"/>
          <w:lang w:bidi="fa-IR"/>
        </w:rPr>
        <w:t>وأما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الشبهة بعد أن استشعر أن الجواب الأوّل غیر موزون من الناحیة العقلیة تشبّث بالنصّ والإجماع وأن توسّل وتشفّع الحیّ بالحیّ فی الأمور العادیة الحسّیة جائزة بالنصّ والإجماع، وأما الاستغاثة والتوسّل بالأموات فهو من جنس عمل الوثنیة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والتمسّک بالدلیل النقلی فی المقام، سواء فی جانب الجواز أو النفی غیر</w:t>
      </w:r>
    </w:p>
    <w:p>
      <w:pPr>
        <w:pStyle w:val="BookText"/>
        <w:rPr/>
      </w:pPr>
      <w:r>
        <w:rPr>
          <w:rFonts w:ascii="IRNazanin" w:hAnsi="IRNazanin" w:eastAsia="IRNazanin"/>
          <w:color w:val="111111"/>
          <w:sz w:val="28"/>
          <w:sz w:val="28"/>
          <w:szCs w:val="28"/>
          <w:rtl w:val="true"/>
          <w:lang w:bidi="fa-IR"/>
        </w:rPr>
        <w:t>تام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بحث الشرک بحث عقلی لا سیما فی الشرک الأکبر، فهو من أولیّات العقیدة التی للعقل فیها دور ومجال واسع، وإذا کان عقلیاً یرد علیه ما ورد فی الدفع الأول، من أن حکم العقل وانطباق حدّ الشرک علی الحیّ الحاضر والمیّت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التحریم بأن الطلب من الأموات من جنس عمل الوثنیین، تمسّکاً بعموم دلیل التحریم، مع أن موضوعه ومصبّه ما لم یأذن به الله عزّ وجلّ، إذ سبق أن محطّ ومصبّ انکار العقیدة الوثنیة فی القرآن الکریم هو التوجّه إلی ما لم یأذن به الله تعالی ولم ینزل به سلطاناً، وکونه تحکیماً لسلطان العبید وإرادتهم علی سلطان الله وإرادته، ولم یکن المحذور فی أصل الوساطة، وسبق أیضاً أن الله علیّ حکیم، متعال عن الجسمیة والتجسیم وحکیم غیر معطّل، فلابدّ من الوسائط والحجج، والعبادة إنما تتحقّق بالطوعانیة لله‌تعالی وإن کان التوجّه بالفعل إلی الحجر کالتوجّه إلی الکعبة الشریفة، والشرک إنما یتحقّق بالاستکبار علی الله تعالی حتّی مع نفی الواسطة کما فی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توسیط غیر الله تعالی شرکاً، فکیف یعقل تجویزه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وجلّ لا یأمر بالشرک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 توسیط الغیر بحدّ ذاته لیس شرکاً، فإذا جازت الاستغاثة بالحیّ لقیام النص والاجماع، أی الإذن الشرعی، فلا فرق إذن فی الاستغاثة بین الحیّ والمیّت ما دام المجوّز لذلک هو الإذن، إذ یتّضح أن المدار</w:t>
      </w:r>
      <w:bookmarkStart w:id="421" w:name="pg13703_133936"/>
    </w:p>
    <w:p>
      <w:pPr>
        <w:pStyle w:val="BookText"/>
        <w:rPr/>
      </w:pPr>
      <w:bookmarkEnd w:id="421"/>
      <w:r>
        <w:rPr>
          <w:rFonts w:ascii="IRNazanin" w:hAnsi="IRNazanin" w:eastAsia="IRNazanin"/>
          <w:color w:val="111111"/>
          <w:sz w:val="28"/>
          <w:sz w:val="28"/>
          <w:szCs w:val="28"/>
          <w:rtl w:val="true"/>
          <w:lang w:bidi="fa-IR"/>
        </w:rPr>
        <w:t>فی الشرک لیس علی الغیریة مع الله تعالی کما فرضه القائل، بل علی الإذن وعدمه وعلی وجود الأمر وعدمه، وقد أذن الله عزّ وجلّ بذلک فی کثیر من الآیات القرآنیة، کما تقدّم فی قصة آدم وغیرها</w:t>
      </w:r>
      <w:r>
        <w:rPr>
          <w:rFonts w:eastAsia="IRNazanin" w:cs="IRNazanin"/>
          <w:color w:val="111111"/>
          <w:sz w:val="28"/>
          <w:szCs w:val="28"/>
          <w:rtl w:val="true"/>
          <w:lang w:bidi="fa-IR"/>
        </w:rPr>
        <w:t>.</w:t>
      </w:r>
    </w:p>
    <w:p>
      <w:pPr>
        <w:pStyle w:val="Heading5"/>
        <w:numPr>
          <w:ilvl w:val="4"/>
          <w:numId w:val="1"/>
        </w:numPr>
        <w:rPr/>
      </w:pPr>
      <w:bookmarkStart w:id="422" w:name="__RefHeading___Toc1101240_1468164448"/>
      <w:bookmarkStart w:id="423" w:name="_Toc156"/>
      <w:bookmarkEnd w:id="422"/>
      <w:r>
        <w:rPr>
          <w:rtl w:val="true"/>
        </w:rPr>
        <w:t>الشبهة الثانیة</w:t>
      </w:r>
      <w:r>
        <w:rPr>
          <w:rtl w:val="true"/>
        </w:rPr>
        <w:t xml:space="preserve">: </w:t>
      </w:r>
      <w:r>
        <w:rPr>
          <w:rtl w:val="true"/>
        </w:rPr>
        <w:t>التوسّل خلاف کلمة التوحید</w:t>
      </w:r>
      <w:r>
        <w:rPr>
          <w:rtl w:val="true"/>
        </w:rPr>
        <w:t>:</w:t>
      </w:r>
      <w:bookmarkEnd w:id="423"/>
    </w:p>
    <w:p>
      <w:pPr>
        <w:pStyle w:val="BookText"/>
        <w:rPr/>
      </w:pPr>
      <w:r>
        <w:rPr>
          <w:rFonts w:ascii="IRNazanin" w:hAnsi="IRNazanin" w:eastAsia="IRNazanin"/>
          <w:color w:val="111111"/>
          <w:sz w:val="28"/>
          <w:sz w:val="28"/>
          <w:szCs w:val="28"/>
          <w:rtl w:val="true"/>
          <w:lang w:bidi="fa-IR"/>
        </w:rPr>
        <w:t>إن التوجّه والقصد والدعاء والنداء لغیر الله عزّ وجلّ ینافی مقتضی کلمة التوحید، وهی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المفسّرون فی بیان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المراد من تلک الکلمة المبارکة التوحید فی الذات أو التوحید فی الصفات والأسماء أو التوحید فی الأفعال أو التوحید فی الخضوع والعبادة؟</w:t>
      </w:r>
    </w:p>
    <w:p>
      <w:pPr>
        <w:pStyle w:val="BookText"/>
        <w:rPr/>
      </w:pPr>
      <w:r>
        <w:rPr>
          <w:rFonts w:ascii="IRNazanin" w:hAnsi="IRNazanin" w:eastAsia="IRNazanin"/>
          <w:color w:val="111111"/>
          <w:sz w:val="28"/>
          <w:sz w:val="28"/>
          <w:szCs w:val="28"/>
          <w:rtl w:val="true"/>
          <w:lang w:bidi="fa-IR"/>
        </w:rPr>
        <w:t>وهذا الاختلاف ناشئ من الاختلاف فی تفسیر معنی الألوهیة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معنی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اسم الجلالة علم للذات أو هو اسم مشتقّ من التألیه؟</w:t>
      </w:r>
    </w:p>
    <w:p>
      <w:pPr>
        <w:pStyle w:val="BookText"/>
        <w:rPr/>
      </w:pPr>
      <w:r>
        <w:rPr>
          <w:rFonts w:ascii="IRNazanin" w:hAnsi="IRNazanin" w:eastAsia="IRNazanin"/>
          <w:color w:val="111111"/>
          <w:sz w:val="28"/>
          <w:sz w:val="28"/>
          <w:szCs w:val="28"/>
          <w:rtl w:val="true"/>
          <w:lang w:bidi="fa-IR"/>
        </w:rPr>
        <w:t>فإن کان مشتقّاً من التألیه وباقٍ علی المعنی الوصفیّ حینئذٍ یکون المعنیان متحدّین أو متقاربین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لفظ الجلالة فی الأصل علماً للذات فیکون علی خلاف المعنی الأول وهو الألوهیة والتألیه فی 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وکیفما کان؛ 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فی کلمة التوحید معناه فی اللغة</w:t>
      </w:r>
    </w:p>
    <w:p>
      <w:pPr>
        <w:pStyle w:val="BookText"/>
        <w:rPr/>
      </w:pPr>
      <w:r>
        <w:rPr>
          <w:rFonts w:ascii="IRNazanin" w:hAnsi="IRNazanin" w:eastAsia="IRNazanin"/>
          <w:color w:val="111111"/>
          <w:sz w:val="28"/>
          <w:sz w:val="28"/>
          <w:szCs w:val="28"/>
          <w:rtl w:val="true"/>
          <w:lang w:bidi="fa-IR"/>
        </w:rPr>
        <w:t>من أله یأله إذا تحیّر، ومعنی ولاه أن الخلق یولهون إلیه فی حوائجهم ویضرعون إلیه فیما یصیبهم، ویفزعون إلیه فی کلّ ما ینوبهم، کما یوله کلّ طفل إلی أمه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فالمعنی اللغوی یتضمّن طلب الشیء والتوجّه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الإله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اختلفوا فی بیان معناه؛ فبعض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بمعنی الاتجاه والقصد، وبعض آخر فسّره بالحبّ والعشق، وثالث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یأله من عبد یعبد، ورابع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یأله بمعنی اتخذه ربّاً وخالقاً، وغیر ذلک من المعانی التی ذکرت 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اتفقوا علی أن التألیه فعل المخلوق، فأله ووله إنما یحکی شأن المخلوق وهو التوحید فی العبادة، وأما توحید الذات أو الصفات أو الأفعال فإنما هو مرتبط بالواقعیة ونفس الأمر، وأن هناک ذات واجبة قیّومة غنیة الذات لها الأسماء الحسنی والکلمات التامّة وهذا کلّه غیر مرتبط بفعل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یقال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 لا هو إلّاهو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مفاد هذه العبارة غیر مرتبط بفعل العبد، بل هو إخبار عن نفی أی ذات مستقلة واجبة الوجود إلّاذات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التألیه فیه مادّة مأخوذة من فعل العبد ولیس هو وصفاً أو معنیً قائم بذات واجب الوجود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یقال إن النبیّ صلی الله علیه و آله بعث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یبعث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من لا هو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أن هذا توحید الذات، والبشریّة قد أقرّته واعتقدت به، وهی الآن فی خطیً متقدّمة من التوحید الأفعالی والتوحید فی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والخلاف فی زمن البعثة مع المشرکین لیس فی توحید الذات، بل فی توحید العبودیة وتوحید الدعاء والطلب والتوسّل والتوجّه أو فی توحید الأفعال باسنادها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صلی الله علیه و آله بُعث بالتوحید فی الألوهیة والعبادة والخضوع والخشیة والوله والتوجّه، فلابدّ من ترک الدعاء والتوسّل والعبادة لغیر الله تعالی، وهو ما کان علیه مشرکی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الشرک الذی حاربه الاسلام بکلمة التوحید هو جعل أنداد لله‌تعالی یستغاث ویتوسل بهم، فالتوسل جاهلیة جدیدة استُبدلت بالجاهلیة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الشبهة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حاصل هذه الشبهة هو أن مقتضی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التوحید فی العبادة، فإذا دعی غیر الله عزّ وجلّ کان هذا نوعاً من العبادة والتألیه لغیر الله عزّ وجلّ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هذه الشبهة اتضح مما ذکرناه فی الدلیل العام وکذلک ما ذکرنا من الجواب علی الشبهة الأولی،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التوسّل بالوسائط الإلهیة التی أمر الله عزّ وجلّ بالتوجّه إلیها هی عبادة لله‌تعالی وطاعة وانصیاعاً لأوامره ولیس هو عبادة للوسائط، بل قلنا إن التوسّل طوعانیة للأوامر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الإلهیة وهو عین التوحید التام، فالتوسل مقتضی التوحید فی العبادة وجحوده وإباؤه هو الاستکبار والکفر المنافی لکلمة التوحید، ونبذ التوسّل جاهلیة إبلیس الذی أبی واستکبر وکان من الکافرین، فالتوسّل بالوسیلة المنصوبة لله‌تعالی هو قصد لله‌والصدّ عن تلک الوسیلة صدّ عن التوجّه إلیه تعالی؛ لأن المفروض أن تلک الوسیلة والآیة والکلمة هی علامة یُهتدی بها إلیه تعالی، وتفتّح بها أبواب سماء الحضرة الإلهیة، والعلامة سمة ووسم وإسم إلهی یُدعی به، بل إن قول القائل التوسّل بالله معنی مقلوب غیر صحیح، فإنّ الباری تعالی لا یجعل وسیلة إلی غیره؛ إذ لیس وراء الله منتهی ولا غایة کی یجعل هو تعالی واسطة إلیها، بل هو غایة الغایات، وإلی شموخ عظمته توسّط الوسائط ویتوسّل بالوسائل، وقد تقدّم أن الاعتقاد بضرورة الواسطة والوسیلة إلی الله تعالی هو حاقّ حقیقة تعظیم الله وتنزیهه، ولم ینکر القرآن علی المشرکین هذه العقیدة، وهی ضرورة الحاجة إلی الوسیلة بین العبید وخالقهم؛ لیقتربوا من خالقهم، لضرورة الحاجة إلی التقرّب والنجاة من البعد من جهة العبید، وإن کان الباری تعالی قریب من کل مخلوقاته علی السواء، إلّاأن مخلوقاته لیست فی القرب منه علی استواء ولا فی القرب من عظمته ونوره وعلمه وقدرته علی سواسیة، فضرورة الحاجة إلی الوسیلة والقیام بالتقرب ضرورة نابعة من العبودیة والفقر إلی الغنی المطلق، وهذا ما لم ینکره القرآن علی المشرکین، کیف وهی عین التوحید والتعظیم، بل إنما أنکر علیهم اتخاذ الوسائل والوسائط من قبل أنفسهم ومن قرائحهم ومن فرض إرادتهم فی تعیین الوسیلة علی إرادة الله، وهی من تکبّر المعبود علی العابد، فالإنکار علیهم نشأ من کونهم توسّلوا بوسائل وأسماء ما أنزل الله بها</w:t>
      </w:r>
      <w:bookmarkStart w:id="424" w:name="pg13703_133940"/>
    </w:p>
    <w:p>
      <w:pPr>
        <w:pStyle w:val="BookText"/>
        <w:rPr/>
      </w:pPr>
      <w:bookmarkEnd w:id="424"/>
      <w:r>
        <w:rPr>
          <w:rFonts w:ascii="IRNazanin" w:hAnsi="IRNazanin" w:eastAsia="IRNazanin"/>
          <w:color w:val="111111"/>
          <w:sz w:val="28"/>
          <w:sz w:val="28"/>
          <w:szCs w:val="28"/>
          <w:rtl w:val="true"/>
          <w:lang w:bidi="fa-IR"/>
        </w:rPr>
        <w:t>من سلطان، ومن ذلک یکون الجاحدون لضرورة التوسّل بالوسائط المنصوبة من قبله تعالی أشدّ جاهلیة من المشرکین؛ لأنهم لا یرجون لله‌وقاراً ولا تعظیماً، فیجعلون الباری تعالی منالًا تحت أیدیهم، لأن إنکار الحاجة إلی الوسیلة والوسائل هو إنکار لعظمة الله وکبریائه وعلوّ شأنه ورفعته وعزّته وجبروته وکینونته بالأفق الأعلی، فی حین قاهریته تعالی وهیمنته علی تمام مخلوقاته وأنه خبیر بصیر، إلّاأن الحال من ناحیة المخلوق تجاه الخالق هو بُعد المخلوق عن معرفة خالقه وبعده عن مقام الزلفی لباریه وکذا بعده عن حظوة الکرامة عند خالقه، وبعده عن استحقاق الإجابة والمنّ والتفضّل الإلهی، بعد کون المخلوق فی حُجب التقصیر والقصور والجهل والجهالة، مما یستحق بها الطرد لا القرب والإبعاد لا الدنو والعقوبة لا الثواب والحرمان لا الإنعام، فکل هذه الحجب المانعة عن القرب یزیلها العبد بوجاهة الوسیلة عند الربّ العظیم، لا سیّما وأن اللجوء إلی الوسیلة التی هی آیة للربّ المتعال هو لُجأ إلی الجناب الإلهی، وتعظیمها تعظیم للفعل الإلهی وزیادة خضوع للربّ بالخضوع إلی ما هو بمنزلة صفاته فی مقام الفعل فضلًا عن مقام ذات عزّه تعالی</w:t>
      </w:r>
      <w:r>
        <w:rPr>
          <w:rFonts w:eastAsia="IRNazanin" w:cs="IRNazanin"/>
          <w:color w:val="111111"/>
          <w:sz w:val="28"/>
          <w:szCs w:val="28"/>
          <w:rtl w:val="true"/>
          <w:lang w:bidi="fa-IR"/>
        </w:rPr>
        <w:t>.</w:t>
      </w:r>
    </w:p>
    <w:p>
      <w:pPr>
        <w:pStyle w:val="Heading5"/>
        <w:numPr>
          <w:ilvl w:val="4"/>
          <w:numId w:val="1"/>
        </w:numPr>
        <w:rPr/>
      </w:pPr>
      <w:bookmarkStart w:id="425" w:name="__RefHeading___Toc1101242_1468164448"/>
      <w:bookmarkStart w:id="426" w:name="_Toc157"/>
      <w:bookmarkEnd w:id="425"/>
      <w:r>
        <w:rPr>
          <w:rtl w:val="true"/>
        </w:rPr>
        <w:t>الشبهة الثالثة</w:t>
      </w:r>
      <w:r>
        <w:rPr>
          <w:rtl w:val="true"/>
        </w:rPr>
        <w:t xml:space="preserve">: </w:t>
      </w:r>
      <w:r>
        <w:rPr>
          <w:rtl w:val="true"/>
        </w:rPr>
        <w:t>التوسّل مخالف للآیات القرآنیة</w:t>
      </w:r>
      <w:r>
        <w:rPr>
          <w:rtl w:val="true"/>
        </w:rPr>
        <w:t>:</w:t>
      </w:r>
      <w:bookmarkEnd w:id="426"/>
    </w:p>
    <w:p>
      <w:pPr>
        <w:pStyle w:val="Heading6"/>
        <w:numPr>
          <w:ilvl w:val="5"/>
          <w:numId w:val="1"/>
        </w:numPr>
        <w:rPr/>
      </w:pPr>
      <w:bookmarkStart w:id="427" w:name="__RefHeading___Toc1101244_1468164448"/>
      <w:bookmarkStart w:id="428" w:name="_Toc158"/>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حاول أصحاب هذه الشبه الاستناد إلی بعض الآیات القرآنیة، وادّعوا أنها تدلّ علی أن التوسّل والقصد لا یکون إلّالله‌عزّ وجلّ، وأن التوسّل بغیره شرک وإلحاد، منها الآیات التالیة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 وَ ذَرُوا الَّذِینَ یُلْحِدُونَ 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أَسْمائِهِ سَیُجْزَوْنَ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فی مقام الدعاء والتوجّه لا یُدعی إلّا بأسماء الله عزّ وجلّ، وأما غیر الأسماء الإلهیة فیشملها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الَّذِینَ یُلْحِدُونَ فِی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ینحرفون عنها إلی أسماء المخلوقات، کقول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ویا علیّ ویا فاطمة، فإن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وإلحاد فی أسماء الباری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مِنْ دُونِ اللّهِ ما لا یَنْفَعُکَ وَ لا یَضُرُّکَ فَإِنْ فَعَلْتَ فَإِنَّکَ إِذاً مِنَ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هُوَ الْحَقُّ وَ أَنَّ ما یَدْعُونَ مِنْ دُونِهِ هُوَ الْباطِلُ وَ أَنَّ اللّهَ هُوَ الْعَلِیُّ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أَدْعُوا رَبِّی وَ لا أُشْرِکُ 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المبارکة لسانها واحد واستدلالهم بها قریب من الاستدلال بالآیة الأولی، حیث أن هذه الآیات القرآنیة تنهی عن أن یدعو الإنسان مع الله أحداً، أی لا یعبد مع الله مخلوقاً من المخلوقات، وإذا کان الدعاء روح</w:t>
      </w:r>
    </w:p>
    <w:p>
      <w:pPr>
        <w:pStyle w:val="BookText"/>
        <w:rPr/>
      </w:pPr>
      <w:r>
        <w:rPr>
          <w:rFonts w:ascii="IRNazanin" w:hAnsi="IRNazanin" w:eastAsia="IRNazanin"/>
          <w:color w:val="111111"/>
          <w:sz w:val="28"/>
          <w:sz w:val="28"/>
          <w:szCs w:val="28"/>
          <w:rtl w:val="true"/>
          <w:lang w:bidi="fa-IR"/>
        </w:rPr>
        <w:t>العبادة وقوامها فسوف یکون منهیّاً عنه بمقتضی صریح هذه الآیات الکریمة؛ لکونه من الشرک الصریح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النَّصْرُ إِلاّ مِنْ عِنْدِ اللّهِ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یَنْصُرْکُمُ اللّهُ فَلا غالِبَ لَکُمْ وَ إِنْ یَخْذُلْکُمْ فَمَنْ ذَا الَّذِی یَنْصُرُکُمْ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اللسان من الآیات القرآنیة یؤکّد علی أن التوجّه إلی الغیر بغیة الاستنصار به شرک ومغالاة یوجب الخذلان الإلهی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یَعْبُدُونَ مِنْ دُونِ اللّهِ ما لا یَضُرُّهُمْ وَ لا یَنْفَعُهُمْ وَ یَقُولُونَ هؤُلاءِ شُفَعاؤُنا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مِنْ دُونِهِ أَوْلِیاءَ ما نَعْبُدُهُمْ إِلاّ لِیُقَرِّبُونا إِلَی اللّهِ زُلْفی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فهاتان الآیتان دلّتا علی وجوب نبذ مقالة المشرکین الذین جعلوا أصنامهم شرکاء فی الدعاء والتوسّل والتقرّب والتشفّع والوساطة بینهم وبین الله عزّ وجلّ، والإسلام جاء لکسر مثل هذه الأصنام وإبطال عقیدة الصنمیة والوثنیة والمغالاة والتشفّع والتوسّل بغیر الله تعالی، وهو ما ابتلی به مشرکو العرب، إذ لم یکن شرکهم فی ذات الله تعالی أو صفاته، بل کان</w:t>
      </w:r>
      <w:bookmarkStart w:id="429" w:name="pg13703_133943"/>
    </w:p>
    <w:p>
      <w:pPr>
        <w:pStyle w:val="BookText"/>
        <w:rPr/>
      </w:pPr>
      <w:bookmarkEnd w:id="429"/>
      <w:r>
        <w:rPr>
          <w:rFonts w:ascii="IRNazanin" w:hAnsi="IRNazanin" w:eastAsia="IRNazanin"/>
          <w:color w:val="111111"/>
          <w:sz w:val="28"/>
          <w:sz w:val="28"/>
          <w:szCs w:val="28"/>
          <w:rtl w:val="true"/>
          <w:lang w:bidi="fa-IR"/>
        </w:rPr>
        <w:t>شرکهم شرکاً فی العبادة والدعاء والاستغاثة والتوسّل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فیُعلم من هذه الآیات أن التوحید فی العبادة والدعاء والاستغاثة والتوسّل أساس الدین، وهدف الرسالة الإسلامیة الخاتمة، وذلک لأن صحة الأعمال والنسک العبادیة مشروطة بصحّة العقیدة، فمن یعمل ویعبد وکان فی معتقده الدینیّ شیء من الغلو والصنمیة للأشخاص یحبط عمله کلّه، ویستدلّون لذلک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فصحّة العقیدة بالتوحید شرطاً فی صحة وقبول الأعمال، ولابدّ حینئذٍ من نبذ کلّ ما یوجب الشرک وبطلان العقیدة، کالتشفّع والتوسّل بغیر الله تعالی</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101246_1468164448"/>
      <w:bookmarkStart w:id="431" w:name="_Toc159"/>
      <w:bookmarkEnd w:id="430"/>
      <w:r>
        <w:rPr>
          <w:rtl w:val="true"/>
        </w:rPr>
        <w:t>الجواب عن الشبهة الثالثة</w:t>
      </w:r>
      <w:r>
        <w:rPr>
          <w:rtl w:val="true"/>
        </w:rPr>
        <w:t>:</w:t>
      </w:r>
      <w:bookmarkEnd w:id="431"/>
    </w:p>
    <w:p>
      <w:pPr>
        <w:pStyle w:val="BookText"/>
        <w:rPr/>
      </w:pPr>
      <w:r>
        <w:rPr>
          <w:rFonts w:ascii="IRNazanin" w:hAnsi="IRNazanin" w:eastAsia="IRNazanin"/>
          <w:color w:val="111111"/>
          <w:sz w:val="28"/>
          <w:sz w:val="28"/>
          <w:szCs w:val="28"/>
          <w:rtl w:val="true"/>
          <w:lang w:bidi="fa-IR"/>
        </w:rPr>
        <w:t>الشبهة الثالثة عبارة عن تمسّکهم ببعض الآیات القرآنیة التی زعموا أنها تنهی عن التوجّه والقصد إلی غیر الله عزّ وجلّ منها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 وَ ذَرُوا الَّذِینَ یُلْحِدُونَ فِی أَسْمائِهِ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یجوز التوسّل والدعاء بغیر الأسماء الحسنی التی جاءت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32" w:name="pg13703_133944"/>
    </w:p>
    <w:p>
      <w:pPr>
        <w:pStyle w:val="BookText"/>
        <w:rPr/>
      </w:pPr>
      <w:bookmarkEnd w:id="432"/>
      <w:r>
        <w:rPr>
          <w:rFonts w:ascii="IRNazanin" w:hAnsi="IRNazanin" w:eastAsia="IRNazanin"/>
          <w:color w:val="111111"/>
          <w:sz w:val="28"/>
          <w:sz w:val="28"/>
          <w:szCs w:val="28"/>
          <w:rtl w:val="true"/>
          <w:lang w:bidi="fa-IR"/>
        </w:rPr>
        <w:t>إذن لابدّ من التوحید فی الدعاء الذی هو مخّ العبادة ولا یجوز القصد والتوجّه فی الدعاء إلی غیر الله عزّ وجلّ وأسمائه الحسنی؛ لأنه شرک وإلحاد بالأسماء الإلهیة</w:t>
      </w:r>
      <w:r>
        <w:rPr>
          <w:rFonts w:eastAsia="IRNazanin" w:cs="IRNazanin"/>
          <w:color w:val="111111"/>
          <w:sz w:val="28"/>
          <w:szCs w:val="28"/>
          <w:rtl w:val="true"/>
          <w:lang w:bidi="fa-IR"/>
        </w:rPr>
        <w:t>.</w:t>
      </w:r>
    </w:p>
    <w:p>
      <w:pPr>
        <w:pStyle w:val="Heading6"/>
        <w:numPr>
          <w:ilvl w:val="5"/>
          <w:numId w:val="1"/>
        </w:numPr>
        <w:rPr/>
      </w:pPr>
      <w:bookmarkStart w:id="433" w:name="__RefHeading___Toc1101248_1468164448"/>
      <w:bookmarkStart w:id="434" w:name="_Toc160"/>
      <w:bookmarkEnd w:id="433"/>
      <w:r>
        <w:rPr>
          <w:rtl w:val="true"/>
        </w:rPr>
        <w:t>الجواب الأول</w:t>
      </w:r>
      <w:r>
        <w:rPr>
          <w:rtl w:val="true"/>
        </w:rPr>
        <w:t xml:space="preserve">: </w:t>
      </w:r>
      <w:r>
        <w:rPr>
          <w:rtl w:val="true"/>
        </w:rPr>
        <w:t>حقیقة الأسماء الالهیة مستند للتوسّل</w:t>
      </w:r>
      <w:r>
        <w:rPr>
          <w:rtl w:val="true"/>
        </w:rPr>
        <w:t>:</w:t>
      </w:r>
      <w:bookmarkEnd w:id="434"/>
    </w:p>
    <w:p>
      <w:pPr>
        <w:pStyle w:val="BookText"/>
        <w:rPr/>
      </w:pPr>
      <w:r>
        <w:rPr>
          <w:rFonts w:ascii="IRNazanin" w:hAnsi="IRNazanin" w:eastAsia="IRNazanin"/>
          <w:color w:val="111111"/>
          <w:sz w:val="28"/>
          <w:sz w:val="28"/>
          <w:szCs w:val="28"/>
          <w:rtl w:val="true"/>
          <w:lang w:bidi="fa-IR"/>
        </w:rPr>
        <w:t>فی البدء لابدّ من الإجابة عن التساؤل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المراد من الأسماء الإلهیة الواردة فی الآیات المبارکة؟</w:t>
      </w:r>
    </w:p>
    <w:p>
      <w:pPr>
        <w:pStyle w:val="BookText"/>
        <w:rPr/>
      </w:pPr>
      <w:r>
        <w:rPr>
          <w:rFonts w:ascii="IRNazanin" w:hAnsi="IRNazanin" w:eastAsia="IRNazanin"/>
          <w:color w:val="111111"/>
          <w:sz w:val="28"/>
          <w:sz w:val="28"/>
          <w:szCs w:val="28"/>
          <w:rtl w:val="true"/>
          <w:lang w:bidi="fa-IR"/>
        </w:rPr>
        <w:t>الاسم فی اللغة عبارة عن السّمة والعلامة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الشیء علامته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وسمة توضع علی الشیء یُعرف به،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اللفظ الموضوع علی الجوهر أو العرض لتفصل به بعضه عن بعض، کقولک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هذا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الاسم تنویهاً بالدلالة علی‌المعنی</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اسم الشیء سمته وعلامته وصفته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والأسماء والصفات تنقسم إلی ذاتیة وفعلیة، فللّه تعالی أسماء وصفات ذاتیة هی عین ذاته غیر زائدة علیها، وله عزّ وجلّ أسماء وصفات فعلیة هی عین فعله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فالقدرة والعلم والحیاة صفات ذاتیة یُشتقّ منها القادر والعالم والحیّ،</w:t>
      </w:r>
      <w:bookmarkStart w:id="435" w:name="pg13703_133945"/>
    </w:p>
    <w:p>
      <w:pPr>
        <w:pStyle w:val="BookText"/>
        <w:rPr/>
      </w:pPr>
      <w:bookmarkEnd w:id="435"/>
      <w:r>
        <w:rPr>
          <w:rFonts w:ascii="IRNazanin" w:hAnsi="IRNazanin" w:eastAsia="IRNazanin"/>
          <w:color w:val="111111"/>
          <w:sz w:val="28"/>
          <w:sz w:val="28"/>
          <w:szCs w:val="28"/>
          <w:rtl w:val="true"/>
          <w:lang w:bidi="fa-IR"/>
        </w:rPr>
        <w:t>وهی أسماء ذاتیة غیر زائدة علی الذات الإلهیة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والخلق والرزق والتدبیر والربوبیة والحکم والعدل وغیرها صفات فعلیة یشتقّ منها أسماء فعلیة، هی الخالق والرازق والمدبّر والربّ والحکم والعدل، ولا ریب أن الأسماء الفعلیة غیر الذات ولیست عینها مخلوقة لها مشتقّة من أفعاله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أیضاً أن جملة وافرة من الأسماء الإلهیة هی أسماء فعلیة مشتقّة من أفعاله ومخلوقاته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والمخلوق یکون اسماً لله‌عزّ وجلّ بملاحظة صدوره من خالقه وأنه فقیر له متقوّم به لیس له من نفسه شیء، دالّ بسبب افتقاره بما فیه من کمال علی کمال خالقه وباریه، فهو سمة وعلامة علی صانعه، وما فیه من عظمة وحکمة دالّة علی عظمة وحکمة الخالق؛ إذ لیس له من ذاته إلّاالفقر والاحتیاج</w:t>
      </w:r>
      <w:r>
        <w:rPr>
          <w:rFonts w:eastAsia="IRNazanin" w:cs="IRNazanin"/>
          <w:color w:val="111111"/>
          <w:sz w:val="28"/>
          <w:szCs w:val="28"/>
          <w:rtl w:val="true"/>
          <w:lang w:bidi="fa-IR"/>
        </w:rPr>
        <w:t>.</w:t>
      </w:r>
    </w:p>
    <w:p>
      <w:pPr>
        <w:pStyle w:val="Heading6"/>
        <w:numPr>
          <w:ilvl w:val="5"/>
          <w:numId w:val="1"/>
        </w:numPr>
        <w:rPr/>
      </w:pPr>
      <w:bookmarkStart w:id="436" w:name="__RefHeading___Toc1101250_1468164448"/>
      <w:bookmarkStart w:id="437" w:name="_Toc161"/>
      <w:bookmarkEnd w:id="436"/>
      <w:r>
        <w:rPr>
          <w:rtl w:val="true"/>
        </w:rPr>
        <w:t>الجواب الثانی</w:t>
      </w:r>
      <w:r>
        <w:rPr>
          <w:rtl w:val="true"/>
        </w:rPr>
        <w:t xml:space="preserve">: </w:t>
      </w:r>
      <w:r>
        <w:rPr>
          <w:rtl w:val="true"/>
        </w:rPr>
        <w:t>الکلمة والآیة</w:t>
      </w:r>
      <w:r>
        <w:rPr>
          <w:rtl w:val="true"/>
        </w:rPr>
        <w:t>:</w:t>
      </w:r>
      <w:bookmarkEnd w:id="437"/>
    </w:p>
    <w:p>
      <w:pPr>
        <w:pStyle w:val="BookText"/>
        <w:rPr/>
      </w:pPr>
      <w:r>
        <w:rPr>
          <w:rFonts w:ascii="IRNazanin" w:hAnsi="IRNazanin" w:eastAsia="IRNazanin"/>
          <w:color w:val="111111"/>
          <w:sz w:val="28"/>
          <w:sz w:val="28"/>
          <w:szCs w:val="28"/>
          <w:rtl w:val="true"/>
          <w:lang w:bidi="fa-IR"/>
        </w:rPr>
        <w:t>إن الکلمة والآیة مع الاسم متقاربة المعنی متّحدة المضمون، فهی وإن لم تکن ألفاظاً مترادفة، إلّاأن مضمونها والمراد منها فی اللغة وفی القرآن الکریم واحد، وهو الدلالة علی الشیء والعلامّیة والمرآتیة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علامة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 القرآن کأنها العلامة التی یفضی</w:t>
      </w:r>
    </w:p>
    <w:p>
      <w:pPr>
        <w:pStyle w:val="BookText"/>
        <w:rPr/>
      </w:pPr>
      <w:r>
        <w:rPr>
          <w:rFonts w:ascii="IRNazanin" w:hAnsi="IRNazanin" w:eastAsia="IRNazanin"/>
          <w:color w:val="111111"/>
          <w:sz w:val="28"/>
          <w:sz w:val="28"/>
          <w:szCs w:val="28"/>
          <w:rtl w:val="true"/>
          <w:lang w:bidi="fa-IR"/>
        </w:rPr>
        <w:t>منها إلی غیرها کأعلام الطریق المنصوبة للهدایة</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قال فی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 أی کلامه وهو صفته وصفاته</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أن الکلمة فی حقیقتها دالّة علی مراد المتکلم وکاشفة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الأسماء والآیات والکلمات فی شطر وافر منها عبارة عن مخلوقات دالّة بوجودها علی وجود صانعها، ودالّة بعظمتها واتقانها وهادفیتها علی عظمة وقدرة وحکمة الباری عزّ وجلّ، ومن ثمّ یکون کلّ مخلوق إسماً من أسماء الله تعالی وآیة من آیاته وکلمة من کلماته، ولکن الأسماء والآیات والکلمات علی درجات فی الصغر والکبر، فکلّما کان الاسم أعظم والآیة أکبر، لما أعطیت من المقامات والکرامات الإلهیة کلّما کانت آیتیّة ذلک المخلوق وإسمیته أعظم، لا سیما المخلوق الأول وهو نور النبیّ الأکرم صلی الله علیه و آله وأهل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هذا الاستعمال فی القرآن الکریم فی موارد کثیرة جدّاً،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ابْنَ مَرْیَمَ وَ أُمَّهُ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 أَحْصَنَتْ فَرْجَها فَنَفَخْنا فِیها مِنْ رُوحِنا وَ جَعَلْناها وَ ابْنَها آیَةً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 الْآخِرَةِ وَ مِنَ الْمُقَرَّبِینَ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الْمَسِیحُ عِیسَی ابْنُ مَرْیَمَ رَسُولُ اللّهِ وَ کَلِمَتُهُ أَلْقاها إِلی مَرْیَمَ وَ رُوحٌ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الْمَلائِکَةُ وَ هُوَ قائِمٌ یُصَلِّی فِی الْمِحْرابِ أَنَّ اللّهَ یُبَشِّرُکَ بِیَحْیی مُصَدِّقاً بِکَلِمَةٍ مِنَ اللّهِ وَ سَیِّداً وَ حَصُوراً وَ نَبِیًّا 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أطلق فی هذه الآیات المبارکة علی مریم علیهاالسلام أنها آیة، وعلی عیسی علیه السلام أنه کلمة الله وآیته للعالمین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کَلِمَةُ رَبِّکَ صِدْقاً وَ عَدْلاً لا مُبَدِّلَ لِکَلِماتِهِ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هذه المخلوقات العظیمة عند الله عزّ وجلّ أسماء وآیات وکلمات وعلامات لله‌تعالی، وحینئذٍ تکون مشمولة لإطلاق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 وَ ذَرُوا الَّذِینَ یُلْحِدُونَ فِی أَسْمائِهِ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الآیة المبارکة وغیرها، التی ذکروها للتدلیل علی مدّعاهم لا تعنی النهی عن التوجّه إلی الله عزّ وجلّ بالوسائط، بل هی توجب وتعیّن التوجّه إلی الله تعالی بأعاظم مخلوقاته وأسمائه الفعلیة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لیست الآیة المبارکة غیر صالحة للاستدلال بها علی مدّعاهم فحسب، بل هی تحکمهم وتدینهم بالإلحاد عن أسمائه وتنصّ علی ضرورة توسیط الأسماء الإلهیة والمخلوقات الوجیهة عند الله تعالی، ولابدّ من عدم الالحاد فیها والاعراض عنها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لابدّ من الالتفات إلی أن النظرة إلی الوسائط لابد أن لا تکون نظرة استقلالیة وموضوعیة وبما هی هی، بل لابدّ أن تکون نظرة آلیة حرفیة آیتیّة، أی بما هی یُنظر بها إلی الله تعالی، فالتوجّه بها لا إلیها بما هی هی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 یکون التعاطی مع الأسماء والآیات والوسائط علی ثلاثة مناهج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إبلیس وهو رفض وساطة الآیات والأسماء والمخلوقات الوجیهة عند الله عزّ وجلّ وإنکارها والإلحاد بها والصدّ عنها، وهذا شرّ المناهج، وهو الکفر والحجاب الأعظم؛ إذ مع الالحاد فی تلک المخلوقات العظیمة والأسماء الإلهیة لا یمکن التوجّه والزلفی إلی الله عزّ وجلّ؛ لأنه لیس بجسم وهو حقیقة الحقائق والمقوّم لها، فلا یجابه ولا یقابل، فلابدّ من التوجّه إلی المظاهر والمجالی والآیات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منهج المغالین الذین ینظرون إلی الأسماء الإلهیة بالنظرة الاستقلالیة وبما هی هی ویتوجّهون إلیها لا بها، وهذا أیضاً من الشرک والحجاب الذی یمنع عن معرفة الله تعالی، ولکنّه أهون من سابقه؛ إذ أصحابه علی سبیل نجاة فیما إذا شملهم الله عزّ وجلّ بلطفه ورأوا ما وراء الآیة من الحقائق، بخلاف من أعرض عن الآیة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بالآیات وتوسیطها فی الدعاء، وهذا هو التوحید التام الذی یوصل إلی معرفة الله تبارک وتعالی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فالنظرة فی هذا المنهج إلی الأسماء الإلهیة الفعلیة من حیث هی مخلوقة للباری تعالی ومرتبطة به ومفتقرة إلیه ودالّة علیه، وأکرم المخلوقات وأعظم الآیات هم النبیّ الأعظم صلی الله علیه و آله وأهل بیته علیهم السلام؛ إذ حباهم الله عزّ وجلّ بالکرامات والمقامات التکوینیة، التی تفضل جمیع الأنبیاء والمرسلین والملائکة المقرّبین، فهم علیهم السلام الأسماء التی تعلّمها آدم وفُضل بها علی الملائکة کلّهم أجمعون، وذلک بنصّ سورة البقرة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 ثُمَّ عَرَضَهُمْ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فَقالَ أَنْبِئُونِی بِأَسْماءِ هؤُلاءِ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جاء التعبیر فیها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وکذا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کلّ ذلک یدلّ علی أن تلک الأسماء موجودات نوریة مخلوقة حیّة شاعرة عاقلة، أفضل من جمیع الملائکة، ولم یعلم بها الملائکة ولا یحیطون بها وهی تحیط بهم وهی أوّل ما خلق الله تعالی، فهم عباد لیس علی الله أکرم منهم، أُسند إلیهم ما لم یسند إلی‌غیرهم، ومکّنهم الله عزّ وجلّ ما لم یمکّن به غیرهم بإرادته وإذنه وسلطانه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تلک الآیات التی ذکروها لنفی التوسّل تدلّ علی ضرورة التوجّه والتشفّع والتوسّل بالآیات الکبری، والأسماء الفعلیة الحسنی والعظمی وهم محمّد صلی الله علیه و آله وأهل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عزّ وجلّ، والباء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للتوسیط وجعل الآیات والأسماء واسطة؛ ولذا ورد عن الإمام الصادق علیه السلام أنه قال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الله مشتق من إله، وإله یقتضی مألوهاً، والاسم غیر المسمّی، فمن عبد الإسم دون المعنی فقد کفر ولم یعبد شیئاً، ومن عبد الاسم والمعنی فقد أشرک وعبد الإثنین، ومن عبد المعنی دون الإسم فذاک التوحید، أفهمت یا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لله‌تسعة وتسعون إسماً فلو کان الإسم هو المسمی لکان کل إسم منها إلهاً، ولکن الله معنی یُدلّ علیه بهذه الأسماء وکلّها غیره، یا هشام الخبز اسم للمأکول والماء اسم للمشروب والثوب اسم للملبوس والنار إسم للمحرق، أفهمت یا هشام فهماً تدفع به وتناضل به</w:t>
      </w:r>
    </w:p>
    <w:p>
      <w:pPr>
        <w:pStyle w:val="BookText"/>
        <w:rPr/>
      </w:pPr>
      <w:r>
        <w:rPr>
          <w:rFonts w:ascii="IRNazanin" w:hAnsi="IRNazanin" w:eastAsia="IRNazanin"/>
          <w:color w:val="111111"/>
          <w:sz w:val="28"/>
          <w:sz w:val="28"/>
          <w:szCs w:val="28"/>
          <w:rtl w:val="true"/>
          <w:lang w:bidi="fa-IR"/>
        </w:rPr>
        <w:t>أعداءنا المتخذین مع الله عزّ وجلّ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نفعک الله به وثبّتک یا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قهرنی أحد فی التوحید حتی قمت مقامی هذا</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فبیّن علیه السلام أن الإسم غیر المسمی وهو الذات الإلهیة ومغایر لها، ولو کان الاسم هو عین الذات الإلهیة لکان کل اسم إلهاً ولتکثرت الآلهة، ولکن الله ذات أحدیة واحدة یُدلّ علیه وله علامات هی هذه الأسماء المتکثرة المتعدّدة، فالأسماء آیات وعلامات وکلمات دالّة ووسیلة إلی الذات، فظهر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الْأَسْماءُ الْحُسْنی فَادْعُوهُ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قرآنی علی ضرورة الوسیلة، وهی الکلمات والآیات الإلهیة، بأن یدعی الله بها، فلا یُدعی الله بدونها، بل لابدّ من توسیطها فی دعاء الله، وذلک بالتوجّه بها إلیه، فلابدّ من تعلّق التوجّه بها کی یتوجّه منها إلی الله، ولابدّ من تعلّق الدعاء بها لیتحقّق دعاء الله تعالی، وقد جعلت الآیة الإعراض عن الأسماء والکلمات والآیات الإلهیة إلحاداً ومجانبة وزیغاً عن الطریق إلی الله، ومن ثمّ قد أُکّد فی الآیة أن الأسماء الإلهیة بکثرتها الکاثرة هی برمّتها ملک لله‌تعالی مملوکة له، فالاستخفاف بها استخفاف بالعظمة الإلهیة، وجحود وساطتها استکبار وتمرّد علی الشأن الإلهی، ومنه یعرف اتحاد الإسم والوجه وأن الأسماء هی وجه الله التی یتوجّه بها إلیه، وأن من له وجاهة ووجیه عند الله هو وجه لله‌یتوجّه به إلیه تعالی، فیکون إسماً وآیة وکلمة لله‌تعالی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بین الأسماء والکلمات والآیات درجات وتفاضل فی الدلالة علیه</w:t>
      </w:r>
      <w:bookmarkStart w:id="438" w:name="pg13703_133952"/>
    </w:p>
    <w:p>
      <w:pPr>
        <w:pStyle w:val="BookText"/>
        <w:rPr/>
      </w:pPr>
      <w:bookmarkEnd w:id="438"/>
      <w:r>
        <w:rPr>
          <w:rFonts w:ascii="IRNazanin" w:hAnsi="IRNazanin" w:eastAsia="IRNazanin"/>
          <w:color w:val="111111"/>
          <w:sz w:val="28"/>
          <w:sz w:val="28"/>
          <w:szCs w:val="28"/>
          <w:rtl w:val="true"/>
          <w:lang w:bidi="fa-IR"/>
        </w:rPr>
        <w:t>تعالی عظمة وکبراً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الاسم إذا کان من أسماء الأفعال یکون مخلوقاً لله‌تعالی وآیة من آیاته، فالعبادة لیست له، بل لباریه تعالی، ومن ثم یتوجّه إلیه کمرآة وآیة یُنظر بها ولا ینظر إلیها؛ ولذا تکون إسماً وعلامة، وأما إذا نظر إلی الاسم بما هو هو، فیکون حینئذٍ صنماً موجباً للشرک والکفر وهو الغلو المنهیّ عنه، ولکن هذا لا یعنی رفض الأسماء والوسائط، فإن ذلک یحجب عن المسمّی أیضاً، فلا یلحد بها ولا ینظر إلیها بالاستقلال بل ینظر بها، وذلک لما بیّناه سابقاً من أنه لا تعطیل ولا تشبیه، فالالحاد فی الأسماء تعطیل للباری بعد عدم کونه جسماً یقابل أو یجابه أو یشابه مخلوقاته وهو نفی الجسمیّة، فلا محیص عن التوجّه بالأسماء، لا سیّما الاسم الأعظم وهو أوّل ما خلق الله عزّ وجلّ، نور النبیّ الأکرم صلی الله علیه و آله وأهل بیته علیهم السلام، الذین بواسطتهم وصل آدم إلی ما وصل إلیه من الخلافة، عندما علّمه الله عزّ وجلّ تلک الأسماء الحیّة الشاعرة العاقلة المجرّدة النوریّة، التی هی أعظم آیات الباری تعالی وأفضل من جمیع الملائکة</w:t>
      </w:r>
      <w:r>
        <w:rPr>
          <w:rFonts w:eastAsia="IRNazanin" w:cs="IRNazanin"/>
          <w:color w:val="111111"/>
          <w:sz w:val="28"/>
          <w:szCs w:val="28"/>
          <w:rtl w:val="true"/>
          <w:lang w:bidi="fa-IR"/>
        </w:rPr>
        <w:t>.</w:t>
      </w:r>
    </w:p>
    <w:p>
      <w:pPr>
        <w:pStyle w:val="Heading6"/>
        <w:numPr>
          <w:ilvl w:val="5"/>
          <w:numId w:val="1"/>
        </w:numPr>
        <w:rPr/>
      </w:pPr>
      <w:bookmarkStart w:id="439" w:name="__RefHeading___Toc1101252_1468164448"/>
      <w:bookmarkStart w:id="440" w:name="_Toc162"/>
      <w:bookmarkEnd w:id="439"/>
      <w:r>
        <w:rPr>
          <w:rtl w:val="true"/>
        </w:rPr>
        <w:t>الکلمات التامّات</w:t>
      </w:r>
      <w:r>
        <w:rPr>
          <w:rtl w:val="true"/>
        </w:rPr>
        <w:t>:</w:t>
      </w:r>
      <w:bookmarkEnd w:id="440"/>
    </w:p>
    <w:p>
      <w:pPr>
        <w:pStyle w:val="BookText"/>
        <w:rPr/>
      </w:pPr>
      <w:r>
        <w:rPr>
          <w:rFonts w:ascii="IRNazanin" w:hAnsi="IRNazanin" w:eastAsia="IRNazanin"/>
          <w:color w:val="111111"/>
          <w:sz w:val="28"/>
          <w:sz w:val="28"/>
          <w:szCs w:val="28"/>
          <w:rtl w:val="true"/>
          <w:lang w:bidi="fa-IR"/>
        </w:rPr>
        <w:t xml:space="preserve">هناک آیات عدیدة تدلّ بمعونة الروایات الواردة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الکلمات التامّات والآیات الکبری لله‌عزّ وجلّ هم النبیّ الأکرم صلی الله علیه و آله وأهل بیته علیهم السلام منها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کُلَّها ثُمَّ عَرَضَهُمْ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فَقالَ أَنْبِئُونِی بِأَسْماءِ هؤُلاءِ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سبق تقریب الاستدلال بهذه الآیة المبارکة، وقد ورد عن الإمام الصادق علیه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کان ولا شیء، فخلق خمسة من نور جلاله، وجعل لکلّ واحد منهم إسماً من أسمائه المنزلة، فهو الحمید وسمّی النبیّ محمّداً صلی الله علیه و آله، وهو الأعلی وسمّی أمیر المؤمنین علیه السلام علیّاً، وله الأسماء الحسنی فاشتقّ منها حسناً وحسیناً، وهو فاطر فاشتقّ لفاطمة من أسمائه إسماً، فلمّا خلقهم جعلهم فی المیثاق، فإنهم عن یمین العرش، وخلق الملائکة من نور، فلما نظروا إلیهم عظّموا أمرهم وشأنهم ولقّنوا التسبیح فذلک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خلق الله تعالی آدم صلوات الله وسلامه علیه نظر إلیهم عن یمین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هؤلاء صفوتی وخاصّتی، خلقتهم من نور جلالی وشققت لهم إسماً من أسمائی،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فبحقّک علیهم علّمنی أسماءهم،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یاآدم فهم عندک أمانة، سرّ من سرّی، لا یطّلع علیه غیرک إلّابإذنی، قال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یاربّ،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یاآدم أعطنی علی ذلک العهد، فأخذ علیه العهد، ثم علّمه أسماءهم ثم عرضهم علی الملائکة، ولم یکن علّمهم بأسمائهم،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بِأَسْمائِهِمْ فَلَمّا أَنْبَأَهُمْ</w:t>
      </w:r>
    </w:p>
    <w:p>
      <w:pPr>
        <w:pStyle w:val="BookText"/>
        <w:rPr/>
      </w:pPr>
      <w:r>
        <w:rPr>
          <w:rFonts w:ascii="Amiri" w:hAnsi="Amiri" w:eastAsia="Amiri" w:cs="Amiri"/>
          <w:color w:val="111111"/>
          <w:sz w:val="28"/>
          <w:sz w:val="28"/>
          <w:szCs w:val="28"/>
          <w:rtl w:val="true"/>
          <w:lang w:bidi="ar-SA"/>
        </w:rPr>
        <w:t>بِأَسْمائِهِمْ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علمت الملائکة أنه مستودع وأنه مفضّل بالعلم، وأُمروا بالسجود إذ کانت سجدتهم لآدم تفضیلًا له وعبادة لله، إذ کان ذلک بحقّ له، وأبی إبلیس الفاسق عن أمر ربّه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ویمکن تقریب دلالة الآیة إجمالًا علی کون الکلمات هی النبی وأهل بیته بما تقدّمت الإشارة من إطلاق الکلمة فی القرآن الکریم علی النبی عیسی علیه السلام بما هو حجّة لله‌اصطفاه علی العباد، فمنه یعرف أن الکلمة فی استعمال القرآن تطلق علی حجج الله وأصفیائه، ویشیر إلی ذلک أیضاً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تومئ الآیة إلی کون کلمة الله تعرف بالصدق والعدالة وهو وصف لحجج الله، وهذا الوصف أحری بالصدق علی سید الأنبیاء بعد صدقه علی النبی عیسی علیه السلام، وقد وردت بذلک الروایات من الفریقین کما سیأتی معتضداً ذلک بأن الأسماء التی تعلّمها آدم وشرّف بها علی الملائکة قد مرّ أنها عرّفت بضمیر الجمع للحی الشاعر العاقل وأُشیر إلیها بإسم الإشارة للجمع الحی الشاعر العاقل، مما یدلُّ علی أنها موجودات وکائنات حیّة شاعرة عاقلة، نشأتها فی غیب السماوات والأرض لعدم علم ملائکة السماوات والأرض بها، کما أُشیر إلی ذلک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أَقُلْ</w:t>
      </w:r>
    </w:p>
    <w:p>
      <w:pPr>
        <w:pStyle w:val="BookText"/>
        <w:rPr/>
      </w:pPr>
      <w:r>
        <w:rPr>
          <w:rFonts w:ascii="IRNazanin" w:hAnsi="IRNazanin" w:eastAsia="IRNazanin"/>
          <w:color w:val="111111"/>
          <w:sz w:val="28"/>
          <w:sz w:val="28"/>
          <w:szCs w:val="28"/>
          <w:rtl w:val="true"/>
          <w:lang w:bidi="fa-IR"/>
        </w:rPr>
        <w:t>لَکُمْ إِنِّی أَعْلَمُ غَیْبَ السَّماواتِ وَ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أشرف الکائنات بنصوصیة الکثیر من الآیات وروایات الفریقین هو سید الأنبیاء، کما قد تبیّن أن الکلمات التی بشرفها قُبلت توبة آدم أوّلها وأسماها هو سید الأنبیاء، وحینئذٍ تُبیّن الآیات أن تلک الأسماء والکلمات حیث عبّر عنها بلفظ الجمع یقتضی أن مع سید الأنبیاء حجج آخرین لله تعالی شُرّف بمعرفتهم آدم وتاب الله بهم علیه، ولا نجد القرآن الکریم یُنزّل منزلة نفس النبی أحداً من الأنبیاء والرسل، بل نزل علی بن أبی طالب منزلة نفس النبی صلی الله علیه و آله وهذه خصیصة اختصّ هو علیه السلام بها، کما لم یُشرک الله تعالی فی طهارة النبی وعصمته ونمط حجیّته وعلمه بالکتاب کلّه مع العدید من المقامات الأخری أحداً من أنبیائه ورسله، لکنه أشرک أهل بیته، وهم علی وفاطمة والحسن والحسین علیهم السلام، کما فی آیة التطهیر والمباهلة ومسّ الکتاب من المطهرین من هذه الأمة وغیرها من الآیات النازلة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قرین سید الأنبیاء صلی الله علیه و آله فی المراد من الکلمات والأسماء هم 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کتب الفریقین من السنّة والشیعة أن الکلمات التی تلقّاها آدم من ربّه فتاب علیه هم النبیّ صلی الله علیه و آله وأهل بیته علیهم السلام، فدعا الله عزّ وجلّ بواسطة الکلمات فتاب علیه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الحاکم فی المستدرک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اقترف آدم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أسألک بحقّ محمّد لمّا غفرت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یاآدم وکیف عرفت محمّداً ولم أخلقه؟،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لأنک لما خلقتنی بیدک ونفخت فیّ من روحک رفعت رأسی، فرأیت علی قوائم العرش مکتوباً لا إله إلّاالله محمّد رسول الله، فعلمت أنک لم تُضف إلی إسمک إلّاأحبّ الخلق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یاآدم إنه لأحبّ الخلق إلیّ، ادعنی بحقّه فقد غفرت لک ولولا محمّد ما خلقتک</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الحاکم الحسکانی فی شواهد التنزیل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صلی الله علیه و آله عن الکلمات التی تلقّاها آدم من ربّه فتاب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بحقّ محمّد وعلیّ وفاطمة والحسن والحسین إلّاتبت علی فتاب علیه</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السیوطی عن الإمام علی علیه السلام أنه ذکر أن الله عزّ وجلّ علّم آدم الکلمات التی تاب بها علیه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محمّد وآل محمّد سبحانک لا إله إلّاأنت عملت سوءاً وظلمت نفسی فاغفر لی إنک أنت الغفور الرحیم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أسألک بحقّ محمّد وآل محمّد سبحانک لا إله إلّاأنت عملت</w:t>
      </w:r>
    </w:p>
    <w:p>
      <w:pPr>
        <w:pStyle w:val="BookText"/>
        <w:rPr/>
      </w:pPr>
      <w:r>
        <w:rPr>
          <w:rFonts w:ascii="IRNazanin" w:hAnsi="IRNazanin" w:eastAsia="IRNazanin"/>
          <w:color w:val="111111"/>
          <w:sz w:val="28"/>
          <w:sz w:val="28"/>
          <w:szCs w:val="28"/>
          <w:rtl w:val="true"/>
          <w:lang w:bidi="fa-IR"/>
        </w:rPr>
        <w:t>سوءاً وظلمت نفسی فتب علیّ إنک أنت التواب الرحیم، فهؤلاء الکلمات التی تلقّی آدم</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الْمَسِیحُ عِیسَی ابْنُ مَرْیَمَ رَسُولُ اللّهِ وَ کَلِمَتُهُ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فالکلمة اطلقت علی عیسی علیه السلام، وهذا الإطلاق غیر خاص به علیه السلام، بل هو شامل لکلّ الأنبیاء لا سیما أولوا العزم منهم ولا سیما خاتم النبیین، فهو أفضل الأنبیاء وسیّدهم وأعظمهم، فلا محالة یکون هو الکلمة الأتمّ، وکذا من هم نفس النبیّ صلی الله علیه و آله وهم أهل بیته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إبراهیم علیه السلام بلا شک کلمة وآیة من آیات الله تعالی؛ لأنه أفضل من عیسی علیه السلام، ومع ذلک امتحنه الله عزّ وجلّ بکلمات تفوقه فی المقام والمنزلة، ولمّا ثبت فی الامتحان فاز بمقام الإمامة بعد الخلّة والنبوّة والرسالة، فلا محالة تکون الکلمات هم سید الأنبیاء صلی الله علیه و آله وآخرین غیر النبی إبراهیم والنبی عیسی وموسی وآدم علیهم السلام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والکلمات کما جاء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خمسة أصحاب الکساء، فإبراهیم نال مقام الخلافة فی الأرض والزلفی عند الله عزّ وجلّ بالکلمات، کما أن آدم فضّل علی الملائکة وأصبح مسجوداً لهم لتعلّمه الأسماء الحسنی والآیات العظمی، وهم أهل آیة التطهیر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آدم تسنّم مقام الخلافة الإلهیة بتوسّط علم الأسماء الحیّة العاقلة النوریّة، التی تحیط بجمیع المخلوقات، ولا یحیط بها مخلوق من المخلوقات إلّا بما شاء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المفضّل بن عمر عن الإمام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الکلمات؟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الکلمات التی تلقّاها آدم من ربّه فتاب الله علیه، وهو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بحقّ محمّد وعلیّ وفاطمة والحسن والحسین إلّاتبت علیّ، فتاب الله علیه إنه هو التواب الرحیم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المعصومون الأربعة عشر کلّهم علیهم السلام یقرأون هذه الآیة عند ولادتهم، فهم الکلمات التامات التی تمّت صدقاً وعدلًا لا مبدّل لکلماته، وقد مرّت الإشارة إلی أن نعت الکلمة بالصدق والعدالة یشیر إلی حجج الله فیما یؤدّونه عن الله وما هی علیه سیرتهم من الصدق والعدل والعدالة، هذا کلّه بالنسبة إلی الجواب الأوّل وتفصیلاته</w:t>
      </w:r>
      <w:r>
        <w:rPr>
          <w:rFonts w:eastAsia="IRNazanin" w:cs="IRNazanin"/>
          <w:color w:val="111111"/>
          <w:sz w:val="28"/>
          <w:szCs w:val="28"/>
          <w:rtl w:val="true"/>
          <w:lang w:bidi="fa-IR"/>
        </w:rPr>
        <w:t>.</w:t>
      </w:r>
      <w:bookmarkStart w:id="441" w:name="pg13703_133959"/>
    </w:p>
    <w:p>
      <w:pPr>
        <w:pStyle w:val="Heading6"/>
        <w:numPr>
          <w:ilvl w:val="5"/>
          <w:numId w:val="1"/>
        </w:numPr>
        <w:rPr/>
      </w:pPr>
      <w:bookmarkStart w:id="442" w:name="__RefHeading___Toc1101254_1468164448"/>
      <w:bookmarkStart w:id="443" w:name="_Toc163"/>
      <w:bookmarkEnd w:id="441"/>
      <w:bookmarkEnd w:id="442"/>
      <w:r>
        <w:rPr>
          <w:rtl w:val="true"/>
        </w:rPr>
        <w:t>الجواب الثالث</w:t>
      </w:r>
      <w:r>
        <w:rPr>
          <w:rtl w:val="true"/>
        </w:rPr>
        <w:t xml:space="preserve">: </w:t>
      </w:r>
      <w:r>
        <w:rPr>
          <w:rtl w:val="true"/>
        </w:rPr>
        <w:t>الآیات القرآنیة</w:t>
      </w:r>
      <w:r>
        <w:rPr>
          <w:rtl w:val="true"/>
        </w:rPr>
        <w:t>:</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ما جاء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الاستکبار علی الآیات الوارد فی هذه الآیة المبارکة نظیر ما فعله إبلیس، حیث أبی واستکبر أن یسجد لآدم، فکذّب بآیة من آیات الله تعالی، وذلک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استند فی تکذیبه هذا إلی القیاس الباطل وهو لا یعلم حقائق دین الله تعالی، ولا یعلم أن جانباً آخر فی آدم نوریّ یعلو علی النار هو الذی أهّله لذلک المقام، ولیس الطین إلّا وجوده النازل المادّی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الآیة المبارکة ذکرت أثراً آخر من آثار التکذیب بالآیات الإلهیة والاستکبار علیها،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تُفَتَّحُ لَهُمْ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الواضح أن أبواب السماء إنما تفتّح حین الدعاء والعبادة والتوجّه إلی الله عزّ وجلّ وحین إرادة الزلفی والقرب، وکذلک لتصاعد الإیمان والعقیدة، کما یشیر إلیه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الآیة المبارکة تقول إن الذین یکذّبون بآیات الله تعالی وأسمائه وکلماته ویستکبرون عنها کما فعل إبلیس لا تفتّح لهم أبواب السماء، فلا یمکنهم أن یدعوا الله أو یتقرّبوا إلیه، ولا یستجاب لهم دعاؤهم ولا عباداتهم کالصلاة والصوم والحجّ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والربط بین ترک الآیة والاعراض عنها والاستکبار علیها وبین عدم القرب وعدم قبول الدعاء وعدم تفتّح الأبواب هو أن الله عزّ وجلّ لیس بمادّی ولا بجسم، فلا یمکن أن یقابل أو یجابه فلا زلفی إلّابالآیات والإیمان بها والطاعة والخضوع لها والتوجّه بها إلی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فی هذا الفصل وفی الفصل الثالث أن الآیات هم الحجج المصطفون، فلابدّ عند إرادة التوجّه إلی سماء الحضرة الإلهیة بالدعاء والعبادة والازدلاف من التوجّه بهم والتوسّل بهم؛ لأن ذلک مفتاح فتح أبواب السماء، فهذه الآیة تتشاهد وتتطابق مع الآیة المتقدمة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 وَ ذَرُوا الَّذِینَ یُلْحِدُونَ فِی أَسْمائِهِ سَیُجْزَوْنَ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الأسماء التی یُدعی بها فی مقام الدعاء والفوز علی الله هی الآیات التی لابدّ من الإیمان بها والخضوع والإقبال علیها والتوجّه بها إلی الحضرة السماویة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المضمون هو ما ورد فی الروایات المتواترة من أن ولایة أهل البیت علیهم السلام شرط فی قبول الأعمال والعقائد، فإمامتهم علیهم السلام مقام من مقامات التوحید فی الطاعة، وهی شرط التوحید وکلمة لا إله إلّاالله، فمن لا ولایة ولا طاعة له لا یقبل الله عزّ وجلّ له عملًا، کما هو الحال فی إبلیس، حیث لم یقبل الله عزّ وجلّ أعماله، ولم یقم له وزناً وطُرد من جوار الله وقربه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من لا یذعن بالواسطة والولایة لا یقبل له عمل، لأنه لا تفتّح له الأبواب، ولا یکون ناجیاً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یَدْخُلُونَ الْجَنَّةَ حَتّی یَلِجَ الْجَمَلُ</w:t>
      </w:r>
      <w:r>
        <w:rPr>
          <w:rFonts w:eastAsia="Amiri" w:cs="Amiri" w:ascii="Amiri" w:hAnsi="Amiri"/>
          <w:color w:val="111111"/>
          <w:sz w:val="28"/>
          <w:szCs w:val="28"/>
          <w:rtl w:val="true"/>
          <w:lang w:bidi="ar-SA"/>
        </w:rPr>
        <w:t>)</w:t>
      </w:r>
      <w:bookmarkStart w:id="444" w:name="pg13703_133961"/>
    </w:p>
    <w:p>
      <w:pPr>
        <w:pStyle w:val="BookText"/>
        <w:rPr/>
      </w:pPr>
      <w:bookmarkEnd w:id="4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سَمِّ الْخِیاطِ وَ کَذلِکَ نَجْزِی الْمُجْرِمِینَ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الآیة جاءت فی سیاق واحد مع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فالسیاق الواحد فی هذه الآیات دالّ علی أن ما فعله إبلیس کان إنکاراً وظلماً لآیة من آیات الله تعالی، ودالّ أیضاً علی أن ثقل المیزان والقرب وقبول الأعمال إنما یتمّ بالخضوع للآیات والإیمان بها</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1101256_1468164448"/>
      <w:bookmarkStart w:id="446" w:name="_Toc164"/>
      <w:bookmarkEnd w:id="445"/>
      <w:r>
        <w:rPr>
          <w:rtl w:val="true"/>
        </w:rPr>
        <w:t>ولیست الأصنام إلّا الوسائل والوسائط المقترحة</w:t>
      </w:r>
      <w:r>
        <w:rPr>
          <w:rtl w:val="true"/>
        </w:rPr>
        <w:t>:</w:t>
      </w:r>
      <w:bookmarkEnd w:id="44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وَ اسْتَکْبَرُوا عَنْها 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وتقریب الاستدلال بهذه الآیة کالتقریب الذی تقدّم فی الآیات التی سبقتها، ولا یخفی ما فی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علی الاعراض والإنکار لوساطة الآیات الإلهیة، وأنه موجب لبطلان الأعمال والخلود فی النار</w:t>
      </w:r>
      <w:r>
        <w:rPr>
          <w:rFonts w:eastAsia="Amiri" w:cs="Amiri" w:ascii="Amiri" w:hAnsi="Amiri"/>
          <w:color w:val="111111"/>
          <w:sz w:val="28"/>
          <w:szCs w:val="28"/>
          <w:rtl w:val="true"/>
          <w:lang w:bidi="ar-SA"/>
        </w:rPr>
        <w:t>.</w:t>
      </w:r>
      <w:bookmarkStart w:id="447" w:name="pg13703_133962"/>
    </w:p>
    <w:p>
      <w:pPr>
        <w:pStyle w:val="Heading5"/>
        <w:numPr>
          <w:ilvl w:val="4"/>
          <w:numId w:val="1"/>
        </w:numPr>
        <w:rPr/>
      </w:pPr>
      <w:bookmarkStart w:id="448" w:name="__RefHeading___Toc1101258_1468164448"/>
      <w:bookmarkStart w:id="449" w:name="_Toc165"/>
      <w:bookmarkEnd w:id="447"/>
      <w:bookmarkEnd w:id="448"/>
      <w:r>
        <w:rPr>
          <w:rtl w:val="true"/>
        </w:rPr>
        <w:t>الشبهة الرابعة</w:t>
      </w:r>
      <w:r>
        <w:rPr>
          <w:rtl w:val="true"/>
        </w:rPr>
        <w:t xml:space="preserve">: </w:t>
      </w:r>
      <w:r>
        <w:rPr>
          <w:rtl w:val="true"/>
        </w:rPr>
        <w:t>الأعمال الصالحة هی الوسیلة</w:t>
      </w:r>
      <w:bookmarkEnd w:id="449"/>
    </w:p>
    <w:p>
      <w:pPr>
        <w:pStyle w:val="Heading6"/>
        <w:numPr>
          <w:ilvl w:val="5"/>
          <w:numId w:val="1"/>
        </w:numPr>
        <w:rPr/>
      </w:pPr>
      <w:bookmarkStart w:id="450" w:name="__RefHeading___Toc1101260_1468164448"/>
      <w:bookmarkStart w:id="451" w:name="_Toc166"/>
      <w:bookmarkEnd w:id="450"/>
      <w:r>
        <w:rPr>
          <w:rtl w:val="true"/>
        </w:rPr>
        <w:t>التوسّل والوسیلة حقیقة العقیدة بالنبوّة والرسالة</w:t>
      </w:r>
      <w:r>
        <w:rPr>
          <w:rtl w:val="true"/>
        </w:rPr>
        <w:t>:</w:t>
      </w:r>
      <w:bookmarkEnd w:id="451"/>
    </w:p>
    <w:p>
      <w:pPr>
        <w:pStyle w:val="BookText"/>
        <w:rPr/>
      </w:pPr>
      <w:r>
        <w:rPr>
          <w:rFonts w:ascii="IRNazanin" w:hAnsi="IRNazanin" w:eastAsia="IRNazanin"/>
          <w:color w:val="111111"/>
          <w:sz w:val="28"/>
          <w:sz w:val="28"/>
          <w:szCs w:val="28"/>
          <w:rtl w:val="true"/>
          <w:lang w:bidi="fa-IR"/>
        </w:rPr>
        <w:t>لقد قام أصحاب هذا الاتجاه المنکر لمبدأ التوسّل بتوجیه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فسّروا الوسیلة فی هذه الآیة بالطاعات والقربات والأعمال الصالحة التی یتقرّب بها العبد إلی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فی الأحادیث بأن العبد لا یتقرّب إلی الله عزّ وجلّ إلّابالطاعة والعمل الصالح، فطوعانیة العبد لربّه هی وسیلته الوحیدة، ولیس بین الله وبین خلقه قرابة وقرب إلّابالطاعة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یدخلها المطیع ولو کان عبداً حبشیاً والنار یدخلها العاصی ولو کان سیّداً قرشیّاً</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1101262_1468164448"/>
      <w:bookmarkStart w:id="453" w:name="_Toc167"/>
      <w:bookmarkEnd w:id="452"/>
      <w:r>
        <w:rPr>
          <w:rtl w:val="true"/>
        </w:rPr>
        <w:t>الجواب عن الشبهة الرابعة</w:t>
      </w:r>
      <w:r>
        <w:rPr>
          <w:rtl w:val="true"/>
        </w:rPr>
        <w:t>:</w:t>
      </w:r>
      <w:bookmarkEnd w:id="453"/>
    </w:p>
    <w:p>
      <w:pPr>
        <w:pStyle w:val="BookText"/>
        <w:rPr/>
      </w:pPr>
      <w:r>
        <w:rPr>
          <w:rFonts w:ascii="IRNazanin" w:hAnsi="IRNazanin" w:eastAsia="IRNazanin"/>
          <w:color w:val="111111"/>
          <w:sz w:val="28"/>
          <w:sz w:val="28"/>
          <w:szCs w:val="28"/>
          <w:rtl w:val="true"/>
          <w:lang w:bidi="fa-IR"/>
        </w:rPr>
        <w:t>کان حصیلة الشبهة الرابعة هو تمسّکهم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فسّروا الوسیلة بالأعمال الصالحة من البرّ والتقوی والورع وسائر العبادات، وأن طوعانیة العبد لربّه هی الوسیلة الوحیدة للنجاة والفوز بالجنة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المقدّمة نحن لا ننفی کون الأعمال الصالحة وسیلة من وسائل القرب إلی الله عزّ وجلّ، ولکن نرید أن نقول هی أحد مصادیق الوسیلة ولیست الوسیلة منحصرة بها، وذلک بمقتضی نفس زعمهم من أن الوسیلة</w:t>
      </w:r>
      <w:bookmarkStart w:id="454" w:name="pg13703_133963"/>
    </w:p>
    <w:p>
      <w:pPr>
        <w:pStyle w:val="BookText"/>
        <w:rPr/>
      </w:pPr>
      <w:bookmarkEnd w:id="454"/>
      <w:r>
        <w:rPr>
          <w:rFonts w:ascii="IRNazanin" w:hAnsi="IRNazanin" w:eastAsia="IRNazanin"/>
          <w:color w:val="111111"/>
          <w:sz w:val="28"/>
          <w:sz w:val="28"/>
          <w:szCs w:val="28"/>
          <w:rtl w:val="true"/>
          <w:lang w:bidi="fa-IR"/>
        </w:rPr>
        <w:t>هی الأعمال الصالحة والطاعات، حیث أن أعظم الأعمال الصالحة والطاعات هو الإیمان بالله ورسوله؛ إذ لا یقاس بالإیمان بقیّة الأعمال من الصلاة والصیام والحج وغیرها، بل إن بقیة الأعمال لا تقبل ولا یثاب علیها الإنسان إلّابالإیمان، فإذا کان الإیمان أعظمها، والإیمان هو الإیمان بالله ورسوله والیوم الآخر، بل إن الإیمان بالرسول صلی الله علیه و آله هو الهادی إلی حقیقة التوحید، فیکون الإیمان بالرسول صلی الله علیه و آله من أعظم ما یتوسّل به إلی الله عند الدعاء وعند العبادة وعند التوجّه إلی الحضرة الإلهیة، فهذا یقتضی کون الرسول صلی الله علیه و آله أعظم وسیلة، لأن الإیمان إنما حاز هذا الشرف العظیم ومکان الوساطة والوسیلیة إلی الله تعالی ببرکة تعلّق الإیمان بالنبی صلی الله علیه و آله، إذ شرف المعرفة بالمعروف الذی تعلّقت به المعرفة، کما أن شرف العلم بالمعلوم الذی تعلّق به العلم، فذات المعلوم والمعروف أشرف من العلم والمعرفة المتعلّقة بهما، ومن شرف ذات المعلوم المعروف ترشّح شرف العلم والمعرفة، فهذا یقضی بالضرورة أن أعظم الوسائل هو النبی الأکرم صلی الله علیه و آله ومن ثم نُعت فی القرآن الکریم بأنه رحمة للعالمین، وهذا ما أشارت إلیه الأدلّة المتضافرة من أنه صلی الله علیه و آله صاحب الوسیلة الکبری والشفاعة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تکون الاجابة واضحة لابدّ من التأمل فی مفاد الآیة المبارکة، وذلک ضمن النقاط التالیة</w:t>
      </w:r>
      <w:r>
        <w:rPr>
          <w:rFonts w:eastAsia="IRNazanin" w:cs="IRNazanin"/>
          <w:color w:val="111111"/>
          <w:sz w:val="28"/>
          <w:szCs w:val="28"/>
          <w:rtl w:val="true"/>
          <w:lang w:bidi="fa-IR"/>
        </w:rPr>
        <w:t>:</w:t>
      </w:r>
    </w:p>
    <w:p>
      <w:pPr>
        <w:pStyle w:val="Heading6"/>
        <w:numPr>
          <w:ilvl w:val="5"/>
          <w:numId w:val="1"/>
        </w:numPr>
        <w:rPr/>
      </w:pPr>
      <w:bookmarkStart w:id="455" w:name="__RefHeading___Toc1101264_1468164448"/>
      <w:bookmarkStart w:id="456" w:name="_Toc168"/>
      <w:bookmarkEnd w:id="455"/>
      <w:r>
        <w:rPr>
          <w:rtl w:val="true"/>
        </w:rPr>
        <w:t>النقطة الأولی</w:t>
      </w:r>
      <w:r>
        <w:rPr>
          <w:rtl w:val="true"/>
        </w:rPr>
        <w:t xml:space="preserve">: </w:t>
      </w:r>
      <w:r>
        <w:rPr>
          <w:rtl w:val="true"/>
        </w:rPr>
        <w:t>ما هو المراد من الوسیلة؟</w:t>
      </w:r>
      <w:bookmarkEnd w:id="45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 التعبیر فی الآیة الکریمة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ابتغوه بالوسیلة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ذلک إلّاللتنبیه علی أن الذی</w:t>
      </w:r>
    </w:p>
    <w:p>
      <w:pPr>
        <w:pStyle w:val="BookText"/>
        <w:rPr/>
      </w:pPr>
      <w:r>
        <w:rPr>
          <w:rFonts w:ascii="IRNazanin" w:hAnsi="IRNazanin" w:eastAsia="IRNazanin"/>
          <w:color w:val="111111"/>
          <w:sz w:val="28"/>
          <w:sz w:val="28"/>
          <w:szCs w:val="28"/>
          <w:rtl w:val="true"/>
          <w:lang w:bidi="fa-IR"/>
        </w:rPr>
        <w:t>یُبتغی ویُقصد لطلب الحوائج هو الوسیلة، التی تکون واسطة فی الفیض بین العبد وربّه، ومعنی الآیة المبارکة وابتغوا الوسیلة إلیه، فالابتغاء والقصد والتوجّه بالوسیلة إلی الله عزّ وجلّ، ولا تتحقّق البُغیة إلی الله تعالی إلّا بالوسیلة؛ ولذا لابدّ من تحدید ما هو المراد من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روایات الفریقین متّفقة علی أن الوسیلة مقام من المقامات المشهودة والسامیة للنبیّ الأعظم صلی الله علیه و آله، وهی علی طوائف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التی فسّرت الوسیلة بالمقام المحمود ومقام الشفاعة المختصّ بالنبیّ الأکرم صلی الله علیه و آله، وذلک کقوله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لی الوسیلة فإنها منزلة فی الجنّة لا تنبغی إلّالعبد من عباد الله وأرجو أن أکون أنا هو، فمن سأل لی الوسیلة حلّت علیه الشفاعة</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وقد فهم بعض الشرّاح من هذا الحدیث أن المقصود من الوسیلة فیه هی الشفاعة ذاتها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الروایات نصّت علی أن الشفاعة هی المقام المحمود، فالشفاعة التی هی المقام المحمود لا تحلّ علی الشخص إلّابسؤال ذلک الشخص مقام الوسیلة للرسول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التی یظهر منها أن مقام الوسیلة والشفاعة والمقام المحمود مناصب متعدّدة للنبیّ الأکرم صلی الله علیه و آله، کقوله صلی الله علیه و آله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حین یسمع النداء اللّهم ربّ هذه الدعوة التامة والصلاة</w:t>
      </w:r>
    </w:p>
    <w:p>
      <w:pPr>
        <w:pStyle w:val="BookText"/>
        <w:rPr/>
      </w:pPr>
      <w:r>
        <w:rPr>
          <w:rFonts w:ascii="IRNazanin" w:hAnsi="IRNazanin" w:eastAsia="IRNazanin"/>
          <w:color w:val="111111"/>
          <w:sz w:val="28"/>
          <w:sz w:val="28"/>
          <w:szCs w:val="28"/>
          <w:rtl w:val="true"/>
          <w:lang w:bidi="fa-IR"/>
        </w:rPr>
        <w:t>القائمة آتِ محمّداً الوسیلة والفضیلة وابعثه المقام المحمود الذی وعدته إلّاحلّت له شفاعتی یوم القیامة</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هذه الروایة تغایر المقامات الثلاثة وهی الوسیلة والمقام المحمود والشفاعة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ذکرت أن مقام الوسیلة منبر من نور ینصب للنبیّ صلی الله علیه و آله، فعن النبیّ صلی الله علیه و آله فی حدیث له مع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الله الأولین والآخرین یوم القیامة وضع لی منبر بین الجنة والنار من نور، لذلک المنبر مائة مرقاة وهی الدرجة الوسیلة، ثم تحفّ بالمنبر النبیّون ثم الوصیّون ثم الصالحون ثم الشهداء، ثم یجاء إلیّ، 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قم 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فأرقی حتی أصیر فی أعلی مرقاة من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صلی الله علیه و آله ثم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إرقَ یاعلیّ، فترقی یاأبا الحسن حتّی تصیر أسفل منّی بمرقاة، فأناولک یمینی وأقعدک علی جنبی الأیمن،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الموقف الذی وعدنی ربّی أنه یعطنی فیک</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علیه السلام قال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 قبّة الرضوان منزل یقال له الوسیلة، ولیس فی الجنّة منزل یشبهه وهو منبر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457" w:name="pg13703_133966"/>
    </w:p>
    <w:p>
      <w:pPr>
        <w:pStyle w:val="BookText"/>
        <w:rPr/>
      </w:pPr>
      <w:bookmarkEnd w:id="457"/>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ذکرت أن مقام الوسیلة مقام حظوة وحبوة للنبیّ صلی الله علیه و آله، ویطول المقام بذکرها فلا حاجة إلی استعراضها، وبعض الروایات المتقدّمة فیها 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یوجد أی تنافی بین هذه الطوائف من الروایات، حیث أنها تثبت للنبیّ الأکرم صلی الله علیه و آله مقاماً خاصّاً لا یدرکه ملک مقرّب ولا نبیّ مرسل، وهذا المقام فی جهة من جهاته یسمّی بالمقام المحمود وفی أخری یسمّی بالوسیلة وفی ثالثة یسمّی بالشفاعة، وهذا أیضاً لا یتقاطع مع کون مقام الوسیلة منبر من نور؛ لأن التعبیر بذلک للدّلالة علی حظوة النبیّ صلی الله علیه و آله وحمد مقامه عند الله عزّ وجلّ فی ذلک الیوم العصیب، الذی یکون فیه کلّ الأنبیاء علی جانب عظیم من الوجل والشفقة والخشیة، والکلّ یستغیث وانفساه، والنبیّ الأکرم صلی الله علیه و آله فی تلک الحال وجیه عند الله عزّ وجلّ علی منبر من نور صاحب حظوة ومکانة دون باقی البشر، فالمنبر کنایة عن الوجاهة والقرب والزلفی والواسطة والشفاعة وأنه یتوسّط به إلی الله عزّ وجلّ ویستغاث به للنجاة من النار، فهو صاحب الشفاعة الکبری، وهو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لأهل الکبائر من امتی</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1101266_1468164448"/>
      <w:bookmarkStart w:id="459" w:name="_Toc169"/>
      <w:bookmarkEnd w:id="458"/>
      <w:r>
        <w:rPr>
          <w:rtl w:val="true"/>
        </w:rPr>
        <w:t>النقطة الثانیة</w:t>
      </w:r>
      <w:r>
        <w:rPr>
          <w:rtl w:val="true"/>
        </w:rPr>
        <w:t xml:space="preserve">: </w:t>
      </w:r>
      <w:r>
        <w:rPr>
          <w:rtl w:val="true"/>
        </w:rPr>
        <w:t>الرابطة بین الشفاعة والتوسّل</w:t>
      </w:r>
      <w:r>
        <w:rPr>
          <w:rtl w:val="true"/>
        </w:rPr>
        <w:t>:</w:t>
      </w:r>
      <w:bookmarkEnd w:id="45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النقطة السابقة أن المقام المحمود هو الشفاعة، کما نصّت علی</w:t>
      </w:r>
    </w:p>
    <w:p>
      <w:pPr>
        <w:pStyle w:val="BookText"/>
        <w:rPr/>
      </w:pPr>
      <w:r>
        <w:rPr>
          <w:rFonts w:ascii="IRNazanin" w:hAnsi="IRNazanin" w:eastAsia="IRNazanin"/>
          <w:color w:val="111111"/>
          <w:sz w:val="28"/>
          <w:sz w:val="28"/>
          <w:szCs w:val="28"/>
          <w:rtl w:val="true"/>
          <w:lang w:bidi="fa-IR"/>
        </w:rPr>
        <w:t>ذلک الروایات</w:t>
      </w:r>
      <w:r>
        <w:rPr>
          <w:rStyle w:val="FootnoteAnchor"/>
          <w:rtl w:val="true"/>
        </w:rPr>
        <w:footnoteReference w:id="307"/>
      </w:r>
      <w:r>
        <w:rPr>
          <w:rFonts w:ascii="IRNazanin" w:hAnsi="IRNazanin" w:eastAsia="IRNazanin"/>
          <w:color w:val="111111"/>
          <w:sz w:val="28"/>
          <w:sz w:val="28"/>
          <w:szCs w:val="28"/>
          <w:rtl w:val="true"/>
          <w:lang w:bidi="fa-IR"/>
        </w:rPr>
        <w:t>، وأشرنا أیضاً إلی أن الاستشفاع بشفاعة الشفیع والتوسّل بالوسیلة وجهان لمقام واحد، ونرید الوقوف قلیلًا عند هذه الحقیقة، فإن تفرقة المتکلمین والفقهاء بین الشفاعة والتوسّل صحیحة من جهة وخاطئة من جهة أخری، وذلک لأن التوسّل والشفاعة وجهان لحقیقة واحدة لا ینفصلان عن بعضهما البعض، فالتوسل هو فعل صاحب الحاجة عند الشفیع، والشفاعة هی فعل الشفیع بینه وبین المشفوع عنده، فإذا لاحظنا جهة العلاقة والرابطة بین طالب الشفاعة والشفیع یقال توسّل واستشفاع، وإذا لاحظنا نفس العملیة ولکن من جهة الرابطة بین الشفیع والمشفوع عنده فیقال لذات تلک العملیة شفاعة، فالوسیلة تتلوها الشفاعة والشفاعة یتلوها قضاء الحوائج وغفران الذنوب</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المسلمون قد أجمعوا علی ثبوت المقام المحمود والشفاعة الکبری للنبیّ الأکرم صلی الله علیه و آله فهو یستلزم اجماعاً آخر وهو جواز التوسّل بالنبیّ صلی الله علیه و آله وإن غفل شرذمة عن هذا اللازم، فإذا جازت الشفاعة من النبیّ صلی الله علیه و آله وهو فعل یقوم به بالإضافة إلی الله عزّ وجلّ فی حقّ أصحاب الحاجات فبالتالی سوف یکون التوسّل راجحاً ومشروعاً لا محالة؛ لعدم تصوّر انفکاک مشروعیة الشفاعة عن مشروعیة التوسّل؛ لأن التوسّل متعلّقه طلب الشفاعة فإذا کانت الشفاعة مشروعه کیف یکون طلب المشروع غیر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حیث إن معتقد الشفاعة للنبی صلی الله علیه و آله دین من أسس الإیمان فلا محالة یکون التوسّل معتقد دینی من أسس الإیمان أیضاً، بل حیث کانت الضرورة قائمة</w:t>
      </w:r>
      <w:bookmarkStart w:id="460" w:name="pg13703_133968"/>
    </w:p>
    <w:p>
      <w:pPr>
        <w:pStyle w:val="BookText"/>
        <w:rPr/>
      </w:pPr>
      <w:bookmarkEnd w:id="460"/>
      <w:r>
        <w:rPr>
          <w:rFonts w:ascii="IRNazanin" w:hAnsi="IRNazanin" w:eastAsia="IRNazanin"/>
          <w:color w:val="111111"/>
          <w:sz w:val="28"/>
          <w:sz w:val="28"/>
          <w:szCs w:val="28"/>
          <w:rtl w:val="true"/>
          <w:lang w:bidi="fa-IR"/>
        </w:rPr>
        <w:t>علی ثبوت مقام الشفاعة للنبی صلی الله علیه و آله فلا محالة الضرورة قائمة أیضاً علی أن التوسّل من أرکان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فالذهاب إلی الوسیط وطلب توسیطه فی قضاء الحاجة توسّل وعمل الوسیط شفاعة، والشفع هو الضمّ، فیضمّ الوسیط جاهه إلی حاجة المتوسل فیقضیها المشفوع عنده، فالتوسّل من مقوّمات الدعاء والتوجّه للحضرة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دلیل التوسّل القول بمشروعیة وضرورة الشفاعة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یکون عقد بابین مستقلّین للتوسل والشفاعة من المماشاة للغفلة التی وقع فیها أصحاب المقالة الجاحدة لعقیدة التوسّل، وإلّا فإن باب الشفاعة لا یمکن أن ینفک عن باب التوسّل؛ لأن التوسّل هو طلب التشفّع</w:t>
      </w:r>
      <w:r>
        <w:rPr>
          <w:rFonts w:eastAsia="IRNazanin" w:cs="IRNazanin"/>
          <w:color w:val="111111"/>
          <w:sz w:val="28"/>
          <w:szCs w:val="28"/>
          <w:rtl w:val="true"/>
          <w:lang w:bidi="fa-IR"/>
        </w:rPr>
        <w:t>.</w:t>
      </w:r>
    </w:p>
    <w:p>
      <w:pPr>
        <w:pStyle w:val="Heading6"/>
        <w:numPr>
          <w:ilvl w:val="5"/>
          <w:numId w:val="1"/>
        </w:numPr>
        <w:rPr/>
      </w:pPr>
      <w:bookmarkStart w:id="461" w:name="__RefHeading___Toc1101268_1468164448"/>
      <w:bookmarkStart w:id="462" w:name="_Toc170"/>
      <w:bookmarkEnd w:id="461"/>
      <w:r>
        <w:rPr>
          <w:rtl w:val="true"/>
        </w:rPr>
        <w:t>النقطة الثالثة</w:t>
      </w:r>
      <w:r>
        <w:rPr>
          <w:rtl w:val="true"/>
        </w:rPr>
        <w:t xml:space="preserve">: </w:t>
      </w:r>
      <w:r>
        <w:rPr>
          <w:rtl w:val="true"/>
        </w:rPr>
        <w:t>عموم تشریع الشفاعة</w:t>
      </w:r>
      <w:r>
        <w:rPr>
          <w:rtl w:val="true"/>
        </w:rPr>
        <w:t>:</w:t>
      </w:r>
      <w:bookmarkEnd w:id="462"/>
    </w:p>
    <w:p>
      <w:pPr>
        <w:pStyle w:val="BookText"/>
        <w:rPr/>
      </w:pPr>
      <w:r>
        <w:rPr>
          <w:rFonts w:ascii="IRNazanin" w:hAnsi="IRNazanin" w:eastAsia="IRNazanin"/>
          <w:color w:val="111111"/>
          <w:sz w:val="28"/>
          <w:sz w:val="28"/>
          <w:szCs w:val="28"/>
          <w:rtl w:val="true"/>
          <w:lang w:bidi="fa-IR"/>
        </w:rPr>
        <w:t>حاول أصحاب هذه المقالة تحدید نطاق الأدلّة الدالّة علی تشریع شفاعة النبیّ الأکرم صلی الله علیه و آله، حیث قالوا تارة بأن الشفاعة فی دار الدنیا لا تجوز إلّاإذا کان النبیّ الأکرم حیّاً فی هذه الدنیا، وأما بعد وفاته فلا مشروعیة للشفاعة إلّایوم القیامة دون الشفاعة فی الدنیا أو البرزخ، وقالوا أخری بأن متعلّق الشفاعة طلب الغفران من الذنوب، ولیس طلب الحاجات الدنیویّة، کشفاء المریض وغیره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المزعمة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الشفاعة فی الآخرة فقط أو مع حیاة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مبتنیة علی أن الشرک بالنصّ وعدم النصّ، مع أن الشرک من مدرکات العقل وأحکامه، وهی غیر قابلة للتخصیص، فإذا کان التشفّع شرکاً فلابدّ أن یکون کذلک فی جمیع النشآت وسواء کان النبیّ صلی الله علیه و آله موجوداً فی دار الدنیا أو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فالتفرقة لجوء منهم إلی النصّ وأن الشرک لیس له حدّ عقلی منضبط، وهو خلاف ما علیه علماء المسلمین، من أن الشرک إما بحثه عقلی أو عقلی ونقلی ولیس هو نقلیاً محضاً، هذا أولًا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أن دلیل مشروعیة الشفاعة نقلی، فلا دلیل علی الاختصاص بیوم القیامة؛ لأن الآیة مطلقة،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لما بعد وفاة النبیّ الأکرم صلی الله علیه و آله وهو صلی الله علیه و آله حیّ عند ربّه یرزق، مضافاً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اعْمَلُوا فَسَیَرَی اللّهُ عَمَلَکُمْ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فالنبیّ صلی الله علیه و آله ناظر للأعمال، والآیة الکریمة مطلقة والمخاطب بها کلّ الأجیال، ولو بنی علی اختصاص الأحکام التی تعلّقت بالرسول صلی الله علیه و آله علی خصوص حیاته فی دار الدنیا ونفی شمولها لحیاته عند ربّه لاستلزم ذلک تعطیل جملة الآیات والأحکام فی الدین الحنیف، ولما قامت للدین قائمة،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 وَ عَزَّرُوهُ وَ نَصَرُوهُ وَ اتَّبَعُوا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الَّذِی أُنْزِلَ مَعَهُ 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الآیات والأحکام، فعلی زعمهم الواهی لابدّ أن تُخصّ هذه الآیات بخصوص حیاته صلی الله علیه و آله فی دار الدنیا دون حیاته فی عند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وردت روایات متضافرة تنصّ علی أن الأعمال تُعرض علی رسول الله صلی الله علیه و آله کلّ یوم أو کلّ یوم خمیس أو جمعة، وأنه صلی الله علیه و آله یسمع السلام ویردّه، ویصلّی علی من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 من الاختصاص بیوم القیامة باطل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المزعمة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متعلّق الشفاعة طلب الغفران لا الحاجات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آنفاً من اطلاق الآیة المبارکة، فإن متعلّقها شامل للمسائل الدنیویة أیضاً ولا دلیل علی التخصیص بما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صحّت المقایسة التی زعموها فإن الحاجات الدنیویة أهون علی الله تعالی من حاجات الآخرة، فکیف یعقل أن الشفاعة تنفذ فیما هو أکثر خطورة وهی الحیاة الأبدیّة، دون ما هو أقلّ خطورة وهی الحیاة الدنیویة 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الثانی شرکاً دون الأوّل؟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سیرة المسلمین وکذا الصدر الأول منهم تتنافی مع ما ذکره، حیث أثبتت کتب المسلمین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المسلمین بالنبیّ الأکرم بعد وفاته</w:t>
      </w:r>
    </w:p>
    <w:p>
      <w:pPr>
        <w:pStyle w:val="BookText"/>
        <w:rPr/>
      </w:pPr>
      <w:r>
        <w:rPr>
          <w:rFonts w:ascii="IRNazanin" w:hAnsi="IRNazanin" w:eastAsia="IRNazanin"/>
          <w:color w:val="111111"/>
          <w:sz w:val="28"/>
          <w:sz w:val="28"/>
          <w:szCs w:val="28"/>
          <w:rtl w:val="true"/>
          <w:lang w:bidi="fa-IR"/>
        </w:rPr>
        <w:t>أیضاً، وسیرتهم إلی یومنا هذا جاریة علی التوسّل فی طلب حاجاتهم الدنیویة، ولا یقتصرون فی ذلک علی طلب الحاجات الأخرویّة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لیس متعلّق الشفاعة غفران الذنوب والنجاة من النار فحسب، بل حتی فی الرقیّ فی المراتب والمقامات، فالشخص یحتاج إلی الشفاعة لعدم الأهلیة فی عمله للصعود إلی مقام أعلی، کما ورد ذلک فی توسّل الأنبیاء بسیّد الرسل صلی الله علیه و آله، بل هو صلی الله علیه و آله یشفع أیضاً للأئمة المعصومین علیهم السلام لرفع مقامهم ودرجتهم إلی مقامه ودرجته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متعلّق الشفاعة وسیع یشمل النجاة من النار وغفران الذنوب ورفع المقامات وقضاء الحاجات وغیرها، فالشفاعة بإذن الله تعالی متعلّقها مطلق موارد فیض الباری عزّ وجلّ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وصف النبیّ موسی وعیسی علیهما السلام بأنهما وجیهان عند الله عزّ وجلّ،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 کانَ عِنْدَ اللّهِ وَجِیهاً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 الْآخِرَةِ وَ مِنَ الْمُقَرَّبِینَ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البیان لیس خاصاً بموسی وعیسی علیهما السلام، بل هو شامل علی أقل تقدیر لأنبیاء أولی العزم، خصوصاً سیّد المرسلین وخاتمهم وأفضلهم محمّد صلی الله علیه و آله وأهل بیته الذین أورثوا علم الکتاب کلّه، بل قد أشیر إلی ذلک فی تشریع القبلة، وأنها رغم کونها وجهاً لله‌تعالی</w:t>
      </w:r>
    </w:p>
    <w:p>
      <w:pPr>
        <w:pStyle w:val="BookText"/>
        <w:rPr/>
      </w:pPr>
      <w:r>
        <w:rPr>
          <w:rFonts w:ascii="Amiri" w:hAnsi="Amiri" w:eastAsia="Amiri" w:cs="Amiri"/>
          <w:color w:val="111111"/>
          <w:sz w:val="28"/>
          <w:sz w:val="28"/>
          <w:szCs w:val="28"/>
          <w:rtl w:val="true"/>
          <w:lang w:bidi="ar-SA"/>
        </w:rPr>
        <w:t>یتّجه إلیه المصلّی فی اتجاه استقباله فی الصلاة، إلّاأن الغایة منها هی الإنقیاد والخضوع لرسول الله صلی الله علیه و آله والولایة له، وهو یؤدّی للأوبة لله‌تعالی،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حَیْثُ ما کُنْتُمْ فَوَلُّوا وُجُوهَکُمْ شَطْرَهُ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الَّتِی کُنْتَ عَلَیْها إِلاّ لِنَعْلَمَ مَنْ یَتَّبِعُ الرَّسُولَ مِمَّنْ یَنْقَلِبُ عَلی عَقِبَیْهِ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وللتعبیر بالوجیه مدلولان التزامیان عقلی ونقلی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العقلی؛ فلأن الله عزّ وجلّ منزّه عن الجسمیة والمقابلة والمجابهة المادّیة، فلابدّ من وجه یتوجّه به إلیه، فالوجیه معناه هو وجه الله الذی یتقرّب به إلیه وآیته الدالّة علیه، التی لابدّ أن تُوسّط وتُشفّع فی التوجّه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النقلی؛ فهو ما ورد من أن زکاة الوجاهة الشفاعة فی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الشفاعة والوساطة مدلول التزامی عقلی ونقلی لمفهوم الوجاهة، فالوجیه هو الشفیع والوسیلة والواسطة بین العبد وربّه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إطلاق کون الأنبیاء علیهم السلام وجهاء عند الله عزّ وجلّ هو کونهم شفعاء فی الخیرات وقضاء الحوائج الدنیویة والأخرویة، ولا تختصّ وجاهتهم وشفاعتهم بغفران الذنوب فقط</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ذلک أیضاً أن الأنبیاء وجهاء عند الله وشفعاء فی کلّ الأزمان والأدوار، من دون اختصاص بیوم القیامة أو قبل وفاة النبیّ، وذلک لإطلاق</w:t>
      </w:r>
    </w:p>
    <w:p>
      <w:pPr>
        <w:pStyle w:val="BookText"/>
        <w:rPr/>
      </w:pPr>
      <w:r>
        <w:rPr>
          <w:rFonts w:ascii="IRNazanin" w:hAnsi="IRNazanin" w:eastAsia="IRNazanin"/>
          <w:color w:val="111111"/>
          <w:sz w:val="28"/>
          <w:sz w:val="28"/>
          <w:szCs w:val="28"/>
          <w:rtl w:val="true"/>
          <w:lang w:bidi="fa-IR"/>
        </w:rPr>
        <w:t>الآیات الدالّة علی الوجاهة التی تلزمها الشفاعة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الوسیلة فی الآیة التی ذکروها هو مقام الشفاعة الکبری للنبیّ الأکرم صلی الله علیه و آله، واتّضح أن الوسیلة والشفاعة وجهان لمقام واحد، واتّضح أیضاً أن الشفاعة والتوسّل رکن من أرکان الدین قائم فی الدنیا والآخرة، سواء کان النبیّ حیّاً فی دار الدنیا أو عند ربّه تعالی بعد وفاته صلی الله علیه و آله، وهکذا الشفاعة منصوبة فی دیانة الإسلام لطلب الحوائج الدنیویة وغیرها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یبرهن علی عموم شفاعة النبی صلی الله علیه و آله لکلّ النشآت والعوالم ولعموم الأمور ما 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مرّ فی الفصل الثالث أن الآیة تبیّن مشارطة الله ومواثقته علی النبیین فی إعطائهم مقام النبوة والرسالة والمقامات الغیبیة أنهم إنما یستأهلوها ویستحقّوها إذا آمنوا بخاتم النبیّین والتزموا بنصرته واتباعه وأقرّوا علی أنفسهم بذلک، فالآیة تبیّن أن سید الأنبیاء صاحب الوسیلة لجمیع المخلوقات، بل ولأشرف المخلوقات وهم الأنبیاء والرسل، وأنهم إنما نالوا المقامات الکبری الغیبیة من النبوّة والرسالة والحکمة بالتوسّل بذیل ولایة سید الأنبیاء وأهل بیته المعصومین، مع أن النبی صلی الله علیه و آله لم یُخلق بدنه حینذاک، وإنما خُلق نوره وأنوار أهل بیته قبل خلق السماوات والأرض وخلق الأنبیاء، کما</w:t>
      </w:r>
      <w:bookmarkStart w:id="463" w:name="pg13703_133974"/>
    </w:p>
    <w:p>
      <w:pPr>
        <w:pStyle w:val="BookText"/>
        <w:rPr/>
      </w:pPr>
      <w:bookmarkEnd w:id="463"/>
      <w:r>
        <w:rPr>
          <w:rFonts w:ascii="IRNazanin" w:hAnsi="IRNazanin" w:eastAsia="IRNazanin"/>
          <w:color w:val="111111"/>
          <w:sz w:val="28"/>
          <w:sz w:val="28"/>
          <w:szCs w:val="28"/>
          <w:rtl w:val="true"/>
          <w:lang w:bidi="fa-IR"/>
        </w:rPr>
        <w:t>أشارت إلی ذلک سورة النور والروایات من الفریقین، حسب ما تقدّم فی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ترصد أعظم ملحمة فی الخلقة والخلیقة لأعظم توسّل بأعظم متوسّل به لأعظم حاجة، وکفی بذلک بشارة للمؤمنین بهذا الرکن العظیم فی الدین، ونذارة للجاحدین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الأعمال کما قالوا تُزلف وتُقرّب العبد إلی الله عزّ وجلّ وهی فیها ما فیها من عدم الخلوص وخلطها بالصالح والطالح، فکیف ظنک بمقام سیّد الرسل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موجود مخلوق وکذا النبیّ صلی الله علیه و آله، ولکن لا قیاس ولا نسبة بینهما فی الوجاهة والقرب إذا توسّل بهما العبد</w:t>
      </w:r>
      <w:r>
        <w:rPr>
          <w:rFonts w:eastAsia="IRNazanin" w:cs="IRNazanin"/>
          <w:color w:val="111111"/>
          <w:sz w:val="28"/>
          <w:szCs w:val="28"/>
          <w:rtl w:val="true"/>
          <w:lang w:bidi="fa-IR"/>
        </w:rPr>
        <w:t>.</w:t>
      </w:r>
    </w:p>
    <w:p>
      <w:pPr>
        <w:pStyle w:val="Heading5"/>
        <w:numPr>
          <w:ilvl w:val="4"/>
          <w:numId w:val="1"/>
        </w:numPr>
        <w:rPr/>
      </w:pPr>
      <w:bookmarkStart w:id="464" w:name="__RefHeading___Toc1101270_1468164448"/>
      <w:bookmarkStart w:id="465" w:name="_Toc171"/>
      <w:bookmarkEnd w:id="464"/>
      <w:r>
        <w:rPr>
          <w:rtl w:val="true"/>
        </w:rPr>
        <w:t>الشبهة الخامسة</w:t>
      </w:r>
      <w:r>
        <w:rPr>
          <w:rtl w:val="true"/>
        </w:rPr>
        <w:t xml:space="preserve">: </w:t>
      </w:r>
      <w:r>
        <w:rPr>
          <w:rtl w:val="true"/>
        </w:rPr>
        <w:t>التوحید الإبراهیمیّ یأبی التوسّل بغیر الله</w:t>
      </w:r>
      <w:r>
        <w:rPr>
          <w:rtl w:val="true"/>
        </w:rPr>
        <w:t>:</w:t>
      </w:r>
      <w:bookmarkEnd w:id="465"/>
    </w:p>
    <w:p>
      <w:pPr>
        <w:pStyle w:val="Heading6"/>
        <w:numPr>
          <w:ilvl w:val="5"/>
          <w:numId w:val="1"/>
        </w:numPr>
        <w:rPr/>
      </w:pPr>
      <w:bookmarkStart w:id="466" w:name="__RefHeading___Toc1101272_1468164448"/>
      <w:bookmarkStart w:id="467" w:name="_Toc172"/>
      <w:bookmarkEnd w:id="466"/>
      <w:r>
        <w:rPr>
          <w:rtl w:val="true"/>
        </w:rPr>
        <w:t>اشارة</w:t>
      </w:r>
      <w:bookmarkEnd w:id="46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ما ورد فی الحدیث أن إبراهیم علیه السلام حین ألقی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له جبرئیل وهو فی الهواء،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إلیک فلا وأما من الله فبلی</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من سؤالی علمه بحالی،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یانار کونی برداً وسلاماً علی إبراهیم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فالنبیّ إبراهیم علیه السلام فی هذا الحدیث یحصر التوجّه فی الحاجات إلی الله عزّ وجلّ</w:t>
      </w:r>
      <w:bookmarkStart w:id="468" w:name="pg13703_133975"/>
    </w:p>
    <w:p>
      <w:pPr>
        <w:pStyle w:val="BookText"/>
        <w:rPr/>
      </w:pPr>
      <w:bookmarkEnd w:id="468"/>
      <w:r>
        <w:rPr>
          <w:rFonts w:ascii="IRNazanin" w:hAnsi="IRNazanin" w:eastAsia="IRNazanin"/>
          <w:color w:val="111111"/>
          <w:sz w:val="28"/>
          <w:sz w:val="28"/>
          <w:szCs w:val="28"/>
          <w:rtl w:val="true"/>
          <w:lang w:bidi="fa-IR"/>
        </w:rPr>
        <w:t>ویرفض کلّ واسطة ولو کانت بمنزلة جبرئیل علیه السلام، وهذا هو النفس التوحیدی الصحیح من مؤسّس التوحید ومکسّر الأصنام ومجاهد الوثنیة إبراهیم علیه السلام، إذ لم یوسّط حتی جبرئیل فی طلب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لابدّ من نفی الشرک فی الواسطة وطلب الحاجة؛ إذ لا حجاب بین الله وبین خلقه، ولم یتّخذ الله تعالی أصناماً ولا أحجاراً ولا أشخاصاً لیتوجّه بها إلیه</w:t>
      </w:r>
      <w:r>
        <w:rPr>
          <w:rFonts w:eastAsia="IRNazanin" w:cs="IRNazanin"/>
          <w:color w:val="111111"/>
          <w:sz w:val="28"/>
          <w:szCs w:val="28"/>
          <w:rtl w:val="true"/>
          <w:lang w:bidi="fa-IR"/>
        </w:rPr>
        <w:t>.</w:t>
      </w:r>
    </w:p>
    <w:p>
      <w:pPr>
        <w:pStyle w:val="Heading6"/>
        <w:numPr>
          <w:ilvl w:val="5"/>
          <w:numId w:val="1"/>
        </w:numPr>
        <w:rPr/>
      </w:pPr>
      <w:bookmarkStart w:id="469" w:name="__RefHeading___Toc1101274_1468164448"/>
      <w:bookmarkStart w:id="470" w:name="_Toc173"/>
      <w:bookmarkEnd w:id="469"/>
      <w:r>
        <w:rPr>
          <w:rtl w:val="true"/>
        </w:rPr>
        <w:t>الجواب عن الشبهة الخامسة</w:t>
      </w:r>
      <w:r>
        <w:rPr>
          <w:rtl w:val="true"/>
        </w:rPr>
        <w:t>:</w:t>
      </w:r>
      <w:bookmarkEnd w:id="470"/>
    </w:p>
    <w:p>
      <w:pPr>
        <w:pStyle w:val="BookText"/>
        <w:rPr/>
      </w:pPr>
      <w:r>
        <w:rPr>
          <w:rFonts w:ascii="IRNazanin" w:hAnsi="IRNazanin" w:eastAsia="IRNazanin"/>
          <w:color w:val="111111"/>
          <w:sz w:val="28"/>
          <w:sz w:val="28"/>
          <w:szCs w:val="28"/>
          <w:rtl w:val="true"/>
          <w:lang w:bidi="fa-IR"/>
        </w:rPr>
        <w:t>وهو ما یتعلّق بقصة إبراهیم علیه السلام عندما أُلقی فی النار، وما جری بینه وبین جبرئیل، حیث أن جبرئیل علیه السلام تدارک إبراهیم وهو فی حال الهویّ فی النار، وهی حالة عصیبة جدّاً، ولکن مع ذلک عندما عرض جبرئیل علیه السلام علیه قضاء حاجته وتخلیصه من محنته،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بحالی یغنی عن سؤالی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إن نفس عدم سؤال إبراهیم علیه السلام من جبرئیل معناه أن السؤال والاستغاثة بغیر الله تعالی غیر جائزة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 حادثة من الحوادث تتضمّن دائماً ملابسات تحتفّ بها لابدّ من معرفتها؛ لمدخلیتها فی استیضاح سیاق تلک الحادثة، وفی المقام مسائلة جبرئیل علیه السلام للنبیّ إبراهیم علیه السلام من أجل امتحانه وابتلائه وتفقّد رسوخ إیمانه وطمأنینته ورباطة جأشه؛ ولذا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إلیک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لیبیّن له أنه لیس فی مقام طلب الحاجة والخوف والهلع وإنقاذ الموقف وأنه مطمئن النفس ثابت الإیمان متوکّل علی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ویعزّز هذه الدعوی قول إبراهیم علیه السلام لجبرئیل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بحالی یغنی عن 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السؤال والدعاء مرغوب فیه ومحبّب عند الله عزّ وجلّ، وقد حثّ القرآن الکریم فی آیات عدیدة علی السؤال والدعاء وطلب قضاء الحاجة من الله تعالی، وقد توعّد الله تعالی المستکبر علی عبادته ودعائه باللسان والقول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الدعاء من الأمور المرغوب فیها والمأمور بها، ومن الواضح المتّفق علیه أن الروایة فی المقام لا ترید أن تقول أن الدعاء باللسان أمر مرجوح ومرغوب عنه، بل إن الدعاء وطلب الحاجة بالقول واللسان من الآداب الإلهیة، وقد قال الله تعالی لنبیّه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وحاشا للنبیّ إبراهیم علیه السلام أن یخرج عن أعظم الآداب الإلهیة ولا یتقیّد بها؛ إذ الدعاء أعظم العبادات وروحها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شاهد بیّن دامغ علی أن کلام إبراهیم علیه السلام بحسب السیاق فی مقام آخر، وهو مقام الامتحان للثبات علی الإیمان والطمأنینة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إبراهیم علیه السلام باکتفائه بعلم الله عزّ وجلّ بحاله أن یبیّن لجبرئیل علیه السلام أنه لیس علی وجل واضطراب، ویظهر له الثبات والحزم الذی هو علیه فی الحقیقة والواقع</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ودعاؤه علیه السلام فی خصوص ذلک الظرف والمقام قد یکون کاشفاً عن الوجل والتزلزل وعدم الطمأنینة، فهو علیه السلام لکمال ثباته وتوکّله علی‌الله تعالی</w:t>
      </w:r>
      <w:bookmarkStart w:id="471" w:name="pg13703_133977"/>
    </w:p>
    <w:p>
      <w:pPr>
        <w:pStyle w:val="BookText"/>
        <w:rPr/>
      </w:pPr>
      <w:bookmarkEnd w:id="471"/>
      <w:r>
        <w:rPr>
          <w:rFonts w:ascii="IRNazanin" w:hAnsi="IRNazanin" w:eastAsia="IRNazanin"/>
          <w:color w:val="111111"/>
          <w:sz w:val="28"/>
          <w:sz w:val="28"/>
          <w:szCs w:val="28"/>
          <w:rtl w:val="true"/>
          <w:lang w:bidi="fa-IR"/>
        </w:rPr>
        <w:t>أظهر ما هو علیه من رباطة الجأش والحزم وقوّة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فصدر الجواب وذیله فی هذا المقام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هنا أن إبراهیم علیه السلام لم یستنجد بجبرئیل علیه السلام ولم یسأله لأنه أفضل منه، وذلک إن مقام أنبیاء أولی العزم أفضل من مقام الملائکة الذین أسجدهم وأطوعهم لآدم، وقد ورد فی روایات الفریقین أن جبرئیل علیه السلام فی مواطن عدیدة لم یتقدّم علی آدم لکونه مسجود الملائکة، ففی هذه الحالة یکون مقام السائل أرفع شأناً من مقام المسؤول، ونحن محلّ کلامنا فیما إذا کان السائل یتقرّب بواسطة المسؤول ویتوسل به إلی الله عزّ وجلّ، وإذا کان السائل أقرب مقاماً من المسؤول، فلا معنی للتوسّط والتشفّع والزلفی</w:t>
      </w:r>
      <w:r>
        <w:rPr>
          <w:rFonts w:eastAsia="IRNazanin" w:cs="IRNazanin"/>
          <w:color w:val="111111"/>
          <w:sz w:val="28"/>
          <w:szCs w:val="28"/>
          <w:rtl w:val="true"/>
          <w:lang w:bidi="fa-IR"/>
        </w:rPr>
        <w:t>.</w:t>
      </w:r>
    </w:p>
    <w:p>
      <w:pPr>
        <w:pStyle w:val="Heading6"/>
        <w:numPr>
          <w:ilvl w:val="5"/>
          <w:numId w:val="1"/>
        </w:numPr>
        <w:rPr/>
      </w:pPr>
      <w:bookmarkStart w:id="472" w:name="__RefHeading___Toc1101276_1468164448"/>
      <w:bookmarkStart w:id="473" w:name="_Toc174"/>
      <w:bookmarkEnd w:id="472"/>
      <w:r>
        <w:rPr>
          <w:rtl w:val="true"/>
        </w:rPr>
        <w:t>الردّ الثالث</w:t>
      </w:r>
      <w:r>
        <w:rPr>
          <w:rtl w:val="true"/>
        </w:rPr>
        <w:t xml:space="preserve">: </w:t>
      </w:r>
      <w:r>
        <w:rPr>
          <w:rtl w:val="true"/>
        </w:rPr>
        <w:t>أنه ینقض علیهم بموارد</w:t>
      </w:r>
      <w:r>
        <w:rPr>
          <w:rtl w:val="true"/>
        </w:rPr>
        <w:t>:</w:t>
      </w:r>
      <w:bookmarkEnd w:id="47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الجاحدین للتوسّل یقرّون بأن الضرورة قائمة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ثبوت الشفاعة الکبری لسید الأنبیاء یوم المعاد، وأنه یستشفع به صلی الله علیه و آله للنجاة الأبدیة، فإذا کان الاستشفاع 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منهج التوحید الذی هو ملّة إبراهیم الحنیف فکیف یسمح الباری بوقوعه یوم القیامة، ویُبشر به نبیّه، وأنه یعدّه الباری مقاماً محموداً؟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استشفاع آدم بسید الأنبیاء، فهل یظن بنبی الله وصفوته مجانبة طریق التوحید؟</w:t>
      </w:r>
      <w:r>
        <w:rPr>
          <w:rFonts w:eastAsia="IRNazanin" w:cs="IRNazanin"/>
          <w:color w:val="111111"/>
          <w:sz w:val="28"/>
          <w:szCs w:val="28"/>
          <w:rtl w:val="true"/>
          <w:lang w:bidi="fa-IR"/>
        </w:rPr>
        <w:t>!</w:t>
      </w:r>
      <w:bookmarkStart w:id="474" w:name="pg13703_133978"/>
    </w:p>
    <w:p>
      <w:pPr>
        <w:pStyle w:val="Heading5"/>
        <w:numPr>
          <w:ilvl w:val="4"/>
          <w:numId w:val="1"/>
        </w:numPr>
        <w:rPr/>
      </w:pPr>
      <w:bookmarkStart w:id="475" w:name="__RefHeading___Toc1101278_1468164448"/>
      <w:bookmarkStart w:id="476" w:name="_Toc175"/>
      <w:bookmarkEnd w:id="474"/>
      <w:bookmarkEnd w:id="475"/>
      <w:r>
        <w:rPr>
          <w:rtl w:val="true"/>
        </w:rPr>
        <w:t>الشبهة السادسة</w:t>
      </w:r>
      <w:r>
        <w:rPr>
          <w:rtl w:val="true"/>
        </w:rPr>
        <w:t xml:space="preserve">: </w:t>
      </w:r>
      <w:r>
        <w:rPr>
          <w:rtl w:val="true"/>
        </w:rPr>
        <w:t>التوسّل یعنی التفویض وعجز الله تعالی</w:t>
      </w:r>
      <w:r>
        <w:rPr>
          <w:rtl w:val="true"/>
        </w:rPr>
        <w:t>:</w:t>
      </w:r>
      <w:bookmarkEnd w:id="476"/>
    </w:p>
    <w:p>
      <w:pPr>
        <w:pStyle w:val="Heading6"/>
        <w:numPr>
          <w:ilvl w:val="5"/>
          <w:numId w:val="1"/>
        </w:numPr>
        <w:rPr/>
      </w:pPr>
      <w:bookmarkStart w:id="477" w:name="__RefHeading___Toc1101280_1468164448"/>
      <w:bookmarkStart w:id="478" w:name="_Toc176"/>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قد یطرح هنا إشکال حول التوسّل بالوسائط، وهو دعوی أن الاعتقاد بالوسائط والتوسّل بها لاستدرار الفیض الإلهی قد یوجب اعتقاد العجز فی قدرة الله تعالی، ومما لاشک فیه أن الباری عزّ وجلّ واجب بالذات وغنی عن العالمین، فلابدّ من رفض الوسائط فی التوجّه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والتوسّل والتوجّه إلی غیر الله تعالی یستبطن التفویض والغلو وبالتالی یؤدّی إلی الشرک؛ لأن التوسّل یتضمّن إسناد بعض الصلاحیات الإلهیة إلی الوسائل، وهو یعنی إثبات العجز إلی قدرة الباری تعالی وهو التفویض والغلو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الشبهة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الجاحدین للتوسّل عن معرفة التوحید فی الأفعال</w:t>
      </w:r>
      <w:r>
        <w:rPr>
          <w:rFonts w:eastAsia="IRNazanin" w:cs="IRNazanin"/>
          <w:color w:val="111111"/>
          <w:sz w:val="28"/>
          <w:szCs w:val="28"/>
          <w:rtl w:val="true"/>
          <w:lang w:bidi="fa-IR"/>
        </w:rPr>
        <w:t>:</w:t>
      </w:r>
    </w:p>
    <w:p>
      <w:pPr>
        <w:pStyle w:val="Heading6"/>
        <w:numPr>
          <w:ilvl w:val="5"/>
          <w:numId w:val="1"/>
        </w:numPr>
        <w:rPr/>
      </w:pPr>
      <w:bookmarkStart w:id="479" w:name="__RefHeading___Toc1101282_1468164448"/>
      <w:bookmarkStart w:id="480" w:name="_Toc177"/>
      <w:bookmarkEnd w:id="479"/>
      <w:r>
        <w:rPr>
          <w:rtl w:val="true"/>
        </w:rPr>
        <w:t>فی مقام ردّ هذه الشبهة نجیب بعدّة أجوبة</w:t>
      </w:r>
      <w:r>
        <w:rPr>
          <w:rtl w:val="true"/>
        </w:rPr>
        <w:t>:</w:t>
      </w:r>
      <w:bookmarkEnd w:id="480"/>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إذا أقدر مخلوقاً من المخلوقات علی بعض الأمور، فهو لا یعنی سلب القدرة عنه تعالی فی تلک الأمور، ولا یعنی أیضاً عزله عن صفاته التی منها الصفات التی أعزاها إلی کلماته ووسائطه، فلا تجافی ولا عزلة فی البین؛ لأن التجافی والعزلة من أحکام المادّة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الباری تعالی لا یتجافی ولا ینعزل عن القدرة التی أقدر بعض الموجودات علیها، بل هو أقدر من تلک الوسائط علی ما أقدرها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زین العابدین علیه السلام فی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لا یطاع باکراه ولا یعصی بغلبة ویهمل العباد فی الهلکة، ولکنه المالک لما ملّکهم، والقادر لما علیه أقدرهم</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فی وصفه لله‌عزّ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تشبهه صورة ولا یحسّ بالحواس ولا یقاس بالقیاس، قریب فی بعده بعید فی قربه، فوق کلّ شیء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تحته، وتحت کلّ شیء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فوقه، أمام کلّ شیء ولا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داخل فی الأشیاء لا کشیء فی شیء داخل، وخارج من الأشیاء لا کشیء من شیء خارج، فسبحان من هو هکذا، ولا هکذا غیره، ولکلّ شیء مبتدأ</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أقدار الله عزّ وجلّ وکّل عطیة إلهیة یجود بها علی‌مخلوقاته لیس تملیکها تملیکاً عزلیاً وبنحو التجافی، وإنما هو تملیک قیّومی إحاطی، فهو عزّ وجلّ بکلّ شیء محیط وقیّوم علی کلّ شیء، وهو المالک لما ملّکهم والقادر لما علیه أقدرهم، بل إن التملیک بعینه مخلوق من المخلوقات والمُعطی والعطیة کلّها قائمة بالله تعالی حدوثاً وبقاءً، فکیف یستقل المخلوق فی فعله وهو محتاج فی ذاته ومفتقر إلی قیومیّة الباری تعالی؟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 ذات المخلوق وفعله وتمکینه وتملیکه وإقداره علی بعض الأمور کلّها بحول الله وقوته، ولا یخرج عن حیطة قیومیّته، فلا مجال للتفویض</w:t>
      </w:r>
      <w:bookmarkStart w:id="481" w:name="pg13703_133980"/>
    </w:p>
    <w:p>
      <w:pPr>
        <w:pStyle w:val="BookText"/>
        <w:rPr/>
      </w:pPr>
      <w:bookmarkEnd w:id="481"/>
      <w:r>
        <w:rPr>
          <w:rFonts w:ascii="IRNazanin" w:hAnsi="IRNazanin" w:eastAsia="IRNazanin"/>
          <w:color w:val="111111"/>
          <w:sz w:val="28"/>
          <w:sz w:val="28"/>
          <w:szCs w:val="28"/>
          <w:rtl w:val="true"/>
          <w:lang w:bidi="fa-IR"/>
        </w:rPr>
        <w:t>العزلی فی عالم الخلقة والامکان، ولیست الوسائط إلّامجار لفیض الله عزّ وجلّ وقدرته؛ لأجل عجز بعض القوابل عن التلقّی عن الله تعالی مباشرة</w:t>
      </w:r>
      <w:r>
        <w:rPr>
          <w:rFonts w:eastAsia="IRNazanin" w:cs="IRNazanin"/>
          <w:color w:val="111111"/>
          <w:sz w:val="28"/>
          <w:szCs w:val="28"/>
          <w:rtl w:val="true"/>
          <w:lang w:bidi="fa-IR"/>
        </w:rPr>
        <w:t>.</w:t>
      </w:r>
    </w:p>
    <w:p>
      <w:pPr>
        <w:pStyle w:val="Heading6"/>
        <w:numPr>
          <w:ilvl w:val="5"/>
          <w:numId w:val="1"/>
        </w:numPr>
        <w:rPr/>
      </w:pPr>
      <w:bookmarkStart w:id="482" w:name="__RefHeading___Toc1101284_1468164448"/>
      <w:bookmarkStart w:id="483" w:name="_Toc178"/>
      <w:bookmarkEnd w:id="482"/>
      <w:r>
        <w:rPr>
          <w:rtl w:val="true"/>
        </w:rPr>
        <w:t>الجاحدین للتوسّل بنوا جحودهم علی التفویض الأکبر</w:t>
      </w:r>
      <w:r>
        <w:rPr>
          <w:rtl w:val="true"/>
        </w:rPr>
        <w:t>:</w:t>
      </w:r>
      <w:bookmarkEnd w:id="483"/>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الشبهة التی ذکروها تستبطن التفویض والغلو فی المخلوق؛ لأنها مبتنیة علی دعوی أن المخلوق مستقلّ عن خالقه فی الوجود بقاءً، وأن الله تعالی عندما ملّک وأقدر بعض الموجودات المادّیة علی بعض الأفعال الحیاتیة الیومیّة، کقدرة الشخص علی تحریک أعضائه مثلًا باختیاره، انعزلت قدرته عن تلک الأفعال، فإنهم فی شبهتهم المذکورة افترضوا أن إقدار الله عزّ وجلّ وتملیکه بعض الأفعال لبعض المخلوقات وأنها استقلال للمملوک عن المالک، کاستدرار الفیض الإلهی عن طریق الوسائط تفویض وغلو فی تلک المخلوقات، وحیث أنه مما لا ریب فیه أن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المشاهد حسّاً والمعلوم وجداناً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أقدر الموجودات المادّیة علی الکثیر من الأفعال التی نراها یومیاً، فإنه یقتضی اعتقادهم بمقالة المعتزلة التفویضیة المغالیة، وهی أن المخلوق محتاج إلی الخالق حدوثاً لا بقاءً، وأن الله تعالی بعد أن خلق الموجودات انعزلت قدرته عنها فی البقاء والعیاذ بالله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بین فعل وفعل من الناحیة العقلیة، فإذا کان التوسّل وجعل الوسیلة والشفاعة لبعض المخلوقات یوجب التفویض العزلی، فکذلک إقدارهم علی أفعالهم الحادثة الیومیة لابدّ أن یکون أیضاً محکوماً بقانون التفویض العزلی، وأن الله تعالی انعزل عن مخلوقاته بعد أن أوجدها وأقدرها</w:t>
      </w:r>
    </w:p>
    <w:p>
      <w:pPr>
        <w:pStyle w:val="BookText"/>
        <w:rPr/>
      </w:pPr>
      <w:r>
        <w:rPr>
          <w:rFonts w:ascii="IRNazanin" w:hAnsi="IRNazanin" w:eastAsia="IRNazanin"/>
          <w:color w:val="111111"/>
          <w:sz w:val="28"/>
          <w:sz w:val="28"/>
          <w:szCs w:val="28"/>
          <w:rtl w:val="true"/>
          <w:lang w:bidi="fa-IR"/>
        </w:rPr>
        <w:t>وملّکها لأفعالها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هذا التفکیر مبنیّ علی الموازین الحسّیة المادّیة، ودعوی الفرق بین الأفعال الدنیویة الصغیرة والأفعال التدبیریة الخطیرة، کتدبیر السماوات والأرض، وإیصال فیض الله تعالی إلی الموجودات المادّیة الدانیة فی الوجود، حیث آمنوا ببطلان التفویض بجعل وسائط فی الفیض، وصحّحوا مقولة التفویض فی صغائر الأمور والأفعال المادیة الدنیویّة غیر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موازین بطلان التفویض موازین عقلیة لا یفرق فیها بین الأفعال الصغیرة والخطیرة؛ لأن التفویض یوجب الشرک وهو باطل علی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المخلوق لا یستقلّ بذاته وفعله عن الباری تعالی حدوثاً وبقاءً، ولا یفعل المخلوق فعلًا أیّاً کان حجمه وخطورته إلّابإقدار الله وتمکینه وبحوله وقوته بدءاً واستدامة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أصحاب هذه الشبهة یرفضون فکرة التفویض مطلقاً ویوحّدون فی الخلقة حدوثاً وبقاءً لما حصلت لهم هذه الشبهة، لأن الله تعالی لا تنحسر قدرته عن المخلوق فی أصل خلقته وبعد خلقته، فهو دائماً یستمدّ وجوده وبقاءه من الفیض والمدد الإلهی، وهم أرادوا أن ینکروا التوسّل، وهو فعل من الأفعال للزوم التفویض، فوقعوا فیما هو أعظم وهو التفویض فی أصل وجود المخلوقات من حیث البقاء فضلًا عن أفعالها، مع أن الله تعالی دائم الفیض علی البریّة، والمخلوق فی کلّ آن من آنات وجوده محتاج إلی فیض</w:t>
      </w:r>
    </w:p>
    <w:p>
      <w:pPr>
        <w:pStyle w:val="BookText"/>
        <w:rPr/>
      </w:pPr>
      <w:r>
        <w:rPr>
          <w:rFonts w:ascii="IRNazanin" w:hAnsi="IRNazanin" w:eastAsia="IRNazanin"/>
          <w:color w:val="111111"/>
          <w:sz w:val="28"/>
          <w:sz w:val="28"/>
          <w:szCs w:val="28"/>
          <w:rtl w:val="true"/>
          <w:lang w:bidi="fa-IR"/>
        </w:rPr>
        <w:t>باریه، لا یستقلّ عنه فی وجوده ولا ینادده فی فعله؛ إذ الباری قیّوم علی وجود المخلوق وأفعاله بنحو الأمر بین الأمرین، فلا ننفی المخلوقات وأفعالها کما فعل ذلک بعض جهلة الصوفیة، ولا نعزل قدرة الله تعالی عن مخلوقاته کما فعل المفوّضة، بل نقول کما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الجاحدین للتوسّل حیث کانوا عبّاد المذهب الحسّی المادی من حیث یشعرون أو من حیث تشبّع نفسیاتهم وذهنهم بذلک، حیث یبنون علی أن کلّ فعل حسّی هو فعل للمخلوقات، وکلّ فعل وراء الحسّ فهو فعل لاهوتی إلهی، أو أن الأفعال الصغیرة الحجم هی فعل للمخلوقات أما الأفعال الکبیرة فهی فعل إلهی، وعلی هذا المیزان یکون إماتة الموتی لا یصح إسنادها إلی الملک الموکّل وهو عزرائیل علیه السلام، لا سیما وأن الاماتة لا تقتصر علی بنی البشر فقط، بل تشمل جمیع بنی الجنّ وجمیع النباتات، بل وجملة الملائکة، فهذه القدرة بهذا الحجم کیف تسند وتعزی إلی‌الملک عزرائیل؟ مع أن قدرة الله تعالی أنفذ فیما أقدر عزرائیل علیه، وکذلک میکائیل الموکّل بتقسیم الأرزاق وتدبیرها لکلّ الکائنات الحیّة علی وجه الأرض، وکذلک جبرئیل الموکّل بالبطش والنقمة الإلهیّة ونشر العلم علی الکائنات المدرکة، وإسرافیل الموکّل بالإحیاء وغیر ذلک من عظائم الأفعال، فإنه علی منطق هؤلاء الجاحدین تکون قدرة الله معزولة عن تلک الأفعال کما توهّمه هؤلاء، وأنّ هذه الأفعال هی صلاحیات إلهیّة لا تقبل الاسناد لغیر</w:t>
      </w:r>
      <w:bookmarkStart w:id="484" w:name="pg13703_133983"/>
    </w:p>
    <w:p>
      <w:pPr>
        <w:pStyle w:val="BookText"/>
        <w:rPr/>
      </w:pPr>
      <w:bookmarkEnd w:id="484"/>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الضابطة فی کون الفعل إلهیّاً هو صدوره عن الفاعل بمعزل عن قدرته غیره، ومن ثمّ لا یصحّ توهّم استقلال المخلوق فی الفعل ولو کان حقیراً صغیراً؛ إذ لو استقلّ لکان فاعلًا فعلًا إلهیّاً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المخلوقات الإمکانیة کلّه ابداعیّ بلا واسطة</w:t>
      </w:r>
    </w:p>
    <w:p>
      <w:pPr>
        <w:pStyle w:val="BookText"/>
        <w:rPr/>
      </w:pPr>
      <w:r>
        <w:rPr>
          <w:rFonts w:ascii="IRNazanin" w:hAnsi="IRNazanin" w:eastAsia="IRNazanin"/>
          <w:color w:val="111111"/>
          <w:sz w:val="28"/>
          <w:sz w:val="28"/>
          <w:szCs w:val="28"/>
          <w:rtl w:val="true"/>
          <w:lang w:bidi="fa-IR"/>
        </w:rPr>
        <w:t>قالوا فی المقام لِمَ لا یکون فعل الله تعالی دائماً إبداعیاً بکن فیکون بلا أی واسطة أو وسیلة؟ وهذا من مظاهر القدرة والهیمنة الإلهیة، بخلاف القول بالأفعال غیر الابداعیة، فهی تستبطن القول بعجز الله تعالی واحتیاجه إلی الأسباب فی عملیة الخلق والایجاد</w:t>
      </w:r>
      <w:r>
        <w:rPr>
          <w:rFonts w:eastAsia="IRNazanin" w:cs="IRNazanin"/>
          <w:color w:val="111111"/>
          <w:sz w:val="28"/>
          <w:szCs w:val="28"/>
          <w:rtl w:val="true"/>
          <w:lang w:bidi="fa-IR"/>
        </w:rPr>
        <w:t>.</w:t>
      </w:r>
    </w:p>
    <w:p>
      <w:pPr>
        <w:pStyle w:val="Heading6"/>
        <w:numPr>
          <w:ilvl w:val="5"/>
          <w:numId w:val="1"/>
        </w:numPr>
        <w:rPr/>
      </w:pPr>
      <w:bookmarkStart w:id="485" w:name="__RefHeading___Toc1101286_1468164448"/>
      <w:bookmarkStart w:id="486" w:name="_Toc179"/>
      <w:bookmarkEnd w:id="485"/>
      <w:r>
        <w:rPr>
          <w:rtl w:val="true"/>
        </w:rPr>
        <w:t>الجواب عن الشبهة السابعة</w:t>
      </w:r>
      <w:r>
        <w:rPr>
          <w:rtl w:val="true"/>
        </w:rPr>
        <w:t>:</w:t>
      </w:r>
      <w:bookmarkEnd w:id="486"/>
    </w:p>
    <w:p>
      <w:pPr>
        <w:pStyle w:val="BookText"/>
        <w:rPr/>
      </w:pPr>
      <w:r>
        <w:rPr>
          <w:rFonts w:ascii="IRNazanin" w:hAnsi="IRNazanin" w:eastAsia="IRNazanin"/>
          <w:color w:val="111111"/>
          <w:sz w:val="28"/>
          <w:sz w:val="28"/>
          <w:szCs w:val="28"/>
          <w:rtl w:val="true"/>
          <w:lang w:bidi="fa-IR"/>
        </w:rPr>
        <w:t>ویُجاب عن هذه الشبهة بنفس الجواب السابق، ونضیف إلیه بعض الأجوبة الأخری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أننا نشاهد فی عالم الخلقة الامکانیة أفعالًا لبعض المخلوقات بل موجودات مخلوقة غیر ابداعیة، کما نصّ علی‌ذلک القرآن الکریم فی آیات عدیدة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تعالی کان عرشه علی الماء، ثم خلق السماوات والأرض، ثم خلق من الأرض النباتات والزرع، ثم خلق من الطین البدن الانسانی، وخلق الجنّ من نار السموم، وخلق من الماء کلّ شیء حیّ، وغیر ذلک من المخلوقات غیر الإبداعیة، التی توجد بعملیة التولید والتوالد بین الأسباب والمسبّبات، وبناءً علی ما ذکروه من الشبهة، من</w:t>
      </w:r>
    </w:p>
    <w:p>
      <w:pPr>
        <w:pStyle w:val="BookText"/>
        <w:rPr/>
      </w:pPr>
      <w:r>
        <w:rPr>
          <w:rFonts w:ascii="IRNazanin" w:hAnsi="IRNazanin" w:eastAsia="IRNazanin"/>
          <w:color w:val="111111"/>
          <w:sz w:val="28"/>
          <w:sz w:val="28"/>
          <w:szCs w:val="28"/>
          <w:rtl w:val="true"/>
          <w:lang w:bidi="fa-IR"/>
        </w:rPr>
        <w:t xml:space="preserve">أن کلّ فعل غیر ابداعی، فهو مستبطن للعجز والحاجة إلی الوسیلة والأسباب ویکون اسناد تلک المخلوقات غیر الابداعیة إلی الله تعالی إسناداً للعجز والحاجة إلی الله عزّ وجلّ، وإن لم نُسند تلک المخلوقات إلی‌الله تعالی نقع فی معضلة الشرک فی الخالقیة وهو شرک أعظم؛ لأن شطراً وافراً من المخلوقات کالموجودات المادّیة فی أصل وجودها فضلًا عن أفعالها یتمّ تخلیقها عن طریق الأسباب والوسائط لا بنحو الابداع، فإن اسندناها إلی الباری تعالی علی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نسبة العجز إلی الخالق، وإن لم نسندها إلیه عزّ وجلّ یلزم القول بالشرک فی الخالقیة وخروج تلک الموجودات عن حیطة قدرته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خالق کلّ شیء سواء کان بالابداع أو التخلیق، والسببیّة لا توجب الشرک ولا نسبة العجز إلی الله تعالی؛ لأن المخلوق الذی یکون واسطة ووسیلة فی تخلیق بعض المخلوقات لا یخرج عن حیطة القدرة الإلهیة، فهو بتمام شراشر وجوده مفتقر إلی‌باریه فی الحدوث والبقاء وفی فعله وأصل وجوده، وإذا صار الماء مثلًا واسطة فی تخلیق کلّ شیء حیّ لا یعنی عجز الباری، لأن الماء بتمام وجوده مفتاق إلی خالقه ولا یستغنی فی فعله عنه، ففعل الماء فعل الله تعالی، والماء مجری الفیض وسبب إعدادیّ لخالقیة الله عزّ وجلّ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البارئ والمصوّر من أسماء الله تعالی، والبَرء عملیة تحویل وإیجاد وإیجاب شیء من شیء آخر، ثم بعد البرء تأتی عملیة تشکیل الصورة، وهذه کلّها دائرة الموجودات غیر الابداعیة، وهی تحت هیمنة الأسماء الإلهیة، کالبارئ والمصوّر ولا تخرج عن حیطة قدرته عزّ وجلّ</w:t>
      </w:r>
      <w:r>
        <w:rPr>
          <w:rFonts w:eastAsia="IRNazanin" w:cs="IRNazanin"/>
          <w:color w:val="111111"/>
          <w:sz w:val="28"/>
          <w:szCs w:val="28"/>
          <w:rtl w:val="true"/>
          <w:lang w:bidi="fa-IR"/>
        </w:rPr>
        <w:t>.</w:t>
      </w:r>
      <w:bookmarkStart w:id="487" w:name="pg13703_133985"/>
    </w:p>
    <w:p>
      <w:pPr>
        <w:pStyle w:val="Heading6"/>
        <w:numPr>
          <w:ilvl w:val="5"/>
          <w:numId w:val="1"/>
        </w:numPr>
        <w:rPr/>
      </w:pPr>
      <w:bookmarkStart w:id="488" w:name="__RefHeading___Toc1101288_1468164448"/>
      <w:bookmarkStart w:id="489" w:name="_Toc180"/>
      <w:bookmarkEnd w:id="487"/>
      <w:bookmarkEnd w:id="488"/>
      <w:r>
        <w:rPr>
          <w:rtl w:val="true"/>
        </w:rPr>
        <w:t>سبب جحود التوسّل القصور</w:t>
      </w:r>
      <w:bookmarkEnd w:id="489"/>
    </w:p>
    <w:p>
      <w:pPr>
        <w:pStyle w:val="Heading6"/>
        <w:numPr>
          <w:ilvl w:val="5"/>
          <w:numId w:val="1"/>
        </w:numPr>
        <w:rPr/>
      </w:pPr>
      <w:bookmarkStart w:id="490" w:name="__RefHeading___Toc1101290_1468164448"/>
      <w:bookmarkStart w:id="491" w:name="_Toc181"/>
      <w:bookmarkEnd w:id="490"/>
      <w:r>
        <w:rPr>
          <w:rtl w:val="true"/>
        </w:rPr>
        <w:t>فی معرفة کنه ذوات المسبّبات والأسباب</w:t>
      </w:r>
      <w:r>
        <w:rPr>
          <w:rtl w:val="true"/>
        </w:rPr>
        <w:t>:</w:t>
      </w:r>
      <w:bookmarkEnd w:id="491"/>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الاحتیاج إلی الأسباب والوسائط لیس لعجز فی الباری تبارک وتعالی، بل لعجز وعدم قابلیة فی ذات الممکن، وذلک لأن بعض الموجودات الممکنة لا یمکن أن تفرض لها شیئیة إلّابعد وجود موجودات أخری سابقة علیها، فالجسم مثلًا لا یمکن أن یخرج إلی الوجود إلّامن المادة؛ لعدم قابلیة الجسم إلّاأن یکون متقوّماً بالمادّة، والله عزّ وجلّ علی کلّ شیء قدیر، ولا شیئیة للجسم قبل المادّة لکی تتعلّق به القدرة؛ إذ اللّاشیئیة عدم وبطلان وعجز وفقدان، ولا معنی لأن تتعلق القدرة الإلهیة بالعجز والبطلان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فُرض کونه شیئاً بواسطة السبب تتعلّق به القدرة حینئذٍ، فالأشیاء التی هی ذوات أسباب ذواتها متقوّمة ذاتیاً قوامیاً بنیویاً وهویة بتلک الأسباب، فنفی فرض الأسباب نفی لأصل ذواتها، فیرجع إلی التناقض، لا للعجز فی قدرة الباری تعالی، کمن یرید أن یفترض الجسم بلا أن یکون له أبعاد ممتدّة، فهؤلاء تخیّلوا أن الأسباب والوسائط منحازة عن أصل ذوات الأشیاء المخلوقة فی الدرجات المتوسّطة والنازلة من عوالم الخلقة، فیرجع جحودهم للوسائل إلی الجهل بحقائق المخلوقات، ولو کان وجود الأسباب والوسائط یعنی العجز لکانت سنّة الله تعالی فی تدبیر الخلقة بتوسّط الملائکة عجز فی الساحة الإلهیة والعیاذ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سیّما وأن القرآن الکریم یسند جملة</w:t>
      </w:r>
    </w:p>
    <w:p>
      <w:pPr>
        <w:pStyle w:val="BookText"/>
        <w:rPr/>
      </w:pPr>
      <w:r>
        <w:rPr>
          <w:rFonts w:ascii="IRNazanin" w:hAnsi="IRNazanin" w:eastAsia="IRNazanin"/>
          <w:color w:val="111111"/>
          <w:sz w:val="28"/>
          <w:sz w:val="28"/>
          <w:szCs w:val="28"/>
          <w:rtl w:val="true"/>
          <w:lang w:bidi="fa-IR"/>
        </w:rPr>
        <w:t>أفعال الخلقة وعظائم الأفعال إلی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الشواهد والطوائف القرآنیة الدالّة علی وقوع التخلیق من الله تعالی عبر الوسائط من ملائکة ورسل وغیر ذلک، وأن نظام الخلقة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إبداعیّ وتخلیقیّ، کما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وإلیک بعض تلک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الإماتة وتوفّی الأنفس، وقد أسند التوفّی فیها إلی الله عزّ وجلّ وإلی الملائکة وإلی ملک الموت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الاسناد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توفّی الأنفس إلی الملائکة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الْمَلائِکَةُ ظالِمِی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أَحَدَکُمُ الْمَوْتُ تَوَفَّتْهُ رُسُلُنا وَ هُمْ لا یُفَرِّطُونَ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جاءَتْهُمْ رُسُلُنا یَتَوَفَّوْنَهُمْ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تَری إِذْ یَتَوَفَّی الَّذِینَ کَفَرُوا الْمَلائِکَةُ یَضْرِبُونَ وُجُوهَهُمْ وَ أَدْبارَهُمْ وَ ذُوقُوا عَذابَ الْحَرِیقِ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تَوَفَّتْهُمُ الْمَلائِکَةُ یَضْرِبُونَ وُجُوهَهُمْ وَ أَدْبارَهُمْ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وغیر ذلک من الآیات المبارکة التی نلاحظ فی مجموعها أن الله سبحانه وتعالی قد نسب وأسند وفاة الأنفس إلی الملائکة من باب التوسیط، مع أن الممیت من أسماء الله تعالی ولا منافاة فی ذلک، ولا یلزم منه العجز؛ لأن الملک بکلّ وجوده وأفعاله قائم بالله تعالی ومفتقر إلیه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الآیات الثلاثة الأخیرة یسند الله عزّ وجلّ العذاب إلی الملائکة وفی الوقت ذاته ینسب الله عزّ وجلّ العذاب والتعذیب إلی نفسه ولا منافاة فی ذلک لما تقدم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الاسناد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الآیات التی یسند الله عزّ وجلّ فیها التوفّی إلیه مباشرة</w:t>
      </w:r>
      <w:r>
        <w:rPr>
          <w:rFonts w:eastAsia="IRNazanin" w:cs="IRNazanin"/>
          <w:color w:val="111111"/>
          <w:sz w:val="28"/>
          <w:szCs w:val="28"/>
          <w:rtl w:val="true"/>
          <w:lang w:bidi="fa-IR"/>
        </w:rPr>
        <w:t>:</w:t>
      </w:r>
      <w:bookmarkStart w:id="492" w:name="pg13703_133988"/>
    </w:p>
    <w:p>
      <w:pPr>
        <w:pStyle w:val="BookText"/>
        <w:rPr/>
      </w:pPr>
      <w:bookmarkEnd w:id="49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یَتَوَفّاکُمْ بِاللَّیْلِ وَ یَعْلَمُ ما جَرَحْتُمْ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خَلَقَکُمْ ثُمَّ یَتَوَفّاکُمْ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 کُنْتُمْ فِی شَکٍّ مِنْ دِینِی فَلا أَعْبُدُ الَّذِینَ تَعْبُدُونَ مِنْ دُونِ اللّهِ وَ لکِنْ أَعْبُدُ اللّهَ الَّذِی یَتَوَفّاکُمْ وَ أُمِرْتُ أَنْ أَکُونَ مِنَ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وکما أسلفنا لا تنافی بین الاسناد الأول والثانی وکذلک الثالث الآتی، وکلّ منها اسناد حقیقی، لأن الملائکة لا حول لهم ولا قوة إلّابالله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هذه الطولیة فی الاسناد السیاق الواحد فی آیتی سورة النحل المتقدّمتین، حیث أسند فی أحدهما التوفّی إلی الله تعالی وفی الأخری إلی الملائکة</w:t>
      </w:r>
      <w:r>
        <w:rPr>
          <w:rFonts w:eastAsia="IRNazanin" w:cs="IRNazanin"/>
          <w:color w:val="111111"/>
          <w:sz w:val="28"/>
          <w:szCs w:val="28"/>
          <w:rtl w:val="true"/>
          <w:lang w:bidi="fa-IR"/>
        </w:rPr>
        <w:t>.</w:t>
      </w:r>
    </w:p>
    <w:p>
      <w:pPr>
        <w:pStyle w:val="Heading6"/>
        <w:numPr>
          <w:ilvl w:val="5"/>
          <w:numId w:val="1"/>
        </w:numPr>
        <w:rPr/>
      </w:pPr>
      <w:bookmarkStart w:id="493" w:name="__RefHeading___Toc1101292_1468164448"/>
      <w:bookmarkStart w:id="494" w:name="_Toc182"/>
      <w:bookmarkEnd w:id="493"/>
      <w:r>
        <w:rPr>
          <w:rtl w:val="true"/>
        </w:rPr>
        <w:t>الاسناد الثالث</w:t>
      </w:r>
      <w:r>
        <w:rPr>
          <w:rtl w:val="true"/>
        </w:rPr>
        <w:t xml:space="preserve">: </w:t>
      </w:r>
      <w:r>
        <w:rPr>
          <w:rtl w:val="true"/>
        </w:rPr>
        <w:t>إسناد التوفّی إلی ملک الموت</w:t>
      </w:r>
      <w:r>
        <w:rPr>
          <w:rtl w:val="true"/>
        </w:rPr>
        <w:t>:</w:t>
      </w:r>
      <w:bookmarkEnd w:id="49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فإسناد الإماتة إلی ملک الموت والرسل فی وقت واحد یعنی أن بقیّة</w:t>
      </w:r>
    </w:p>
    <w:p>
      <w:pPr>
        <w:pStyle w:val="BookText"/>
        <w:rPr/>
      </w:pPr>
      <w:r>
        <w:rPr>
          <w:rFonts w:ascii="IRNazanin" w:hAnsi="IRNazanin" w:eastAsia="IRNazanin"/>
          <w:color w:val="111111"/>
          <w:sz w:val="28"/>
          <w:sz w:val="28"/>
          <w:szCs w:val="28"/>
          <w:rtl w:val="true"/>
          <w:lang w:bidi="fa-IR"/>
        </w:rPr>
        <w:t>الملائکة أعوان لملک الموت، تحت هیمنته وقدرته، کما جاء ذلک فی روایات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برنامج الإماتة لکلّ ذی روح تحت تدبیر وإدارة</w:t>
      </w:r>
    </w:p>
    <w:p>
      <w:pPr>
        <w:pStyle w:val="BookText"/>
        <w:rPr/>
      </w:pPr>
      <w:r>
        <w:rPr>
          <w:rFonts w:ascii="IRNazanin" w:hAnsi="IRNazanin" w:eastAsia="IRNazanin"/>
          <w:color w:val="111111"/>
          <w:sz w:val="28"/>
          <w:sz w:val="28"/>
          <w:szCs w:val="28"/>
          <w:rtl w:val="true"/>
          <w:lang w:bidi="fa-IR"/>
        </w:rPr>
        <w:t>ملک الموت، وهو یدیر ذلک البرنامج التکوینی عن طریق رسله وأعوانه الذین هم تحت إمرته وسلطانه وقدرته، وهو فی‌الوقت ذاته تحت سلطان الله عزّ وجلّ وقدرته، وافتقاره، واحتیاجه إلی الله عزّ وجلّ حدوثاً وبقاءً أشدّ من احتیاج الملائکة من أعوانه إلیه بما لا یقاس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البیان یتّضح أن إسناد فعل إلی الملائکة لا یعنی عدم إسناده إلی الباری تعالی، وهکذا إسناد فعل إلی الملائکة لا یعنی عدم إسناده إلی ذات أخری شریفة تهیمن علی الملائکة، وتکون الملائکة رسلًا وأعواناً لها وتحت سلطانها، کملک الموت الذی یدبّر الملائکة بإقدار الله تعالی وتدبیره، ووراء ملک الموت مخلوقات أخری أشرف منه تدبّره وتدیر شؤون عالم الإمکان بإذن الله تعالی وهم خلفاء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الآیات التی صرحت بإیکال بعض الأفعال والأمور التدبیریّة إلی بعض المخلوقات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یَکْفُرْ بِها هؤُلاءِ فَقَدْ وَکَّلْنا بِها قَوْماً لَیْسُوا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التوکیل المذکور فی الآیتین الکریمتین لیس علی نسق إیکال مخلوق إلی مخلوق آخر؛ لأنه فی باب الوکالات الاعتباریة والقانونیة هناک نوع من الاستقلال للوکیل عن الموکّل فی الفعل، وفیه نوع من أنواع التفویض العزلی وإن لم یکن تفویضاً واستقلالًا وانعزالًا تاماً؛ لإمکان عزله فی کلّ آن آن، وأما فی توکیل الله تعالی بعض المخلوقات فلیس هو توکیلًا وتفویضاً عزلیاً تنحسر فیه قدرة الباری عن الفعل الموکّل فیه، لأنها وکالة افتقار وتقوّم فعل الوکیل بالموکّل، فالله تعالی أقدر بعض مخلوقاته وأوکل لهم بعض الأمور بلا انعزال عمّا وکّلهم فیه، بل هو تعالی فیما أقدرهم علیه أقدر بما لا یتناهی من القدرة، لأن وجودهم فضلًا عن فعلهم متقوّم بذات الباری تعالی‌حدوثاً وبقاءً، وهو الحیّ القیّوم الذی به قامت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التوکیل الذی ورد فی سورة الأنعام توکیل لدنّی لجماعة من الانس، وهذه من التعابیر القرآنیة الدالّة علی وجود الارتباط اللّدنی بین الله تعالی ومجموعة من البشر، لم یکفروا بالله عزّ وجلّ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الدالّة علی توسیط بعض المخلوقات فی الخلق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فإخراج الثمرات لیس إبداعیّ بل توسیطیّ، فالباری تعالی یُخرج بواسطة الماء الثمرات، والخالق هو</w:t>
      </w:r>
    </w:p>
    <w:p>
      <w:pPr>
        <w:pStyle w:val="BookText"/>
        <w:rPr/>
      </w:pPr>
      <w:r>
        <w:rPr>
          <w:rFonts w:ascii="IRNazanin" w:hAnsi="IRNazanin" w:eastAsia="IRNazanin"/>
          <w:color w:val="111111"/>
          <w:sz w:val="28"/>
          <w:sz w:val="28"/>
          <w:szCs w:val="28"/>
          <w:rtl w:val="true"/>
          <w:lang w:bidi="fa-IR"/>
        </w:rPr>
        <w:t>الله تعالی ولیس الماء إلّاوسیطاً فی جریان الفیض الإلهی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أَنْزَلَ مِنَ السَّماءِ ماءً فَأَخْرَجْنا بِهِ نَباتَ 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أَنْزَلَ مِنَ السَّماءِ ماءً فَأَحْیا بِهِ الْأَرْضَ بَعْدَ مَوْتِها إِنَّ فِی ذلِکَ لَآیَةً لِقَوْمٍ یَسْمَعُونَ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اللّهُ مِنَ السَّماءِ مِنْ ماءٍ فَأَحْیا بِهِ الْأَرْضَ بَعْدَ مَوْتِها وَ بَثَّ فِیها مِنْ کُلِّ 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قرّر الحکماء وجود حیاة نباتیة، کما أکّدت ذلک العلوم المادّیة، وهذه الحیاة والإحیاء یحصل بواسطة الماء ولو إعداداً، فکیف یستعظم ذلک علی من هو أشرف من الماء وأعظم عند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عَلَیْکُمْ مِنَ السَّماءِ ماءً لِیُطَهِّرَکُمْ بِهِ وَ یُذْهِبَ عَنْکُمْ رِجْزَ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فالطهارة التی هی أمر معنوی ونوری یحصل من الله تعالی بواسطة الماء؛ لأنها لیست من الأفعال الإبداعیة بل التخلیقیة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السَّماواتِ وَ الْأَرْضَ فِی سِتَّةِ أَیّامٍ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عَرْشُهُ عَلَی الْماءِ لِیَبْلُوَکُمْ أَیُّکُمْ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والعرش هو القدرة الإلهیة، فقدرته تعالی علی الماء، والماء واسطة فی فیض القدرة، علی الاختلاف فی المراد من الماء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فالقوابل محدودة ونشأة الماء هی الواسطة فی تقبّل الفیوضات الإلهیة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 أَ فَلا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 کُلَّ دَابَّةٍ مِنْ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 عَلی مَنْ یَشاءُ مِنْ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فالروح الذی هو خلق أعظم من الملائکة سبب وواسطة إلهیة لنزول الملائکة وعروجها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الخلق والتخلیق إلی بعض المخلوقات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خَلَقْنا لَهُمْ مِمّا عَمِلَتْ أَیْدِینا أَنْعاماً فَهُمْ لَها مالِکُونَ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فأُسند الخلق إلی الأیدی الإلهیة وهی القدرة، إذ لا شک أن الله تعالی لا ید جسمانیة له، فیده قدرته وتصرّفه المخلوق له الخارج عن الذات المقدّسة، وهذه الید المخلوقة تعمل وتخلق الأنعام بالمباشرة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فالتسبیح فی هذه الآیة الکریمة أسند إلی الإسم،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للمضاف إلی الربّ وهو الاسم، فالإسم هو الذی خلق فسوّی وقدّر فهدی، والإسم غیر المسمّی قائم به ومخلوق من مخلوقاته، کما جاء ذلک فی سورة الرحمن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فالجلال والإکرام وصف لوجه الربّ لا لنفس الربّ، وهو مخلوق من المخلوقات وآیة یتوجّه بها إلی الله عزّ وجلّ، والشاهد علی المغایرة ما جاء فی آخر سورة الرحمن، حیث جعل وصف الجلال والإکرام صفة للربّ لا للوجه،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اسْمُ رَبِّکَ ذِی الْجَلالِ وَ الْإِکْرامِ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ولیس المراد من الاسم والوجه فی الآیة المبارکة جزء الذات الجسمانی، کما توهّم ذلک المجسّمة والحشویة، تعالی الله عن ذلک علواً کبیراً، بل المراد منه الآیة الکبری الدالّة علی عظمة الله عزّ وجلّ والقائمة الوجود به، وقد أطلق علی البیت الحرام والکعبة أنهما وجه الله تعالی الذی یتوجّه به إلیه، کما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حَیْثُ ما کُنْتُمْ فَوَلُّوا وُجُوهَکُمْ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یدلّل علی أن البیت الحرام أحد الوجوه والآیات الکبری التی یتوجّه إلی الله عزّ وجلّ بها، وکذلک الأنبیاء، حیث أطلق علی موسی وعیسی علیهما السلام أنهما وجیهین عند الله تعالی، کما تقدّم أنهما کلمات الله وأسمائه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 أَ فَلَمْ یَیْأَسِ الَّذِینَ آمَنُوا أَنْ لَوْ یَشاءُ اللّهُ لَهَدَی النّاسَ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أسند تسییر الجبال وتقطیع الأرض وتکلیم الموتی أی إحیائهم إلی القرآن الکریم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عُبّر فیها بالمُلک، وأن الله تعالی أملک کثیراً من الأمور لمخلوقاته الشریفة من دون أن یکون هذا التملیک عزلی تفویضی، بل کلّما تلقی المخلوق من باریه فیضاً أکثر ومرتبة أعلی وأشرف فی الوجود کلّما کان أکثر فقراً إلی الله عزّ وجلّ من غیره، ومن ثم کان الرسول الأکرم صلی الله علیه و آله أعبد الخلائق إلی الله تعالی، لأنه أکثرهم فقراً إلی الله عزّ وجلّ، کما أثر ذلک عنه صلی الله علیه و آله حیث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وإلیک بعض تلک الآیات فی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والملک العظیم الذی أعطی لآل إبراهیم هو الإمامة، ولم یُعبّر عن غیر الإمامة بالملک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اغْفِرْ لِی وَ هَبْ لِی مُلْکاً لا یَنْبَغِی لِأَحَدٍ مِنْ بَعْدِی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شَدَدْنا مُلْکَهُ وَ آتَیْناهُ الْحِکْمَةَ وَ فَصْلَ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لَهُمْ نَبِیُّهُمْ إِنَّ اللّهَ قَدْ بَعَثَ لَکُمْ طالُوتَ مَلِکاً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والملک فی هذه الآیة لیس خاصّاً بالملک الأرضی، بل هو عامّ شامل لمطلق النشآت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نادَوْا یا مالِکُ لِیَقْضِ عَلَیْنا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فوصف الله عزّ وجلّ خازن النیران الملک الموکّل بالنار بمالک؛ لأنه ملّکه القدرة علی تدبیر النیران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الْمَلَکُ عَلی أَرْجائِها وَ یَحْمِلُ عَرْشَ رَبِّکَ فَوْقَهُمْ یَوْمَئِذٍ ثَمانِیَةٌ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والعرش هو مقام القدرة والله تعالی أقدر أربعة من الأوّلین وأربعة من الآخرین علی حمله بلا تفویض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عَلَیْهِ فَإِنَّ اللّهَ هُوَ مَوْلاهُ وَ جِبْرِیلُ وَ صالِحُ الْمُؤْمِنِینَ وَ الْمَلائِکَةُ بَعْدَ ذلِکَ ظَهِیرٌ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تَقُولُ لِلْمُؤْمِنِینَ أَ لَنْ یَکْفِیَکُمْ أَنْ یُمِدَّکُمْ رَبُّکُمْ بِثَلاثَةِ آلافٍ مِنَ الْمَلائِکَةِ مُنْزَلِینَ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یُمْدِدْکُمْ رَبُّکُمْ بِخَمْسَةِ آلافٍ مِنَ الْمَلائِکَةِ مُسَوِّمِینَ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فیها نسبة الإهلاک إلی نفسه تعالی وإلی بعض مخلوقاته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أَهْلَکْنا ما حَوْلَکُمْ مِنَ الْقُری وَ صَرَّفْنَا الْآیاتِ 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ثَمُودُ فَأُهْلِکُوا بِالطّاغِیَةِ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عادٌ فَأُهْلِکُوا بِرِیحٍ صَرْصَرٍ عاتِیَةٍ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جاءَتْ رُسُلُنا إِبْراهِیمَ بِالْبُشْری قالُوا إِنّا مُهْلِکُوا أَهْلِ هذِهِ الْقَرْیَةِ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مَنْ أَرْسَلْنا عَلَیْهِ حاصِباً وَ مِنْهُمْ مَنْ أَخَذَتْهُ الصَّیْحَةُ وَ مِنْهُمْ مَنْ خَسَفْنا بِهِ الْأَرْضَ وَ مِنْهُمْ مَنْ أَغْرَقْنا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تدبیر بعض المخلوقات عن طریق الریاح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الرِّیاحَ لَواقِحَ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الَّذِی یُرْسِلُ الرِّیاحَ فَتُثِیرُ سَحاباً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الَّذِی أَرْسَلَ الرِّیاحَ بُشْراً بَیْنَ یَدَیْ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آیاتِهِ أَنْ یُرْسِلَ الرِّیاحَ مُبَشِّراتٍ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الَّذِی أَرْسَلَ الرِّیاحَ فَتُثِیرُ سَحاباً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نظام الخلقة فی السنّة الإلهیّة نظام الأسباب والمسبّبات، کما نصّ علی ذلک متواتر آیات القرآن الکریم، وما ورد من روایات الفریقین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الأمور إلّابأسبابها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 الأمور ذواتها متقوّمة بالأسباب فی هویتها، فهم یجهلون نظام الخلقة والمخلوقات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مشروعیة التوسّل والتشفّع والتبرّک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فی هذا المجال کثیرة جدّاً، نشیر إلی بعض ما ورد منها فی الکتب السنّیة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أخرجه البخاری فی صحیحه عن الجعید بن عبد الرحمن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بی خالتی إلی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ابن أختی وجع، فمسح رأسی ودعا لی بالبرکة وتوضّأ فشربت من وضوئه</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روی البخاری فی صحیحه عن عون بن أبی جحیفة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صلی الله علیه و آله فی قبّة حمراء من أدم، ورأیت بلالًا أخذ وضوء رسول الله صلی الله علیه و آله ورأیت الناس یتبدّرون ذاک الوضوء، فمن أصاب منه شیئاً</w:t>
      </w:r>
    </w:p>
    <w:p>
      <w:pPr>
        <w:pStyle w:val="BookText"/>
        <w:rPr/>
      </w:pPr>
      <w:r>
        <w:rPr>
          <w:rFonts w:ascii="IRNazanin" w:hAnsi="IRNazanin" w:eastAsia="IRNazanin"/>
          <w:color w:val="111111"/>
          <w:sz w:val="28"/>
          <w:sz w:val="28"/>
          <w:szCs w:val="28"/>
          <w:rtl w:val="true"/>
          <w:lang w:bidi="fa-IR"/>
        </w:rPr>
        <w:t>تمسّح به، ومن لم یصب منه شیئاً أخذ من بلل ید صاحبه</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مسلم فی صحیحه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 رسول الله صلی الله علیه و آله والحلّاق یحلقه وأطاف به أصحابه، فما یریدون أن تقع شعرة إلّافی ید رجل</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 فی شرحه لصحیح مسلم تعلیقاً علی مثل هذه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الأحادیث بیان بروزه صلی الله علیه و آله للناس وقربه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وإجابته من سأله حاجة أو تبریکاً بمسّ یده وإدخالها فی الماء کما ذکروا، وفیه التبرّک بآثار الصالحین وبیان ما کانت الصحابة علیه من التبرّک بآثاره صلی الله علیه و آله وتبرّکهم بإدخال یده الکریمة فی الآیة وتبرّکهم بشعره الکریم وإکرامهم إیاه أن یقع شیء منه إلّافی ید رجل سبق إلیه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هذه الشواهد وغیرها کاشفة عن أن سیرة المسلمین منذ الصدر الأول کانت قائمة علی التبرّک بما یتصل بالنبیّ الأکرم صلی الله علیه و آله، من دون ردع ونهی، وهذا دالّ علی مشروعیة ما کان یأتی به الصحابة، وقلنا أن التبرّک یجتمع مع التوسّل والاستغاثة فی ماهیة واحدة وهی التوسیط، فالتبرّک طلب البرکة ونوع توسّل واستشفاع بما یرتبط بالأولیاء والأوصیاء والحجج من أشیاء</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الجامع الصغیر للسیوطی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المدینة شفاء من الجذام</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المناوی فی فیض القدیر بعد نقل مثل هذه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شاهدنا من استشفی به منه وکان قد أضرّ به فنفعه جدّاً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الحاکم فی المستدرک عن عثمان بن حنیف أن رجلًا ضریر البصر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علّمنی دعاءً أدعو به یردّ الله علیّ بصری،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وأتوجّه إلیک بنبیک نبیّ الرحمة، یامحمّد إنی قد توجّهت بک إلی ربّی، اللّهم شفّعه فیّ وشفّعنی فی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بهذا الدعاء، فقام وقد أبصر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فی خبر صحیح إنه فی أیام عمر جاء رجل إلی قبر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استسق لأمتک، فسقوا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النسائی 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سمعتم المؤذّن فقولوا مثل ما یقول، وصلّوا علیّ، فإنه من صلّی علیّ صلاة صلّی الله علیه عشراً، ثم سلوا الله لی الوسیلة، فإنها منزلة فی الجنّة لا تنبغی إلّا لعبد من عباد الله، أرجو أن أکون أنا هو، فمن سأل لی الوسیلة حلّت له الشفاعة</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مسلم عن عائشة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میّت تصلّی علیه</w:t>
      </w:r>
    </w:p>
    <w:p>
      <w:pPr>
        <w:pStyle w:val="BookText"/>
        <w:rPr/>
      </w:pPr>
      <w:r>
        <w:rPr>
          <w:rFonts w:ascii="IRNazanin" w:hAnsi="IRNazanin" w:eastAsia="IRNazanin"/>
          <w:color w:val="111111"/>
          <w:sz w:val="28"/>
          <w:sz w:val="28"/>
          <w:szCs w:val="28"/>
          <w:rtl w:val="true"/>
          <w:lang w:bidi="fa-IR"/>
        </w:rPr>
        <w:t>أمة من المسلمین یبلغون مئة کلّهم یشفعون له إلّاشفّعوا فیه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مسلم أیضاً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مسلم یموت فیقوم علی جنازته أربعون رجلًا، لا یشرکون بالله شیئاً إلّاشفّعهم الله فیه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أخرجه الطبرانی وغیره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الرجل من بیته إلی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السائلین علیک وبحقّ ممشای، فإنی لم أخرج أشراً ولا بطراً ولا ریاء ولا سمعة، خرجت اتقاء سخطک وابتغاء مرضاتک، أسألک أن تنقذنی من النار وأن تغفر لی ذنوبی، إنه لا یغفر الذنوب إلّاأنت، وکّل الله عزّ وجلّ به سبعین ألف ملک یستغفرون له، وأقبل الله تعالی علیه بوجهه حتی یقضی صلاته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ما أخرجه الطبرانی عن ابن عباس عن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یوعیه الله عزّ وجلّ حفظ القرآن وحفظ أصناف العلم، فلیکتب هذا الدعاء فی إناء نظیف، أو فی صحفة قواریر بعسل وزعفران وماء مطر ویشربه علی الریق، ولیصم ثلاثة أیام، ولیکن إفطاره علیه، فإنه یحفظها إن شاء الله عزّ وجلّ، ویدعو به فی أدبار صلواته المکتوبة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أسألک بأنک مسؤول لم یُسأل مثلک ولا یُسأل، أسألک بحقّ محمّد رسولک ونبیّک وإبراهیم خلیلک وصفیّک وموسی کلیمک ونجیّک وعیسی کلمتک وروحک، وأسألک بصحف إبراهیم وتوراة موسی وزبور</w:t>
      </w:r>
    </w:p>
    <w:p>
      <w:pPr>
        <w:pStyle w:val="BookText"/>
        <w:rPr/>
      </w:pPr>
      <w:r>
        <w:rPr>
          <w:rFonts w:ascii="IRNazanin" w:hAnsi="IRNazanin" w:eastAsia="IRNazanin"/>
          <w:color w:val="111111"/>
          <w:sz w:val="28"/>
          <w:sz w:val="28"/>
          <w:szCs w:val="28"/>
          <w:rtl w:val="true"/>
          <w:lang w:bidi="fa-IR"/>
        </w:rPr>
        <w:t>داود وإنجیل عیسی وفرقان محمّد صلی الله علیه و آله، وأسألک بکلّ وحی أوحیته وبکلّ حقّ قضیته وبکلّ سائل أعطیته، وأسألک بأسمائک التی دعاک بها أنبیاؤک فاستجیب لهم، وأسألک باسمک المخزون المکنون الطهر الطاهر المطهّر المبارک المقدّس الحیّ القیّوم ذی الجلال والاکرام، وأسألک باسمک الواحد الأحد الصمد الفرد الوتر الذی ملأ الأرکان کلّها، وأسألک باسمک الذی وضعته علی السماوات فقامت، وأسألک باسمک الذی وضعته علی الأرضین فاستقرّت، وأسألک باسمک الذی وضعته علی الجبال فرست، وأسألک باسمک الذی وضعته علی اللیل فأظلم، وأسألک باسمک الذی وضعته علی النهار فاستنار، وأسألک باسمک الذی یحیی به العظام وهی رمیم، وأسألک بکتابک المنزل بالحقّ ونورک التام، أن ترزقنی حفظ القرآن وحفظ أصناف العلم وتثبّتها فی قلبی، وأن تستعمل بها بدنی فی لیلی ونهاری أبداً ما أبقیتنی یاأرحم الراحمین</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الهیثمی فی مجمع الزوائد عن العباس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آبائی إبراهیم وإسحاق ویعقوب</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جمال الدین الزرندی الحنفی عن جعفر بن محمّد عن أبیه عن جدّه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هالک أمر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اللّهم إنی أسألک بحقّ محمّد وآل محمّد أن تکفینی شرّ ما أخاف</w:t>
      </w:r>
    </w:p>
    <w:p>
      <w:pPr>
        <w:pStyle w:val="BookText"/>
        <w:rPr/>
      </w:pPr>
      <w:r>
        <w:rPr>
          <w:rFonts w:ascii="IRNazanin" w:hAnsi="IRNazanin" w:eastAsia="IRNazanin"/>
          <w:color w:val="111111"/>
          <w:sz w:val="28"/>
          <w:sz w:val="28"/>
          <w:szCs w:val="28"/>
          <w:rtl w:val="true"/>
          <w:lang w:bidi="fa-IR"/>
        </w:rPr>
        <w:t>وأحذر، فإنک تکفی ذلک الأمر</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الحاکم الحسکانی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الخطیئة بآدم وأُخرج من جوار ربّ العالمین، أتاه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یاآدم ادع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یاحبیبی جبرئیل وبما أدعوه؟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أسألک بحقّ الخمسة الذین تخرجهم من صلبی آخر الزمان إلّاتبت علیّ ورحمتنی،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 سمّهم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النبیّ وعلیّ الوصیّ وفاطمة بنت النبیّ والحسن والحسین سبطیّ النبیّ، فدعا بهم آدم فتاب الله علیه،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عبد یدعو بها إلّااستجاب الله له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الحاکم النیسابوری فی المستدرک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 عیسی علیه السلام یا عیسی آمن بمحمد وأمر من أدرکه من أمتک أن یؤمنوا به، فلولا محمد ما خلقت آدم ولولا محمد ما خلقت الجنة ولا النار، ولقد خلقت العرش علی الماء فاضطرب فکتبت علیه لا إله إلّاالله محمد رسول الله فسکن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تقدّمت هذه الروایة عن السیوطی فی الدرّ المنثور وغیره بألفاظ أخری فراجع، وقد جاء فیها أن سبب جعل تلک الکلمات واسطة ووسیلة</w:t>
      </w:r>
    </w:p>
    <w:p>
      <w:pPr>
        <w:pStyle w:val="BookText"/>
        <w:rPr/>
      </w:pPr>
      <w:r>
        <w:rPr>
          <w:rFonts w:ascii="Amiri" w:hAnsi="Amiri" w:eastAsia="Amiri" w:cs="Amiri"/>
          <w:color w:val="111111"/>
          <w:sz w:val="28"/>
          <w:sz w:val="28"/>
          <w:szCs w:val="28"/>
          <w:rtl w:val="true"/>
          <w:lang w:bidi="ar-SA"/>
        </w:rPr>
        <w:t>هو حفاوتهم وکونهم أحبّ الخلق لله‌عزّ وجلّ، کما تقدّم فی قول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بِی حَفِیًّا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أعلام السنّة فی التوسّل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مالک للمنصور العباسی الدوانیقی عندما سأله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أستقبل القبلة وأدعو أم أستقبل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تصرف وجهک عنه وهو وسیلتک ووسیلة أبیک آدم علیه السلام إلی الله تعالی یوم القیامة؟ بل استقبله واستشفع به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بکر تقی الدین الحصنی الدمشقی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أنکر التوسّل به والتشفّع به بعد موته وأن حرمته زالت بموته فقد أعلم الناس ونادی علی نفسه أنه أسوأ حالًا من الیهود، الذین یتوسلون به قبل بروزه إلی الوجود، وأن فی قلبه نزغة هی أخبث النزغات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الحافظ تقیّ الدین السُبکی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یزل أهل العلم ینهون العوام عن البدع فی کلّ شؤونهم ویرشدونهم إلی السنّة فی الزیارة وغیرها إذا صدرت منهم بدعة فی شیء، ولم یعدّوهم فی یوم من الأیام مشرکین بسبب الزیارة أو التوسّل، کیف وقد أنقذهم الله من الشرک وأدخل فی قلوبهم الإیمان، وأول من رماهم بالإشراک بتلک الوسیلة هو ابن تیمیة وجری خلفه من أراد استباحة أموال المسلمین ودمائهم لحاجة فی النفس</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نقله المناوی فی فیض القدیر عن السُبکی مرتضیاً له،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ویحسن التوسّل والاستعانة والتشفّع بالنبیّ صلی الله علیه و آله إلی ربّه، ولم ینکر ذلک أحد من السلف ولا من الخلف، حتی جاء ابن تیمیة فأنکر ذلک وعدل عن الصراط المستقیم، وابتدع ما لم یقله عالم قبله، وصار بین أهل الإسلام مثله</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العبارة عن السُبکی وسابقتها تکشف عن اجماع الطوائف السنّیة علی مشروعیة التوسّل، ولم ینکر ذلک إلّاابن تیمیة ومن جاء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السمهودی فی وفاء الوفا نقلًا عن کتاب العلل والسؤلات لعبدالله بن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الرجل یمسّ منبر رسول الله صلی الله علیه و آله ویتبرک بمسّه ویقبّله ویفعل بالقبر مثل ذلک رجاء ثواب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عن إسماعیل بن یعقوب التیمی،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المنکدر یجلس مع أصحابه وکان یصیبه الصمات، فکان یقوم کما هو ویضع خدّه علی قبر النبیّ صلی الله علیه و آله ثم یرجع، فعوتب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لیصیبنی خطرة، فإذا وجدت ذلک استشفیت بقبر النبیّ صلی الله علیه و آله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نکتفی بهذا المقدار من الأقوال</w:t>
      </w:r>
      <w:r>
        <w:rPr>
          <w:rFonts w:eastAsia="IRNazanin" w:cs="IRNazanin"/>
          <w:color w:val="111111"/>
          <w:sz w:val="28"/>
          <w:szCs w:val="28"/>
          <w:rtl w:val="true"/>
          <w:lang w:bidi="fa-IR"/>
        </w:rPr>
        <w:t>.</w:t>
      </w:r>
      <w:bookmarkStart w:id="495" w:name="pg13703_134006"/>
    </w:p>
    <w:p>
      <w:pPr>
        <w:pStyle w:val="Heading6"/>
        <w:numPr>
          <w:ilvl w:val="5"/>
          <w:numId w:val="1"/>
        </w:numPr>
        <w:rPr/>
      </w:pPr>
      <w:bookmarkStart w:id="496" w:name="__RefHeading___Toc1101294_1468164448"/>
      <w:bookmarkStart w:id="497" w:name="_Toc183"/>
      <w:bookmarkEnd w:id="495"/>
      <w:bookmarkEnd w:id="496"/>
      <w:r>
        <w:rPr>
          <w:rtl w:val="true"/>
        </w:rPr>
        <w:t>خلاصة البحث</w:t>
      </w:r>
      <w:r>
        <w:rPr>
          <w:rtl w:val="true"/>
        </w:rPr>
        <w:t>:</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التوسّل والتوجّه والتشفّع والتبرّک والتشفّی وطلب قضاء الحاجات کلّها عناوین لطبیعة واحدة، وهی ضرورة الواسطة بین العبد وربّه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التوسّل والتوجّه والتشفّع والتبرّک بأسماء وآیات وکلمات الله وبأمر منه تعالی هو خالص التوحید ولیس شرکاً ولا کفراً، بل عدم الانصیاع لأمره تعالی بالتوجّه والتوسّل والتشفع بها لطلب القرب والزلفی إلیه تعالی هو کفر واستکبار لأنه خروج علی أمره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الذوبان وتمام الانصیاع للوسائط والوسائل لطلب الزلفی إلی الله تعالی هو عبادة لله‌لا للوسائط أو الوسائل لأنه ذوبان وانصیاع فی تفضیل أمر الله تعالی وهو معنی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التوسّل شرط شرعی فی قبول التوبة وسائر العبادات ونیل المقامات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التوسّل ضرورة عقلیة وتاریخیة وأدیانیة وقرآنیة وروائیة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الوسائط المرفوضة فی القرآن الکریم هی الوسائط المقترحة من قبل العبید دون الوسائط المنصوبة من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الأسباب المهمّة فی إنکار التوسّل القول بالتجسیم أو نبوءة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الاعراض عن الآیات الإلهیة وترک التوسّل بها موجب لحبط الأعمال والخسران فی الدنیا والآخرة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بین التوسّل والشفاعة إلّاباللحاظ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التوسّل والاستغاثة والتبرّک والاستشفاء من وادٍ واحد، وهی مصادیق متعدّدة لماهیة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التوسّل توحید الله الأعظم، وهو أبلغ أنواع التعظیم والخضوع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جعل شیء وسیلة یتضمّن فی طیّات معناه عدم التألیه وأنّه واسطة لغیره وغیره هو الغایة، وأنما المشرکون أشرکوا لأنهم اقترحوا الوسیلة إلی الله تعالی من ملء إرادتهم وتحکیمها علی إرادة الله، فجعلوا لأنفسهم صلاحیات الألوهیة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تعالی غایة الغایات ولیس وسیلة کی یتوسّل به مباشرة، فمن یجعل الله وسیلة لغایة غیره یکون مشرکاً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التوسّل بالوسیلة هو حقیقة معتقد الشهادة الثانیة والثالثة وحقیقة النبوّة والرسالة والولایة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التوسّل من أعظم أبواب العبادات والقربات إلی الله تعالی</w:t>
      </w:r>
      <w:r>
        <w:rPr>
          <w:rFonts w:eastAsia="IRNazanin" w:cs="IRNazanin"/>
          <w:color w:val="111111"/>
          <w:sz w:val="28"/>
          <w:szCs w:val="28"/>
          <w:rtl w:val="true"/>
          <w:lang w:bidi="fa-IR"/>
        </w:rPr>
        <w:t>.</w:t>
      </w:r>
      <w:bookmarkStart w:id="498" w:name="pg13703_134009"/>
    </w:p>
    <w:p>
      <w:pPr>
        <w:pStyle w:val="Heading2"/>
        <w:numPr>
          <w:ilvl w:val="1"/>
          <w:numId w:val="1"/>
        </w:numPr>
        <w:rPr/>
      </w:pPr>
      <w:bookmarkStart w:id="499" w:name="__RefHeading___Toc1101296_1468164448"/>
      <w:bookmarkStart w:id="500" w:name="_Toc184"/>
      <w:bookmarkEnd w:id="498"/>
      <w:bookmarkEnd w:id="499"/>
      <w:r>
        <w:rPr>
          <w:rtl w:val="true"/>
        </w:rPr>
        <w:t>فهرس الموضوعات</w:t>
      </w:r>
      <w:bookmarkEnd w:id="500"/>
    </w:p>
    <w:p>
      <w:pPr>
        <w:pStyle w:val="BookText"/>
        <w:rPr/>
      </w:pPr>
      <w:r>
        <w:rPr>
          <w:rFonts w:ascii="IRNazanin" w:hAnsi="IRNazanin" w:eastAsia="IRNazanin"/>
          <w:color w:val="111111"/>
          <w:sz w:val="28"/>
          <w:sz w:val="28"/>
          <w:szCs w:val="28"/>
          <w:rtl w:val="true"/>
          <w:lang w:bidi="fa-IR"/>
        </w:rPr>
        <w:t xml:space="preserve">هویة الکتاب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القاعدة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امرئ مسلم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محل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تحریر المسالة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هدر دم من هتک أو اعتدی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اللوث والتهمة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بعض کلمات الاصحاب والقانونیین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ضابطة موضوعیة للوث</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آثار اللوث</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درجات اللوث</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فائدة فی حقیقة الیمین فی القضاء بالقسامة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شواهد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تنظیر لهذا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فوائد اللوث والتهمة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التحری والفحص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فائدة جانبیة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الدعاوی لتعدد المتنازعین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فائدة رجالیة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القاعدة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باب الجنایات </w:t>
      </w:r>
      <w:r>
        <w:rPr>
          <w:rFonts w:eastAsia="IRNazanin" w:cs="IRNazanin"/>
          <w:color w:val="111111"/>
          <w:sz w:val="28"/>
          <w:szCs w:val="28"/>
          <w:lang w:bidi="fa-IR"/>
        </w:rPr>
        <w:t>75</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باب الجنایات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شبهة معارضة ودفعها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القاعدة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تقدیم حق جنایة العضو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القاعدة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دم المعتدی لا یحسب قصاصا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عبارات الاعلام فی المسالة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الاشکال علی القاعدة ودفعه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القاعدة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القصاص العرفی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القاعدة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قاعة المثلیة فی الأطراف والأعضاء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القاعدة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سقوط القصاص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القاعدة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غایة القصاص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القاعدة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قصاص الأطراف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تطبیق وشرح للقاعدة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القاعدة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تبعیض القصاص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ضابطتان فی التبعیض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فروع فی التبعیض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التبعیض فی الجرحات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القاعدة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الدیة فی طول القصاص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القاعدة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الاضطراری بعض الوقت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القاعدة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عبادة توحیدیة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شبهة و إثارة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أدلة القائلین بعدم جواز التوسل بغیر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معنی الإله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وجه ان من الوسائط ما هو مأمور بها من قبل الله عزّ و جل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مفهوم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قصة آدم علیه السلام مع إبلیس</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نفی الوسائط یؤول الی التجسیم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أدلة المانعین من التوسل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ملامح من التوسل فی الشعائر العبادیة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موارد أخری فی التوسل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موارد عقلیة علی التوسّل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خاتمة فی التوسل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الوسائط مظهر قدرة البارئ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القاعدة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الاجتماعی والسیاسی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النظم القرآنیّة فی نبذ الفرقة والتنازع</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الوحدة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تعریف الوحدة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أقسام الوحدة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دلیل مانعی البحث فی التاریخ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الجواب علی دلیل المانعین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تداعیات وسلبیّات القول بالمنع</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ما یوجب الخروج عن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الفروق الرئیسیّة بین السیرة فی صدر الإسلام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وبین سیرة بنی امیّة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الفارق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إقامة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الفارق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النقد والرقابة للحاکم والحکم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الفارق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طاعة السلطان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الفارق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للمسلمین دون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الفارق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استباحة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تنقیح مصادر التراث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اسس نظام الوحدة الاسلامیة وضماناتها</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جمیع الأنبیاء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لا تتمّ إلا بالمحبّة والمودّة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نظام التقریب والحوار والاتحاد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أصالة حقن الدم الإنسانی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هل الحوار یقاطع الوحدة؟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أهداف التقریب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أهمّ القواعد فی نظام التقریب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معالجة إلتباس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النظام السیاسیّ والمواطَنة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حدیث الفرقة الناجیة والتعایش السلمیّ بین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التنسیق والتوافقات الوقتیة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غایات نظام التنسیق والانسجام والتوافق</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امتیاز نظام التنسیق عن نظام الوحدة ونظام التقریب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علاقة نظام التنسیق مع نظام الوحدة والتقریب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نظام التنسیق یمثّل الحدّ الأدنی للوحدة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بعض ممارسات حکّام المسلمین سبب للفرقة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قاعدة فی بیان حقیقة المذهبیّة العقائدیّة والفقهیّة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حقیقة المذهبیّة العقائدیّة عند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میزان المذهبیّة العقائدیّة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حقیقة وموقعیّة عملیّة التأصیل العقائدیّ من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ثوابت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بدور التفصیل فی القواعد الاعتقادیّة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حقیقة المذهبیّة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السبب فی سدّ باب الاجتهاد لدی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إجابات لا تخلو من تأمّل</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فتح باب الاجتهاد لدی مذهب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موقعیّة عملیّة استنباط أئمّة المذاهب الأربعة من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الاستدلال القانونیّ‌علی ضرورة مرحلة الوصایة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الأدلّة علی ضرورة عصمة الوصیّ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القاعدة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شرطیة الولایة فی صحة التوبة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معطیات الشهادة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ضرورة 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التوسّل فی کل النشآت ولأصناف المخلوقات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طاعة الله ورسوله وأولی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فذلکة صناعیة لأخذ التوسّل فی نیة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إقتران اسم النبیّ صلی الله علیه و آله وأهل بیته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بأعظم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الوسیلة ضرورة 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قرب الله وقرب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الوسیلة معنی الشفاعة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ترامی الوسائل وتعاقبها</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الاستجارة بالنبیّ صلی الله علیه و آله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فی طلب المغفرة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بالرسول صلی الله علیه و آله میثاق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الأنبیاء علی دین النبی الأکرم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أهل البیت علیهم السلام شرکاء النبیّ صلی الله علیه و آله فی المیثاق</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الدلیل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الملائکة لآدم علیه السلام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کلّ خلیفة الله الباب الأعظم لملائکته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جحود التوسّل سنّة إبلیس فی الاستکبار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وردود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شبهات المنکرین لجواز التوسّل</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عبادة لغیر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دفع الجوابین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التوسّل یستند إلی التفویض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جحود التوسّل یستند إلی المذاهب الحسیّة المادیة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تفصیل الجاحدین للتوسّل فی الوسائط</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خلاف کلمة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مخالف للآیات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الجواب عن 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الأسماء الالهیة مستند للتوسّل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والآیة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الکلمات التامّات</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ولیست الأصنام إلّا الوسائل والوسائط المقترحة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الصالحة هی الوسیلة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التوسّل والوسیلة حقیقة العقیدة بالنبوّة والرسالة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الجواب عن 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الوسیلة؟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الرابطة بین الشفاعة والتوسّل</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تشریع الشفاعة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الشبهة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الإبراهیمیّ یأبی التوسّل بغیر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الجواب عن 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الردّ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ینقض علیهم بموارد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الشبهة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یعنی التفویض وعجز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فی مقام ردّ هذه الشبهة نجیب بعدّة أجوبة</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الجاحدین للتوسّل بنوا جحودهم علی التفویض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الجواب عن الشبهة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سبب جحود التوسّل القصور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فی معرفة کنه ذوات المسبّبات والأسباب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الاسناد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التوفّی إلی ملک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فهرست إجمالی لکتاب بحوث فی القواعد الفقهیة </w:t>
      </w:r>
      <w:r>
        <w:rPr>
          <w:rFonts w:eastAsia="IRNazanin" w:cs="IRNazanin"/>
          <w:color w:val="111111"/>
          <w:sz w:val="28"/>
          <w:szCs w:val="28"/>
          <w:lang w:bidi="fa-IR"/>
        </w:rPr>
        <w:t>509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503</w:t>
      </w:r>
      <w:bookmarkStart w:id="501" w:name="pg13703_134015"/>
    </w:p>
    <w:p>
      <w:pPr>
        <w:pStyle w:val="Heading2"/>
        <w:numPr>
          <w:ilvl w:val="1"/>
          <w:numId w:val="1"/>
        </w:numPr>
        <w:rPr/>
      </w:pPr>
      <w:bookmarkStart w:id="502" w:name="__RefHeading___Toc1101298_1468164448"/>
      <w:bookmarkStart w:id="503" w:name="_Toc185"/>
      <w:bookmarkEnd w:id="501"/>
      <w:bookmarkEnd w:id="502"/>
      <w:r>
        <w:rPr>
          <w:rtl w:val="true"/>
        </w:rPr>
        <w:t>فهرست إجمالی لکتاب بحوث فی القواعد الفقهیة فی أجزائه الخمسة</w:t>
      </w:r>
      <w:bookmarkEnd w:id="503"/>
    </w:p>
    <w:p>
      <w:pPr>
        <w:pStyle w:val="BookText"/>
        <w:rPr/>
      </w:pP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سوق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الإمکان فی الحیض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حرمة إهانة المقدسات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نجاسة کل 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الأصل فی الأموال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إخبار ذی الید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الإقرار بحق 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حق الله وحق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انفعال الماء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کل کافر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الإیمان والکفر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تکلیف الکفار بالفروع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التبعیة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عبادة الکافر والمخالف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عموم ولایة الأرحام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أصالة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مصدقة فی قولها علی نفسها وشؤونها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تلذذ غیر الزوجین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وحدة ماهیة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تداخل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حرمة المس فی الأجنبیة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التبرج بالزینة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النکاح والسفاح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 او الحق المأخوذ استمالة أو اکراها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لزوم الفحص الموضوعی قبل البینة أو الیمین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نظام التحکیم والصلح فی النزاعات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المرأة العشرة بالمعروف أو التسریح بإحسان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الإسلام فی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 قاعدة ولایة الأرحام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وقوع الفتنة الشهویة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الإحرام ببطلان النسک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تقوّم مشروعیة التمتع بالإحرام من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النسک مع الخلل غیر العمدی فی الطواف والسعی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إدخال نسک فی نسک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الحج من قابل بفساد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أو وحدة أنواع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الأفسد بالفاسد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العرض علی الکتاب والسنة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العقود تابعة للقصود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لا تبع ما لیس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عمد الصبی خطا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لزوم العسر والحرج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ان المتنجس ینجس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تعیین المالک لما یقابل الدین والوصیة من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شرطیة اذن الاب فی اعمال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من ادرک المشعر فقد ادرک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الشعائر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توسعة حریم مواسم الشعائر زمانا ومکانا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المشی الی العبادة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رجحان الشعائر ولو مع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عمارة مراقد الائمة فریضة هامة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تعدد طرق الحکایة والإخبار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الاقتصاص من السب او الإهانة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فی ثبوت القصاص بالتسبیب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تداخل القصاص والدیات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القصاص بین الکفار بعضهم مع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القضاء بین الکفار وبین اهل الکتاب وبین اهل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اسلام او کفر ابن 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ثبوت القصاص علی کل جنایة عدوانیة فی النفس او الطرف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لا تقیة فی 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حرمة دم المسلم وعِرضه وماله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ضرورة التمییز بین السیرة فی صدر الإسلام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مودّة أهل البیت علیهم السلام</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شوری الأمّة فی نظام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بناء نظام القدرة والقوّة فی الکیان والنظام الإسلامی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اشتراک الحد والقصاص فی ماهیة جامعة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القصاص یدرء بالشبهات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صلاحیات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صلاة المسافر تماما فی کل مراقد ال البیت لا خصوص الاماکن الاربعة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الاعواض المحرمة مسقطة للضمان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لا یبطل دم امرئ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هدر دم من هتک او اعتدی علی غیره دفعا او عقوبة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اللوث والتهمة واثارها القانونیة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جواز التحری والفحص من قبل القاضی للمتهم باللوث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قضائیة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الدعاوی لتعدد المتنازعین عرضا وطولا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باب الجنایات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الأسبق زمنا فی حق الجنایة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باب الجنایات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یجنی الجانی علی اکثر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حق جنایة العضو علی حق قصاص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هدر دم المعتدی لا یحسب قصاصا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القصاص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المثلیة فی الاطراف والاعضاء والجروح لوحدة العنوان او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سقوط 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غایة 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قصاص الاطراف وانها لمجرد ابانة العضو او للشین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تبعیض القصاص فی الاطراف والجراحات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الدیة فی طول القصاص استیفاء وفی عرضه موضوعا وموجبا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باب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إجزاء الاضطراری بَعْض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فقه العقیدة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 عبادة توحیدیة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الفقه الاجتماعی والسیاسی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التعایش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بین المذاهب</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الولایة فی صحة التوبة والعبادات وقبولها ونیة القربة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لمصدر ص </w:t>
      </w:r>
      <w:r>
        <w:rPr>
          <w:rFonts w:eastAsia="IRNazanin" w:cs="IRNazanin"/>
          <w:b w:val="false"/>
          <w:bCs w:val="false"/>
          <w:i w:val="false"/>
          <w:iCs w:val="false"/>
          <w:color w:val="333333"/>
          <w:sz w:val="20"/>
          <w:szCs w:val="20"/>
        </w:rPr>
        <w:t>83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Pr>
        <w:t>288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572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لمصدر ص </w:t>
      </w:r>
      <w:r>
        <w:rPr>
          <w:rFonts w:eastAsia="IRNazanin" w:cs="IRNazanin"/>
          <w:b w:val="false"/>
          <w:bCs w:val="false"/>
          <w:i w:val="false"/>
          <w:iCs w:val="false"/>
          <w:color w:val="333333"/>
          <w:sz w:val="20"/>
          <w:szCs w:val="20"/>
        </w:rPr>
        <w:t>179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178</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125</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128</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القدیمة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کتاب الصلاة أبواب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کتاب الدعوات، 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سنن ابن ماجه، کتاب اقامة الصلاة و السنة فیها، 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کتاب الدعوات،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سنن ابن ماجة، کتاب اقامة الصلاة، 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الاستسقاء،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فضائل النبی،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و رواه فی سنن الدارمی، کتاب الجهاد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سنن ابن ماجة، المقدمة،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455/11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الشرک الاکبر أو الشرک الصریح هو الذی یوجب ردة عن الدین، أما الشرک الاصغر أو الشرک غیر الصریح هو الذی لا یوجب ردة، و هو قلما ینجو منه أحد إلا المخلصین الموحدین، و الشرک الصریح یوجب ردة، لانه مناف لمقررات الدین الاسلامی و ثوابته و اولیاته، و الاذعان و الاقرار بما هو مناف صراحة لاولیات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 هو نوع انشاء فسخ، و خروج عن عهود و مواثیق الشهادتین، لان الشهادة بالشهادتین أو بالشهادة الثالثة لحصول الایمان، کما هو عند الامامیة یلزم منه الالتزام بعدة مواثیق و عهود، فلو أنشأ الشهادات الثلاث و التزم بما هو مناف لهم صریحا، فانه یخرج عن العهد و المیثاق الذی التزم به، أما عدم ایجاب الشرک الاصغر ردة، لان المتکلم لا یعی تناقضه مع الشهادتین، و لا یکن ظاهرا عرفا فی الفسخ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الاثیر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المناقب، باب صفة النبی،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المناقب، باب صفة النبی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الصلاة، باب الصلاة فی الثوب الاحمر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للسمهودی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205/13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بطحان دون الماجشونیة، و فیه حفرة مما یأخذ الناس منه، و هو الیوم اذا وبأ انسان اخذ 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اقامة الصلاة، 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صلاة الحاجة، 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سنن الترمذی کتاب الدعوات،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کتاب الاذان، الصلاة علی النبی بعد الاذان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صلی علیه مئة شفعوا فیه،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صلی علیه اربعون رجلا شفعوا فیه،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محمد، التوسل عبادة توحیدیة،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سعید بن جبیر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الحبّ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 والصلة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المرء مع مَن أحبّ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تحریم قتل الکافر بعد أن قال لا إله إلّا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کتاب الحجّ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جوامع التاریخ للهمدانی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وقد أخرج هذا الحدیث ابن حبّان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صحیح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ووافقه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خطبته علیه السلام المسمّاة بالقاصعة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والتنور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أخیراً صوّتت الجمعیّة العمومیّة بالأغلبیّة علی إلزام العالم الإسلامیّ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بحریّة المرأة فی ممارسة الجنس، ومن دون ذلک ستعرّض الدولة المخالفة إلی عقوبات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السقیفة وفدک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الجوهری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عائشة،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المجموع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شعارأصحاب‌الحدیث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ابن‌اسحاق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للدعاء أرکان وأجنحة وأسباب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وأسبابه الصلاة علی محمّد صلی الله علیه و آله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الأذکار النوویة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کذلک فی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 الخصیبی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کتاب الغدیر للأمینی وشرح إحقاق الحق، حیث تتبعا الروایات فی هذا المجال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وانقطاعه کما یحصل بعد الإعیاء والعدو الشدید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معانی الأسماء واشتقاقها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الهدایة الکبری للخصیبی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للأول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 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الکوفی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محمد، الإمامة الإلهیة،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منشورات الإجتهاد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صفة النبی صلی الله علیه و آله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الصلاة فی الثوب الأحمر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 عن الرسول والرسالة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الصقیل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کذلک فی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72983</Words>
  <Characters>322139</Characters>
  <CharactersWithSpaces>392511</CharactersWithSpaces>
  <Paragraphs>2612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2026-08-28T09:31:11Z</dcterms:created>
  <dc:creator>ghaemiyeh.com</dc:creator>
  <dc:description/>
  <dc:language>en-US</dc:language>
  <cp:lastModifiedBy/>
  <dcterms:modified xsi:type="dcterms:W3CDTF">2026-08-28T13:01:31Z</dcterms:modified>
  <cp:revision>1</cp:revision>
  <dc:subject/>
  <dc:title>بحوث فی القواعد الفقهیه تقریرات محمدالسند جلد 5</dc:title>
</cp:coreProperties>
</file>

<file path=docProps/custom.xml><?xml version="1.0" encoding="utf-8"?>
<Properties xmlns="http://schemas.openxmlformats.org/officeDocument/2006/custom-properties" xmlns:vt="http://schemas.openxmlformats.org/officeDocument/2006/docPropsVTypes"/>
</file>