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العصیر العنبی والزبیبی والتمری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20778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32078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320782_1051229030">
            <w:r>
              <w:rPr>
                <w:webHidden/>
                <w:rStyle w:val="IndexLink"/>
                <w:rtl w:val="true"/>
              </w:rPr>
              <w:t>مقدّمة التحقيق</w:t>
            </w:r>
            <w:r>
              <w:rPr>
                <w:rStyle w:val="IndexLink"/>
                <w:rtl w:val="true"/>
              </w:rPr>
              <w:tab/>
            </w:r>
            <w:r>
              <w:rPr>
                <w:rStyle w:val="IndexLink"/>
              </w:rPr>
              <w:t>9</w:t>
            </w:r>
          </w:hyperlink>
        </w:p>
        <w:p>
          <w:pPr>
            <w:pStyle w:val="Contents3"/>
            <w:tabs>
              <w:tab w:val="clear" w:pos="8459"/>
              <w:tab w:val="right" w:pos="9026" w:leader="dot"/>
            </w:tabs>
            <w:rPr/>
          </w:pPr>
          <w:hyperlink w:anchor="__RefHeading___Toc6320784_1051229030">
            <w:r>
              <w:rPr>
                <w:webHidden/>
                <w:rStyle w:val="IndexLink"/>
              </w:rPr>
              <w:t>1</w:t>
            </w:r>
            <w:r>
              <w:rPr>
                <w:rStyle w:val="IndexLink"/>
                <w:rtl w:val="true"/>
              </w:rPr>
              <w:t xml:space="preserve"> - </w:t>
            </w:r>
            <w:r>
              <w:rPr>
                <w:rStyle w:val="IndexLink"/>
                <w:rtl w:val="true"/>
              </w:rPr>
              <w:t>لمحةٌ من حياة المؤلّف قدس‌سره</w:t>
            </w:r>
            <w:r>
              <w:rPr>
                <w:rStyle w:val="IndexLink"/>
                <w:rtl w:val="true"/>
              </w:rPr>
              <w:tab/>
            </w:r>
            <w:r>
              <w:rPr>
                <w:rStyle w:val="IndexLink"/>
              </w:rPr>
              <w:t>9</w:t>
            </w:r>
          </w:hyperlink>
        </w:p>
        <w:p>
          <w:pPr>
            <w:pStyle w:val="Contents4"/>
            <w:tabs>
              <w:tab w:val="clear" w:pos="8176"/>
              <w:tab w:val="right" w:pos="9026" w:leader="dot"/>
            </w:tabs>
            <w:rPr/>
          </w:pPr>
          <w:hyperlink w:anchor="__RefHeading___Toc6320786_1051229030">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6320788_1051229030">
            <w:r>
              <w:rPr>
                <w:webHidden/>
                <w:rStyle w:val="IndexLink"/>
                <w:rtl w:val="true"/>
              </w:rPr>
              <w:t>اسمه و نسبه</w:t>
            </w:r>
            <w:r>
              <w:rPr>
                <w:rStyle w:val="IndexLink"/>
                <w:rtl w:val="true"/>
              </w:rPr>
              <w:tab/>
            </w:r>
            <w:r>
              <w:rPr>
                <w:rStyle w:val="IndexLink"/>
              </w:rPr>
              <w:t>9</w:t>
            </w:r>
          </w:hyperlink>
        </w:p>
        <w:p>
          <w:pPr>
            <w:pStyle w:val="Contents4"/>
            <w:tabs>
              <w:tab w:val="clear" w:pos="8176"/>
              <w:tab w:val="right" w:pos="9026" w:leader="dot"/>
            </w:tabs>
            <w:rPr/>
          </w:pPr>
          <w:hyperlink w:anchor="__RefHeading___Toc6320790_1051229030">
            <w:r>
              <w:rPr>
                <w:webHidden/>
                <w:rStyle w:val="IndexLink"/>
                <w:rtl w:val="true"/>
              </w:rPr>
              <w:t>ولادته و نشأته</w:t>
            </w:r>
            <w:r>
              <w:rPr>
                <w:rStyle w:val="IndexLink"/>
                <w:rtl w:val="true"/>
              </w:rPr>
              <w:tab/>
            </w:r>
            <w:r>
              <w:rPr>
                <w:rStyle w:val="IndexLink"/>
              </w:rPr>
              <w:t>10</w:t>
            </w:r>
          </w:hyperlink>
        </w:p>
        <w:p>
          <w:pPr>
            <w:pStyle w:val="Contents4"/>
            <w:tabs>
              <w:tab w:val="clear" w:pos="8176"/>
              <w:tab w:val="right" w:pos="9026" w:leader="dot"/>
            </w:tabs>
            <w:rPr/>
          </w:pPr>
          <w:hyperlink w:anchor="__RefHeading___Toc6320792_1051229030">
            <w:r>
              <w:rPr>
                <w:webHidden/>
                <w:rStyle w:val="IndexLink"/>
                <w:rtl w:val="true"/>
              </w:rPr>
              <w:t>إطراء العلماء له</w:t>
            </w:r>
            <w:r>
              <w:rPr>
                <w:rStyle w:val="IndexLink"/>
                <w:rtl w:val="true"/>
              </w:rPr>
              <w:tab/>
            </w:r>
            <w:r>
              <w:rPr>
                <w:rStyle w:val="IndexLink"/>
              </w:rPr>
              <w:t>15</w:t>
            </w:r>
          </w:hyperlink>
        </w:p>
        <w:p>
          <w:pPr>
            <w:pStyle w:val="Contents4"/>
            <w:tabs>
              <w:tab w:val="clear" w:pos="8176"/>
              <w:tab w:val="right" w:pos="9026" w:leader="dot"/>
            </w:tabs>
            <w:rPr/>
          </w:pPr>
          <w:hyperlink w:anchor="__RefHeading___Toc6320794_1051229030">
            <w:r>
              <w:rPr>
                <w:webHidden/>
                <w:rStyle w:val="IndexLink"/>
                <w:rtl w:val="true"/>
              </w:rPr>
              <w:t>زهده و عبادته</w:t>
            </w:r>
            <w:r>
              <w:rPr>
                <w:rStyle w:val="IndexLink"/>
                <w:rtl w:val="true"/>
              </w:rPr>
              <w:tab/>
            </w:r>
            <w:r>
              <w:rPr>
                <w:rStyle w:val="IndexLink"/>
              </w:rPr>
              <w:t>16</w:t>
            </w:r>
          </w:hyperlink>
        </w:p>
        <w:p>
          <w:pPr>
            <w:pStyle w:val="Contents4"/>
            <w:tabs>
              <w:tab w:val="clear" w:pos="8176"/>
              <w:tab w:val="right" w:pos="9026" w:leader="dot"/>
            </w:tabs>
            <w:rPr/>
          </w:pPr>
          <w:hyperlink w:anchor="__RefHeading___Toc6320796_1051229030">
            <w:r>
              <w:rPr>
                <w:webHidden/>
                <w:rStyle w:val="IndexLink"/>
                <w:rtl w:val="true"/>
              </w:rPr>
              <w:t>إقامته الحدود الشرعيّة</w:t>
            </w:r>
            <w:r>
              <w:rPr>
                <w:rStyle w:val="IndexLink"/>
                <w:rtl w:val="true"/>
              </w:rPr>
              <w:tab/>
            </w:r>
            <w:r>
              <w:rPr>
                <w:rStyle w:val="IndexLink"/>
              </w:rPr>
              <w:t>17</w:t>
            </w:r>
          </w:hyperlink>
        </w:p>
        <w:p>
          <w:pPr>
            <w:pStyle w:val="Contents4"/>
            <w:tabs>
              <w:tab w:val="clear" w:pos="8176"/>
              <w:tab w:val="right" w:pos="9026" w:leader="dot"/>
            </w:tabs>
            <w:rPr/>
          </w:pPr>
          <w:hyperlink w:anchor="__RefHeading___Toc6320798_1051229030">
            <w:r>
              <w:rPr>
                <w:webHidden/>
                <w:rStyle w:val="IndexLink"/>
                <w:rtl w:val="true"/>
              </w:rPr>
              <w:t>أساتذته و مشايخ روايته</w:t>
            </w:r>
            <w:r>
              <w:rPr>
                <w:rStyle w:val="IndexLink"/>
                <w:rtl w:val="true"/>
              </w:rPr>
              <w:tab/>
            </w:r>
            <w:r>
              <w:rPr>
                <w:rStyle w:val="IndexLink"/>
              </w:rPr>
              <w:t>18</w:t>
            </w:r>
          </w:hyperlink>
        </w:p>
        <w:p>
          <w:pPr>
            <w:pStyle w:val="Contents4"/>
            <w:tabs>
              <w:tab w:val="clear" w:pos="8176"/>
              <w:tab w:val="right" w:pos="9026" w:leader="dot"/>
            </w:tabs>
            <w:rPr/>
          </w:pPr>
          <w:hyperlink w:anchor="__RefHeading___Toc6320800_1051229030">
            <w:r>
              <w:rPr>
                <w:webHidden/>
                <w:rStyle w:val="IndexLink"/>
                <w:rtl w:val="true"/>
              </w:rPr>
              <w:t>أولاده</w:t>
            </w:r>
            <w:r>
              <w:rPr>
                <w:rStyle w:val="IndexLink"/>
                <w:rtl w:val="true"/>
              </w:rPr>
              <w:tab/>
            </w:r>
            <w:r>
              <w:rPr>
                <w:rStyle w:val="IndexLink"/>
              </w:rPr>
              <w:t>18</w:t>
            </w:r>
          </w:hyperlink>
        </w:p>
        <w:p>
          <w:pPr>
            <w:pStyle w:val="Contents4"/>
            <w:tabs>
              <w:tab w:val="clear" w:pos="8176"/>
              <w:tab w:val="right" w:pos="9026" w:leader="dot"/>
            </w:tabs>
            <w:rPr/>
          </w:pPr>
          <w:hyperlink w:anchor="__RefHeading___Toc6320802_1051229030">
            <w:r>
              <w:rPr>
                <w:webHidden/>
                <w:rStyle w:val="IndexLink"/>
                <w:rtl w:val="true"/>
              </w:rPr>
              <w:t>تآليفه القيّمة</w:t>
            </w:r>
            <w:r>
              <w:rPr>
                <w:rStyle w:val="IndexLink"/>
                <w:rtl w:val="true"/>
              </w:rPr>
              <w:tab/>
            </w:r>
            <w:r>
              <w:rPr>
                <w:rStyle w:val="IndexLink"/>
              </w:rPr>
              <w:t>20</w:t>
            </w:r>
          </w:hyperlink>
        </w:p>
        <w:p>
          <w:pPr>
            <w:pStyle w:val="Contents4"/>
            <w:tabs>
              <w:tab w:val="clear" w:pos="8176"/>
              <w:tab w:val="right" w:pos="9026" w:leader="dot"/>
            </w:tabs>
            <w:rPr/>
          </w:pPr>
          <w:hyperlink w:anchor="__RefHeading___Toc6320804_1051229030">
            <w:r>
              <w:rPr>
                <w:webHidden/>
                <w:rStyle w:val="IndexLink"/>
                <w:rtl w:val="true"/>
              </w:rPr>
              <w:t>وفاته و مرقده</w:t>
            </w:r>
            <w:r>
              <w:rPr>
                <w:rStyle w:val="IndexLink"/>
                <w:rtl w:val="true"/>
              </w:rPr>
              <w:tab/>
            </w:r>
            <w:r>
              <w:rPr>
                <w:rStyle w:val="IndexLink"/>
              </w:rPr>
              <w:t>27</w:t>
            </w:r>
          </w:hyperlink>
        </w:p>
        <w:p>
          <w:pPr>
            <w:pStyle w:val="Contents3"/>
            <w:tabs>
              <w:tab w:val="clear" w:pos="8459"/>
              <w:tab w:val="right" w:pos="9026" w:leader="dot"/>
            </w:tabs>
            <w:rPr/>
          </w:pPr>
          <w:hyperlink w:anchor="__RefHeading___Toc6320806_1051229030">
            <w:r>
              <w:rPr>
                <w:webHidden/>
                <w:rStyle w:val="IndexLink"/>
              </w:rPr>
              <w:t>2</w:t>
            </w:r>
            <w:r>
              <w:rPr>
                <w:rStyle w:val="IndexLink"/>
                <w:rtl w:val="true"/>
              </w:rPr>
              <w:t xml:space="preserve">- </w:t>
            </w:r>
            <w:r>
              <w:rPr>
                <w:rStyle w:val="IndexLink"/>
                <w:rtl w:val="true"/>
              </w:rPr>
              <w:t>التعريف بالرسالة</w:t>
            </w:r>
            <w:r>
              <w:rPr>
                <w:rStyle w:val="IndexLink"/>
                <w:rtl w:val="true"/>
              </w:rPr>
              <w:tab/>
            </w:r>
            <w:r>
              <w:rPr>
                <w:rStyle w:val="IndexLink"/>
              </w:rPr>
              <w:t>29</w:t>
            </w:r>
          </w:hyperlink>
        </w:p>
        <w:p>
          <w:pPr>
            <w:pStyle w:val="Contents3"/>
            <w:tabs>
              <w:tab w:val="clear" w:pos="8459"/>
              <w:tab w:val="right" w:pos="9026" w:leader="dot"/>
            </w:tabs>
            <w:rPr/>
          </w:pPr>
          <w:hyperlink w:anchor="__RefHeading___Toc6320808_1051229030">
            <w:r>
              <w:rPr>
                <w:webHidden/>
                <w:rStyle w:val="IndexLink"/>
              </w:rPr>
              <w:t>3</w:t>
            </w:r>
            <w:r>
              <w:rPr>
                <w:rStyle w:val="IndexLink"/>
                <w:rtl w:val="true"/>
              </w:rPr>
              <w:t xml:space="preserve">- </w:t>
            </w:r>
            <w:r>
              <w:rPr>
                <w:rStyle w:val="IndexLink"/>
                <w:rtl w:val="true"/>
              </w:rPr>
              <w:t>منهجيّة التحقيق</w:t>
            </w:r>
            <w:r>
              <w:rPr>
                <w:rStyle w:val="IndexLink"/>
                <w:rtl w:val="true"/>
              </w:rPr>
              <w:tab/>
            </w:r>
            <w:r>
              <w:rPr>
                <w:rStyle w:val="IndexLink"/>
              </w:rPr>
              <w:t>31</w:t>
            </w:r>
          </w:hyperlink>
        </w:p>
        <w:p>
          <w:pPr>
            <w:pStyle w:val="Contents2"/>
            <w:tabs>
              <w:tab w:val="clear" w:pos="8743"/>
              <w:tab w:val="right" w:pos="9026" w:leader="dot"/>
            </w:tabs>
            <w:rPr/>
          </w:pPr>
          <w:hyperlink w:anchor="__RefHeading___Toc6320810_1051229030">
            <w:r>
              <w:rPr>
                <w:webHidden/>
                <w:rStyle w:val="IndexLink"/>
                <w:rtl w:val="true"/>
              </w:rPr>
              <w:t>رسالة في العصير العنبيّ والزبيبيّ والتمريّ</w:t>
            </w:r>
            <w:r>
              <w:rPr>
                <w:rStyle w:val="IndexLink"/>
                <w:rtl w:val="true"/>
              </w:rPr>
              <w:tab/>
            </w:r>
            <w:r>
              <w:rPr>
                <w:rStyle w:val="IndexLink"/>
              </w:rPr>
              <w:t>33</w:t>
            </w:r>
          </w:hyperlink>
        </w:p>
        <w:p>
          <w:pPr>
            <w:pStyle w:val="Contents3"/>
            <w:tabs>
              <w:tab w:val="clear" w:pos="8459"/>
              <w:tab w:val="right" w:pos="9026" w:leader="dot"/>
            </w:tabs>
            <w:rPr/>
          </w:pPr>
          <w:hyperlink w:anchor="__RefHeading___Toc6320812_105122903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6320814_1051229030">
            <w:r>
              <w:rPr>
                <w:webHidden/>
                <w:rStyle w:val="IndexLink"/>
                <w:rtl w:val="true"/>
              </w:rPr>
              <w:t xml:space="preserve">[ </w:t>
            </w:r>
            <w:r>
              <w:rPr>
                <w:rStyle w:val="IndexLink"/>
                <w:rtl w:val="true"/>
              </w:rPr>
              <w:t xml:space="preserve">مسأله </w:t>
            </w:r>
            <w:r>
              <w:rPr>
                <w:rStyle w:val="IndexLink"/>
                <w:rtl w:val="true"/>
              </w:rPr>
              <w:t>]</w:t>
              <w:tab/>
            </w:r>
            <w:r>
              <w:rPr>
                <w:rStyle w:val="IndexLink"/>
              </w:rPr>
              <w:t>35</w:t>
            </w:r>
          </w:hyperlink>
        </w:p>
        <w:p>
          <w:pPr>
            <w:pStyle w:val="Contents3"/>
            <w:tabs>
              <w:tab w:val="clear" w:pos="8459"/>
              <w:tab w:val="right" w:pos="9026" w:leader="dot"/>
            </w:tabs>
            <w:rPr/>
          </w:pPr>
          <w:hyperlink w:anchor="__RefHeading___Toc6320816_1051229030">
            <w:r>
              <w:rPr>
                <w:webHidden/>
                <w:rStyle w:val="IndexLink"/>
                <w:rtl w:val="true"/>
              </w:rPr>
              <w:t xml:space="preserve">[ </w:t>
            </w:r>
            <w:r>
              <w:rPr>
                <w:rStyle w:val="IndexLink"/>
                <w:rtl w:val="true"/>
              </w:rPr>
              <w:t xml:space="preserve">الجواب </w:t>
            </w:r>
            <w:r>
              <w:rPr>
                <w:rStyle w:val="IndexLink"/>
                <w:rtl w:val="true"/>
              </w:rPr>
              <w:t>]</w:t>
              <w:tab/>
            </w:r>
            <w:r>
              <w:rPr>
                <w:rStyle w:val="IndexLink"/>
              </w:rPr>
              <w:t>36</w:t>
            </w:r>
          </w:hyperlink>
        </w:p>
        <w:p>
          <w:pPr>
            <w:pStyle w:val="Contents2"/>
            <w:tabs>
              <w:tab w:val="clear" w:pos="8743"/>
              <w:tab w:val="right" w:pos="9026" w:leader="dot"/>
            </w:tabs>
            <w:rPr/>
          </w:pPr>
          <w:hyperlink w:anchor="__RefHeading___Toc6320818_1051229030">
            <w:r>
              <w:rPr>
                <w:webHidden/>
                <w:rStyle w:val="IndexLink"/>
                <w:rtl w:val="true"/>
              </w:rPr>
              <w:t xml:space="preserve">[ </w:t>
            </w:r>
            <w:r>
              <w:rPr>
                <w:rStyle w:val="IndexLink"/>
                <w:rtl w:val="true"/>
              </w:rPr>
              <w:t xml:space="preserve">المبحث الأوّل </w:t>
            </w:r>
            <w:r>
              <w:rPr>
                <w:rStyle w:val="IndexLink"/>
                <w:rtl w:val="true"/>
              </w:rPr>
              <w:t xml:space="preserve">: </w:t>
            </w:r>
            <w:r>
              <w:rPr>
                <w:rStyle w:val="IndexLink"/>
                <w:rtl w:val="true"/>
              </w:rPr>
              <w:t xml:space="preserve">في العصير العنبيّ </w:t>
            </w:r>
            <w:r>
              <w:rPr>
                <w:rStyle w:val="IndexLink"/>
                <w:rtl w:val="true"/>
              </w:rPr>
              <w:t>]</w:t>
              <w:tab/>
            </w:r>
            <w:r>
              <w:rPr>
                <w:rStyle w:val="IndexLink"/>
              </w:rPr>
              <w:t>37</w:t>
            </w:r>
          </w:hyperlink>
        </w:p>
        <w:p>
          <w:pPr>
            <w:pStyle w:val="Contents3"/>
            <w:tabs>
              <w:tab w:val="clear" w:pos="8459"/>
              <w:tab w:val="right" w:pos="9026" w:leader="dot"/>
            </w:tabs>
            <w:rPr/>
          </w:pPr>
          <w:hyperlink w:anchor="__RefHeading___Toc6320820_105122903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6320822_1051229030">
            <w:r>
              <w:rPr>
                <w:webHidden/>
                <w:rStyle w:val="IndexLink"/>
                <w:rtl w:val="true"/>
              </w:rPr>
              <w:t xml:space="preserve">في ثلاثة مطالب </w:t>
            </w:r>
            <w:r>
              <w:rPr>
                <w:rStyle w:val="IndexLink"/>
                <w:rtl w:val="true"/>
              </w:rPr>
              <w:t>:</w:t>
              <w:tab/>
            </w:r>
            <w:r>
              <w:rPr>
                <w:rStyle w:val="IndexLink"/>
              </w:rPr>
              <w:t>37</w:t>
            </w:r>
          </w:hyperlink>
        </w:p>
        <w:p>
          <w:pPr>
            <w:pStyle w:val="Contents2"/>
            <w:tabs>
              <w:tab w:val="clear" w:pos="8743"/>
              <w:tab w:val="right" w:pos="9026" w:leader="dot"/>
            </w:tabs>
            <w:rPr/>
          </w:pPr>
          <w:hyperlink w:anchor="__RefHeading___Toc6320824_1051229030">
            <w:r>
              <w:rPr>
                <w:webHidden/>
                <w:rStyle w:val="IndexLink"/>
                <w:rtl w:val="true"/>
              </w:rPr>
              <w:t xml:space="preserve">[ </w:t>
            </w:r>
            <w:r>
              <w:rPr>
                <w:rStyle w:val="IndexLink"/>
                <w:rtl w:val="true"/>
              </w:rPr>
              <w:t xml:space="preserve">المطلب الأوّل </w:t>
            </w:r>
            <w:r>
              <w:rPr>
                <w:rStyle w:val="IndexLink"/>
                <w:rtl w:val="true"/>
              </w:rPr>
              <w:t xml:space="preserve">: </w:t>
            </w:r>
            <w:r>
              <w:rPr>
                <w:rStyle w:val="IndexLink"/>
                <w:rtl w:val="true"/>
              </w:rPr>
              <w:t xml:space="preserve">في كلمات العلماء في العصير العنبيّ </w:t>
            </w:r>
            <w:r>
              <w:rPr>
                <w:rStyle w:val="IndexLink"/>
                <w:rtl w:val="true"/>
              </w:rPr>
              <w:t>]</w:t>
              <w:tab/>
            </w:r>
            <w:r>
              <w:rPr>
                <w:rStyle w:val="IndexLink"/>
              </w:rPr>
              <w:t>37</w:t>
            </w:r>
          </w:hyperlink>
        </w:p>
        <w:p>
          <w:pPr>
            <w:pStyle w:val="Contents3"/>
            <w:tabs>
              <w:tab w:val="clear" w:pos="8459"/>
              <w:tab w:val="right" w:pos="9026" w:leader="dot"/>
            </w:tabs>
            <w:rPr/>
          </w:pPr>
          <w:hyperlink w:anchor="__RefHeading___Toc6320826_105122903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6320828_1051229030">
            <w:r>
              <w:rPr>
                <w:webHidden/>
                <w:rStyle w:val="IndexLink"/>
                <w:rtl w:val="true"/>
              </w:rPr>
              <w:t>تنبيه</w:t>
            </w:r>
            <w:r>
              <w:rPr>
                <w:rStyle w:val="IndexLink"/>
                <w:rtl w:val="true"/>
              </w:rPr>
              <w:tab/>
            </w:r>
            <w:r>
              <w:rPr>
                <w:rStyle w:val="IndexLink"/>
              </w:rPr>
              <w:t>41</w:t>
            </w:r>
          </w:hyperlink>
        </w:p>
        <w:p>
          <w:pPr>
            <w:pStyle w:val="Contents2"/>
            <w:tabs>
              <w:tab w:val="clear" w:pos="8743"/>
              <w:tab w:val="right" w:pos="9026" w:leader="dot"/>
            </w:tabs>
            <w:rPr/>
          </w:pPr>
          <w:hyperlink w:anchor="__RefHeading___Toc6320830_1051229030">
            <w:r>
              <w:rPr>
                <w:webHidden/>
                <w:rStyle w:val="IndexLink"/>
                <w:rtl w:val="true"/>
              </w:rPr>
              <w:t xml:space="preserve">المطلب الثاني </w:t>
            </w:r>
            <w:r>
              <w:rPr>
                <w:rStyle w:val="IndexLink"/>
                <w:rtl w:val="true"/>
              </w:rPr>
              <w:t xml:space="preserve">: </w:t>
            </w:r>
            <w:r>
              <w:rPr>
                <w:rStyle w:val="IndexLink"/>
                <w:rtl w:val="true"/>
              </w:rPr>
              <w:t>في تحقيق ما استفيد من كلمات الأعلام</w:t>
            </w:r>
            <w:r>
              <w:rPr>
                <w:rStyle w:val="IndexLink"/>
                <w:rtl w:val="true"/>
              </w:rPr>
              <w:tab/>
            </w:r>
            <w:r>
              <w:rPr>
                <w:rStyle w:val="IndexLink"/>
              </w:rPr>
              <w:t>85</w:t>
            </w:r>
          </w:hyperlink>
        </w:p>
        <w:p>
          <w:pPr>
            <w:pStyle w:val="Contents3"/>
            <w:tabs>
              <w:tab w:val="clear" w:pos="8459"/>
              <w:tab w:val="right" w:pos="9026" w:leader="dot"/>
            </w:tabs>
            <w:rPr/>
          </w:pPr>
          <w:hyperlink w:anchor="__RefHeading___Toc6320832_105122903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6320834_1051229030">
            <w:r>
              <w:rPr>
                <w:webHidden/>
                <w:rStyle w:val="IndexLink"/>
                <w:rtl w:val="true"/>
              </w:rPr>
              <w:t xml:space="preserve">و هو أمور </w:t>
            </w:r>
            <w:r>
              <w:rPr>
                <w:rStyle w:val="IndexLink"/>
                <w:rtl w:val="true"/>
              </w:rPr>
              <w:t>:</w:t>
              <w:tab/>
            </w:r>
            <w:r>
              <w:rPr>
                <w:rStyle w:val="IndexLink"/>
              </w:rPr>
              <w:t>85</w:t>
            </w:r>
          </w:hyperlink>
        </w:p>
        <w:p>
          <w:pPr>
            <w:pStyle w:val="Contents2"/>
            <w:tabs>
              <w:tab w:val="clear" w:pos="8743"/>
              <w:tab w:val="right" w:pos="9026" w:leader="dot"/>
            </w:tabs>
            <w:rPr/>
          </w:pPr>
          <w:hyperlink w:anchor="__RefHeading___Toc6320836_1051229030">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حرمة العصير بعد الغليان</w:t>
            </w:r>
            <w:r>
              <w:rPr>
                <w:rStyle w:val="IndexLink"/>
                <w:rtl w:val="true"/>
              </w:rPr>
              <w:tab/>
            </w:r>
            <w:r>
              <w:rPr>
                <w:rStyle w:val="IndexLink"/>
              </w:rPr>
              <w:t>85</w:t>
            </w:r>
          </w:hyperlink>
        </w:p>
        <w:p>
          <w:pPr>
            <w:pStyle w:val="Contents3"/>
            <w:tabs>
              <w:tab w:val="clear" w:pos="8459"/>
              <w:tab w:val="right" w:pos="9026" w:leader="dot"/>
            </w:tabs>
            <w:rPr/>
          </w:pPr>
          <w:hyperlink w:anchor="__RefHeading___Toc6320838_1051229030">
            <w:r>
              <w:rPr>
                <w:webHidden/>
                <w:rStyle w:val="IndexLink"/>
                <w:rtl w:val="true"/>
              </w:rPr>
              <w:t xml:space="preserve">[ </w:t>
            </w:r>
            <w:r>
              <w:rPr>
                <w:rStyle w:val="IndexLink"/>
                <w:rtl w:val="true"/>
              </w:rPr>
              <w:t xml:space="preserve">ذكر القائلين بعدم الحرمة </w:t>
            </w:r>
            <w:r>
              <w:rPr>
                <w:rStyle w:val="IndexLink"/>
                <w:rtl w:val="true"/>
              </w:rPr>
              <w:t>]</w:t>
              <w:tab/>
            </w:r>
            <w:r>
              <w:rPr>
                <w:rStyle w:val="IndexLink"/>
              </w:rPr>
              <w:t>85</w:t>
            </w:r>
          </w:hyperlink>
        </w:p>
        <w:p>
          <w:pPr>
            <w:pStyle w:val="Contents3"/>
            <w:tabs>
              <w:tab w:val="clear" w:pos="8459"/>
              <w:tab w:val="right" w:pos="9026" w:leader="dot"/>
            </w:tabs>
            <w:rPr/>
          </w:pPr>
          <w:hyperlink w:anchor="__RefHeading___Toc6320840_1051229030">
            <w:r>
              <w:rPr>
                <w:webHidden/>
                <w:rStyle w:val="IndexLink"/>
                <w:rtl w:val="true"/>
              </w:rPr>
              <w:t xml:space="preserve">[ </w:t>
            </w:r>
            <w:r>
              <w:rPr>
                <w:rStyle w:val="IndexLink"/>
                <w:rtl w:val="true"/>
              </w:rPr>
              <w:t xml:space="preserve">مستند القائلين بالحرمة </w:t>
            </w:r>
            <w:r>
              <w:rPr>
                <w:rStyle w:val="IndexLink"/>
                <w:rtl w:val="true"/>
              </w:rPr>
              <w:t>]</w:t>
              <w:tab/>
            </w:r>
            <w:r>
              <w:rPr>
                <w:rStyle w:val="IndexLink"/>
              </w:rPr>
              <w:t>89</w:t>
            </w:r>
          </w:hyperlink>
        </w:p>
        <w:p>
          <w:pPr>
            <w:pStyle w:val="Contents3"/>
            <w:tabs>
              <w:tab w:val="clear" w:pos="8459"/>
              <w:tab w:val="right" w:pos="9026" w:leader="dot"/>
            </w:tabs>
            <w:rPr/>
          </w:pPr>
          <w:hyperlink w:anchor="__RefHeading___Toc6320842_1051229030">
            <w:r>
              <w:rPr>
                <w:webHidden/>
                <w:rStyle w:val="IndexLink"/>
                <w:rtl w:val="true"/>
              </w:rPr>
              <w:t xml:space="preserve">[ </w:t>
            </w:r>
            <w:r>
              <w:rPr>
                <w:rStyle w:val="IndexLink"/>
                <w:rtl w:val="true"/>
              </w:rPr>
              <w:t xml:space="preserve">بيان لغة </w:t>
            </w:r>
            <w:r>
              <w:rPr>
                <w:rStyle w:val="IndexLink"/>
                <w:rtl w:val="true"/>
              </w:rPr>
              <w:t>]</w:t>
              <w:tab/>
            </w:r>
            <w:r>
              <w:rPr>
                <w:rStyle w:val="IndexLink"/>
              </w:rPr>
              <w:t>91</w:t>
            </w:r>
          </w:hyperlink>
        </w:p>
        <w:p>
          <w:pPr>
            <w:pStyle w:val="Contents3"/>
            <w:tabs>
              <w:tab w:val="clear" w:pos="8459"/>
              <w:tab w:val="right" w:pos="9026" w:leader="dot"/>
            </w:tabs>
            <w:rPr/>
          </w:pPr>
          <w:hyperlink w:anchor="__RefHeading___Toc6320844_1051229030">
            <w:r>
              <w:rPr>
                <w:webHidden/>
                <w:rStyle w:val="IndexLink"/>
                <w:rtl w:val="true"/>
              </w:rPr>
              <w:t>بيانٌ و تفسيرٌ</w:t>
            </w:r>
            <w:r>
              <w:rPr>
                <w:rStyle w:val="IndexLink"/>
                <w:rtl w:val="true"/>
              </w:rPr>
              <w:tab/>
            </w:r>
            <w:r>
              <w:rPr>
                <w:rStyle w:val="IndexLink"/>
              </w:rPr>
              <w:t>94</w:t>
            </w:r>
          </w:hyperlink>
        </w:p>
        <w:p>
          <w:pPr>
            <w:pStyle w:val="Contents3"/>
            <w:tabs>
              <w:tab w:val="clear" w:pos="8459"/>
              <w:tab w:val="right" w:pos="9026" w:leader="dot"/>
            </w:tabs>
            <w:rPr/>
          </w:pPr>
          <w:hyperlink w:anchor="__RefHeading___Toc6320846_1051229030">
            <w:r>
              <w:rPr>
                <w:webHidden/>
                <w:rStyle w:val="IndexLink"/>
                <w:rtl w:val="true"/>
              </w:rPr>
              <w:t>تنبيه</w:t>
            </w:r>
            <w:r>
              <w:rPr>
                <w:rStyle w:val="IndexLink"/>
                <w:rtl w:val="true"/>
              </w:rPr>
              <w:tab/>
            </w:r>
            <w:r>
              <w:rPr>
                <w:rStyle w:val="IndexLink"/>
              </w:rPr>
              <w:t>96</w:t>
            </w:r>
          </w:hyperlink>
        </w:p>
        <w:p>
          <w:pPr>
            <w:pStyle w:val="Contents2"/>
            <w:tabs>
              <w:tab w:val="clear" w:pos="8743"/>
              <w:tab w:val="right" w:pos="9026" w:leader="dot"/>
            </w:tabs>
            <w:rPr/>
          </w:pPr>
          <w:hyperlink w:anchor="__RefHeading___Toc6320848_1051229030">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الثاني </w:t>
            </w:r>
            <w:r>
              <w:rPr>
                <w:rStyle w:val="IndexLink"/>
                <w:rtl w:val="true"/>
              </w:rPr>
              <w:t>:</w:t>
            </w:r>
            <w:r>
              <w:rPr>
                <w:rStyle w:val="IndexLink"/>
                <w:rtl w:val="true"/>
              </w:rPr>
              <w:t>في نجاسة العصير بعد الغليان قبل أن يذهب و عدمها</w:t>
            </w:r>
            <w:r>
              <w:rPr>
                <w:rStyle w:val="IndexLink"/>
                <w:rtl w:val="true"/>
              </w:rPr>
              <w:tab/>
            </w:r>
            <w:r>
              <w:rPr>
                <w:rStyle w:val="IndexLink"/>
              </w:rPr>
              <w:t>99</w:t>
            </w:r>
          </w:hyperlink>
        </w:p>
        <w:p>
          <w:pPr>
            <w:pStyle w:val="Contents3"/>
            <w:tabs>
              <w:tab w:val="clear" w:pos="8459"/>
              <w:tab w:val="right" w:pos="9026" w:leader="dot"/>
            </w:tabs>
            <w:rPr/>
          </w:pPr>
          <w:hyperlink w:anchor="__RefHeading___Toc6320850_1051229030">
            <w:r>
              <w:rPr>
                <w:webHidden/>
                <w:rStyle w:val="IndexLink"/>
                <w:rtl w:val="true"/>
              </w:rPr>
              <w:t xml:space="preserve">[ </w:t>
            </w:r>
            <w:r>
              <w:rPr>
                <w:rStyle w:val="IndexLink"/>
                <w:rtl w:val="true"/>
              </w:rPr>
              <w:t xml:space="preserve">القائلون بالنجاسة </w:t>
            </w:r>
            <w:r>
              <w:rPr>
                <w:rStyle w:val="IndexLink"/>
                <w:rtl w:val="true"/>
              </w:rPr>
              <w:t>]</w:t>
              <w:tab/>
            </w:r>
            <w:r>
              <w:rPr>
                <w:rStyle w:val="IndexLink"/>
              </w:rPr>
              <w:t>99</w:t>
            </w:r>
          </w:hyperlink>
        </w:p>
        <w:p>
          <w:pPr>
            <w:pStyle w:val="Contents3"/>
            <w:tabs>
              <w:tab w:val="clear" w:pos="8459"/>
              <w:tab w:val="right" w:pos="9026" w:leader="dot"/>
            </w:tabs>
            <w:rPr/>
          </w:pPr>
          <w:hyperlink w:anchor="__RefHeading___Toc6320852_1051229030">
            <w:r>
              <w:rPr>
                <w:webHidden/>
                <w:rStyle w:val="IndexLink"/>
                <w:rtl w:val="true"/>
              </w:rPr>
              <w:t xml:space="preserve">[ </w:t>
            </w:r>
            <w:r>
              <w:rPr>
                <w:rStyle w:val="IndexLink"/>
                <w:rtl w:val="true"/>
              </w:rPr>
              <w:t xml:space="preserve">القائلون بالطهارة </w:t>
            </w:r>
            <w:r>
              <w:rPr>
                <w:rStyle w:val="IndexLink"/>
                <w:rtl w:val="true"/>
              </w:rPr>
              <w:t>]</w:t>
              <w:tab/>
            </w:r>
            <w:r>
              <w:rPr>
                <w:rStyle w:val="IndexLink"/>
              </w:rPr>
              <w:t>102</w:t>
            </w:r>
          </w:hyperlink>
        </w:p>
        <w:p>
          <w:pPr>
            <w:pStyle w:val="Contents3"/>
            <w:tabs>
              <w:tab w:val="clear" w:pos="8459"/>
              <w:tab w:val="right" w:pos="9026" w:leader="dot"/>
            </w:tabs>
            <w:rPr/>
          </w:pPr>
          <w:hyperlink w:anchor="__RefHeading___Toc6320854_1051229030">
            <w:r>
              <w:rPr>
                <w:webHidden/>
                <w:rStyle w:val="IndexLink"/>
                <w:rtl w:val="true"/>
              </w:rPr>
              <w:t xml:space="preserve">[ </w:t>
            </w:r>
            <w:r>
              <w:rPr>
                <w:rStyle w:val="IndexLink"/>
                <w:rtl w:val="true"/>
              </w:rPr>
              <w:t xml:space="preserve">نقل عبارات العلماء </w:t>
            </w:r>
            <w:r>
              <w:rPr>
                <w:rStyle w:val="IndexLink"/>
                <w:rtl w:val="true"/>
              </w:rPr>
              <w:t>]</w:t>
              <w:tab/>
            </w:r>
            <w:r>
              <w:rPr>
                <w:rStyle w:val="IndexLink"/>
              </w:rPr>
              <w:t>102</w:t>
            </w:r>
          </w:hyperlink>
        </w:p>
        <w:p>
          <w:pPr>
            <w:pStyle w:val="Contents3"/>
            <w:tabs>
              <w:tab w:val="clear" w:pos="8459"/>
              <w:tab w:val="right" w:pos="9026" w:leader="dot"/>
            </w:tabs>
            <w:rPr/>
          </w:pPr>
          <w:hyperlink w:anchor="__RefHeading___Toc6320856_1051229030">
            <w:r>
              <w:rPr>
                <w:webHidden/>
                <w:rStyle w:val="IndexLink"/>
                <w:rtl w:val="true"/>
              </w:rPr>
              <w:t xml:space="preserve">[ </w:t>
            </w:r>
            <w:r>
              <w:rPr>
                <w:rStyle w:val="IndexLink"/>
                <w:rtl w:val="true"/>
              </w:rPr>
              <w:t xml:space="preserve">مستند القائلين بنجاسة العصير بعد الغليان </w:t>
            </w:r>
            <w:r>
              <w:rPr>
                <w:rStyle w:val="IndexLink"/>
                <w:rtl w:val="true"/>
              </w:rPr>
              <w:t>]</w:t>
              <w:tab/>
            </w:r>
            <w:r>
              <w:rPr>
                <w:rStyle w:val="IndexLink"/>
              </w:rPr>
              <w:t>111</w:t>
            </w:r>
          </w:hyperlink>
        </w:p>
        <w:p>
          <w:pPr>
            <w:pStyle w:val="Contents3"/>
            <w:tabs>
              <w:tab w:val="clear" w:pos="8459"/>
              <w:tab w:val="right" w:pos="9026" w:leader="dot"/>
            </w:tabs>
            <w:rPr/>
          </w:pPr>
          <w:hyperlink w:anchor="__RefHeading___Toc6320858_1051229030">
            <w:r>
              <w:rPr>
                <w:webHidden/>
                <w:rStyle w:val="IndexLink"/>
                <w:rtl w:val="true"/>
              </w:rPr>
              <w:t xml:space="preserve">[ </w:t>
            </w:r>
            <w:r>
              <w:rPr>
                <w:rStyle w:val="IndexLink"/>
                <w:rtl w:val="true"/>
              </w:rPr>
              <w:t xml:space="preserve">الكلام في سند الحديث </w:t>
            </w:r>
            <w:r>
              <w:rPr>
                <w:rStyle w:val="IndexLink"/>
                <w:rtl w:val="true"/>
              </w:rPr>
              <w:t>]</w:t>
              <w:tab/>
            </w:r>
            <w:r>
              <w:rPr>
                <w:rStyle w:val="IndexLink"/>
              </w:rPr>
              <w:t>116</w:t>
            </w:r>
          </w:hyperlink>
        </w:p>
        <w:p>
          <w:pPr>
            <w:pStyle w:val="Contents4"/>
            <w:tabs>
              <w:tab w:val="clear" w:pos="8176"/>
              <w:tab w:val="right" w:pos="9026" w:leader="dot"/>
            </w:tabs>
            <w:rPr/>
          </w:pPr>
          <w:hyperlink w:anchor="__RefHeading___Toc6320860_1051229030">
            <w:r>
              <w:rPr>
                <w:webHidden/>
                <w:rStyle w:val="IndexLink"/>
                <w:rtl w:val="true"/>
              </w:rPr>
              <w:t xml:space="preserve">[ </w:t>
            </w:r>
            <w:r>
              <w:rPr>
                <w:rStyle w:val="IndexLink"/>
                <w:rtl w:val="true"/>
              </w:rPr>
              <w:t xml:space="preserve">تحقيق الحال في الحسن بن عطيّة </w:t>
            </w:r>
            <w:r>
              <w:rPr>
                <w:rStyle w:val="IndexLink"/>
                <w:rtl w:val="true"/>
              </w:rPr>
              <w:t>]</w:t>
              <w:tab/>
            </w:r>
            <w:r>
              <w:rPr>
                <w:rStyle w:val="IndexLink"/>
              </w:rPr>
              <w:t>116</w:t>
            </w:r>
          </w:hyperlink>
        </w:p>
        <w:p>
          <w:pPr>
            <w:pStyle w:val="Contents4"/>
            <w:tabs>
              <w:tab w:val="clear" w:pos="8176"/>
              <w:tab w:val="right" w:pos="9026" w:leader="dot"/>
            </w:tabs>
            <w:rPr/>
          </w:pPr>
          <w:hyperlink w:anchor="__RefHeading___Toc6320862_1051229030">
            <w:r>
              <w:rPr>
                <w:webHidden/>
                <w:rStyle w:val="IndexLink"/>
                <w:rtl w:val="true"/>
              </w:rPr>
              <w:t xml:space="preserve">[ </w:t>
            </w:r>
            <w:r>
              <w:rPr>
                <w:rStyle w:val="IndexLink"/>
                <w:rtl w:val="true"/>
              </w:rPr>
              <w:t xml:space="preserve">تحقيق الحال في عمر بن يزيد </w:t>
            </w:r>
            <w:r>
              <w:rPr>
                <w:rStyle w:val="IndexLink"/>
                <w:rtl w:val="true"/>
              </w:rPr>
              <w:t>]</w:t>
              <w:tab/>
            </w:r>
            <w:r>
              <w:rPr>
                <w:rStyle w:val="IndexLink"/>
              </w:rPr>
              <w:t>124</w:t>
            </w:r>
          </w:hyperlink>
        </w:p>
        <w:p>
          <w:pPr>
            <w:pStyle w:val="Contents3"/>
            <w:tabs>
              <w:tab w:val="clear" w:pos="8459"/>
              <w:tab w:val="right" w:pos="9026" w:leader="dot"/>
            </w:tabs>
            <w:rPr/>
          </w:pPr>
          <w:hyperlink w:anchor="__RefHeading___Toc6320864_1051229030">
            <w:r>
              <w:rPr>
                <w:webHidden/>
                <w:rStyle w:val="IndexLink"/>
                <w:rtl w:val="true"/>
              </w:rPr>
              <w:t xml:space="preserve">[ </w:t>
            </w:r>
            <w:r>
              <w:rPr>
                <w:rStyle w:val="IndexLink"/>
                <w:rtl w:val="true"/>
              </w:rPr>
              <w:t xml:space="preserve">الكلام في دلالة الحديث </w:t>
            </w:r>
            <w:r>
              <w:rPr>
                <w:rStyle w:val="IndexLink"/>
                <w:rtl w:val="true"/>
              </w:rPr>
              <w:t>]</w:t>
              <w:tab/>
            </w:r>
            <w:r>
              <w:rPr>
                <w:rStyle w:val="IndexLink"/>
              </w:rPr>
              <w:t>130</w:t>
            </w:r>
          </w:hyperlink>
        </w:p>
        <w:p>
          <w:pPr>
            <w:pStyle w:val="Contents3"/>
            <w:tabs>
              <w:tab w:val="clear" w:pos="8459"/>
              <w:tab w:val="right" w:pos="9026" w:leader="dot"/>
            </w:tabs>
            <w:rPr/>
          </w:pPr>
          <w:hyperlink w:anchor="__RefHeading___Toc6320866_1051229030">
            <w:r>
              <w:rPr>
                <w:webHidden/>
                <w:rStyle w:val="IndexLink"/>
                <w:rtl w:val="true"/>
              </w:rPr>
              <w:t xml:space="preserve">[ </w:t>
            </w:r>
            <w:r>
              <w:rPr>
                <w:rStyle w:val="IndexLink"/>
                <w:rtl w:val="true"/>
              </w:rPr>
              <w:t xml:space="preserve">تحقيق الحال في الاختلافات الظاهرة من‌العبارات السالفة </w:t>
            </w:r>
            <w:r>
              <w:rPr>
                <w:rStyle w:val="IndexLink"/>
                <w:rtl w:val="true"/>
              </w:rPr>
              <w:t>]</w:t>
              <w:tab/>
            </w:r>
            <w:r>
              <w:rPr>
                <w:rStyle w:val="IndexLink"/>
              </w:rPr>
              <w:t>132</w:t>
            </w:r>
          </w:hyperlink>
        </w:p>
        <w:p>
          <w:pPr>
            <w:pStyle w:val="Contents4"/>
            <w:tabs>
              <w:tab w:val="clear" w:pos="8176"/>
              <w:tab w:val="right" w:pos="9026" w:leader="dot"/>
            </w:tabs>
            <w:rPr/>
          </w:pPr>
          <w:hyperlink w:anchor="__RefHeading___Toc6320868_105122903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6320870_1051229030">
            <w:r>
              <w:rPr>
                <w:webHidden/>
                <w:rStyle w:val="IndexLink"/>
                <w:rtl w:val="true"/>
              </w:rPr>
              <w:t xml:space="preserve">[ </w:t>
            </w:r>
            <w:r>
              <w:rPr>
                <w:rStyle w:val="IndexLink"/>
                <w:rtl w:val="true"/>
              </w:rPr>
              <w:t xml:space="preserve">القول الأوّل </w:t>
            </w:r>
            <w:r>
              <w:rPr>
                <w:rStyle w:val="IndexLink"/>
                <w:rtl w:val="true"/>
              </w:rPr>
              <w:t>]</w:t>
              <w:tab/>
            </w:r>
            <w:r>
              <w:rPr>
                <w:rStyle w:val="IndexLink"/>
              </w:rPr>
              <w:t>132</w:t>
            </w:r>
          </w:hyperlink>
        </w:p>
        <w:p>
          <w:pPr>
            <w:pStyle w:val="Contents4"/>
            <w:tabs>
              <w:tab w:val="clear" w:pos="8176"/>
              <w:tab w:val="right" w:pos="9026" w:leader="dot"/>
            </w:tabs>
            <w:rPr/>
          </w:pPr>
          <w:hyperlink w:anchor="__RefHeading___Toc6320872_1051229030">
            <w:r>
              <w:rPr>
                <w:webHidden/>
                <w:rStyle w:val="IndexLink"/>
                <w:rtl w:val="true"/>
              </w:rPr>
              <w:t xml:space="preserve">[ </w:t>
            </w:r>
            <w:r>
              <w:rPr>
                <w:rStyle w:val="IndexLink"/>
                <w:rtl w:val="true"/>
              </w:rPr>
              <w:t xml:space="preserve">القول الثاني </w:t>
            </w:r>
            <w:r>
              <w:rPr>
                <w:rStyle w:val="IndexLink"/>
                <w:rtl w:val="true"/>
              </w:rPr>
              <w:t>]</w:t>
              <w:tab/>
            </w:r>
            <w:r>
              <w:rPr>
                <w:rStyle w:val="IndexLink"/>
              </w:rPr>
              <w:t>134</w:t>
            </w:r>
          </w:hyperlink>
        </w:p>
        <w:p>
          <w:pPr>
            <w:pStyle w:val="Contents3"/>
            <w:tabs>
              <w:tab w:val="clear" w:pos="8459"/>
              <w:tab w:val="right" w:pos="9026" w:leader="dot"/>
            </w:tabs>
            <w:rPr/>
          </w:pPr>
          <w:hyperlink w:anchor="__RefHeading___Toc6320874_1051229030">
            <w:r>
              <w:rPr>
                <w:webHidden/>
                <w:rStyle w:val="IndexLink"/>
                <w:rtl w:val="true"/>
              </w:rPr>
              <w:t xml:space="preserve">[ </w:t>
            </w:r>
            <w:r>
              <w:rPr>
                <w:rStyle w:val="IndexLink"/>
                <w:rtl w:val="true"/>
              </w:rPr>
              <w:t xml:space="preserve">هنا دعويان </w:t>
            </w:r>
            <w:r>
              <w:rPr>
                <w:rStyle w:val="IndexLink"/>
                <w:rtl w:val="true"/>
              </w:rPr>
              <w:t>]</w:t>
              <w:tab/>
            </w:r>
            <w:r>
              <w:rPr>
                <w:rStyle w:val="IndexLink"/>
              </w:rPr>
              <w:t>139</w:t>
            </w:r>
          </w:hyperlink>
        </w:p>
        <w:p>
          <w:pPr>
            <w:pStyle w:val="Contents3"/>
            <w:tabs>
              <w:tab w:val="clear" w:pos="8459"/>
              <w:tab w:val="right" w:pos="9026" w:leader="dot"/>
            </w:tabs>
            <w:rPr/>
          </w:pPr>
          <w:hyperlink w:anchor="__RefHeading___Toc6320876_1051229030">
            <w:r>
              <w:rPr>
                <w:webHidden/>
                <w:rStyle w:val="IndexLink"/>
                <w:rtl w:val="true"/>
              </w:rPr>
              <w:t xml:space="preserve">[ </w:t>
            </w:r>
            <w:r>
              <w:rPr>
                <w:rStyle w:val="IndexLink"/>
                <w:rtl w:val="true"/>
              </w:rPr>
              <w:t xml:space="preserve">الدعوى الأولى </w:t>
            </w:r>
            <w:r>
              <w:rPr>
                <w:rStyle w:val="IndexLink"/>
                <w:rtl w:val="true"/>
              </w:rPr>
              <w:t xml:space="preserve">: </w:t>
            </w:r>
            <w:r>
              <w:rPr>
                <w:rStyle w:val="IndexLink"/>
                <w:rtl w:val="true"/>
              </w:rPr>
              <w:t xml:space="preserve">عدم نجاسة العصير بمجرّد الغليان </w:t>
            </w:r>
            <w:r>
              <w:rPr>
                <w:rStyle w:val="IndexLink"/>
                <w:rtl w:val="true"/>
              </w:rPr>
              <w:t>]</w:t>
              <w:tab/>
            </w:r>
            <w:r>
              <w:rPr>
                <w:rStyle w:val="IndexLink"/>
              </w:rPr>
              <w:t>139</w:t>
            </w:r>
          </w:hyperlink>
        </w:p>
        <w:p>
          <w:pPr>
            <w:pStyle w:val="Contents3"/>
            <w:tabs>
              <w:tab w:val="clear" w:pos="8459"/>
              <w:tab w:val="right" w:pos="9026" w:leader="dot"/>
            </w:tabs>
            <w:rPr/>
          </w:pPr>
          <w:hyperlink w:anchor="__RefHeading___Toc6320878_1051229030">
            <w:r>
              <w:rPr>
                <w:webHidden/>
                <w:rStyle w:val="IndexLink"/>
                <w:rtl w:val="true"/>
              </w:rPr>
              <w:t xml:space="preserve">[ </w:t>
            </w:r>
            <w:r>
              <w:rPr>
                <w:rStyle w:val="IndexLink"/>
                <w:rtl w:val="true"/>
              </w:rPr>
              <w:t xml:space="preserve">الدعوى الثانية </w:t>
            </w:r>
            <w:r>
              <w:rPr>
                <w:rStyle w:val="IndexLink"/>
                <w:rtl w:val="true"/>
              </w:rPr>
              <w:t xml:space="preserve">: </w:t>
            </w:r>
            <w:r>
              <w:rPr>
                <w:rStyle w:val="IndexLink"/>
                <w:rtl w:val="true"/>
              </w:rPr>
              <w:t xml:space="preserve">نجاسة العصير بالاشتداد </w:t>
            </w:r>
            <w:r>
              <w:rPr>
                <w:rStyle w:val="IndexLink"/>
                <w:rtl w:val="true"/>
              </w:rPr>
              <w:t>]</w:t>
              <w:tab/>
            </w:r>
            <w:r>
              <w:rPr>
                <w:rStyle w:val="IndexLink"/>
              </w:rPr>
              <w:t>139</w:t>
            </w:r>
          </w:hyperlink>
        </w:p>
        <w:p>
          <w:pPr>
            <w:pStyle w:val="Contents3"/>
            <w:tabs>
              <w:tab w:val="clear" w:pos="8459"/>
              <w:tab w:val="right" w:pos="9026" w:leader="dot"/>
            </w:tabs>
            <w:rPr/>
          </w:pPr>
          <w:hyperlink w:anchor="__RefHeading___Toc6320880_1051229030">
            <w:r>
              <w:rPr>
                <w:webHidden/>
                <w:rStyle w:val="IndexLink"/>
                <w:rtl w:val="true"/>
              </w:rPr>
              <w:t xml:space="preserve">[ </w:t>
            </w:r>
            <w:r>
              <w:rPr>
                <w:rStyle w:val="IndexLink"/>
                <w:rtl w:val="true"/>
              </w:rPr>
              <w:t xml:space="preserve">الدليل على الدعوى الأولى و هي </w:t>
            </w:r>
            <w:r>
              <w:rPr>
                <w:rStyle w:val="IndexLink"/>
                <w:rtl w:val="true"/>
              </w:rPr>
              <w:t xml:space="preserve">: </w:t>
            </w:r>
            <w:r>
              <w:rPr>
                <w:rStyle w:val="IndexLink"/>
                <w:rtl w:val="true"/>
              </w:rPr>
              <w:t xml:space="preserve">عدم نجاسة العصير بمجرّد الغليان </w:t>
            </w:r>
            <w:r>
              <w:rPr>
                <w:rStyle w:val="IndexLink"/>
                <w:rtl w:val="true"/>
              </w:rPr>
              <w:t>]</w:t>
              <w:tab/>
            </w:r>
            <w:r>
              <w:rPr>
                <w:rStyle w:val="IndexLink"/>
              </w:rPr>
              <w:t>139</w:t>
            </w:r>
          </w:hyperlink>
        </w:p>
        <w:p>
          <w:pPr>
            <w:pStyle w:val="Contents3"/>
            <w:tabs>
              <w:tab w:val="clear" w:pos="8459"/>
              <w:tab w:val="right" w:pos="9026" w:leader="dot"/>
            </w:tabs>
            <w:rPr/>
          </w:pPr>
          <w:hyperlink w:anchor="__RefHeading___Toc6320882_1051229030">
            <w:r>
              <w:rPr>
                <w:webHidden/>
                <w:rStyle w:val="IndexLink"/>
                <w:rtl w:val="true"/>
              </w:rPr>
              <w:t xml:space="preserve">[ </w:t>
            </w:r>
            <w:r>
              <w:rPr>
                <w:rStyle w:val="IndexLink"/>
                <w:rtl w:val="true"/>
              </w:rPr>
              <w:t xml:space="preserve">الدليل على الدعوى الثانية </w:t>
            </w:r>
            <w:r>
              <w:rPr>
                <w:rStyle w:val="IndexLink"/>
                <w:rtl w:val="true"/>
              </w:rPr>
              <w:t>]</w:t>
              <w:tab/>
            </w:r>
            <w:r>
              <w:rPr>
                <w:rStyle w:val="IndexLink"/>
              </w:rPr>
              <w:t>142</w:t>
            </w:r>
          </w:hyperlink>
        </w:p>
        <w:p>
          <w:pPr>
            <w:pStyle w:val="Contents3"/>
            <w:tabs>
              <w:tab w:val="clear" w:pos="8459"/>
              <w:tab w:val="right" w:pos="9026" w:leader="dot"/>
            </w:tabs>
            <w:rPr/>
          </w:pPr>
          <w:hyperlink w:anchor="__RefHeading___Toc6320884_1051229030">
            <w:r>
              <w:rPr>
                <w:webHidden/>
                <w:rStyle w:val="IndexLink"/>
                <w:rtl w:val="true"/>
              </w:rPr>
              <w:t xml:space="preserve">[ </w:t>
            </w:r>
            <w:r>
              <w:rPr>
                <w:rStyle w:val="IndexLink"/>
                <w:rtl w:val="true"/>
              </w:rPr>
              <w:t xml:space="preserve">التنبيه على أمرين </w:t>
            </w:r>
            <w:r>
              <w:rPr>
                <w:rStyle w:val="IndexLink"/>
                <w:rtl w:val="true"/>
              </w:rPr>
              <w:t>]</w:t>
              <w:tab/>
            </w:r>
            <w:r>
              <w:rPr>
                <w:rStyle w:val="IndexLink"/>
              </w:rPr>
              <w:t>155</w:t>
            </w:r>
          </w:hyperlink>
        </w:p>
        <w:p>
          <w:pPr>
            <w:pStyle w:val="Contents2"/>
            <w:tabs>
              <w:tab w:val="clear" w:pos="8743"/>
              <w:tab w:val="right" w:pos="9026" w:leader="dot"/>
            </w:tabs>
            <w:rPr/>
          </w:pPr>
          <w:hyperlink w:anchor="__RefHeading___Toc6320886_1051229030">
            <w:r>
              <w:rPr>
                <w:webHidden/>
                <w:rStyle w:val="IndexLink"/>
                <w:rtl w:val="true"/>
              </w:rPr>
              <w:t xml:space="preserve">[ </w:t>
            </w:r>
            <w:r>
              <w:rPr>
                <w:rStyle w:val="IndexLink"/>
                <w:rtl w:val="true"/>
              </w:rPr>
              <w:t xml:space="preserve">الأمر الأوّل </w:t>
            </w:r>
            <w:r>
              <w:rPr>
                <w:rStyle w:val="IndexLink"/>
                <w:rtl w:val="true"/>
              </w:rPr>
              <w:t xml:space="preserve">: </w:t>
            </w:r>
            <w:r>
              <w:rPr>
                <w:rStyle w:val="IndexLink"/>
                <w:rtl w:val="true"/>
              </w:rPr>
              <w:t xml:space="preserve">في بيان المراد من الاشتداد الّذي هو المناط في نجاسة العصير </w:t>
            </w:r>
            <w:r>
              <w:rPr>
                <w:rStyle w:val="IndexLink"/>
                <w:rtl w:val="true"/>
              </w:rPr>
              <w:t>]</w:t>
              <w:tab/>
            </w:r>
            <w:r>
              <w:rPr>
                <w:rStyle w:val="IndexLink"/>
              </w:rPr>
              <w:t>155</w:t>
            </w:r>
          </w:hyperlink>
        </w:p>
        <w:p>
          <w:pPr>
            <w:pStyle w:val="Contents2"/>
            <w:tabs>
              <w:tab w:val="clear" w:pos="8743"/>
              <w:tab w:val="right" w:pos="9026" w:leader="dot"/>
            </w:tabs>
            <w:rPr/>
          </w:pPr>
          <w:hyperlink w:anchor="__RefHeading___Toc6320888_1051229030">
            <w:r>
              <w:rPr>
                <w:webHidden/>
                <w:rStyle w:val="IndexLink"/>
                <w:rtl w:val="true"/>
              </w:rPr>
              <w:t xml:space="preserve">[ </w:t>
            </w:r>
            <w:r>
              <w:rPr>
                <w:rStyle w:val="IndexLink"/>
                <w:rtl w:val="true"/>
              </w:rPr>
              <w:t xml:space="preserve">الأمر الثاني </w:t>
            </w:r>
            <w:r>
              <w:rPr>
                <w:rStyle w:val="IndexLink"/>
                <w:rtl w:val="true"/>
              </w:rPr>
              <w:t xml:space="preserve">: </w:t>
            </w:r>
            <w:r>
              <w:rPr>
                <w:rStyle w:val="IndexLink"/>
                <w:rtl w:val="true"/>
              </w:rPr>
              <w:t xml:space="preserve">في بيان المراد من‌الغليان الّذي هو المناط في حرمة العصير </w:t>
            </w:r>
            <w:r>
              <w:rPr>
                <w:rStyle w:val="IndexLink"/>
                <w:rtl w:val="true"/>
              </w:rPr>
              <w:t>]</w:t>
              <w:tab/>
            </w:r>
            <w:r>
              <w:rPr>
                <w:rStyle w:val="IndexLink"/>
              </w:rPr>
              <w:t>159</w:t>
            </w:r>
          </w:hyperlink>
        </w:p>
        <w:p>
          <w:pPr>
            <w:pStyle w:val="Contents2"/>
            <w:tabs>
              <w:tab w:val="clear" w:pos="8743"/>
              <w:tab w:val="right" w:pos="9026" w:leader="dot"/>
            </w:tabs>
            <w:rPr/>
          </w:pPr>
          <w:hyperlink w:anchor="__RefHeading___Toc6320890_1051229030">
            <w:r>
              <w:rPr>
                <w:webHidden/>
                <w:rStyle w:val="IndexLink"/>
                <w:rtl w:val="true"/>
              </w:rPr>
              <w:t xml:space="preserve">[ </w:t>
            </w:r>
            <w:r>
              <w:rPr>
                <w:rStyle w:val="IndexLink"/>
                <w:rtl w:val="true"/>
              </w:rPr>
              <w:t xml:space="preserve">الأمر الثالث </w:t>
            </w:r>
            <w:r>
              <w:rPr>
                <w:rStyle w:val="IndexLink"/>
                <w:rtl w:val="true"/>
              </w:rPr>
              <w:t xml:space="preserve">: </w:t>
            </w:r>
            <w:r>
              <w:rPr>
                <w:rStyle w:val="IndexLink"/>
                <w:rtl w:val="true"/>
              </w:rPr>
              <w:t xml:space="preserve">في أنّ الغليان المحرّم هل يعمّ الغليان الشمسيّ أيضًا أو لا، بل يختصّ ذلك بالغليان النفسيّ والناريّ ؟ </w:t>
            </w:r>
            <w:r>
              <w:rPr>
                <w:rStyle w:val="IndexLink"/>
                <w:rtl w:val="true"/>
              </w:rPr>
              <w:t>]</w:t>
              <w:tab/>
            </w:r>
            <w:r>
              <w:rPr>
                <w:rStyle w:val="IndexLink"/>
              </w:rPr>
              <w:t>161</w:t>
            </w:r>
          </w:hyperlink>
        </w:p>
        <w:p>
          <w:pPr>
            <w:pStyle w:val="Contents2"/>
            <w:tabs>
              <w:tab w:val="clear" w:pos="8743"/>
              <w:tab w:val="right" w:pos="9026" w:leader="dot"/>
            </w:tabs>
            <w:rPr/>
          </w:pPr>
          <w:hyperlink w:anchor="__RefHeading___Toc6320892_1051229030">
            <w:r>
              <w:rPr>
                <w:webHidden/>
                <w:rStyle w:val="IndexLink"/>
                <w:rtl w:val="true"/>
              </w:rPr>
              <w:t>فهرس مصادر التحقيق</w:t>
            </w:r>
            <w:r>
              <w:rPr>
                <w:rStyle w:val="IndexLink"/>
                <w:rtl w:val="true"/>
              </w:rPr>
              <w:tab/>
            </w:r>
            <w:r>
              <w:rPr>
                <w:rStyle w:val="IndexLink"/>
              </w:rPr>
              <w:t>165</w:t>
            </w:r>
          </w:hyperlink>
        </w:p>
        <w:p>
          <w:pPr>
            <w:pStyle w:val="Contents2"/>
            <w:tabs>
              <w:tab w:val="clear" w:pos="8743"/>
              <w:tab w:val="right" w:pos="9026" w:leader="dot"/>
            </w:tabs>
            <w:rPr/>
          </w:pPr>
          <w:hyperlink w:anchor="__RefHeading___Toc6320894_1051229030">
            <w:r>
              <w:rPr>
                <w:webHidden/>
                <w:rStyle w:val="IndexLink"/>
                <w:rtl w:val="true"/>
              </w:rPr>
              <w:t>فهرس المطالب</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14_81788"/>
      <w:bookmarkStart w:id="1" w:name="pg7914_81788"/>
      <w:bookmarkEnd w:id="1"/>
    </w:p>
    <w:p>
      <w:pPr>
        <w:pStyle w:val="Heading2"/>
        <w:numPr>
          <w:ilvl w:val="1"/>
          <w:numId w:val="1"/>
        </w:numPr>
        <w:rPr/>
      </w:pPr>
      <w:bookmarkStart w:id="2" w:name="pg7914_81788"/>
      <w:bookmarkStart w:id="3" w:name="__RefHeading___Toc6320778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رسالة في العصير العنبيّ والزبيبيّ والتمريّ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المحقّق و الفقيه المتتبّع</w:t>
      </w:r>
    </w:p>
    <w:p>
      <w:pPr>
        <w:pStyle w:val="BookText"/>
        <w:rPr/>
      </w:pPr>
      <w:r>
        <w:rPr>
          <w:rFonts w:ascii="Amiri" w:hAnsi="Amiri" w:eastAsia="Amiri" w:cs="Amiri"/>
          <w:color w:val="111111"/>
          <w:sz w:val="28"/>
          <w:sz w:val="28"/>
          <w:szCs w:val="28"/>
          <w:rtl w:val="true"/>
          <w:lang w:bidi="ar-SA"/>
        </w:rPr>
        <w:t>الحاجّ السيّد محمّد باقر بن محمّد نقيّ الشفتيّ</w:t>
      </w:r>
    </w:p>
    <w:p>
      <w:pPr>
        <w:pStyle w:val="BookText"/>
        <w:rPr/>
      </w:pPr>
      <w:r>
        <w:rPr>
          <w:rFonts w:ascii="Amiri" w:hAnsi="Amiri" w:eastAsia="Amiri" w:cs="Amiri"/>
          <w:color w:val="111111"/>
          <w:sz w:val="28"/>
          <w:sz w:val="28"/>
          <w:szCs w:val="28"/>
          <w:rtl w:val="true"/>
          <w:lang w:bidi="ar-SA"/>
        </w:rPr>
        <w:t>المعروف بحجّة الإسلام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الشفتيّ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2078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14_81796"/>
      <w:bookmarkStart w:id="8" w:name="pg7914_81796"/>
      <w:bookmarkEnd w:id="8"/>
    </w:p>
    <w:p>
      <w:pPr>
        <w:pStyle w:val="Heading2"/>
        <w:numPr>
          <w:ilvl w:val="1"/>
          <w:numId w:val="1"/>
        </w:numPr>
        <w:rPr/>
      </w:pPr>
      <w:bookmarkStart w:id="9" w:name="pg7914_81796"/>
      <w:bookmarkStart w:id="10" w:name="__RefHeading___Toc6320782_1051229030"/>
      <w:bookmarkStart w:id="11" w:name="_Toc3"/>
      <w:bookmarkEnd w:id="9"/>
      <w:bookmarkEnd w:id="10"/>
      <w:r>
        <w:rPr>
          <w:rtl w:val="true"/>
        </w:rPr>
        <w:t>مقدّمة التحقيق</w:t>
      </w:r>
      <w:bookmarkEnd w:id="11"/>
    </w:p>
    <w:p>
      <w:pPr>
        <w:pStyle w:val="Heading3"/>
        <w:numPr>
          <w:ilvl w:val="2"/>
          <w:numId w:val="1"/>
        </w:numPr>
        <w:rPr/>
      </w:pPr>
      <w:bookmarkStart w:id="12" w:name="__RefHeading___Toc6320784_1051229030"/>
      <w:bookmarkStart w:id="13" w:name="_Toc4"/>
      <w:bookmarkEnd w:id="12"/>
      <w:r>
        <w:rPr/>
        <w:t>1</w:t>
      </w:r>
      <w:r>
        <w:rPr>
          <w:rtl w:val="true"/>
        </w:rPr>
        <w:t xml:space="preserve"> - </w:t>
      </w:r>
      <w:r>
        <w:rPr>
          <w:rtl w:val="true"/>
        </w:rPr>
        <w:t>لمحةٌ من حياة المؤلّف قدس‌سره</w:t>
      </w:r>
      <w:bookmarkEnd w:id="13"/>
    </w:p>
    <w:p>
      <w:pPr>
        <w:pStyle w:val="Heading4"/>
        <w:numPr>
          <w:ilvl w:val="3"/>
          <w:numId w:val="1"/>
        </w:numPr>
        <w:rPr/>
      </w:pPr>
      <w:bookmarkStart w:id="14" w:name="__RefHeading___Toc6320786_1051229030"/>
      <w:bookmarkStart w:id="15" w:name="_Toc5"/>
      <w:bookmarkEnd w:id="14"/>
      <w:r>
        <w:rPr>
          <w:rtl w:val="true"/>
        </w:rPr>
        <w:t>اشارة</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لمحةٌ من حياة المؤلّف قدس‌سره </w:t>
      </w:r>
      <w:r>
        <w:rPr>
          <w:rStyle w:val="FootnoteAnchor"/>
          <w:rtl w:val="true"/>
        </w:rPr>
        <w:footnoteReference w:id="2"/>
      </w:r>
    </w:p>
    <w:p>
      <w:pPr>
        <w:pStyle w:val="Heading4"/>
        <w:numPr>
          <w:ilvl w:val="3"/>
          <w:numId w:val="1"/>
        </w:numPr>
        <w:rPr/>
      </w:pPr>
      <w:bookmarkStart w:id="16" w:name="__RefHeading___Toc6320788_1051229030"/>
      <w:bookmarkStart w:id="17" w:name="_Toc6"/>
      <w:bookmarkEnd w:id="16"/>
      <w:r>
        <w:rPr>
          <w:rtl w:val="true"/>
        </w:rPr>
        <w:t>اسمه و نسبه</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محمّد باقر بن السيّد محمّد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النسب، الشفتي الرشتيّ الجيلانيّ الأصل واللقب، الغرويّ الحائريّ الكاظميّ العلم والأدب، </w:t>
      </w:r>
      <w:bookmarkStart w:id="18" w:name="pg7914_81797"/>
    </w:p>
    <w:p>
      <w:pPr>
        <w:pStyle w:val="BookText"/>
        <w:rPr/>
      </w:pPr>
      <w:bookmarkEnd w:id="18"/>
      <w:r>
        <w:rPr>
          <w:rFonts w:ascii="Amiri" w:hAnsi="Amiri" w:eastAsia="Amiri" w:cs="Amiri"/>
          <w:color w:val="111111"/>
          <w:sz w:val="28"/>
          <w:sz w:val="28"/>
          <w:szCs w:val="28"/>
          <w:rtl w:val="true"/>
          <w:lang w:bidi="ar-SA"/>
        </w:rPr>
        <w:t xml:space="preserve">العراقي، الأصفهاني البيدآبادي المنشأ والموطن والمدفن والمآب، الشهير في الآفاق بحجّة الإسلام على الإطلاق، من فحول علماء الإمامية في القرنين الثاني عشر والثالث عشر، و من كبار زعماء الدين وأعلام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نسبه الشريف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نقي بن محمّد زكي بن محمّد تقي بن شاه قاسم بن مير أشرف بن شاه قاسم بن شاه هدايت بن الأمير هاشم بن السلطان السيّد عليّ قاضي بن السيّد عليّ بن السيّد محمّد بن السيّد علي بن السيّد محمّد بن السيّد موسى بن السيّد جعفر بن السيّد إسماعيل بن السيّد أحمد بن السيّد محمّد بن السيّد أحمد بن السيّد محمّد بن السيّد أبي القاسم بن السيّد حمزة بن الإمام موسى الكاظم عليه‌السلام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6320790_1051229030"/>
      <w:bookmarkStart w:id="20" w:name="_Toc7"/>
      <w:bookmarkEnd w:id="19"/>
      <w:r>
        <w:rPr>
          <w:rtl w:val="true"/>
        </w:rPr>
        <w:t>ولادته و نشأته</w:t>
      </w:r>
      <w:bookmarkEnd w:id="20"/>
    </w:p>
    <w:p>
      <w:pPr>
        <w:pStyle w:val="BookText"/>
        <w:rPr/>
      </w:pPr>
      <w:r>
        <w:rPr>
          <w:rFonts w:ascii="Amiri" w:hAnsi="Amiri" w:eastAsia="Amiri" w:cs="Amiri"/>
          <w:color w:val="111111"/>
          <w:sz w:val="28"/>
          <w:sz w:val="28"/>
          <w:szCs w:val="28"/>
          <w:rtl w:val="true"/>
          <w:lang w:bidi="ar-SA"/>
        </w:rPr>
        <w:t xml:space="preserve">ولد على أصحّ القولين في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
      </w:r>
      <w:r>
        <w:rPr>
          <w:rFonts w:ascii="Amiri" w:hAnsi="Amiri" w:eastAsia="Amiri" w:cs="Amiri"/>
          <w:color w:val="111111"/>
          <w:sz w:val="28"/>
          <w:sz w:val="28"/>
          <w:szCs w:val="28"/>
          <w:rtl w:val="true"/>
          <w:lang w:bidi="ar-SA"/>
        </w:rPr>
        <w:t xml:space="preserve">في قرية من قرى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طارم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 إلى شفت و هو ابن سبع سنين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إلى العراق لطلب العلوم الدينيّة والكمالات النفسانيّة في حدود سنة </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قريبًا من ذلك، و هو ابن ستّ أو سبع عشرة سنة </w:t>
      </w:r>
      <w:r>
        <w:rPr>
          <w:rStyle w:val="FootnoteAnchor"/>
          <w:rtl w:val="true"/>
        </w:rPr>
        <w:footnoteReference w:id="6"/>
      </w:r>
      <w:r>
        <w:rPr>
          <w:rFonts w:ascii="Amiri" w:hAnsi="Amiri" w:eastAsia="Amiri" w:cs="Amiri"/>
          <w:color w:val="111111"/>
          <w:sz w:val="28"/>
          <w:sz w:val="28"/>
          <w:szCs w:val="28"/>
          <w:rtl w:val="true"/>
          <w:lang w:bidi="ar-SA"/>
        </w:rPr>
        <w:t xml:space="preserve">، فحضر في أوّل أمره على الأستاذ الأكبر الآقا محمّد باقر الوحيد البهبهاني قدس‌سره في كربلاء </w:t>
      </w:r>
      <w:r>
        <w:rPr>
          <w:rStyle w:val="FootnoteAnchor"/>
          <w:rtl w:val="true"/>
        </w:rPr>
        <w:footnoteReference w:id="7"/>
      </w:r>
      <w:r>
        <w:rPr>
          <w:rFonts w:ascii="Amiri" w:hAnsi="Amiri" w:eastAsia="Amiri" w:cs="Amiri"/>
          <w:color w:val="111111"/>
          <w:sz w:val="28"/>
          <w:sz w:val="28"/>
          <w:szCs w:val="28"/>
          <w:rtl w:val="true"/>
          <w:lang w:bidi="ar-SA"/>
        </w:rPr>
        <w:t xml:space="preserve">، ثمّ على أستاذه العلاّمة السيّد عليّ الطباطبائيّ قدس‌سره صاحب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إلى النجف الأشرف و أقام فيها سبع سنين، و حضر فيها على العلاّمة الطباطبائيّ بحر العلوم قدس‌سره، والشيخ الأكبر صاحب كشف الغطاء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إلى الكاظميّة، فحضر فيها على السيّد المحقّق المُحسن البغداديّ المقدّس الأعرجيّ رحمه‌الله قليلاً، فقد قرأ عليه القضاء والشهادات، وأقام عنده مدّة من الزمان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حلّت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تمّ بها على المترجم في العراق ثمان سنين بلغ فيها درجة سامية و مكانة عالية، رجع إلى ديار العجم </w:t>
      </w:r>
      <w:r>
        <w:rPr>
          <w:rStyle w:val="FootnoteAnchor"/>
          <w:rtl w:val="true"/>
        </w:rPr>
        <w:footnoteReference w:id="8"/>
      </w:r>
      <w:r>
        <w:rPr>
          <w:rFonts w:ascii="Amiri" w:hAnsi="Amiri" w:eastAsia="Amiri" w:cs="Amiri"/>
          <w:color w:val="111111"/>
          <w:sz w:val="28"/>
          <w:sz w:val="28"/>
          <w:szCs w:val="28"/>
          <w:rtl w:val="true"/>
          <w:lang w:bidi="ar-SA"/>
        </w:rPr>
        <w:t xml:space="preserve">، و توطّن في أصفهان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مع الحاجّ محمّد إبراهيم الكلباسي قدس‌سره، وكانا صديقين رفيقين شفيقين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 له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الارتحال من أصفهان إلى قم أيّام زعامة المحقّق القمّي رحمه‌الله، فحضر مجلسه بما ينيف على ستّة أشهر </w:t>
      </w:r>
      <w:r>
        <w:rPr>
          <w:rStyle w:val="FootnoteAnchor"/>
          <w:rtl w:val="true"/>
        </w:rPr>
        <w:footnoteReference w:id="10"/>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الارتحال من اصبهان إلى بلدة قم، ومكثت فيها أربعة أشهر أو أكثر، وكنت مشتغلاً بكتابة هذا المجلّد من الشرح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لنفسي الترقّي الكامل في هذه المدّة القليلة بقدر تمام ما حصل لي في مدّة مقامي بالعتبات العاليات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فكتب له الميرزا قدس‌سره إجازة مبسوطة مضبوطة كان يغتنم بها من ذلك السفر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بعدها إلى كاشان، فحضر على المولى محمّد مهدي النراقي رحمه‌الله، وتلمّذ عليه مدّة قليلة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من بعض المشايخ أنّه بعد وروده إلى أصفهان ليس له شيء من الكتب إلاّ مجلّدًا واحدًا من المدارك، و كان مجرّدًا من الأموال، قليل البضاعة، بل عديمها، </w:t>
      </w:r>
    </w:p>
    <w:p>
      <w:pPr>
        <w:pStyle w:val="BookText"/>
        <w:rPr/>
      </w:pPr>
      <w:r>
        <w:rPr>
          <w:rFonts w:ascii="Amiri" w:hAnsi="Amiri" w:eastAsia="Amiri" w:cs="Amiri"/>
          <w:color w:val="111111"/>
          <w:sz w:val="28"/>
          <w:sz w:val="28"/>
          <w:szCs w:val="28"/>
          <w:rtl w:val="true"/>
          <w:lang w:bidi="ar-SA"/>
        </w:rPr>
        <w:t xml:space="preserve">إلاّ منديلاً لمحلّ الخبز، و يسمّى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سكن في مدرسة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 بابه إلى چهارباغ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في اصفهان بمدرسة چهارباغ، واجتمع الطلاّب والمشتغلون عنده للتحصيل والتعليم، و أخرجه المدرّس من المدرسة و لم يتعرّض له و لم يعارضه، فإذا اطّلع على انّه أمر بالخروج، خرج من غير إظهار للكراهة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قليلٍ من الزمان إجتمع عليه أهل العلم والمحصّلون، وانتقلت إليه رياسة الإماميّة في أغلب الأقطار بعد ذهاب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مرجعًا للفتوى، و أقبلت له الدنيا بحيث انتهت إليه الرياسة الدينيّة والدنيويّة، وملكت أموالاً كثيرة من النقود والعروض والعقار والقرى والدور الكثيرة في محلّة بيدآباد، و كان له أموال كثيرة في التجارة إلى بلدة رشت يدور من اصفهان إلى رشت، و يربح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الباعث على ترويج أمره في أصفهان و في غيره من البلاد، العالم الربّاني والمحقّق الصمداني ميرزا أبوالقاسم الجيلاني القمّي قدس‌سره، المقبول قوله عند العوام والخواص، و عند السلطان والرعيّة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يقدّمه العالم الزعيم الحاج محمّد إبراهيم الكلباسي رحمه‌الله في المشي والحكم و غيرهما، فكلّ هذه الأمور كانت ترفع شأنه، إلاّ انّ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w:t>
      </w:r>
    </w:p>
    <w:p>
      <w:pPr>
        <w:pStyle w:val="BookText"/>
        <w:rPr/>
      </w:pPr>
      <w:r>
        <w:rPr>
          <w:rFonts w:ascii="Amiri" w:hAnsi="Amiri" w:eastAsia="Amiri" w:cs="Amiri"/>
          <w:color w:val="111111"/>
          <w:sz w:val="28"/>
          <w:sz w:val="28"/>
          <w:szCs w:val="28"/>
          <w:rtl w:val="true"/>
          <w:lang w:bidi="ar-SA"/>
        </w:rPr>
        <w:t xml:space="preserve">الأيدي، ترفع و تضع طبق المصالح الربّانيّة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بينه و بين الحاج محمّد إبراهيم المذكور صلة متينة و صداقة تامّة من بدء أمرهما، فقد كانا زميلين كريمين في النجف، تجمع بينهما معاهد العلم، وشاء اللّه أن تنمو هذه المودّة شيئًا فشيئًا، و يبلغ كلّ منهما في الزعامة مبلغًا لم يكن</w:t>
      </w:r>
    </w:p>
    <w:p>
      <w:pPr>
        <w:pStyle w:val="BookText"/>
        <w:rPr/>
      </w:pPr>
      <w:r>
        <w:rPr>
          <w:rFonts w:ascii="Amiri" w:hAnsi="Amiri" w:eastAsia="Amiri" w:cs="Amiri"/>
          <w:color w:val="111111"/>
          <w:sz w:val="28"/>
          <w:sz w:val="28"/>
          <w:szCs w:val="28"/>
          <w:rtl w:val="true"/>
          <w:lang w:bidi="ar-SA"/>
        </w:rPr>
        <w:t xml:space="preserve">يحدث له في البال، وأن يسكنا معًا بلدة أصفهان، ويتزعّما بها في وقت واحد، ولم تكن الرياسة لتكدّر صفو ذلك الودّ الخالص، أو تؤثّر مثقال ذرّة، فكلّما زادت سطوة أحدهما زاد اتّصالاً و رغبة بصاحبه، فاعتبروا يا أولى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بيت اللّه الحرام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5"/>
      </w:r>
      <w:r>
        <w:rPr>
          <w:rFonts w:ascii="Amiri" w:hAnsi="Amiri" w:eastAsia="Amiri" w:cs="Amiri"/>
          <w:color w:val="111111"/>
          <w:sz w:val="28"/>
          <w:sz w:val="28"/>
          <w:szCs w:val="28"/>
          <w:rtl w:val="true"/>
          <w:lang w:bidi="ar-SA"/>
        </w:rPr>
        <w:t>من طريق البحر، و كان ذلك أيّام</w:t>
      </w:r>
    </w:p>
    <w:p>
      <w:pPr>
        <w:pStyle w:val="BookText"/>
        <w:rPr/>
      </w:pPr>
      <w:r>
        <w:rPr>
          <w:rFonts w:ascii="Amiri" w:hAnsi="Amiri" w:eastAsia="Amiri" w:cs="Amiri"/>
          <w:color w:val="111111"/>
          <w:sz w:val="28"/>
          <w:sz w:val="28"/>
          <w:szCs w:val="28"/>
          <w:rtl w:val="true"/>
          <w:lang w:bidi="ar-SA"/>
        </w:rPr>
        <w:t xml:space="preserve">محمّد عليّ باشا المصريّ، و كانت له زيارة خاصّة له، فأخذ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وكفّل بها سادات المدينة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ميراث أولاد الزهراء استرد لهم من غاصبي فدك في طوفه الحرما</w:t>
      </w:r>
    </w:p>
    <w:p>
      <w:pPr>
        <w:pStyle w:val="BookText"/>
        <w:rPr/>
      </w:pPr>
      <w:r>
        <w:rPr>
          <w:rFonts w:ascii="Amiri" w:hAnsi="Amiri" w:eastAsia="Amiri" w:cs="Amiri"/>
          <w:color w:val="111111"/>
          <w:sz w:val="28"/>
          <w:sz w:val="28"/>
          <w:szCs w:val="28"/>
          <w:rtl w:val="true"/>
          <w:lang w:bidi="ar-SA"/>
        </w:rPr>
        <w:t>؛ و كذلك حدّد المطاف على مذهب الشيعة للمسلمين في مكّة المكرّمة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أخذ في بناء المسجد الأعظم باصبهان </w:t>
      </w:r>
      <w:r>
        <w:rPr>
          <w:rStyle w:val="FootnoteAnchor"/>
          <w:rtl w:val="true"/>
        </w:rPr>
        <w:footnoteReference w:id="18"/>
      </w:r>
      <w:r>
        <w:rPr>
          <w:rFonts w:ascii="Amiri" w:hAnsi="Amiri" w:eastAsia="Amiri" w:cs="Amiri"/>
          <w:color w:val="111111"/>
          <w:sz w:val="28"/>
          <w:sz w:val="28"/>
          <w:szCs w:val="28"/>
          <w:rtl w:val="true"/>
          <w:lang w:bidi="ar-SA"/>
        </w:rPr>
        <w:t xml:space="preserve">، وأنفق عليه ما </w:t>
      </w:r>
      <w:bookmarkStart w:id="21" w:name="pg7914_81807"/>
    </w:p>
    <w:p>
      <w:pPr>
        <w:pStyle w:val="BookText"/>
        <w:rPr/>
      </w:pPr>
      <w:bookmarkEnd w:id="21"/>
      <w:r>
        <w:rPr>
          <w:rFonts w:ascii="Amiri" w:hAnsi="Amiri" w:eastAsia="Amiri" w:cs="Amiri"/>
          <w:color w:val="111111"/>
          <w:sz w:val="28"/>
          <w:sz w:val="28"/>
          <w:szCs w:val="28"/>
          <w:rtl w:val="true"/>
          <w:lang w:bidi="ar-SA"/>
        </w:rPr>
        <w:t xml:space="preserve">يقرب من مائة ألف دينار شرعيّ تقريبًا من أمواله الخالصة، و مال بقبلته إلى يمين قبلة سائر المساجد يسيرًا، و جعل له مدارس و حجرات للطلبة، و أسّس أساسًا لم يعهد مثله من أحد العلماء والمجتهدين، و بنى فيه قبّة لمدفن نفسه، و هي الآن بمنزلة مشهد من مشاهد الأنبياء والأئمّة عليهم‌السلام مطاف للخلائق في خمسة أوقات الصلوات </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6320792_1051229030"/>
      <w:bookmarkStart w:id="23" w:name="_Toc8"/>
      <w:bookmarkEnd w:id="22"/>
      <w:r>
        <w:rPr>
          <w:rtl w:val="true"/>
        </w:rPr>
        <w:t>إطراء العلماء له</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المحقّق ميرزا أبوالقاسم القمّي قدس‌سره</w:t>
      </w:r>
    </w:p>
    <w:p>
      <w:pPr>
        <w:pStyle w:val="BookText"/>
        <w:rPr/>
      </w:pPr>
      <w:r>
        <w:rPr>
          <w:rFonts w:ascii="Amiri" w:hAnsi="Amiri" w:eastAsia="Amiri" w:cs="Amiri"/>
          <w:color w:val="111111"/>
          <w:sz w:val="28"/>
          <w:sz w:val="28"/>
          <w:szCs w:val="28"/>
          <w:rtl w:val="true"/>
          <w:lang w:bidi="ar-SA"/>
        </w:rPr>
        <w:t xml:space="preserve">هو من أساتذته و مشايخه، قال في إجازته الكبيرة 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استجازني الولد الأعزّ الأمجد، والخل الأسعد الأرشد العالم العامل الزكي الذكي، والفاضل الكامل الألمعيّ اللوذعيّ، بل المحقّق المدقّق التقي النقي، ابن المرحوم المبرور السيّد محمّد نقي، محمّد باقر الموسويّ الجيلانيّ، أسبل اللّه عليه نواله، و كثّر في الفرقة الناجية </w:t>
      </w:r>
      <w:bookmarkStart w:id="24" w:name="pg7914_81809"/>
    </w:p>
    <w:p>
      <w:pPr>
        <w:pStyle w:val="BookText"/>
        <w:rPr/>
      </w:pPr>
      <w:bookmarkEnd w:id="24"/>
      <w:r>
        <w:rPr>
          <w:rFonts w:ascii="IRNazanin" w:hAnsi="IRNazanin" w:eastAsia="IRNazanin"/>
          <w:color w:val="111111"/>
          <w:sz w:val="28"/>
          <w:sz w:val="28"/>
          <w:szCs w:val="28"/>
          <w:rtl w:val="true"/>
          <w:lang w:bidi="fa-IR"/>
        </w:rPr>
        <w:t xml:space="preserve">أمثاله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 المولى عليّ النوريّ قدس‌سره</w:t>
      </w:r>
    </w:p>
    <w:p>
      <w:pPr>
        <w:pStyle w:val="BookText"/>
        <w:rPr/>
      </w:pPr>
      <w:r>
        <w:rPr>
          <w:rFonts w:ascii="Amiri" w:hAnsi="Amiri" w:eastAsia="Amiri" w:cs="Amiri"/>
          <w:color w:val="111111"/>
          <w:sz w:val="28"/>
          <w:sz w:val="28"/>
          <w:szCs w:val="28"/>
          <w:rtl w:val="true"/>
          <w:lang w:bidi="ar-SA"/>
        </w:rPr>
        <w:t xml:space="preserve">هو من أساتذته، قد أطرى عليه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العهد، فقيه العصر، حجّة الطائفة المحقّة، قبلة الكرام البررة، الفريد الدهريّ، والوحيد العصريّ، مطاع، واجب الإتّباع، معظّم، مجموعة المناقب والمفاخر، آقا سيّد محمّد باقر، دامت بركات فضائله الإنسيّة و شمائله القدسيّة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6320794_1051229030"/>
      <w:bookmarkStart w:id="26" w:name="_Toc9"/>
      <w:bookmarkEnd w:id="25"/>
      <w:r>
        <w:rPr>
          <w:rtl w:val="true"/>
        </w:rPr>
        <w:t>زهده و عبادته</w:t>
      </w:r>
      <w:bookmarkEnd w:id="26"/>
    </w:p>
    <w:p>
      <w:pPr>
        <w:pStyle w:val="BookText"/>
        <w:rPr/>
      </w:pPr>
      <w:r>
        <w:rPr>
          <w:rFonts w:ascii="Amiri" w:hAnsi="Amiri" w:eastAsia="Amiri" w:cs="Amiri"/>
          <w:color w:val="111111"/>
          <w:sz w:val="28"/>
          <w:sz w:val="28"/>
          <w:szCs w:val="28"/>
          <w:rtl w:val="true"/>
          <w:lang w:bidi="ar-SA"/>
        </w:rPr>
        <w:t xml:space="preserve">قال المحدّث القمّي رحمه‌الله في الفوائد الرضويّة، نقلاً عن صاحب التكملة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السيّد محمّد باقر كان عالمًا ربّانيًّا روحانيًّا ممّن عرف حلال آل محمّد عليهم‌السلام و حرامهم، و شيّد أحكامهم، و خالف هواه، واتّبع أمر مولاه، كان دائم المراقبة لربّه، لا يشغله شيء عن الحضور والمراقبة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رحمه‌الله انّ آماق عين السيّد كانت مجروحة من كثرة </w:t>
      </w:r>
      <w:bookmarkStart w:id="27" w:name="pg7914_81811"/>
    </w:p>
    <w:p>
      <w:pPr>
        <w:pStyle w:val="BookText"/>
        <w:rPr/>
      </w:pPr>
      <w:bookmarkEnd w:id="27"/>
      <w:r>
        <w:rPr>
          <w:rFonts w:ascii="Amiri" w:hAnsi="Amiri" w:eastAsia="Amiri" w:cs="Amiri"/>
          <w:color w:val="111111"/>
          <w:sz w:val="28"/>
          <w:sz w:val="28"/>
          <w:szCs w:val="28"/>
          <w:rtl w:val="true"/>
          <w:lang w:bidi="ar-SA"/>
        </w:rPr>
        <w:t xml:space="preserve">بكائه في تهجّده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بعض خواصّه،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معه إلى بعض قراه، فبتنا في الطريق،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مضجعي فظنّ أني نمت، فقام يصلّي، فواللّه إنّي رأيت فرائصه وأعضائه يرتعد بحيث كان يكرّر الكلمة مرارًا من شدّة حركة فكّيه و أعضائه، حتّى ينطق بها صحيحة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6320796_1051229030"/>
      <w:bookmarkStart w:id="29" w:name="_Toc10"/>
      <w:bookmarkEnd w:id="28"/>
      <w:r>
        <w:rPr>
          <w:rtl w:val="true"/>
        </w:rPr>
        <w:t>إقامته الحدود الشرعيّة</w:t>
      </w:r>
      <w:bookmarkEnd w:id="29"/>
    </w:p>
    <w:p>
      <w:pPr>
        <w:pStyle w:val="BookText"/>
        <w:rPr/>
      </w:pPr>
      <w:r>
        <w:rPr>
          <w:rFonts w:ascii="Amiri" w:hAnsi="Amiri" w:eastAsia="Amiri" w:cs="Amiri"/>
          <w:color w:val="111111"/>
          <w:sz w:val="28"/>
          <w:sz w:val="28"/>
          <w:szCs w:val="28"/>
          <w:rtl w:val="true"/>
          <w:lang w:bidi="ar-SA"/>
        </w:rPr>
        <w:t xml:space="preserve">يعتقد السيّد حجّة الإسلام أنّ إقامة الحدود واجبة على الفقيه الجامع لشرائط الفتوى في عصر الغيبة عند التمكّن من الإقامة والأمن من مضرّة أهل الفساد، وألّف قدس‌سره في إثبات هذا الاعتقاد رسالة ؛ و بهذا كان يقيم الحدود الشرعيّة ويجريها بيده أو يد من يأمره بلا خشية و لا 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الروضات رحمه‌الله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إلى إجرائه بالمباشرة أو الأمر بحيث بلغ عدد من قتله رحمه‌الله في سبيل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الجناة والجفاة أو الزناة أو المحاربين اللاطين زمن رئاسته ثمانين أو تسعين،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عشرين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0" w:name="pg7914_81812"/>
    </w:p>
    <w:p>
      <w:pPr>
        <w:pStyle w:val="Heading4"/>
        <w:numPr>
          <w:ilvl w:val="3"/>
          <w:numId w:val="1"/>
        </w:numPr>
        <w:rPr/>
      </w:pPr>
      <w:bookmarkStart w:id="31" w:name="__RefHeading___Toc6320798_1051229030"/>
      <w:bookmarkStart w:id="32" w:name="_Toc11"/>
      <w:bookmarkEnd w:id="30"/>
      <w:bookmarkEnd w:id="31"/>
      <w:r>
        <w:rPr>
          <w:rtl w:val="true"/>
        </w:rPr>
        <w:t>أساتذته و مشايخ روايته</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الأكبر الآقا محمّد باقر الوحيد البهبهاني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مهدي الموسويّ الشهرستانيّ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الأكبر الشيخ جعفر كاشف الغطاء</w:t>
      </w:r>
    </w:p>
    <w:p>
      <w:pPr>
        <w:pStyle w:val="BookText"/>
        <w:rPr/>
      </w:pP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معتوق العامليّ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الأعرجيّ البغداديّ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الأمير السيّد عليّ الطباطبائي الحائريّ</w:t>
      </w:r>
    </w:p>
    <w:p>
      <w:pPr>
        <w:pStyle w:val="BookText"/>
        <w:rPr/>
      </w:pP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أبوالقاسم الجيلاني القمّي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320800_1051229030"/>
      <w:bookmarkStart w:id="34" w:name="_Toc12"/>
      <w:bookmarkEnd w:id="33"/>
      <w:r>
        <w:rPr>
          <w:rtl w:val="true"/>
        </w:rPr>
        <w:t>أولاده</w:t>
      </w:r>
      <w:bookmarkEnd w:id="34"/>
    </w:p>
    <w:p>
      <w:pPr>
        <w:pStyle w:val="BookText"/>
        <w:rPr/>
      </w:pPr>
      <w:r>
        <w:rPr>
          <w:rFonts w:ascii="Amiri" w:hAnsi="Amiri" w:eastAsia="Amiri" w:cs="Amiri"/>
          <w:color w:val="111111"/>
          <w:sz w:val="28"/>
          <w:sz w:val="28"/>
          <w:szCs w:val="28"/>
          <w:rtl w:val="true"/>
          <w:lang w:bidi="ar-SA"/>
        </w:rPr>
        <w:t xml:space="preserve">له قدس‌سره أولاد متعدّدون، كلّهم علماء أجلاّء، و سادة فضلاء، انتهت إليهم الرئاسة الدينيّة والعلميّة بعد أبيهم في أصفهان، و هم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مهدي </w:t>
      </w:r>
      <w:r>
        <w:rPr>
          <w:rStyle w:val="FootnoteAnchor"/>
          <w:rtl w:val="true"/>
        </w:rPr>
        <w:footnoteReference w:id="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تكملة أمل الآمل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المآثر والآثار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تكملة نجوم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bookmarkStart w:id="35" w:name="pg7914_81816"/>
    </w:p>
    <w:p>
      <w:pPr>
        <w:pStyle w:val="BookText"/>
        <w:rPr/>
      </w:pPr>
      <w:bookmarkEnd w:id="3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عاشوراء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وبزرگان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تكملة نجوم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المآثر والآثار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القبور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4"/>
        <w:numPr>
          <w:ilvl w:val="3"/>
          <w:numId w:val="1"/>
        </w:numPr>
        <w:rPr/>
      </w:pPr>
      <w:bookmarkStart w:id="36" w:name="__RefHeading___Toc6320802_1051229030"/>
      <w:bookmarkStart w:id="37" w:name="_Toc13"/>
      <w:bookmarkEnd w:id="36"/>
      <w:r>
        <w:rPr>
          <w:rtl w:val="true"/>
        </w:rPr>
        <w:t>تآليفه القيّمة</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مؤلّفات كثيرة، و رسائل متعدّدة، كلّها تفصح عن تضلّعه في شتّى العلوم المختلفة خصوصًا الفقه والرجال، و تظهر منها جامعيّته من المعقول والمنقول، وإليك أسماء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الكتب و الرسائل الفقهيّة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المقتبسة من آثار الأئمّة الأطهار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شرائع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الملتقط من آثار الأئمّة الأطهار لتنوير قلوب الأخيار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 في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والجواب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 والشهادات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آداب صلاة الليل و فضلها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إبراء الوليّ مدّة المتعة عن المولى عليه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حرمة محارم الموطوء على الواطي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رسالة تعيين السلام الأخير في النوافل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في زمن الغيبة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يد الواقف كاف في القبض لو كان هو المتولّي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الغُسالة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تطهير العجين بالماء النجس بتخبيزه و عدمه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اللبن المضروب بماءٍ نجسٍ هل يطهّر بطبخه آجرًا أو خزفًا أم لا؟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الأراضي الخراجيّة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الشكّ والسهو في الصلاة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طهارة عرق الجنب من الحرام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العقد على أخت الزوجة المطلّقة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صلح حقّ الرجوع في الطلاق الرجعيّ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الاتّكال بقول النساء في انتفاء موانع النكاح فيها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في جلد الميتة المدبوغ</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ثبوت الزنا واللواط بالإقرار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جواب المحقّق القمّي</w:t>
      </w:r>
    </w:p>
    <w:p>
      <w:pPr>
        <w:pStyle w:val="BookText"/>
        <w:rPr/>
      </w:pPr>
      <w:r>
        <w:rPr>
          <w:rFonts w:ascii="IRNazanin" w:hAnsi="IRNazanin" w:eastAsia="IRNazanin"/>
          <w:color w:val="111111"/>
          <w:sz w:val="28"/>
          <w:sz w:val="28"/>
          <w:szCs w:val="28"/>
          <w:rtl w:val="true"/>
          <w:lang w:bidi="fa-IR"/>
        </w:rPr>
        <w:t>رحمه‌الله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القناة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ولاية الحاكم على البالغة غير الرشيدة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عن الميّت</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تحديد آية الكرسي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كيفيّة زيارة عاشوراء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أكل التربة الحسينيّة و تعيين الحائر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صيغ النكاح</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العصير العنبيّ والزبيبيّ والتمريّ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نجاسة المخالفين و عدمها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هل يجوز نيّة الوجوب في الوضوء قبل دخول الوقت مع</w:t>
      </w:r>
    </w:p>
    <w:p>
      <w:pPr>
        <w:pStyle w:val="BookText"/>
        <w:rPr/>
      </w:pPr>
      <w:r>
        <w:rPr>
          <w:rFonts w:ascii="Amiri" w:hAnsi="Amiri" w:eastAsia="Amiri" w:cs="Amiri"/>
          <w:color w:val="111111"/>
          <w:sz w:val="28"/>
          <w:sz w:val="28"/>
          <w:szCs w:val="28"/>
          <w:rtl w:val="true"/>
          <w:lang w:bidi="ar-SA"/>
        </w:rPr>
        <w:t>اشتغال الذمّة بالقضاء و عدم إرادة الإتيان بها بذلك الوضوء، أم لا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تعريف البيع وأقسامه و شروطه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توكيل الصبيّ المميّز</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هل ينفسخ المبايعة الخياريّة بمجرّد ردّ مثل الثمن و إرادة</w:t>
      </w:r>
    </w:p>
    <w:p>
      <w:pPr>
        <w:pStyle w:val="BookText"/>
        <w:rPr/>
      </w:pPr>
      <w:r>
        <w:rPr>
          <w:rFonts w:ascii="Amiri" w:hAnsi="Amiri" w:eastAsia="Amiri" w:cs="Amiri"/>
          <w:color w:val="111111"/>
          <w:sz w:val="28"/>
          <w:sz w:val="28"/>
          <w:szCs w:val="28"/>
          <w:rtl w:val="true"/>
          <w:lang w:bidi="ar-SA"/>
        </w:rPr>
        <w:t>الفسخ من غير أن يتلفّظ بصيغة الفسخ، أم لا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وقع عقد النكاح من الأب وكالة للابن المريض فمات قبل</w:t>
      </w:r>
    </w:p>
    <w:p>
      <w:pPr>
        <w:pStyle w:val="BookText"/>
        <w:rPr/>
      </w:pPr>
      <w:r>
        <w:rPr>
          <w:rFonts w:ascii="Amiri" w:hAnsi="Amiri" w:eastAsia="Amiri" w:cs="Amiri"/>
          <w:color w:val="111111"/>
          <w:sz w:val="28"/>
          <w:sz w:val="28"/>
          <w:szCs w:val="28"/>
          <w:rtl w:val="true"/>
          <w:lang w:bidi="ar-SA"/>
        </w:rPr>
        <w:t>الدخول ما حكمه من العدّة والصداق والميراث و تزويج المرأة في العدّة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انهدم بنيان لمالكين، هل يجوز لمالك بناء التحت بعد</w:t>
      </w:r>
    </w:p>
    <w:p>
      <w:pPr>
        <w:pStyle w:val="BookText"/>
        <w:rPr/>
      </w:pPr>
      <w:r>
        <w:rPr>
          <w:rFonts w:ascii="Amiri" w:hAnsi="Amiri" w:eastAsia="Amiri" w:cs="Amiri"/>
          <w:color w:val="111111"/>
          <w:sz w:val="28"/>
          <w:sz w:val="28"/>
          <w:szCs w:val="28"/>
          <w:rtl w:val="true"/>
          <w:lang w:bidi="ar-SA"/>
        </w:rPr>
        <w:t>الإحياء منع مالك الفوق من الإحياء، أم لا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انّه إذا قتل عبد حرًّا ما حكمه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ميراث الغائب و بيان زمان التربّص</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الوصل بين اسطوانين أو أسطوانات المسجد لجدار ضعيف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البنيان لمصلحة إقامة الجماعة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سلام التحيّة في الصلاة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العمليّة</w:t>
      </w:r>
    </w:p>
    <w:p>
      <w:pPr>
        <w:pStyle w:val="BookText"/>
        <w:rPr/>
      </w:pPr>
      <w:r>
        <w:rPr>
          <w:rFonts w:ascii="Amiri" w:hAnsi="Amiri" w:eastAsia="Amiri" w:cs="Amiri"/>
          <w:color w:val="111111"/>
          <w:sz w:val="28"/>
          <w:sz w:val="28"/>
          <w:szCs w:val="28"/>
          <w:rtl w:val="true"/>
          <w:lang w:bidi="ar-SA"/>
        </w:rPr>
        <w:t>الكتب و الرسائل الحديثيّة</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الكافي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الوافي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الحديثين المرويّين عن العترة الطاهرة عليهم‌السلام</w:t>
      </w:r>
    </w:p>
    <w:p>
      <w:pPr>
        <w:pStyle w:val="BookText"/>
        <w:rPr/>
      </w:pPr>
      <w:r>
        <w:rPr>
          <w:rFonts w:ascii="Amiri" w:hAnsi="Amiri" w:eastAsia="Amiri" w:cs="Amiri"/>
          <w:color w:val="111111"/>
          <w:sz w:val="28"/>
          <w:sz w:val="28"/>
          <w:szCs w:val="28"/>
          <w:rtl w:val="true"/>
          <w:lang w:bidi="ar-SA"/>
        </w:rPr>
        <w:t>الكتب و الرسائل الأصوليّة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البارقة لمعرفة أحوال المجاز والحقيقة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تهذيب الوصول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أصول معالم الدين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الاجتهاد والتقليد </w:t>
      </w:r>
    </w:p>
    <w:p>
      <w:pPr>
        <w:pStyle w:val="BookText"/>
        <w:rPr/>
      </w:pPr>
      <w:r>
        <w:rPr>
          <w:rFonts w:ascii="Amiri" w:hAnsi="Amiri" w:eastAsia="Amiri" w:cs="Amiri"/>
          <w:color w:val="111111"/>
          <w:sz w:val="28"/>
          <w:sz w:val="28"/>
          <w:szCs w:val="28"/>
          <w:rtl w:val="true"/>
          <w:lang w:bidi="ar-SA"/>
        </w:rPr>
        <w:t>الكتب و الرسائل الرجاليّة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رجال الطوسي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الفهرست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خلاصة الأقوال</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أبان بن عثمان و أصحاب الإجماع</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رسالتان في تحقيق حال إبراهيم بن هاشم القمّي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الخبير البصير إلى تحقيق الحال في أبي بصير</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أحمد بن محمّد بن خالد البرقي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أحمد بن محمّد بن عيسى الأشعري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رسالتان في تحقيق حال إسحاق بن عمّار الساباطي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حسين بن خالد</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حماد بن عيسى الجهني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تحقيق حال سهل بن زياد الآدمي الرازي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شهاب بن عبد ربّه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عبد الحميد بن سالم العطّار وولده محمّد</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عمر بن يزيد</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تعيين محمّد بن إسماعيل الواقع في صدر بعض أسانيد الكافي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تحقيق حال محمّد بن أحمد الراوي عن العمركي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خالد البرقي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رسالتان في تحقيق حال محمّد بن سنان</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الفضيل</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عيسى اليقطيني</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أشخاص الّذين لقّبوا بما جيلويه</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معاوية بن شريح و معاوية بن ميسرة و أنّهما واحد</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بيان العدّة المتكرّرة في أسانيد الكافي </w:t>
      </w:r>
      <w:r>
        <w:rPr>
          <w:rStyle w:val="FootnoteAnchor"/>
          <w:rtl w:val="true"/>
        </w:rPr>
        <w:footnoteReference w:id="3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قدس‌سرهباصفهان </w:t>
      </w:r>
      <w:r>
        <w:rPr>
          <w:rFonts w:eastAsia="IRNazanin" w:cs="IRNazanin"/>
          <w:color w:val="111111"/>
          <w:sz w:val="28"/>
          <w:szCs w:val="28"/>
          <w:rtl w:val="true"/>
          <w:lang w:bidi="fa-IR"/>
        </w:rPr>
        <w:t>.</w:t>
      </w:r>
      <w:bookmarkStart w:id="38" w:name="pg7914_81829"/>
    </w:p>
    <w:p>
      <w:pPr>
        <w:pStyle w:val="BookText"/>
        <w:rPr/>
      </w:pPr>
      <w:bookmarkEnd w:id="38"/>
      <w:r>
        <w:rPr>
          <w:rFonts w:ascii="Amiri" w:hAnsi="Amiri" w:eastAsia="Amiri" w:cs="Amiri"/>
          <w:color w:val="111111"/>
          <w:sz w:val="28"/>
          <w:sz w:val="28"/>
          <w:szCs w:val="28"/>
          <w:rtl w:val="true"/>
          <w:lang w:bidi="ar-SA"/>
        </w:rPr>
        <w:t>الكتب و الرسائل المتفرّقة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أصول الدين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و جواب عن بعض عقائد الشيخيّة</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أنّ المراد من الطعام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طعام الّذين أوتوا الكتاب 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 اللامعة للبهجة المرضيّة</w:t>
      </w:r>
    </w:p>
    <w:p>
      <w:pPr>
        <w:pStyle w:val="Heading4"/>
        <w:numPr>
          <w:ilvl w:val="3"/>
          <w:numId w:val="1"/>
        </w:numPr>
        <w:rPr/>
      </w:pPr>
      <w:bookmarkStart w:id="39" w:name="__RefHeading___Toc6320804_1051229030"/>
      <w:bookmarkStart w:id="40" w:name="_Toc14"/>
      <w:bookmarkEnd w:id="39"/>
      <w:r>
        <w:rPr>
          <w:rtl w:val="true"/>
        </w:rPr>
        <w:t>وفاته و مرقده</w:t>
      </w:r>
      <w:bookmarkEnd w:id="40"/>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تقريبًا، ثمّ أجاب دعوة الإلهيّة في عصيرة يوم الأحد، الثاني من شهر ربيع الثاني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اول حمل و دويم ربيع دويم زدامگاه جهان شد بسوى دار سلامبلفظ تازى تاريخ رحلتش گفتم چو بشمرى مأتين است و ألف و ستّين عام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w:t>
      </w:r>
    </w:p>
    <w:p>
      <w:pPr>
        <w:pStyle w:val="BookText"/>
        <w:rPr/>
      </w:pPr>
      <w:r>
        <w:rPr>
          <w:rFonts w:ascii="Amiri" w:hAnsi="Amiri" w:eastAsia="Amiri" w:cs="Amiri"/>
          <w:color w:val="111111"/>
          <w:sz w:val="28"/>
          <w:sz w:val="28"/>
          <w:szCs w:val="28"/>
          <w:rtl w:val="true"/>
          <w:lang w:bidi="ar-SA"/>
        </w:rPr>
        <w:t xml:space="preserve">الأقوال ؛ و دفن بعد ثلاثة أيّام من وفاته في البقعة الّتي بناها لنفسه في جانب مسجده الكبير باصبهان، و هي الآن مشهد معروف و مزار متبرّك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الچهارسوقي قدس‌سره في الروضات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ير مثل يوم وفاته، يوم عظيم، ملأت زقاق البلد من أفواج الأنام رجالاً و نساءًا، يبكون عليه بكاء الفاقد والده الرحيم و مشفقه الكريم، بحيث كان همهمة الخلائق تسمع من وراء البلد، و غسل في بيته الشريف، ثمّ أتى به إلى المسجد، فصلّى عليه ولده الأفضل و خلفه الأسعد الأرشد و الفقيه الأوحد والحبر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 سيّدنا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العجائب اتّفاق فراغه من التحصيل و مراجعته من النجف الأشرف بإصرار والده الجليل في سنة وفاته، و مسارعة روحه المطهّر إلى جنّاته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41" w:name="pg7914_81832"/>
    </w:p>
    <w:p>
      <w:pPr>
        <w:pStyle w:val="Heading3"/>
        <w:numPr>
          <w:ilvl w:val="2"/>
          <w:numId w:val="1"/>
        </w:numPr>
        <w:rPr/>
      </w:pPr>
      <w:bookmarkStart w:id="42" w:name="__RefHeading___Toc6320806_1051229030"/>
      <w:bookmarkStart w:id="43" w:name="_Toc15"/>
      <w:bookmarkEnd w:id="41"/>
      <w:bookmarkEnd w:id="42"/>
      <w:r>
        <w:rPr/>
        <w:t>2</w:t>
      </w:r>
      <w:r>
        <w:rPr>
          <w:rtl w:val="true"/>
        </w:rPr>
        <w:t xml:space="preserve">- </w:t>
      </w:r>
      <w:r>
        <w:rPr>
          <w:rtl w:val="true"/>
        </w:rPr>
        <w:t>التعريف بالرسالة</w:t>
      </w:r>
      <w:bookmarkEnd w:id="43"/>
    </w:p>
    <w:p>
      <w:pPr>
        <w:pStyle w:val="BookText"/>
        <w:rPr/>
      </w:pPr>
      <w:r>
        <w:rPr>
          <w:rFonts w:ascii="Amiri" w:hAnsi="Amiri" w:eastAsia="Amiri" w:cs="Amiri"/>
          <w:color w:val="111111"/>
          <w:sz w:val="28"/>
          <w:sz w:val="28"/>
          <w:szCs w:val="28"/>
          <w:rtl w:val="true"/>
          <w:lang w:bidi="ar-SA"/>
        </w:rPr>
        <w:t xml:space="preserve">لا إشكال و لا ترديد في نسبة هذا الأثر الفقهيّ القيّم إلى مؤلّفنا الجليل صاحب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في شرح شرائع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الكتاب المستطاب الّذي أحاط بدقائق الفقه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العصير العنبيّ والزبيبيّ والتمريّ ؛ من تأليفات فخر الشيعة و ركن الشريعة العلاّمة الحاجّ السيّد محمّد باقر بن محمّد نقي الموسويّ الشفتيّ الرشتيّ الجيلانيّ الأصفهانيّ،</w:t>
      </w:r>
    </w:p>
    <w:p>
      <w:pPr>
        <w:pStyle w:val="BookText"/>
        <w:rPr/>
      </w:pPr>
      <w:r>
        <w:rPr>
          <w:rFonts w:ascii="Amiri" w:hAnsi="Amiri" w:eastAsia="Amiri" w:cs="Amiri"/>
          <w:color w:val="111111"/>
          <w:sz w:val="28"/>
          <w:sz w:val="28"/>
          <w:szCs w:val="28"/>
          <w:rtl w:val="true"/>
          <w:lang w:bidi="ar-SA"/>
        </w:rPr>
        <w:t xml:space="preserve">المعروف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دار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رسالةٌ استدلاليّة، كتبها في جواب مَن سأله عن حكم أكل الزبيب إذا ألقي في قِدر فيه ماء و كان يغلي، و أنّه على تقدير الحرمة هل هو نجس، أم لا ؟</w:t>
      </w:r>
    </w:p>
    <w:p>
      <w:pPr>
        <w:pStyle w:val="BookText"/>
        <w:rPr/>
      </w:pPr>
      <w:r>
        <w:rPr>
          <w:rFonts w:ascii="Amiri" w:hAnsi="Amiri" w:eastAsia="Amiri" w:cs="Amiri"/>
          <w:color w:val="111111"/>
          <w:sz w:val="28"/>
          <w:sz w:val="28"/>
          <w:szCs w:val="28"/>
          <w:rtl w:val="true"/>
          <w:lang w:bidi="ar-SA"/>
        </w:rPr>
        <w:t xml:space="preserve">توجد ضمن مجموعةٍ نفيسة جدًّا من رسائل المصنّف قدس‌سره سمّيت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كتابتها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 المسألة هكذا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مى‌فرمايند علماى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اللّه مساعيهم الجميلة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كشمش كه در ميان </w:t>
      </w:r>
      <w:r>
        <w:rPr>
          <w:rStyle w:val="FootnoteAnchor"/>
          <w:rtl w:val="true"/>
        </w:rPr>
        <w:footnoteReference w:id="36"/>
      </w:r>
      <w:r>
        <w:rPr>
          <w:rFonts w:ascii="Amiri" w:hAnsi="Amiri" w:eastAsia="Amiri" w:cs="Amiri"/>
          <w:color w:val="111111"/>
          <w:sz w:val="28"/>
          <w:sz w:val="28"/>
          <w:szCs w:val="28"/>
          <w:rtl w:val="true"/>
          <w:lang w:bidi="ar-SA"/>
        </w:rPr>
        <w:t xml:space="preserve">آب بجوشد، مثل ميان </w:t>
      </w:r>
      <w:r>
        <w:rPr>
          <w:rStyle w:val="FootnoteAnchor"/>
          <w:rtl w:val="true"/>
        </w:rPr>
        <w:footnoteReference w:id="37"/>
      </w:r>
      <w:r>
        <w:rPr>
          <w:rFonts w:ascii="Amiri" w:hAnsi="Amiri" w:eastAsia="Amiri" w:cs="Amiri"/>
          <w:color w:val="111111"/>
          <w:sz w:val="28"/>
          <w:sz w:val="28"/>
          <w:szCs w:val="28"/>
          <w:rtl w:val="true"/>
          <w:lang w:bidi="ar-SA"/>
        </w:rPr>
        <w:t xml:space="preserve">ديزى و كوبيده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غيرهما، آيا أكل آن حرام است، يا نه ؟ و بر فرض حرمت، آيا نجس است يا نه ؟ و بر فرض حكم به نجاست، آيا منجّس است يا خير ؟</w:t>
      </w:r>
    </w:p>
    <w:p>
      <w:pPr>
        <w:pStyle w:val="BookText"/>
        <w:rPr/>
      </w:pPr>
      <w:r>
        <w:rPr>
          <w:rFonts w:ascii="Amiri" w:hAnsi="Amiri" w:eastAsia="Amiri" w:cs="Amiri"/>
          <w:color w:val="111111"/>
          <w:sz w:val="28"/>
          <w:sz w:val="28"/>
          <w:szCs w:val="28"/>
          <w:rtl w:val="true"/>
          <w:lang w:bidi="ar-SA"/>
        </w:rPr>
        <w:t>قد ذكر المؤلّف قدس‌سره في الجواب فروعًا كثيرة تتعلّق بالمسألة، و أدرج فيه تحقيقات رشيقة و فوائد نافعة مفيدة تنبئ عن دقّة نظره و غوره، واستوفى فيه إنصافًا حقّ الاستدلال والتحليل ؛ و كان هذا ممّا يدلّ على طول باعه و تبحّره في المباحث الفقهيّة، إلاّ أنّ المؤسف عدم توفيقه لإتمامه، جزاه اللّه تعالى عن الإسلام</w:t>
      </w:r>
    </w:p>
    <w:p>
      <w:pPr>
        <w:pStyle w:val="BookText"/>
        <w:rPr/>
      </w:pPr>
      <w:r>
        <w:rPr>
          <w:rFonts w:ascii="Amiri" w:hAnsi="Amiri" w:eastAsia="Amiri" w:cs="Amiri"/>
          <w:color w:val="111111"/>
          <w:sz w:val="28"/>
          <w:sz w:val="28"/>
          <w:szCs w:val="28"/>
          <w:rtl w:val="true"/>
          <w:lang w:bidi="ar-SA"/>
        </w:rPr>
        <w:t xml:space="preserve">وأهله خير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السيّد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مضجعه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مواضيع بحثه في هذه الرسالة إلى ثلاثة مباحث، بالشكل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العصير العنبيّ و ما يتعلّق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العصير الزبيبيّ و ما يتعلّق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العصير التمريّ و ما يتعلّق به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لم يوفّق لإتمامه، فبرز من قلمه إلى آخر المبحث الأوّل </w:t>
      </w:r>
      <w:r>
        <w:rPr>
          <w:rFonts w:eastAsia="Amiri" w:cs="Amiri" w:ascii="Amiri" w:hAnsi="Amiri"/>
          <w:color w:val="111111"/>
          <w:sz w:val="28"/>
          <w:szCs w:val="28"/>
          <w:rtl w:val="true"/>
          <w:lang w:bidi="ar-SA"/>
        </w:rPr>
        <w:t xml:space="preserve">. </w:t>
      </w:r>
      <w:bookmarkStart w:id="44" w:name="pg7914_81836"/>
    </w:p>
    <w:p>
      <w:pPr>
        <w:pStyle w:val="Heading3"/>
        <w:numPr>
          <w:ilvl w:val="2"/>
          <w:numId w:val="1"/>
        </w:numPr>
        <w:rPr/>
      </w:pPr>
      <w:bookmarkStart w:id="45" w:name="__RefHeading___Toc6320808_1051229030"/>
      <w:bookmarkStart w:id="46" w:name="_Toc16"/>
      <w:bookmarkEnd w:id="44"/>
      <w:bookmarkEnd w:id="45"/>
      <w:r>
        <w:rPr/>
        <w:t>3</w:t>
      </w:r>
      <w:r>
        <w:rPr>
          <w:rtl w:val="true"/>
        </w:rPr>
        <w:t xml:space="preserve">- </w:t>
      </w:r>
      <w:r>
        <w:rPr>
          <w:rtl w:val="true"/>
        </w:rPr>
        <w:t>منهجيّة التحقيق</w:t>
      </w:r>
      <w:bookmarkEnd w:id="46"/>
    </w:p>
    <w:p>
      <w:pPr>
        <w:pStyle w:val="BookText"/>
        <w:rPr/>
      </w:pPr>
      <w:r>
        <w:rPr>
          <w:rFonts w:ascii="Amiri" w:hAnsi="Amiri" w:eastAsia="Amiri" w:cs="Amiri"/>
          <w:color w:val="111111"/>
          <w:sz w:val="28"/>
          <w:sz w:val="28"/>
          <w:szCs w:val="28"/>
          <w:rtl w:val="true"/>
          <w:lang w:bidi="ar-SA"/>
        </w:rPr>
        <w:t xml:space="preserve">قد اعتمدنا في تحقيق هذه الرسالة على نسختين خطّيتين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مصوّرة من أصلها المخزون في مكتبة أميرالمؤمنين عليه‌السلام بأصفهان،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ضمن مجموعةٍ تحتوي على عدّة رسائل للمصنّف قدس‌سره</w:t>
      </w:r>
    </w:p>
    <w:p>
      <w:pPr>
        <w:pStyle w:val="BookText"/>
        <w:rPr/>
      </w:pP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 بخطّ النسخ الجيّد الميرزا أحمد</w:t>
      </w:r>
    </w:p>
    <w:p>
      <w:pPr>
        <w:pStyle w:val="BookText"/>
        <w:rPr/>
      </w:pPr>
      <w:r>
        <w:rPr>
          <w:rFonts w:ascii="Amiri" w:hAnsi="Amiri" w:eastAsia="Amiri" w:cs="Amiri"/>
          <w:color w:val="111111"/>
          <w:sz w:val="28"/>
          <w:sz w:val="28"/>
          <w:szCs w:val="28"/>
          <w:rtl w:val="true"/>
          <w:lang w:bidi="ar-SA"/>
        </w:rPr>
        <w:t xml:space="preserve">بن محمّد تقي الخوانساريّ، و فرغ من كتابتها في الثاني من شهر محرّم الحرام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قد رمزنا لها في الهامش بالحرف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مصوّرة من أصلها المخزون في المكتبة الرضويّة في مشهد المقدّسة،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57680</w:t>
      </w:r>
      <w:r>
        <w:rPr>
          <w:rFonts w:ascii="Amiri" w:hAnsi="Amiri" w:eastAsia="Amiri" w:cs="Amiri"/>
          <w:color w:val="111111"/>
          <w:sz w:val="28"/>
          <w:sz w:val="28"/>
          <w:szCs w:val="28"/>
          <w:rtl w:val="true"/>
          <w:lang w:bidi="ar-SA"/>
        </w:rPr>
        <w:t xml:space="preserve">، و هي أيضًا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 أيضًا الميرزا أحمد بن محمّد تقي الخوانساريّ، و فرغ من كتابتها</w:t>
      </w:r>
    </w:p>
    <w:p>
      <w:pPr>
        <w:pStyle w:val="BookText"/>
        <w:rPr/>
      </w:pPr>
      <w:r>
        <w:rPr>
          <w:rFonts w:ascii="Amiri" w:hAnsi="Amiri" w:eastAsia="Amiri" w:cs="Amiri"/>
          <w:color w:val="111111"/>
          <w:sz w:val="28"/>
          <w:sz w:val="28"/>
          <w:szCs w:val="28"/>
          <w:rtl w:val="true"/>
          <w:lang w:bidi="ar-SA"/>
        </w:rPr>
        <w:t xml:space="preserve">في شهر شعبان المعظّم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قد رمزنا لها في الهامش بالحرف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فاعتمدنا في تحقيق هذه الرسالة الشريفة بطريقة التلفيق بين النسختين الخطّيتين، و كان منهج التحقيق وفق المراحل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ما يحتاج إلى تخريجٍ من آياتٍ قرآنيّة كريمة، و أحاديثٍ شريفة، و أقوالٍ من مصادرها على قدر المستطاع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أوضحت المواضع المشكلة و العبارات المبهمة، و شرحت بعض اللغات </w:t>
      </w:r>
    </w:p>
    <w:p>
      <w:pPr>
        <w:pStyle w:val="BookText"/>
        <w:rPr/>
      </w:pPr>
      <w:r>
        <w:rPr>
          <w:rFonts w:ascii="Amiri" w:hAnsi="Amiri" w:eastAsia="Amiri" w:cs="Amiri"/>
          <w:color w:val="111111"/>
          <w:sz w:val="28"/>
          <w:sz w:val="28"/>
          <w:szCs w:val="28"/>
          <w:rtl w:val="true"/>
          <w:lang w:bidi="ar-SA"/>
        </w:rPr>
        <w:t xml:space="preserve">الغريبة الواردة في المتن مع الاستعانة بكتب اللغة و معاجم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أضفت عناوين فرعيّة في المتن بين قوسين معقوفين كي يسهّل الوصول إلى تفاصيل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في نهاية الكتاب فهرسًا للموضوعات المطروحة، و فهرسًا لمراجع البحث، تسهيلاً لمهمّة الباحثين والمراجعين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بذلنا قصارى جهدنا في تحقيق هذا السفر القيّم و إخراجه إلى عالم النور، فما وجد فيه من خلل أو خطأ، فهو عن قصور، لا 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 منّا هذا القليل بقبول حسن ؛ و نسأله أن يوفّقنا لإحياء تراث أهل البيت عليهم‌السلام و علمائنا الأبرار، خصوصًا بقيّة آثار جدّنا الأمجد الأسعد العلاّمة المحقّق والفقيه الأصوليّ الأوحد السيّد محمّد باقر الشفتيّ المعروف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سلفه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والصلاة والسلام على محمّد وأهل بيته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مهدي الشفتيّ</w:t>
      </w:r>
    </w:p>
    <w:p>
      <w:pPr>
        <w:pStyle w:val="BookText"/>
        <w:rPr/>
      </w:pP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حجّة الحرام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صانها اللّه عن الحدثان </w:t>
      </w:r>
      <w:bookmarkStart w:id="47" w:name="pg7914_81840"/>
    </w:p>
    <w:p>
      <w:pPr>
        <w:pStyle w:val="Heading2"/>
        <w:numPr>
          <w:ilvl w:val="1"/>
          <w:numId w:val="1"/>
        </w:numPr>
        <w:rPr/>
      </w:pPr>
      <w:bookmarkStart w:id="48" w:name="__RefHeading___Toc6320810_1051229030"/>
      <w:bookmarkStart w:id="49" w:name="_Toc17"/>
      <w:bookmarkEnd w:id="47"/>
      <w:bookmarkEnd w:id="48"/>
      <w:r>
        <w:rPr>
          <w:rtl w:val="true"/>
        </w:rPr>
        <w:t>رسالة في العصير العنبيّ والزبيبيّ والتمريّ</w:t>
      </w:r>
      <w:bookmarkEnd w:id="49"/>
    </w:p>
    <w:p>
      <w:pPr>
        <w:pStyle w:val="Heading3"/>
        <w:numPr>
          <w:ilvl w:val="2"/>
          <w:numId w:val="1"/>
        </w:numPr>
        <w:rPr/>
      </w:pPr>
      <w:bookmarkStart w:id="50" w:name="__RefHeading___Toc6320812_1051229030"/>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المحقّق الفقيه الأصوليّ</w:t>
      </w:r>
    </w:p>
    <w:p>
      <w:pPr>
        <w:pStyle w:val="BookText"/>
        <w:rPr/>
      </w:pPr>
      <w:r>
        <w:rPr>
          <w:rFonts w:ascii="Amiri" w:hAnsi="Amiri" w:eastAsia="Amiri" w:cs="Amiri"/>
          <w:color w:val="111111"/>
          <w:sz w:val="28"/>
          <w:sz w:val="28"/>
          <w:szCs w:val="28"/>
          <w:rtl w:val="true"/>
          <w:lang w:bidi="ar-SA"/>
        </w:rPr>
        <w:t>الحاجّ السيّد محمّد باقر الشفتيّ قدس‌سره</w:t>
      </w:r>
    </w:p>
    <w:p>
      <w:pPr>
        <w:pStyle w:val="BookText"/>
        <w:rPr/>
      </w:pPr>
      <w:r>
        <w:rPr>
          <w:rFonts w:ascii="Amiri" w:hAnsi="Amiri" w:eastAsia="Amiri" w:cs="Amiri"/>
          <w:color w:val="111111"/>
          <w:sz w:val="28"/>
          <w:sz w:val="28"/>
          <w:szCs w:val="28"/>
          <w:rtl w:val="true"/>
          <w:lang w:bidi="ar-SA"/>
        </w:rPr>
        <w:t>المعروف بحجّة الإسلام على الإطلاق</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مهدي الشفتيّ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914_81844"/>
      <w:bookmarkStart w:id="53" w:name="pg7914_81844"/>
      <w:bookmarkEnd w:id="53"/>
    </w:p>
    <w:p>
      <w:pPr>
        <w:pStyle w:val="BookText"/>
        <w:rPr/>
      </w:pPr>
      <w:bookmarkStart w:id="54" w:name="pg7914_81844"/>
      <w:bookmarkEnd w:id="5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المنعم المتعال، الرازق لعباده الطيّبات والحلال المطعم، المخلّص عن الجوع، المؤمّن من الخوف والملال، والصلاة والسلام على من رزق الورى بطفيله المطعومات المستلذّات، بل بوجوده خلقت الموجودات، محمّد وآله الّذين بِيُمْنِهم تنزل </w:t>
      </w:r>
      <w:r>
        <w:rPr>
          <w:rStyle w:val="FootnoteAnchor"/>
          <w:rtl w:val="true"/>
        </w:rPr>
        <w:footnoteReference w:id="39"/>
      </w:r>
      <w:r>
        <w:rPr>
          <w:rFonts w:ascii="Amiri" w:hAnsi="Amiri" w:eastAsia="Amiri" w:cs="Amiri"/>
          <w:color w:val="111111"/>
          <w:sz w:val="28"/>
          <w:sz w:val="28"/>
          <w:szCs w:val="28"/>
          <w:rtl w:val="true"/>
          <w:lang w:bidi="ar-SA"/>
        </w:rPr>
        <w:t xml:space="preserve">البركات من السماوات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6320814_1051229030"/>
      <w:bookmarkStart w:id="56" w:name="_Toc19"/>
      <w:bookmarkEnd w:id="55"/>
      <w:r>
        <w:rPr>
          <w:rtl w:val="true"/>
        </w:rPr>
        <w:t xml:space="preserve">[ </w:t>
      </w:r>
      <w:r>
        <w:rPr>
          <w:rtl w:val="true"/>
        </w:rPr>
        <w:t xml:space="preserve">مسأله </w:t>
      </w:r>
      <w:r>
        <w:rPr>
          <w:rtl w:val="true"/>
        </w:rPr>
        <w:t>]</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مى‌فرمايند علماى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اللّه مساعيهم الجميلة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كشمش كه در ميان </w:t>
      </w:r>
      <w:r>
        <w:rPr>
          <w:rStyle w:val="FootnoteAnchor"/>
          <w:rtl w:val="true"/>
        </w:rPr>
        <w:footnoteReference w:id="41"/>
      </w:r>
      <w:r>
        <w:rPr>
          <w:rFonts w:ascii="Amiri" w:hAnsi="Amiri" w:eastAsia="Amiri" w:cs="Amiri"/>
          <w:color w:val="111111"/>
          <w:sz w:val="28"/>
          <w:sz w:val="28"/>
          <w:szCs w:val="28"/>
          <w:rtl w:val="true"/>
          <w:lang w:bidi="ar-SA"/>
        </w:rPr>
        <w:t xml:space="preserve">آب بجوشد، مثل ميان </w:t>
      </w:r>
      <w:r>
        <w:rPr>
          <w:rStyle w:val="FootnoteAnchor"/>
          <w:rtl w:val="true"/>
        </w:rPr>
        <w:footnoteReference w:id="42"/>
      </w:r>
      <w:r>
        <w:rPr>
          <w:rFonts w:ascii="Amiri" w:hAnsi="Amiri" w:eastAsia="Amiri" w:cs="Amiri"/>
          <w:color w:val="111111"/>
          <w:sz w:val="28"/>
          <w:sz w:val="28"/>
          <w:szCs w:val="28"/>
          <w:rtl w:val="true"/>
          <w:lang w:bidi="ar-SA"/>
        </w:rPr>
        <w:t xml:space="preserve">ديزى و كوبيده </w:t>
      </w:r>
      <w:r>
        <w:rPr>
          <w:rStyle w:val="FootnoteAnchor"/>
          <w:rtl w:val="true"/>
        </w:rPr>
        <w:footnoteReference w:id="43"/>
      </w:r>
      <w:r>
        <w:rPr>
          <w:rFonts w:ascii="Amiri" w:hAnsi="Amiri" w:eastAsia="Amiri" w:cs="Amiri"/>
          <w:color w:val="111111"/>
          <w:sz w:val="28"/>
          <w:sz w:val="28"/>
          <w:szCs w:val="28"/>
          <w:rtl w:val="true"/>
          <w:lang w:bidi="ar-SA"/>
        </w:rPr>
        <w:t xml:space="preserve">و غيرهما، آيا </w:t>
      </w:r>
      <w:bookmarkStart w:id="57" w:name="pg7914_81846"/>
    </w:p>
    <w:p>
      <w:pPr>
        <w:pStyle w:val="BookText"/>
        <w:rPr/>
      </w:pPr>
      <w:bookmarkEnd w:id="57"/>
      <w:r>
        <w:rPr>
          <w:rFonts w:ascii="Amiri" w:hAnsi="Amiri" w:eastAsia="Amiri" w:cs="Amiri"/>
          <w:color w:val="111111"/>
          <w:sz w:val="28"/>
          <w:sz w:val="28"/>
          <w:szCs w:val="28"/>
          <w:rtl w:val="true"/>
          <w:lang w:bidi="ar-SA"/>
        </w:rPr>
        <w:t>أكل آن حرام است، يا نه ؟</w:t>
      </w:r>
    </w:p>
    <w:p>
      <w:pPr>
        <w:pStyle w:val="BookText"/>
        <w:rPr/>
      </w:pPr>
      <w:r>
        <w:rPr>
          <w:rFonts w:ascii="Amiri" w:hAnsi="Amiri" w:eastAsia="Amiri" w:cs="Amiri"/>
          <w:color w:val="111111"/>
          <w:sz w:val="28"/>
          <w:sz w:val="28"/>
          <w:szCs w:val="28"/>
          <w:rtl w:val="true"/>
          <w:lang w:bidi="ar-SA"/>
        </w:rPr>
        <w:t>و بر فرض حرمت، آيا نجس است يا نه ؟ و بر فرض حكم به نجاست، آيا منجّس است يا خير ؟</w:t>
      </w:r>
    </w:p>
    <w:p>
      <w:pPr>
        <w:pStyle w:val="BookText"/>
        <w:rPr/>
      </w:pPr>
      <w:r>
        <w:rPr>
          <w:rFonts w:ascii="IRNazanin" w:hAnsi="IRNazanin" w:eastAsia="IRNazanin"/>
          <w:color w:val="111111"/>
          <w:sz w:val="28"/>
          <w:sz w:val="28"/>
          <w:szCs w:val="28"/>
          <w:rtl w:val="true"/>
          <w:lang w:bidi="fa-IR"/>
        </w:rPr>
        <w:t xml:space="preserve">محضًا للّه و خالصًا لوجهه الكريم، حكم مسأله را بجميع شقوقها را مفصّلاً بيان فرمايند، قطع نظر از عمل به احتياط، آنچه فتوى سركار است بيان فرمايند </w:t>
      </w:r>
      <w:r>
        <w:rPr>
          <w:rFonts w:eastAsia="IRNazanin" w:cs="IRNazanin"/>
          <w:color w:val="111111"/>
          <w:sz w:val="28"/>
          <w:szCs w:val="28"/>
          <w:rtl w:val="true"/>
          <w:lang w:bidi="fa-IR"/>
        </w:rPr>
        <w:t>.</w:t>
      </w:r>
    </w:p>
    <w:p>
      <w:pPr>
        <w:pStyle w:val="Heading3"/>
        <w:numPr>
          <w:ilvl w:val="2"/>
          <w:numId w:val="1"/>
        </w:numPr>
        <w:rPr/>
      </w:pPr>
      <w:bookmarkStart w:id="58" w:name="__RefHeading___Toc6320816_1051229030"/>
      <w:bookmarkStart w:id="59" w:name="_Toc20"/>
      <w:bookmarkEnd w:id="58"/>
      <w:r>
        <w:rPr>
          <w:rtl w:val="true"/>
        </w:rPr>
        <w:t xml:space="preserve">[ </w:t>
      </w:r>
      <w:r>
        <w:rPr>
          <w:rtl w:val="true"/>
        </w:rPr>
        <w:t xml:space="preserve">الجواب </w:t>
      </w:r>
      <w:r>
        <w:rPr>
          <w:rtl w:val="true"/>
        </w:rPr>
        <w:t>]</w:t>
      </w:r>
      <w:bookmarkEnd w:id="59"/>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حال در جواب اين سؤال محتاج است به بسط مقال در چند مبحث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تحقيق عصير عنب است و ما يتعلّق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تحقيق عصير زبيب است و ما يتعلّق به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تحقيق عصير تمر است و ما يتعلّق به </w:t>
      </w:r>
      <w:r>
        <w:rPr>
          <w:rFonts w:eastAsia="Amiri" w:cs="Amiri" w:ascii="Amiri" w:hAnsi="Amiri"/>
          <w:color w:val="111111"/>
          <w:sz w:val="28"/>
          <w:szCs w:val="28"/>
          <w:rtl w:val="true"/>
          <w:lang w:bidi="ar-SA"/>
        </w:rPr>
        <w:t xml:space="preserve">. </w:t>
      </w:r>
      <w:bookmarkStart w:id="60" w:name="pg7914_81848"/>
    </w:p>
    <w:p>
      <w:pPr>
        <w:pStyle w:val="Heading2"/>
        <w:numPr>
          <w:ilvl w:val="1"/>
          <w:numId w:val="1"/>
        </w:numPr>
        <w:rPr/>
      </w:pPr>
      <w:bookmarkStart w:id="61" w:name="__RefHeading___Toc6320818_1051229030"/>
      <w:bookmarkStart w:id="62" w:name="_Toc21"/>
      <w:bookmarkEnd w:id="60"/>
      <w:bookmarkEnd w:id="61"/>
      <w:r>
        <w:rPr>
          <w:rtl w:val="true"/>
        </w:rPr>
        <w:t xml:space="preserve">[ </w:t>
      </w:r>
      <w:r>
        <w:rPr>
          <w:rtl w:val="true"/>
        </w:rPr>
        <w:t xml:space="preserve">المبحث الأوّل </w:t>
      </w:r>
      <w:r>
        <w:rPr>
          <w:rtl w:val="true"/>
        </w:rPr>
        <w:t xml:space="preserve">: </w:t>
      </w:r>
      <w:r>
        <w:rPr>
          <w:rtl w:val="true"/>
        </w:rPr>
        <w:t xml:space="preserve">في العصير العنبيّ </w:t>
      </w:r>
      <w:r>
        <w:rPr>
          <w:rtl w:val="true"/>
        </w:rPr>
        <w:t>]</w:t>
      </w:r>
      <w:bookmarkEnd w:id="62"/>
    </w:p>
    <w:p>
      <w:pPr>
        <w:pStyle w:val="Heading3"/>
        <w:numPr>
          <w:ilvl w:val="2"/>
          <w:numId w:val="1"/>
        </w:numPr>
        <w:rPr/>
      </w:pPr>
      <w:bookmarkStart w:id="63" w:name="__RefHeading___Toc6320820_1051229030"/>
      <w:bookmarkStart w:id="64" w:name="_Toc22"/>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العصير العنبيّ ، فتحقيق الحال فيه يستدعي البحث</w:t>
      </w:r>
    </w:p>
    <w:p>
      <w:pPr>
        <w:pStyle w:val="Heading3"/>
        <w:numPr>
          <w:ilvl w:val="2"/>
          <w:numId w:val="1"/>
        </w:numPr>
        <w:rPr/>
      </w:pPr>
      <w:bookmarkStart w:id="65" w:name="__RefHeading___Toc6320822_1051229030"/>
      <w:bookmarkStart w:id="66" w:name="_Toc23"/>
      <w:bookmarkEnd w:id="65"/>
      <w:r>
        <w:rPr>
          <w:rtl w:val="true"/>
        </w:rPr>
        <w:t xml:space="preserve">في ثلاثة مطالب </w:t>
      </w:r>
      <w:r>
        <w:rPr>
          <w:rtl w:val="true"/>
        </w:rPr>
        <w:t>:</w:t>
      </w:r>
      <w:bookmarkEnd w:id="66"/>
    </w:p>
    <w:p>
      <w:pPr>
        <w:pStyle w:val="Heading2"/>
        <w:numPr>
          <w:ilvl w:val="1"/>
          <w:numId w:val="1"/>
        </w:numPr>
        <w:rPr/>
      </w:pPr>
      <w:bookmarkStart w:id="67" w:name="__RefHeading___Toc6320824_1051229030"/>
      <w:bookmarkStart w:id="68" w:name="_Toc24"/>
      <w:bookmarkEnd w:id="67"/>
      <w:r>
        <w:rPr>
          <w:rtl w:val="true"/>
        </w:rPr>
        <w:t xml:space="preserve">[ </w:t>
      </w:r>
      <w:r>
        <w:rPr>
          <w:rtl w:val="true"/>
        </w:rPr>
        <w:t xml:space="preserve">المطلب الأوّل </w:t>
      </w:r>
      <w:r>
        <w:rPr>
          <w:rtl w:val="true"/>
        </w:rPr>
        <w:t xml:space="preserve">: </w:t>
      </w:r>
      <w:r>
        <w:rPr>
          <w:rtl w:val="true"/>
        </w:rPr>
        <w:t xml:space="preserve">في كلمات العلماء في العصير العنبيّ </w:t>
      </w:r>
      <w:r>
        <w:rPr>
          <w:rtl w:val="true"/>
        </w:rPr>
        <w:t>]</w:t>
      </w:r>
      <w:bookmarkEnd w:id="68"/>
    </w:p>
    <w:p>
      <w:pPr>
        <w:pStyle w:val="Heading3"/>
        <w:numPr>
          <w:ilvl w:val="2"/>
          <w:numId w:val="1"/>
        </w:numPr>
        <w:rPr/>
      </w:pPr>
      <w:bookmarkStart w:id="69" w:name="__RefHeading___Toc6320826_1051229030"/>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وصل إلينا في هذا المرام من كلمات العلماء الأعلام،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شيخنا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الفقيه، ما هذا لفظه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رضى‌الله‌عنه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أصل الخمر من الكرم إذا أصابته النار، أو غلى من غير أن تمسّه النار، فيصير أسفله أعلاه، فهو خمر، لايحلّ شربه إلاّ أن يذهب ثلثاه، فيبقى ثلثه، فإن نشّ </w:t>
      </w:r>
      <w:r>
        <w:rPr>
          <w:rStyle w:val="FootnoteAnchor"/>
          <w:rtl w:val="true"/>
        </w:rPr>
        <w:footnoteReference w:id="44"/>
      </w:r>
      <w:r>
        <w:rPr>
          <w:rFonts w:ascii="Amiri" w:hAnsi="Amiri" w:eastAsia="Amiri" w:cs="Amiri"/>
          <w:color w:val="111111"/>
          <w:sz w:val="28"/>
          <w:sz w:val="28"/>
          <w:szCs w:val="28"/>
          <w:rtl w:val="true"/>
          <w:lang w:bidi="ar-SA"/>
        </w:rPr>
        <w:t xml:space="preserve">من غير أن </w:t>
      </w:r>
    </w:p>
    <w:p>
      <w:pPr>
        <w:pStyle w:val="BookText"/>
        <w:rPr/>
      </w:pPr>
      <w:r>
        <w:rPr>
          <w:rFonts w:ascii="Amiri" w:hAnsi="Amiri" w:eastAsia="Amiri" w:cs="Amiri"/>
          <w:color w:val="111111"/>
          <w:sz w:val="28"/>
          <w:sz w:val="28"/>
          <w:szCs w:val="28"/>
          <w:rtl w:val="true"/>
          <w:lang w:bidi="ar-SA"/>
        </w:rPr>
        <w:t xml:space="preserve">تمسّه النار، فدعه حتّى يصير خلاًّ من ذاته من غير أن تلقى فيه شيئًا، فإذا صار خلاًّ من ذاته حلّ أكله، فإن تغيّر بعد ذلك و صار خمرًا، فلا بأس أن تلقى فيه ملحًا أو غيره ؛ وإن صبّ في الخلّ خمر لم يجز أكله حتّى يعزل من ذلك الخمر في إناء و يصبر حتّى يصير خلاًّ، فإذا صار خلاًّ أكل ذلك الخلّ الّذي صبّ فيه الخمر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المقنع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والدي رضى‌الله‌عنه في وصيّته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أصل الخمر من الكرم إذا أصابته النار، أو غلى من غير أن تصيبه النار، فيصير أسفله أعلاه، فهو خمر لا يحلّ شربه إلاّ أن يذهب ثلثاه و يبقى ثلثه، فإن نشّ من غير أن تصيبه النار، فدعه حتىّ يصير خلاًّ من ذاته من غير أن تلقى عليه </w:t>
      </w:r>
      <w:r>
        <w:rPr>
          <w:rStyle w:val="FootnoteAnchor"/>
          <w:rtl w:val="true"/>
        </w:rPr>
        <w:footnoteReference w:id="46"/>
      </w:r>
      <w:r>
        <w:rPr>
          <w:rFonts w:ascii="Amiri" w:hAnsi="Amiri" w:eastAsia="Amiri" w:cs="Amiri"/>
          <w:color w:val="111111"/>
          <w:sz w:val="28"/>
          <w:sz w:val="28"/>
          <w:szCs w:val="28"/>
          <w:rtl w:val="true"/>
          <w:lang w:bidi="ar-SA"/>
        </w:rPr>
        <w:t xml:space="preserve">ملحًا، أو غيره حتّى تتحوّل </w:t>
      </w:r>
      <w:r>
        <w:rPr>
          <w:rStyle w:val="FootnoteAnchor"/>
          <w:rtl w:val="true"/>
        </w:rPr>
        <w:footnoteReference w:id="47"/>
      </w:r>
      <w:r>
        <w:rPr>
          <w:rFonts w:ascii="Amiri" w:hAnsi="Amiri" w:eastAsia="Amiri" w:cs="Amiri"/>
          <w:color w:val="111111"/>
          <w:sz w:val="28"/>
          <w:sz w:val="28"/>
          <w:szCs w:val="28"/>
          <w:rtl w:val="true"/>
          <w:lang w:bidi="ar-SA"/>
        </w:rPr>
        <w:t xml:space="preserve">خلاًّ، وإن صبّ </w:t>
      </w:r>
      <w:r>
        <w:rPr>
          <w:rStyle w:val="FootnoteAnchor"/>
          <w:rtl w:val="true"/>
        </w:rPr>
        <w:footnoteReference w:id="48"/>
      </w:r>
      <w:r>
        <w:rPr>
          <w:rFonts w:ascii="Amiri" w:hAnsi="Amiri" w:eastAsia="Amiri" w:cs="Amiri"/>
          <w:color w:val="111111"/>
          <w:sz w:val="28"/>
          <w:sz w:val="28"/>
          <w:szCs w:val="28"/>
          <w:rtl w:val="true"/>
          <w:lang w:bidi="ar-SA"/>
        </w:rPr>
        <w:t xml:space="preserve">في الخلّ خمر لم يجز أكله </w:t>
      </w:r>
      <w:r>
        <w:rPr>
          <w:rStyle w:val="FootnoteAnchor"/>
          <w:rtl w:val="true"/>
        </w:rPr>
        <w:footnoteReference w:id="49"/>
      </w:r>
      <w:r>
        <w:rPr>
          <w:rFonts w:ascii="Amiri" w:hAnsi="Amiri" w:eastAsia="Amiri" w:cs="Amiri"/>
          <w:color w:val="111111"/>
          <w:sz w:val="28"/>
          <w:sz w:val="28"/>
          <w:szCs w:val="28"/>
          <w:rtl w:val="true"/>
          <w:lang w:bidi="ar-SA"/>
        </w:rPr>
        <w:t xml:space="preserve">حتّى تصير خلاًّ، فإذا صار خلاًّ أكل ذلك الخلّ الّذي صبّ فيه الخمر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الكتاب المشتبه الحال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قال في موضعٍ آخرٍ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والراوي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الجلالة والوثوق، ذكره شيخ الطائفة في رجاله من أصحاب مولانا الرضا عليه‌السلام ؛ و 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البجلي ثقة، جليل القدر، له كتاب ينسب إلى جعفر بن محمّد عليهماالسلام رواية عليّ بن موسى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الكتاب يمكن أن يكون هو الكتاب المشتهر في هذه الأعصار بفقه الرضا، لأنّ المذكور في أوّل هذا الكتاب بعد الحمد والصلاة على النبيّ وآله عليهم‌السلام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عبداللّه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انّ أوّل ما افترض اللّه على عباده،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هذا الكتاب في عصر الشيخ و ما قبله ممّا نسب إلى مولانا الصادق عليه‌السلام، كما أنّه في هذا الأوان نسب إلى مولانا الرضا عليه‌السلام،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الأنوار في شرح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أصل الخمر من الكرم إذا أصابته النار، أو غلى من غير أن تصيبه النار فهو خمر، و لا يحلّ شربه إلاّ أن يذهب ثلثاه على النار وبقى </w:t>
      </w:r>
      <w:r>
        <w:rPr>
          <w:rStyle w:val="FootnoteAnchor"/>
          <w:rtl w:val="true"/>
        </w:rPr>
        <w:footnoteReference w:id="52"/>
      </w:r>
      <w:r>
        <w:rPr>
          <w:rFonts w:ascii="Amiri" w:hAnsi="Amiri" w:eastAsia="Amiri" w:cs="Amiri"/>
          <w:color w:val="111111"/>
          <w:sz w:val="28"/>
          <w:sz w:val="28"/>
          <w:szCs w:val="28"/>
          <w:rtl w:val="true"/>
          <w:lang w:bidi="ar-SA"/>
        </w:rPr>
        <w:t xml:space="preserve">ثلثه، فإن نشّ من غير أن تصيبه النار، فدعه حتّى يصير خلاًّ من ذاته من غير أن تلقى فيه شيء، فإن تغيّر بعد ذلك و صار خمرًا، فلا بأس أن يطرح فيه ملح أو غيره حتّى تتحوّل </w:t>
      </w:r>
      <w:r>
        <w:rPr>
          <w:rStyle w:val="FootnoteAnchor"/>
          <w:rtl w:val="true"/>
        </w:rPr>
        <w:footnoteReference w:id="53"/>
      </w:r>
      <w:r>
        <w:rPr>
          <w:rFonts w:ascii="Amiri" w:hAnsi="Amiri" w:eastAsia="Amiri" w:cs="Amiri"/>
          <w:color w:val="111111"/>
          <w:sz w:val="28"/>
          <w:sz w:val="28"/>
          <w:szCs w:val="28"/>
          <w:rtl w:val="true"/>
          <w:lang w:bidi="ar-SA"/>
        </w:rPr>
        <w:t xml:space="preserve">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صبّ في الخلّ خمر لا يحلّ أكله حتّى يذهب عليه أيّام و يصير خلاًّ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الأشربة من دعائم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خلط به الماء من لبن أو عسل، أو ما يحلّ أكله و شربه من تمر، أو زبيب، أو غير ذلك من المحلّلات، فشربه حلال ما لم يتغيّر بالغليان والنشيش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استخرج </w:t>
      </w:r>
      <w:r>
        <w:rPr>
          <w:rStyle w:val="FootnoteAnchor"/>
          <w:rtl w:val="true"/>
        </w:rPr>
        <w:footnoteReference w:id="55"/>
      </w:r>
      <w:r>
        <w:rPr>
          <w:rFonts w:ascii="Amiri" w:hAnsi="Amiri" w:eastAsia="Amiri" w:cs="Amiri"/>
          <w:color w:val="111111"/>
          <w:sz w:val="28"/>
          <w:sz w:val="28"/>
          <w:szCs w:val="28"/>
          <w:rtl w:val="true"/>
          <w:lang w:bidi="ar-SA"/>
        </w:rPr>
        <w:t xml:space="preserve">من عصير العنب والتمر والزبيب و طبخ قبل أن ينش حتّى يصير له قوام كقوام العسل، فهو حلال شربه صرفًا ومشوبًا بالماء ما لم يغل، و أكله و بيعه و شراؤه والانتفاع به </w:t>
      </w:r>
      <w:r>
        <w:rPr>
          <w:rFonts w:eastAsia="Amiri" w:cs="Amiri" w:ascii="Amiri" w:hAnsi="Amiri"/>
          <w:color w:val="111111"/>
          <w:sz w:val="28"/>
          <w:szCs w:val="28"/>
          <w:rtl w:val="true"/>
          <w:lang w:bidi="ar-SA"/>
        </w:rPr>
        <w:t xml:space="preserve">. </w:t>
      </w:r>
      <w:bookmarkStart w:id="71" w:name="pg7914_81857"/>
    </w:p>
    <w:p>
      <w:pPr>
        <w:pStyle w:val="BookText"/>
        <w:rPr/>
      </w:pPr>
      <w:bookmarkEnd w:id="71"/>
      <w:r>
        <w:rPr>
          <w:rFonts w:ascii="Amiri" w:hAnsi="Amiri" w:eastAsia="Amiri" w:cs="Amiri"/>
          <w:color w:val="111111"/>
          <w:sz w:val="28"/>
          <w:sz w:val="28"/>
          <w:szCs w:val="28"/>
          <w:rtl w:val="true"/>
          <w:lang w:bidi="ar-SA"/>
        </w:rPr>
        <w:t xml:space="preserve">و قد روينا عن عليّ عليه‌السلام أنّه كان يروق </w:t>
      </w:r>
      <w:r>
        <w:rPr>
          <w:rStyle w:val="FootnoteAnchor"/>
          <w:rtl w:val="true"/>
        </w:rPr>
        <w:footnoteReference w:id="56"/>
      </w:r>
      <w:r>
        <w:rPr>
          <w:rFonts w:ascii="IRNazanin" w:hAnsi="IRNazanin" w:eastAsia="IRNazanin"/>
          <w:color w:val="111111"/>
          <w:sz w:val="28"/>
          <w:sz w:val="28"/>
          <w:szCs w:val="28"/>
          <w:rtl w:val="true"/>
          <w:lang w:bidi="fa-IR"/>
        </w:rPr>
        <w:t xml:space="preserve">الطلاء </w:t>
      </w:r>
      <w:r>
        <w:rPr>
          <w:rStyle w:val="FootnoteAnchor"/>
          <w:rtl w:val="true"/>
        </w:rPr>
        <w:footnoteReference w:id="57"/>
      </w:r>
      <w:r>
        <w:rPr>
          <w:rFonts w:ascii="Amiri" w:hAnsi="Amiri" w:eastAsia="Amiri" w:cs="Amiri"/>
          <w:color w:val="111111"/>
          <w:sz w:val="28"/>
          <w:sz w:val="28"/>
          <w:szCs w:val="28"/>
          <w:rtl w:val="true"/>
          <w:lang w:bidi="ar-SA"/>
        </w:rPr>
        <w:t xml:space="preserve">، و هو ما طبخ من عصير العنب حتّى يصير له قوام كما وصفناه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جعفر محمّد بن عليّ عليهماالسلامأنّه سئل عن شرب العصير،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بشربه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6320828_1051229030"/>
      <w:bookmarkStart w:id="73" w:name="_Toc26"/>
      <w:bookmarkEnd w:id="72"/>
      <w:r>
        <w:rPr>
          <w:rtl w:val="true"/>
        </w:rPr>
        <w:t>تنبيه</w:t>
      </w:r>
      <w:bookmarkEnd w:id="73"/>
    </w:p>
    <w:p>
      <w:pPr>
        <w:pStyle w:val="BookText"/>
        <w:rPr/>
      </w:pPr>
      <w:r>
        <w:rPr>
          <w:rFonts w:ascii="Amiri" w:hAnsi="Amiri" w:eastAsia="Amiri" w:cs="Amiri"/>
          <w:color w:val="111111"/>
          <w:sz w:val="28"/>
          <w:sz w:val="28"/>
          <w:szCs w:val="28"/>
          <w:rtl w:val="true"/>
          <w:lang w:bidi="ar-SA"/>
        </w:rPr>
        <w:t xml:space="preserve">قد اختلف في مصنّف هذا الكتاب، فقال العلاّمة السميّ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للشيخ الصدوق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الفاضل الفقيه المعتمد الشهير بالفاضل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w:t>
      </w:r>
    </w:p>
    <w:p>
      <w:pPr>
        <w:pStyle w:val="BookText"/>
        <w:rPr/>
      </w:pPr>
      <w:r>
        <w:rPr>
          <w:rFonts w:ascii="Amiri" w:hAnsi="Amiri" w:eastAsia="Amiri" w:cs="Amiri"/>
          <w:color w:val="111111"/>
          <w:sz w:val="28"/>
          <w:sz w:val="28"/>
          <w:szCs w:val="28"/>
          <w:rtl w:val="true"/>
          <w:lang w:bidi="ar-SA"/>
        </w:rPr>
        <w:t xml:space="preserve">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المذكور لبعض الاسماعيليّة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عزاه سيّد المحقّقين و سند المدقّقين برهان الملّة والدين، أستادنا، بل أستاد البريّة في عصره، السيّد محمّد مهديّ الطباطبائيّ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تعالى</w:t>
      </w:r>
    </w:p>
    <w:p>
      <w:pPr>
        <w:pStyle w:val="BookText"/>
        <w:rPr/>
      </w:pPr>
      <w:r>
        <w:rPr>
          <w:rFonts w:ascii="IRNazanin" w:hAnsi="IRNazanin" w:eastAsia="IRNazanin"/>
          <w:color w:val="111111"/>
          <w:sz w:val="28"/>
          <w:sz w:val="28"/>
          <w:szCs w:val="28"/>
          <w:rtl w:val="true"/>
          <w:lang w:bidi="fa-IR"/>
        </w:rPr>
        <w:t xml:space="preserve">مضجعه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القاضي نعمان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والقاضي نعمان هو النعمان بن محمّد بن منصور، قاضي مصر، و قد كان في بدو أمره مالكيًّا، ثمّ انتقل إلى مذهب الإماميّة، و صنّف على طريقة الشيعة كتبًا،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دعائم الإسلام، و له فيه و في غيره ردود على فقهاء العامّة، كأبي حنيفة و مالك والشافعيّ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صاحب تأريخ مصر </w:t>
      </w:r>
      <w:r>
        <w:rPr>
          <w:rStyle w:val="FootnoteAnchor"/>
          <w:rtl w:val="true"/>
        </w:rPr>
        <w:footnoteReference w:id="63"/>
      </w:r>
      <w:r>
        <w:rPr>
          <w:rFonts w:ascii="Amiri" w:hAnsi="Amiri" w:eastAsia="Amiri" w:cs="Amiri"/>
          <w:color w:val="111111"/>
          <w:sz w:val="28"/>
          <w:sz w:val="28"/>
          <w:szCs w:val="28"/>
          <w:rtl w:val="true"/>
          <w:lang w:bidi="ar-SA"/>
        </w:rPr>
        <w:t xml:space="preserve">و غيره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 أهل العلم والفقه والدين والنبل على ما لا مزيد عليه،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في علّيين مقامه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المبسوط في مبحث الربا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بيع العصير بعضه ببعض متماثلاً، ولا يجوز متفاضلاً ما لم يغل، </w:t>
      </w:r>
    </w:p>
    <w:p>
      <w:pPr>
        <w:pStyle w:val="BookText"/>
        <w:rPr/>
      </w:pPr>
      <w:r>
        <w:rPr>
          <w:rFonts w:ascii="Amiri" w:hAnsi="Amiri" w:eastAsia="Amiri" w:cs="Amiri"/>
          <w:color w:val="111111"/>
          <w:sz w:val="28"/>
          <w:sz w:val="28"/>
          <w:szCs w:val="28"/>
          <w:rtl w:val="true"/>
          <w:lang w:bidi="ar-SA"/>
        </w:rPr>
        <w:t xml:space="preserve">فإذا غلى فلا يجوز بيعه حتّى يصير خلاًّ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لم 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للجواز المدلول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يجوز بيع العصير بعضه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فالمقصود أنّ جواز بيع العصير إنّما هو إذا لم يغل، و أمّا بعد الغليان فلا يجوز بيعه، لا بعضه ببعض، و لا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الجواز إمّا النجاسة، أو الحرمة، والمتيقّن هو الثاني ؛ و يؤيّده ما ستقف عليه من كلماته الظاهرة في قوله بطهارة العصير عند البحث عن نجاسته و 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المنع عن البيع بعد الغليان هنا إنّما هو فيما إذا لم يذهب منه الثلثان، إذ الجواز حينئذٍ ممّا لا يرتاب فيه، لانتفاء المقتضي للمنع، و هو التحريم،</w:t>
      </w:r>
    </w:p>
    <w:p>
      <w:pPr>
        <w:pStyle w:val="BookText"/>
        <w:rPr/>
      </w:pPr>
      <w:r>
        <w:rPr>
          <w:rFonts w:ascii="Amiri" w:hAnsi="Amiri" w:eastAsia="Amiri" w:cs="Amiri"/>
          <w:color w:val="111111"/>
          <w:sz w:val="28"/>
          <w:sz w:val="28"/>
          <w:szCs w:val="28"/>
          <w:rtl w:val="true"/>
          <w:lang w:bidi="ar-SA"/>
        </w:rPr>
        <w:t xml:space="preserve">كما لا يخفى على من أحاط أطراف المسألة والأقوال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 الطائفة في الخلاف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والعصير لا بأس بشربه و بيعه ما لم 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 الغليان الّذي يحرم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 أسفله أعلاه، فإذا غلى حرم شربه و بيعه إلى أن يعود إلى كونه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غلى العصير على النار لم يجز شربه إلى أن يذهب ثلثاه </w:t>
      </w:r>
    </w:p>
    <w:p>
      <w:pPr>
        <w:pStyle w:val="BookText"/>
        <w:rPr/>
      </w:pPr>
      <w:r>
        <w:rPr>
          <w:rFonts w:ascii="Amiri" w:hAnsi="Amiri" w:eastAsia="Amiri" w:cs="Amiri"/>
          <w:color w:val="111111"/>
          <w:sz w:val="28"/>
          <w:sz w:val="28"/>
          <w:szCs w:val="28"/>
          <w:rtl w:val="true"/>
          <w:lang w:bidi="ar-SA"/>
        </w:rPr>
        <w:t xml:space="preserve">و يبقى ثلثه، و حدّ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يراه </w:t>
      </w:r>
      <w:r>
        <w:rPr>
          <w:rStyle w:val="FootnoteAnchor"/>
          <w:rtl w:val="true"/>
        </w:rPr>
        <w:footnoteReference w:id="68"/>
      </w:r>
      <w:r>
        <w:rPr>
          <w:rFonts w:ascii="Amiri" w:hAnsi="Amiri" w:eastAsia="Amiri" w:cs="Amiri"/>
          <w:color w:val="111111"/>
          <w:sz w:val="28"/>
          <w:sz w:val="28"/>
          <w:szCs w:val="28"/>
          <w:rtl w:val="true"/>
          <w:lang w:bidi="ar-SA"/>
        </w:rPr>
        <w:t xml:space="preserve">صار حلوًا، أو يخضب الإناء ويعلق به، أو يذهب من كلّ درهم ثلاثة دوانيق و نصف، و هو على النار، ثمّ ينزل به و يترك حتّى يبرد، فإذا برد فقد ذهب ثلثاه و بقي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ولايجوز أن يؤتمن على طبخ العصير من يستحلّ شربه على أقلّ من الثلث وإن ذكر أنّه على الثلث، و يقبل قول من لا يشربه إلاّ على الثلث إذا ذكر أنّه كذلك وإن كان على أقلّه </w:t>
      </w:r>
      <w:r>
        <w:rPr>
          <w:rStyle w:val="FootnoteAnchor"/>
          <w:rtl w:val="true"/>
        </w:rPr>
        <w:footnoteReference w:id="69"/>
      </w:r>
      <w:r>
        <w:rPr>
          <w:rFonts w:ascii="Amiri" w:hAnsi="Amiri" w:eastAsia="Amiri" w:cs="Amiri"/>
          <w:color w:val="111111"/>
          <w:sz w:val="28"/>
          <w:sz w:val="28"/>
          <w:szCs w:val="28"/>
          <w:rtl w:val="true"/>
          <w:lang w:bidi="ar-SA"/>
        </w:rPr>
        <w:t xml:space="preserve">و يكون ذلك في رقبته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بأس بشرب النبيذ غير المسكر، و هو أن ينقع التمر أو الزبيب، ثمّ يشربه و هو حلو قبل أن يتغيّر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أن يعمل الإنسان لغيره الأشربة من التمر والزبيب والعسل و غير ذلك، و يأخذ عليها </w:t>
      </w:r>
      <w:r>
        <w:rPr>
          <w:rStyle w:val="FootnoteAnchor"/>
          <w:rtl w:val="true"/>
        </w:rPr>
        <w:footnoteReference w:id="71"/>
      </w:r>
      <w:r>
        <w:rPr>
          <w:rFonts w:ascii="Amiri" w:hAnsi="Amiri" w:eastAsia="Amiri" w:cs="Amiri"/>
          <w:color w:val="111111"/>
          <w:sz w:val="28"/>
          <w:sz w:val="28"/>
          <w:szCs w:val="28"/>
          <w:rtl w:val="true"/>
          <w:lang w:bidi="ar-SA"/>
        </w:rPr>
        <w:t xml:space="preserve">الأجرة، و يسلمها </w:t>
      </w:r>
      <w:r>
        <w:rPr>
          <w:rStyle w:val="FootnoteAnchor"/>
          <w:rtl w:val="true"/>
        </w:rPr>
        <w:footnoteReference w:id="72"/>
      </w:r>
      <w:r>
        <w:rPr>
          <w:rFonts w:ascii="Amiri" w:hAnsi="Amiri" w:eastAsia="Amiri" w:cs="Amiri"/>
          <w:color w:val="111111"/>
          <w:sz w:val="28"/>
          <w:sz w:val="28"/>
          <w:szCs w:val="28"/>
          <w:rtl w:val="true"/>
          <w:lang w:bidi="ar-SA"/>
        </w:rPr>
        <w:t xml:space="preserve">إليه قبل تغييرها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p>
    <w:p>
      <w:pPr>
        <w:pStyle w:val="BookText"/>
        <w:rPr/>
      </w:pPr>
      <w:r>
        <w:rPr>
          <w:rFonts w:ascii="Amiri" w:hAnsi="Amiri" w:eastAsia="Amiri" w:cs="Amiri"/>
          <w:color w:val="111111"/>
          <w:sz w:val="28"/>
          <w:sz w:val="28"/>
          <w:szCs w:val="28"/>
          <w:rtl w:val="true"/>
          <w:lang w:bidi="ar-SA"/>
        </w:rPr>
        <w:t xml:space="preserve">بأس بربّ التوت والرمّان والسفرجل والسكنجبين والجلاّب وإن شمّ منه رائحة المسكر، لأنّه ممّا لا يسكر كثيره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عصيرًا لم يخل إمّا غلى، أو لم يغل، فإن غلى لم يخل إمّا غلى من قبل نفسه، أو بالنار، فإن غلى من قبل نفسه حتّى يعود أسفله أعلاه حرم و نجس، إلاّ أن يصير خلاًّ بنفسه، أو يفعل غيره، فيعود حلالاً 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غلى بالنار حرم شربه حتّى يذهب على النار نصفه و نصف سدسه ولم ينجّس، أو يخضب الإناء، و يعلق به، و يجلو ؛ وإن لم يغل أصلاً حلّ، خلاًّ كان، أو عصيرًا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نبيذًا، و هو أن يطرح شيء من التمر أو الزبيب في الماء، فإن تغيّر كان حكم الخمر، و إن لم يتغيّر جاز شربه والتوضّؤ به ما لم يسلبه إطلاق اسم الماء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عصير العنب فلا بأس بشربه ما لم يلحقه نشيش بنفسه، فإن لحقه طبخ قبل نشيشه حتّى يذهب ثلثاه و يبقى ثلثه حلّ شرب الثلث الباقي، </w:t>
      </w:r>
    </w:p>
    <w:p>
      <w:pPr>
        <w:pStyle w:val="BookText"/>
        <w:rPr/>
      </w:pPr>
      <w:r>
        <w:rPr>
          <w:rFonts w:ascii="Amiri" w:hAnsi="Amiri" w:eastAsia="Amiri" w:cs="Amiri"/>
          <w:color w:val="111111"/>
          <w:sz w:val="28"/>
          <w:sz w:val="28"/>
          <w:szCs w:val="28"/>
          <w:rtl w:val="true"/>
          <w:lang w:bidi="ar-SA"/>
        </w:rPr>
        <w:t xml:space="preserve">فإن لم يذهب ثلثاه و يبقى أكثر </w:t>
      </w:r>
      <w:r>
        <w:rPr>
          <w:rStyle w:val="FootnoteAnchor"/>
          <w:rtl w:val="true"/>
        </w:rPr>
        <w:footnoteReference w:id="76"/>
      </w:r>
      <w:r>
        <w:rPr>
          <w:rFonts w:ascii="Amiri" w:hAnsi="Amiri" w:eastAsia="Amiri" w:cs="Amiri"/>
          <w:color w:val="111111"/>
          <w:sz w:val="28"/>
          <w:sz w:val="28"/>
          <w:szCs w:val="28"/>
          <w:rtl w:val="true"/>
          <w:lang w:bidi="ar-SA"/>
        </w:rPr>
        <w:t xml:space="preserve">ثلثه كان ذلك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القول فيما ينبذ من الثمار في الماء، أو اعتصر من الأجسام من الاعتبار </w:t>
      </w:r>
      <w:r>
        <w:rPr>
          <w:rStyle w:val="FootnoteAnchor"/>
          <w:rtl w:val="true"/>
        </w:rPr>
        <w:footnoteReference w:id="77"/>
      </w:r>
      <w:r>
        <w:rPr>
          <w:rFonts w:ascii="Amiri" w:hAnsi="Amiri" w:eastAsia="Amiri" w:cs="Amiri"/>
          <w:color w:val="111111"/>
          <w:sz w:val="28"/>
          <w:sz w:val="28"/>
          <w:szCs w:val="28"/>
          <w:rtl w:val="true"/>
          <w:lang w:bidi="ar-SA"/>
        </w:rPr>
        <w:t xml:space="preserve">في جواز شربه ما لم يتغيّر، فإن تغيّر بالنشيش لم يشرب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يقبل في طبيخ العصير و غيره شهادة من يرى جواز شربه في الحال التّى لا يجوز شربه عندنا فيها، و قد بيّناها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يقبل قول من لا يرى شربه إلاّ إذا ذهب ثلثاه و بقي ثلثه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قلنا إنّه لا بأس بشرب النبيذ غير المسكر، و هو أن ينقع التمر والزبيب، ثمّ يشربه و هو حلو قبل أن يتغيّر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ينبذ الخليطين، و هو ما عمل من نوعين، تمر و زبيب، أو تمر و بسر إذا كان حلوًا غير مسكر غير مكروه، و به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مكروه غير محظور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الإباحة، و لأنّ أصحابنا نصّوا عليه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p>
    <w:p>
      <w:pPr>
        <w:pStyle w:val="BookText"/>
        <w:rPr/>
      </w:pPr>
      <w:r>
        <w:rPr>
          <w:rFonts w:ascii="Amiri" w:hAnsi="Amiri" w:eastAsia="Amiri" w:cs="Amiri"/>
          <w:color w:val="111111"/>
          <w:sz w:val="28"/>
          <w:sz w:val="28"/>
          <w:szCs w:val="28"/>
          <w:rtl w:val="true"/>
          <w:lang w:bidi="ar-SA"/>
        </w:rPr>
        <w:t xml:space="preserve">بشربه إذا لم يكن مسكرًا، و نهي النبيّ صلى‌الله‌عليه‌و‌آله عن الخليطين نحمله على أنّه إذا كان مسكرًا، أو يكون نهي تحريم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المهذّب لابن البرّاج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العصير، والغليان الّذي معه يحرم استعماله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 أسفله أعلاه بالغليان، فإن صار بعد ذلك خلاًّ جاز استعماله ؛ و حدّ ذلك </w:t>
      </w:r>
      <w:r>
        <w:rPr>
          <w:rStyle w:val="FootnoteAnchor"/>
          <w:rtl w:val="true"/>
        </w:rPr>
        <w:footnoteReference w:id="80"/>
      </w:r>
      <w:r>
        <w:rPr>
          <w:rFonts w:ascii="Amiri" w:hAnsi="Amiri" w:eastAsia="Amiri" w:cs="Amiri"/>
          <w:color w:val="111111"/>
          <w:sz w:val="28"/>
          <w:sz w:val="28"/>
          <w:szCs w:val="28"/>
          <w:rtl w:val="true"/>
          <w:lang w:bidi="ar-SA"/>
        </w:rPr>
        <w:t xml:space="preserve">أن يصير حلوًا يخضب الإناء، و من كان يستحلّ شرب العصير إذا طبخ ولم يذهب منه الثلثان فلا يجوز أن يؤتمن على طبخه، و لا يسمع فيه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يجوز شرب النبيذ الّذي لايسكر مثل أن يلقى التمر أو الزبيب في الماء </w:t>
      </w:r>
      <w:r>
        <w:rPr>
          <w:rStyle w:val="FootnoteAnchor"/>
          <w:rtl w:val="true"/>
        </w:rPr>
        <w:footnoteReference w:id="81"/>
      </w:r>
      <w:r>
        <w:rPr>
          <w:rFonts w:ascii="Amiri" w:hAnsi="Amiri" w:eastAsia="Amiri" w:cs="Amiri"/>
          <w:color w:val="111111"/>
          <w:sz w:val="28"/>
          <w:sz w:val="28"/>
          <w:szCs w:val="28"/>
          <w:rtl w:val="true"/>
          <w:lang w:bidi="ar-SA"/>
        </w:rPr>
        <w:t xml:space="preserve">، فينقع فيه إلى أن يحلو، فإن تغيّر لم يجز شربه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النزهة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العصير إذا غلى </w:t>
      </w:r>
      <w:r>
        <w:rPr>
          <w:rStyle w:val="FootnoteAnchor"/>
          <w:rtl w:val="true"/>
        </w:rPr>
        <w:footnoteReference w:id="83"/>
      </w:r>
      <w:r>
        <w:rPr>
          <w:rFonts w:ascii="IRNazanin" w:hAnsi="IRNazanin" w:eastAsia="IRNazanin"/>
          <w:color w:val="111111"/>
          <w:sz w:val="28"/>
          <w:sz w:val="28"/>
          <w:szCs w:val="28"/>
          <w:rtl w:val="true"/>
          <w:lang w:bidi="fa-IR"/>
        </w:rPr>
        <w:t xml:space="preserve">صار أسفله أعلاه </w:t>
      </w:r>
      <w:r>
        <w:rPr>
          <w:rStyle w:val="FootnoteAnchor"/>
          <w:rtl w:val="true"/>
        </w:rPr>
        <w:footnoteReference w:id="84"/>
      </w:r>
      <w:r>
        <w:rPr>
          <w:rFonts w:ascii="Amiri" w:hAnsi="Amiri" w:eastAsia="Amiri" w:cs="Amiri"/>
          <w:color w:val="111111"/>
          <w:sz w:val="28"/>
          <w:sz w:val="28"/>
          <w:szCs w:val="28"/>
          <w:rtl w:val="true"/>
          <w:lang w:bidi="ar-SA"/>
        </w:rPr>
        <w:t xml:space="preserve">نجس و حرم شربه، فإذا غلى بالنار و ذهب ثلثاه و بقي ثلثه طهر و حلّ شربه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عند البحث عن المطهّرات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إذا صار أسفله أعلاه بحرارته </w:t>
      </w:r>
      <w:r>
        <w:rPr>
          <w:rStyle w:val="FootnoteAnchor"/>
          <w:rtl w:val="true"/>
        </w:rPr>
        <w:footnoteReference w:id="86"/>
      </w:r>
      <w:r>
        <w:rPr>
          <w:rFonts w:ascii="Amiri" w:hAnsi="Amiri" w:eastAsia="Amiri" w:cs="Amiri"/>
          <w:color w:val="111111"/>
          <w:sz w:val="28"/>
          <w:sz w:val="28"/>
          <w:szCs w:val="28"/>
          <w:rtl w:val="true"/>
          <w:lang w:bidi="ar-SA"/>
        </w:rPr>
        <w:t xml:space="preserve">نقص نجس و حرم شربه، فإذا غلى بالنار و ذهب ثلثاه و بقي ثلثه طهر و حلّ شربه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حلال حتّي يغلى، و هو أن يصير أسفله أعلاه، فيحرم حتّى يذهب ثلثاه، أو يصير خلاًّ، و لا يؤتمن عليه إلاّ من يرى حرمته إلى أن يذهب ثلثاه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أخبر من يحلّه من دون ذهاب ذلك بذهاب ثلثيه لم يحلّ، و لا بأس أن يجمع بين عشرة أرطال عصيرًا و بين عشرين رطلاً ماء، ثمّ يغلي حتّى يبقى عشرة، فيحلّ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الشرائع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المسكرات، و في تنجيسها خلاف، والأظهر النجاسة، و في</w:t>
      </w:r>
    </w:p>
    <w:p>
      <w:pPr>
        <w:pStyle w:val="BookText"/>
        <w:rPr/>
      </w:pPr>
      <w:r>
        <w:rPr>
          <w:rFonts w:ascii="Amiri" w:hAnsi="Amiri" w:eastAsia="Amiri" w:cs="Amiri"/>
          <w:color w:val="111111"/>
          <w:sz w:val="28"/>
          <w:sz w:val="28"/>
          <w:szCs w:val="28"/>
          <w:rtl w:val="true"/>
          <w:lang w:bidi="ar-SA"/>
        </w:rPr>
        <w:t xml:space="preserve">حكمها العصير إذا غلى واشتدّ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كتاب الأطعمة والأشربة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العصير إذا غلى، سواء كان </w:t>
      </w:r>
      <w:r>
        <w:rPr>
          <w:rStyle w:val="FootnoteAnchor"/>
          <w:rtl w:val="true"/>
        </w:rPr>
        <w:footnoteReference w:id="90"/>
      </w:r>
      <w:r>
        <w:rPr>
          <w:rFonts w:ascii="Amiri" w:hAnsi="Amiri" w:eastAsia="Amiri" w:cs="Amiri"/>
          <w:color w:val="111111"/>
          <w:sz w:val="28"/>
          <w:sz w:val="28"/>
          <w:szCs w:val="28"/>
          <w:rtl w:val="true"/>
          <w:lang w:bidi="ar-SA"/>
        </w:rPr>
        <w:t xml:space="preserve">من قبل نفسه، أو بالنار، و لا يحلّ حتّى يذهب ثلثاه، أو ينقلب خلاًّ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الحدود ما ستقف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والمحرّم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Style w:val="FootnoteAnchor"/>
          <w:rtl w:val="true"/>
        </w:rPr>
        <w:footnoteReference w:id="92"/>
      </w:r>
      <w:r>
        <w:rPr>
          <w:rFonts w:ascii="Amiri" w:hAnsi="Amiri" w:eastAsia="Amiri" w:cs="Amiri"/>
          <w:color w:val="111111"/>
          <w:sz w:val="28"/>
          <w:sz w:val="28"/>
          <w:szCs w:val="28"/>
          <w:rtl w:val="true"/>
          <w:lang w:bidi="ar-SA"/>
        </w:rPr>
        <w:t xml:space="preserve">الخمر، و كلّ مسكر، والعصير إذا غلى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نجاسة العصير بغليانه قبل اشتداده تردّد، أمّا التحريم فعليه إجماع فقهائنا، ثمّ منهم من اتبع التحريم النجاسة ؛ والوجه الحكم بالتحريم مع الغليان حتّى يذهب الثلثان و وقوف النجاسة على الاشتداد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العصير إذا غلى حرم حتّى يذهب ثلثاه، و هل ينجس بالغليان، أو يقف على الشدّة ؟ إشكال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العصير إذا غلى واشتدّ حكم الخمر ما لم يذهب ثلثاه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المسكرات كلّها نجسة، و قول ابن بابويه ضعيف، والروايات معارضةٌ بمثلها و عمل الأصحاب، و كذا العصير إذا غلى ما لم يذهب ثلثاه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كتاب الأطعمة والأشربة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العصير إذا غلى بأن يصير أسفله أعلاه، سواء غلى من نفسه، أو بالنار، فإن غلى بالنار و ذهب ثلثاه حلّ، و لا يحلّ لو ذهب أقلّ ؛ ولو انقلب خلاًّ حلّ الجميع مطلقًا، و كذا الخمر يحلّ لو انقلب خلاًّ بعلاج أو بغير علاج و إن كان العلاج مكروهًا، و لا فرق بين استهلاك ما يعالج به، أو 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يعوّل على قول مَن يستحلّ شرب العصير مع الغليان قبل </w:t>
      </w:r>
      <w:r>
        <w:rPr>
          <w:rStyle w:val="FootnoteAnchor"/>
          <w:rtl w:val="true"/>
        </w:rPr>
        <w:footnoteReference w:id="98"/>
      </w:r>
      <w:r>
        <w:rPr>
          <w:rFonts w:ascii="Amiri" w:hAnsi="Amiri" w:eastAsia="Amiri" w:cs="Amiri"/>
          <w:color w:val="111111"/>
          <w:sz w:val="28"/>
          <w:sz w:val="28"/>
          <w:szCs w:val="28"/>
          <w:rtl w:val="true"/>
          <w:lang w:bidi="ar-SA"/>
        </w:rPr>
        <w:t xml:space="preserve">ذهاب ثلثه من المسلمين، والوجه الكراهة، و يقبل قول مَن لا يستحلّ شربه إلاّ بعد ذهابهما فيه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نهاية الإحكام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إذا غلى واشتدّ و إن لم يبلغ حدّ الإسكار نجس، سواء غلى من نفسه، أو بالنار، أو الشمس، إلاّ أن يذهب ثلثاه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رمى في العصير قبل اشتداده أو بعده أو في الخمر جسمٌ طاهرٌ، كان كحكمه </w:t>
      </w:r>
      <w:r>
        <w:rPr>
          <w:rStyle w:val="FootnoteAnchor"/>
          <w:rtl w:val="true"/>
        </w:rPr>
        <w:footnoteReference w:id="100"/>
      </w:r>
      <w:r>
        <w:rPr>
          <w:rFonts w:ascii="Amiri" w:hAnsi="Amiri" w:eastAsia="Amiri" w:cs="Amiri"/>
          <w:color w:val="111111"/>
          <w:sz w:val="28"/>
          <w:sz w:val="28"/>
          <w:szCs w:val="28"/>
          <w:rtl w:val="true"/>
          <w:lang w:bidi="ar-SA"/>
        </w:rPr>
        <w:t xml:space="preserve">في الطهارة والنجاسة قبل الانقلاب و بعده، سواء استهلكت عينه، أو كانت باقية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الخمر، و كلّ مسكر، والفقّاع، والعصير إذا غلى قبل ذهاب ثلثيه بالنار، </w:t>
      </w:r>
    </w:p>
    <w:p>
      <w:pPr>
        <w:pStyle w:val="BookText"/>
        <w:rPr/>
      </w:pPr>
      <w:r>
        <w:rPr>
          <w:rFonts w:ascii="Amiri" w:hAnsi="Amiri" w:eastAsia="Amiri" w:cs="Amiri"/>
          <w:color w:val="111111"/>
          <w:sz w:val="28"/>
          <w:sz w:val="28"/>
          <w:szCs w:val="28"/>
          <w:rtl w:val="true"/>
          <w:lang w:bidi="ar-SA"/>
        </w:rPr>
        <w:t xml:space="preserve">أو من نفسه، نجس، ذهب إليه أكثر علمائنا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القواعد في تعداد النجاسات والمسكرات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بها العصير إذا غلى واشتدّ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الأطعمة والأشربة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إذا غلى حرام نجس، سواء غلى من قبل نفسه، أو بالنار، ولايحلّ حتّى يذهب ثلثاه، أو يصير خلاًّ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الإرشاد في مقام تعداد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إذا غلى واشتدّ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الأطعمة عند تعداد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إذا غلى واشتدّ، إلاّ أن ينقلب خلاًّ، أو يذهب ثلثاه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التبصرة عند تعداد المحرّمات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المائع، و يحرم كلّ مسكر من خمرٍ و غيره، والعصير إذا </w:t>
      </w:r>
    </w:p>
    <w:p>
      <w:pPr>
        <w:pStyle w:val="BookText"/>
        <w:rPr/>
      </w:pPr>
      <w:r>
        <w:rPr>
          <w:rFonts w:ascii="IRNazanin" w:hAnsi="IRNazanin" w:eastAsia="IRNazanin"/>
          <w:color w:val="111111"/>
          <w:sz w:val="28"/>
          <w:sz w:val="28"/>
          <w:szCs w:val="28"/>
          <w:rtl w:val="true"/>
          <w:lang w:bidi="fa-IR"/>
        </w:rPr>
        <w:t xml:space="preserve">غلى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التلخيص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والفقّاع، والعصير إذا غلى أنجاس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الأطعمة والأشربة عند تعداد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إذا غلى واشتدّ قبل ذهاب ثلثيه، أو انقلابه خلاًّ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الذكرى عند تعداد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المسكرات، والأكثر على نجاستها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حكمها العصير إذا غلى واشتدّ، في قول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مع الغليان حتّى يذهب الثلثان، و لا ينجس إلاّ مع 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يرى الشدّة المطربة، إذ الثخانة حاصلةٌ بمجردّ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الفاضل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لغيرهم على قولٍ بالنجاسة، ولا نصّ على نجاسة غير المسكر، و هو منتف هنا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البيان بعد ذكر الخمر والنبيذ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بهما عصير العنب إذا غلى، واشتدّ </w:t>
      </w:r>
      <w:r>
        <w:rPr>
          <w:rStyle w:val="FootnoteAnchor"/>
          <w:rtl w:val="true"/>
        </w:rPr>
        <w:footnoteReference w:id="111"/>
      </w:r>
      <w:r>
        <w:rPr>
          <w:rFonts w:ascii="Amiri" w:hAnsi="Amiri" w:eastAsia="Amiri" w:cs="Amiri"/>
          <w:color w:val="111111"/>
          <w:sz w:val="28"/>
          <w:sz w:val="28"/>
          <w:szCs w:val="28"/>
          <w:rtl w:val="true"/>
          <w:lang w:bidi="ar-SA"/>
        </w:rPr>
        <w:t>بمعنى الثخانة ؛ و لم أقف على نصٍّ يقتضي تنجيسه، إلاّ ما دلّ على نجاسة المسكر، لكنّه لايسكر</w:t>
      </w:r>
    </w:p>
    <w:p>
      <w:pPr>
        <w:pStyle w:val="BookText"/>
        <w:rPr/>
      </w:pPr>
      <w:r>
        <w:rPr>
          <w:rFonts w:ascii="Amiri" w:hAnsi="Amiri" w:eastAsia="Amiri" w:cs="Amiri"/>
          <w:color w:val="111111"/>
          <w:sz w:val="28"/>
          <w:sz w:val="28"/>
          <w:szCs w:val="28"/>
          <w:rtl w:val="true"/>
          <w:lang w:bidi="ar-SA"/>
        </w:rPr>
        <w:t xml:space="preserve">بمجرّد غليانه واشتداده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الدروس في مقام تعداد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إذا غلى واشتدّ، و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 أسفله أعلاه ما لم يذهب ثلثاه، أو ينقلب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يحرم المعتصر من الزبيب ما لم يحصل فيه نشيش، فيحلّ طبيخ الزبيب على الأصحّ، لذهاب ثلثيه بالشمس غالبًا و خروجه عن مسمّى العنب ؛ و حرّمه بعض مشايخنا المعاصرين، و هو مذهب بعض فضلائنا المتقدّمين، لمفهوم رواية عليّ جعفر عن أخيه عليه‌السلام، حيث </w:t>
      </w:r>
      <w:r>
        <w:rPr>
          <w:rStyle w:val="FootnoteAnchor"/>
          <w:rtl w:val="true"/>
        </w:rPr>
        <w:footnoteReference w:id="114"/>
      </w:r>
      <w:r>
        <w:rPr>
          <w:rFonts w:ascii="Amiri" w:hAnsi="Amiri" w:eastAsia="Amiri" w:cs="Amiri"/>
          <w:color w:val="111111"/>
          <w:sz w:val="28"/>
          <w:sz w:val="28"/>
          <w:szCs w:val="28"/>
          <w:rtl w:val="true"/>
          <w:lang w:bidi="ar-SA"/>
        </w:rPr>
        <w:t xml:space="preserve">سأله عن الزبيب يؤخذ ماؤه، فيطبخ حتّى يذهب ثلثاه،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عصير التمر، فقد أحلّه بعض الأصحاب ما لم يسكر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الصادق عليه‌السلام عن النضوح كيف يصنع به حتّى يحلّ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ماء التمر فأغله حتّى يذهب ثلثاه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يقبل قول من يستحلّ شرب العصير قبل ذهاب ثلثيه في ذهابهما، لروايات </w:t>
      </w:r>
      <w:r>
        <w:rPr>
          <w:rStyle w:val="FootnoteAnchor"/>
          <w:rtl w:val="true"/>
        </w:rPr>
        <w:footnoteReference w:id="117"/>
      </w:r>
      <w:r>
        <w:rPr>
          <w:rFonts w:ascii="Amiri" w:hAnsi="Amiri" w:eastAsia="Amiri" w:cs="Amiri"/>
          <w:color w:val="111111"/>
          <w:sz w:val="28"/>
          <w:sz w:val="28"/>
          <w:szCs w:val="28"/>
          <w:rtl w:val="true"/>
          <w:lang w:bidi="ar-SA"/>
        </w:rPr>
        <w:t xml:space="preserve">؛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على كراهيّة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اللمعة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w:t>
      </w:r>
      <w:r>
        <w:rPr>
          <w:rStyle w:val="FootnoteAnchor"/>
          <w:rtl w:val="true"/>
        </w:rPr>
        <w:footnoteReference w:id="119"/>
      </w:r>
      <w:r>
        <w:rPr>
          <w:rFonts w:ascii="Amiri" w:hAnsi="Amiri" w:eastAsia="Amiri" w:cs="Amiri"/>
          <w:color w:val="111111"/>
          <w:sz w:val="28"/>
          <w:sz w:val="28"/>
          <w:szCs w:val="28"/>
          <w:rtl w:val="true"/>
          <w:lang w:bidi="ar-SA"/>
        </w:rPr>
        <w:t xml:space="preserve">العصير العنبيّ إذا غلى حتّى يذهب ثلثاه، أو ينقلب خلاًّ، و لا يحرم العصير </w:t>
      </w:r>
      <w:r>
        <w:rPr>
          <w:rStyle w:val="FootnoteAnchor"/>
          <w:rtl w:val="true"/>
        </w:rPr>
        <w:footnoteReference w:id="120"/>
      </w:r>
      <w:r>
        <w:rPr>
          <w:rFonts w:ascii="Amiri" w:hAnsi="Amiri" w:eastAsia="Amiri" w:cs="Amiri"/>
          <w:color w:val="111111"/>
          <w:sz w:val="28"/>
          <w:sz w:val="28"/>
          <w:szCs w:val="28"/>
          <w:rtl w:val="true"/>
          <w:lang w:bidi="ar-SA"/>
        </w:rPr>
        <w:t xml:space="preserve">من الزبيب و إن غلى على الأقوى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مباحث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الشرب، فما أسكر جنسه تحرم القطرة منه، وكذا الفقّاع، ولو مزجا بغيرهما، والعصير إذا غلى واشتدّ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في المطهّرات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المطهّر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مطلقًا، والأرض باطن النعل و أسفل القدم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ذهاب ثلثي العصير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الألفيّة عند تعداد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والمسكر المائع، و في حكمه الفقّاع، والعصير العنبيّ إذا غلى واشتدّ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المهذّب البارع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العصير إذا غلى حرم، و معنى الغليان أن يصير أسفله أعلاه، و لا فرق بين حصول ذلك من نفسه، أو بتسخينٍ من النار، أو الشمس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لايشترط أن يقذف بالزبد و لا صيرورته مسكرًا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مختصّ </w:t>
      </w:r>
      <w:r>
        <w:rPr>
          <w:rStyle w:val="FootnoteAnchor"/>
          <w:rtl w:val="true"/>
        </w:rPr>
        <w:footnoteReference w:id="126"/>
      </w:r>
      <w:r>
        <w:rPr>
          <w:rFonts w:ascii="Amiri" w:hAnsi="Amiri" w:eastAsia="Amiri" w:cs="Amiri"/>
          <w:color w:val="111111"/>
          <w:sz w:val="28"/>
          <w:sz w:val="28"/>
          <w:szCs w:val="28"/>
          <w:rtl w:val="true"/>
          <w:lang w:bidi="ar-SA"/>
        </w:rPr>
        <w:t xml:space="preserve">بعصير العنب دون التمر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الزبيب إلاّ أن يسكر، أو يضاف إليه من الحوائج ما يصير به فقّاعًا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يعرض التحليل لهذا العصير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انقلابه إلى الخلّ، أو ذهاب </w:t>
      </w:r>
    </w:p>
    <w:p>
      <w:pPr>
        <w:pStyle w:val="BookText"/>
        <w:rPr/>
      </w:pPr>
      <w:r>
        <w:rPr>
          <w:rFonts w:ascii="Amiri" w:hAnsi="Amiri" w:eastAsia="Amiri" w:cs="Amiri"/>
          <w:color w:val="111111"/>
          <w:sz w:val="28"/>
          <w:sz w:val="28"/>
          <w:szCs w:val="28"/>
          <w:rtl w:val="true"/>
          <w:lang w:bidi="ar-SA"/>
        </w:rPr>
        <w:t xml:space="preserve">ثلثيه فيصير دبسًا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ذهاب الثلثين بالغليان، بل يكفي ذهاب الثلثين كيف كان، سواء كان بالشمس، أو بالنار </w:t>
      </w:r>
      <w:r>
        <w:rPr>
          <w:rStyle w:val="FootnoteAnchor"/>
          <w:rtl w:val="true"/>
        </w:rPr>
        <w:footnoteReference w:id="128"/>
      </w:r>
      <w:r>
        <w:rPr>
          <w:rFonts w:ascii="IRNazanin" w:hAnsi="IRNazanin" w:eastAsia="IRNazanin"/>
          <w:color w:val="111111"/>
          <w:sz w:val="28"/>
          <w:sz w:val="28"/>
          <w:szCs w:val="28"/>
          <w:rtl w:val="true"/>
          <w:lang w:bidi="fa-IR"/>
        </w:rPr>
        <w:t xml:space="preserve">، أو بالسمائم، للعموم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غلى في قدر الطبخ حكم بنجاسته و نجاسة القدر والمشواط، فإذا ذهب الثلثان طهر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يطهر أعالي القدر الّذي كان الزبد يقذف إليه بالغليان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شرح الإرشاد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إذا غلى بالنار، فإنّه لا يحلّ حتّى يذهب ثلثاه، و إن غلى بالشمس، فإنّه يحلّ إذا فتر من هيجانه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والعصير هو الّذي يتّخذ من العنب دون ما سواه، فإنّ المتّخذ من التمر والزبيب و غير ذلك لا يحرم إلاّ مع بلوغ الشدّة المسكرة على المفتى </w:t>
      </w:r>
      <w:r>
        <w:rPr>
          <w:rStyle w:val="FootnoteAnchor"/>
          <w:rtl w:val="true"/>
        </w:rPr>
        <w:footnoteReference w:id="130"/>
      </w:r>
      <w:r>
        <w:rPr>
          <w:rFonts w:ascii="IRNazanin" w:hAnsi="IRNazanin" w:eastAsia="IRNazanin"/>
          <w:color w:val="111111"/>
          <w:sz w:val="28"/>
          <w:sz w:val="28"/>
          <w:szCs w:val="28"/>
          <w:rtl w:val="true"/>
          <w:lang w:bidi="fa-IR"/>
        </w:rPr>
        <w:t xml:space="preserve">به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المحرّر له في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عشرة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كلّ مسكر مائع، و يلحق به عصير العنب إذا غلى ولو من نفسه، والفقّاع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الجعفريّة عند تعداد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والمسكر المائع، و في حكمه الفقّاع والعصير العنبيّ إذا غلى واشتدّ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عنون العبارة السالفة من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يلحق بها العصير إذا غلى واشتدّ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بغليانه صيرورة أعلاه أسفله، و باشتداده حصول الثخانة المسبّبة عن مجرّد الغليان، و يبقى كذلك حتّى يذهب ثلثاه، أو يصير دبسًا، و هذا هو المشهور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الذكرى تدلّ على خلاف ذلك، و على النجاسة، فإذا حكم بطهره طهر كلّ ما يزاوله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إنّما هو في عصير العنب، أمّا عصير الزبيب، فهو على أصل الطهارة على الأصحّ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تعليقاته على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عبارة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والعصير إذا غلى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عينه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به العصير العنبيّ دون عصير الزبيب والتمر، والمراد بغليانه صيرورة أعلاه أسفله بالنار والشمس، والمراد باشتداده أوّل أخذه بالثخانة، و هو لازمٌ للغليان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مع الغليان حتّى يذهب ثلثاه، أو يصير دبسًا، ولاينجس إلاّ مع 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يعتبر بالاشتداد معنى آخر، إذ الثخانة حاصلةٌ بمجرّد الغليان، و هو مطالب بالمستند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تعليقاته على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عنون عبارته السالفة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حكمها العصير إذا غلى واشتدّ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العصير العنبيّ، و لا يلحق به عصير الزبيب، و لا عصير التمر، والمراد بغليانه صيرورة أعلاه أسفله، و باشتداده حصول الثخانة المسبّبة عن الغليان، و يبقى كذلك حتّى يذهب ثلثاه و يصير دبسًا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كون غليانه بالنار، أو بغيرها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تعليقاته على الألفيّة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حكم المسكر أيضًا العصير العنبيّ إذا غلى و أخذ الاشتداد إلى أن يذهب ثلثاه، أو يصير دبسًا، و لا يلحق به الزبيبيّ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كنز 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العصير من العنب قبل غليانه طاهرٌ حلالٌ، و بعد غليانه واشتداده نجسٌ حرامٌ ؛ و ذلك إجماع من فقهائنا، أمّا بعد غليانه و قبل اشتداده فحرامٌ إجماعًا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النجاسة فعند بعضنا أنّه نجس أيضًا، و عند آخرين أنّه طاهر، والأوّل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بالاشتداد صيرورة أعلاه أسفله، أو أن يصير له قوام ؛ هذا إذا لم يذهب ثلثاه بالغليان، و إلاّ فهو طاهرٌ حلال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على المشهور خصوصًا بين المتأخّرين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ينجس عند القائل به إذا غلى، و هو أن يصير أعلاه أسفله بنفسه، أو بالشمس، أو بالنار، واشتدّ، و هو أن يحصل له ثخانة، و هي مسبّبة عن مجرّد الغليان عند الشهيد </w:t>
      </w:r>
      <w:r>
        <w:rPr>
          <w:rStyle w:val="FootnoteAnchor"/>
          <w:rtl w:val="true"/>
        </w:rPr>
        <w:footnoteReference w:id="139"/>
      </w:r>
      <w:r>
        <w:rPr>
          <w:rFonts w:ascii="Amiri" w:hAnsi="Amiri" w:eastAsia="Amiri" w:cs="Amiri"/>
          <w:color w:val="111111"/>
          <w:sz w:val="28"/>
          <w:sz w:val="28"/>
          <w:szCs w:val="28"/>
          <w:rtl w:val="true"/>
          <w:lang w:bidi="ar-SA"/>
        </w:rPr>
        <w:t xml:space="preserve">، و تبعه الشيخ عليّ رحمه‌الله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الغليان لمّا كان هو الموجب لها، فكلّ جزءٍ منه يوجب جزءًا منها، و لمّا كان المعتبر أوّل أخذه في الثخانة كفى فيه أوّل أخذه في الغليان وإن لم يظهر </w:t>
      </w:r>
      <w:r>
        <w:rPr>
          <w:rStyle w:val="FootnoteAnchor"/>
          <w:rtl w:val="true"/>
        </w:rPr>
        <w:footnoteReference w:id="141"/>
      </w:r>
      <w:r>
        <w:rPr>
          <w:rFonts w:ascii="Amiri" w:hAnsi="Amiri" w:eastAsia="Amiri" w:cs="Amiri"/>
          <w:color w:val="111111"/>
          <w:sz w:val="28"/>
          <w:sz w:val="28"/>
          <w:szCs w:val="28"/>
          <w:rtl w:val="true"/>
          <w:lang w:bidi="ar-SA"/>
        </w:rPr>
        <w:t xml:space="preserve">للحسّ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مع الغليان، و لا ينجس إلاّ مع الاشتداد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الظاهر، فإنّ التلازم غير ظاهر خصوصًا فيما غلى بنفسه، والحكم مخصوص بعصير العنب، فلا يلحق به عصير التمر و غيره حتّى الزبيب على الأصحّ ما لم يحصل فيه خاصّة الفقّاع، للأصل، و خروجه عن مسمّى العنب، و ذهاب ثلثيه بالشمس، فكما يعتبر </w:t>
      </w:r>
      <w:r>
        <w:rPr>
          <w:rStyle w:val="FootnoteAnchor"/>
          <w:rtl w:val="true"/>
        </w:rPr>
        <w:footnoteReference w:id="143"/>
      </w:r>
      <w:r>
        <w:rPr>
          <w:rFonts w:ascii="Amiri" w:hAnsi="Amiri" w:eastAsia="Amiri" w:cs="Amiri"/>
          <w:color w:val="111111"/>
          <w:sz w:val="28"/>
          <w:sz w:val="28"/>
          <w:szCs w:val="28"/>
          <w:rtl w:val="true"/>
          <w:lang w:bidi="ar-SA"/>
        </w:rPr>
        <w:t xml:space="preserve">في نجاسته فكذا في طهارته </w:t>
      </w:r>
      <w:r>
        <w:rPr>
          <w:rStyle w:val="FootnoteAnchor"/>
          <w:rtl w:val="true"/>
        </w:rPr>
        <w:footnoteReference w:id="144"/>
      </w:r>
      <w:r>
        <w:rPr>
          <w:rFonts w:ascii="Amiri" w:hAnsi="Amiri" w:eastAsia="Amiri" w:cs="Amiri"/>
          <w:color w:val="111111"/>
          <w:sz w:val="28"/>
          <w:sz w:val="28"/>
          <w:szCs w:val="28"/>
          <w:rtl w:val="true"/>
          <w:lang w:bidi="ar-SA"/>
        </w:rPr>
        <w:t xml:space="preserve">، فيحلّ طبيخه، خلافًا لجماعةٍ من الأصحاب محتجّين بمفهوم رواية عليّ بن جعفر عن أخيه عليه‌السلام، حيث سأله عن </w:t>
      </w:r>
    </w:p>
    <w:p>
      <w:pPr>
        <w:pStyle w:val="BookText"/>
        <w:rPr/>
      </w:pPr>
      <w:r>
        <w:rPr>
          <w:rFonts w:ascii="Amiri" w:hAnsi="Amiri" w:eastAsia="Amiri" w:cs="Amiri"/>
          <w:color w:val="111111"/>
          <w:sz w:val="28"/>
          <w:sz w:val="28"/>
          <w:szCs w:val="28"/>
          <w:rtl w:val="true"/>
          <w:lang w:bidi="ar-SA"/>
        </w:rPr>
        <w:t xml:space="preserve">الزبيب يؤخذ ماؤه، فيطبخ حتّى يذهب ثلثاه،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دلالة المفهوم الوصفيّ ضعيفةٌ عندنا لو صحّ سند الحديث،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طريقه سهل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غاية نجاسة العصير ذهاب ثلثيه بالنار و غيرها، أو انقلابه خلاًّ قبل صيرورته دبسًا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أصاب شيئًا قبل ذهاب الثلثين فنجّسه، كفى في طهره جفاف ثلثي ما أصاب من البلل، لوجود علّة الطهر، فلا يتخلّف عنها المعلول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حكم بطهره حكم بطهر آلات طبخه، و يدي </w:t>
      </w:r>
      <w:r>
        <w:rPr>
          <w:rStyle w:val="FootnoteAnchor"/>
          <w:rtl w:val="true"/>
        </w:rPr>
        <w:footnoteReference w:id="146"/>
      </w:r>
      <w:r>
        <w:rPr>
          <w:rFonts w:ascii="Amiri" w:hAnsi="Amiri" w:eastAsia="Amiri" w:cs="Amiri"/>
          <w:color w:val="111111"/>
          <w:sz w:val="28"/>
          <w:sz w:val="28"/>
          <w:szCs w:val="28"/>
          <w:rtl w:val="true"/>
          <w:lang w:bidi="ar-SA"/>
        </w:rPr>
        <w:t xml:space="preserve">مزاوليه و ثيابهم،كما يحكم بطهر آنية الخمر و ما فيها من الأجسام الموضوعة للعلاج وغيره لانقلابه </w:t>
      </w:r>
      <w:r>
        <w:rPr>
          <w:rStyle w:val="FootnoteAnchor"/>
          <w:rtl w:val="true"/>
        </w:rPr>
        <w:footnoteReference w:id="147"/>
      </w:r>
      <w:r>
        <w:rPr>
          <w:rFonts w:ascii="Amiri" w:hAnsi="Amiri" w:eastAsia="Amiri" w:cs="Amiri"/>
          <w:color w:val="111111"/>
          <w:sz w:val="28"/>
          <w:sz w:val="28"/>
          <w:szCs w:val="28"/>
          <w:rtl w:val="true"/>
          <w:lang w:bidi="ar-SA"/>
        </w:rPr>
        <w:t xml:space="preserve">خلاًّ، و طهر يد نازح البئر والدلو والرشاء </w:t>
      </w:r>
      <w:r>
        <w:rPr>
          <w:rStyle w:val="FootnoteAnchor"/>
          <w:rtl w:val="true"/>
        </w:rPr>
        <w:footnoteReference w:id="148"/>
      </w:r>
      <w:r>
        <w:rPr>
          <w:rFonts w:ascii="IRNazanin" w:hAnsi="IRNazanin" w:eastAsia="IRNazanin"/>
          <w:color w:val="111111"/>
          <w:sz w:val="28"/>
          <w:sz w:val="28"/>
          <w:szCs w:val="28"/>
          <w:rtl w:val="true"/>
          <w:lang w:bidi="fa-IR"/>
        </w:rPr>
        <w:t xml:space="preserve">و حافّات البئر و جوانبها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جميع ذلك أنّه لو لا الحكم بطهره، لكانت طهارة هذه الأشياء </w:t>
      </w:r>
    </w:p>
    <w:p>
      <w:pPr>
        <w:pStyle w:val="BookText"/>
        <w:rPr/>
      </w:pPr>
      <w:r>
        <w:rPr>
          <w:rFonts w:ascii="Amiri" w:hAnsi="Amiri" w:eastAsia="Amiri" w:cs="Amiri"/>
          <w:color w:val="111111"/>
          <w:sz w:val="28"/>
          <w:sz w:val="28"/>
          <w:szCs w:val="28"/>
          <w:rtl w:val="true"/>
          <w:lang w:bidi="ar-SA"/>
        </w:rPr>
        <w:t xml:space="preserve">إمّا متعذّرة، أو متعسّرة جدًّا، بحيث تلزم </w:t>
      </w:r>
      <w:r>
        <w:rPr>
          <w:rStyle w:val="FootnoteAnchor"/>
          <w:rtl w:val="true"/>
        </w:rPr>
        <w:footnoteReference w:id="149"/>
      </w:r>
      <w:r>
        <w:rPr>
          <w:rFonts w:ascii="Amiri" w:hAnsi="Amiri" w:eastAsia="Amiri" w:cs="Amiri"/>
          <w:color w:val="111111"/>
          <w:sz w:val="28"/>
          <w:sz w:val="28"/>
          <w:szCs w:val="28"/>
          <w:rtl w:val="true"/>
          <w:lang w:bidi="ar-SA"/>
        </w:rPr>
        <w:t xml:space="preserve">منه مشقّة عظيمة و حرج واضح مدفوعٌ بالآية </w:t>
      </w:r>
      <w:r>
        <w:rPr>
          <w:rStyle w:val="FootnoteAnchor"/>
          <w:rtl w:val="true"/>
        </w:rPr>
        <w:footnoteReference w:id="150"/>
      </w:r>
      <w:r>
        <w:rPr>
          <w:rFonts w:ascii="IRNazanin" w:hAnsi="IRNazanin" w:eastAsia="IRNazanin"/>
          <w:color w:val="111111"/>
          <w:sz w:val="28"/>
          <w:sz w:val="28"/>
          <w:szCs w:val="28"/>
          <w:rtl w:val="true"/>
          <w:lang w:bidi="fa-IR"/>
        </w:rPr>
        <w:t xml:space="preserve">والخبر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وضع فيه أجسام طاهرة تبعته في الطهارة والنجاسة، قطع به المصنّف في النهاية </w:t>
      </w:r>
      <w:r>
        <w:rPr>
          <w:rStyle w:val="FootnoteAnchor"/>
          <w:rtl w:val="true"/>
        </w:rPr>
        <w:footnoteReference w:id="151"/>
      </w:r>
      <w:r>
        <w:rPr>
          <w:rFonts w:ascii="Amiri" w:hAnsi="Amiri" w:eastAsia="Amiri" w:cs="Amiri"/>
          <w:color w:val="111111"/>
          <w:sz w:val="28"/>
          <w:sz w:val="28"/>
          <w:szCs w:val="28"/>
          <w:rtl w:val="true"/>
          <w:lang w:bidi="ar-SA"/>
        </w:rPr>
        <w:t xml:space="preserve">، و يؤيّده طُهر الأجسام المطروحة في الخمر المنقلب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قياسًا ممنوعًا، بل جليًّا من باب مفهوم الموافقة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العبارة السالفة من اللمعة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يحرم العصير من الزبيب و إن غلى على الأقوى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لخروجه عن مسمّى العنب، و أصالة الحلّ و استصحابه، خرج منه عصير العنب إذا غلى بالنصّ، فبقي غيره على الأصل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فالقول بالتحريم أضعف، أمّا النجاسة فلا شبهة في نفيها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عنون عبارة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حكمها العصير إذا غلى واشتدّ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به العصير العنبيّ، و بغليانه أن يصير أعلاه أسفله بنفسه أو بغيره، و باشتداده أن يحصل فيه </w:t>
      </w:r>
      <w:r>
        <w:rPr>
          <w:rStyle w:val="FootnoteAnchor"/>
          <w:rtl w:val="true"/>
        </w:rPr>
        <w:footnoteReference w:id="154"/>
      </w:r>
      <w:r>
        <w:rPr>
          <w:rFonts w:ascii="Amiri" w:hAnsi="Amiri" w:eastAsia="Amiri" w:cs="Amiri"/>
          <w:color w:val="111111"/>
          <w:sz w:val="28"/>
          <w:sz w:val="28"/>
          <w:szCs w:val="28"/>
          <w:rtl w:val="true"/>
          <w:lang w:bidi="ar-SA"/>
        </w:rPr>
        <w:t>ثخانة، و هي مسبّبةٌ عن مجرّد الغليان عند الشهيد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صرّح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أنّه يحرم بالغليان ولا ينجس إلاّ مع الاشتداد، فأحدهما ينفكّ عن الآخر، و هذا 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بنجاسة العصير هو المشهور بين المتأخّرين، و مستنده غير معلوم، بل النصّ إنّما دلّ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w:t>
      </w:r>
      <w:r>
        <w:rPr>
          <w:rStyle w:val="FootnoteAnchor"/>
          <w:rtl w:val="true"/>
        </w:rPr>
        <w:footnoteReference w:id="156"/>
      </w:r>
      <w:r>
        <w:rPr>
          <w:rFonts w:ascii="Amiri" w:hAnsi="Amiri" w:eastAsia="Amiri" w:cs="Amiri"/>
          <w:color w:val="111111"/>
          <w:sz w:val="28"/>
          <w:sz w:val="28"/>
          <w:szCs w:val="28"/>
          <w:rtl w:val="true"/>
          <w:lang w:bidi="ar-SA"/>
        </w:rPr>
        <w:t xml:space="preserve">على نصّ يقتضي تنجيسه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المطاعم والمشارب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يحرم العصير إذا غلى، سواء كان من نفسه، أو بالنار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الأصحاب في تحريم عصير العنب إذا غلى، بأن صار أسفله أعلاه ؛ و أخبارهم ناطقة به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جملة من النصوص الآتية،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أكثر المتأخّرين على نجاسته أيضًا، لكن قيّدوها بالاشتداد مع الغليان، والمراد به أن يصير له قوامًا و إن قلّ، بأن يذهب شيء من مائه، و لأنّ النصوص خاليةٌ عن النجاسة و عن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الشهيد في الذكرى، فجعل 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 الثخانة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 عن مجرّد الغليان، فجعل التحريم والنجاسة متلازمين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الدليل عليه، حتّى باعترافه فيها و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المفهوم من 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ذلك يقرب مع الغليان بالنار، لاستلزامه ارتفاع شيء من بخاره الموجب لنقصان مائيّته، أمّا مع انقلابه بنفسه أو بالشمس فلا يتحقّق ذلك أصلاً، خصوصًا في الأوّل و إن طال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ابن حمزة، فحكم بنجاسته مع غليانه بنفسه و بتحريمه خاصّة إن غلى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تحكّم، و إن كان أقرب إلى الأصل من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المشاهير بغير أصل ؛ وإلحاقه بالمسكرات أو بالفقّاع من حيث التحريم لا يوجب إلحاقه بها مطلقًا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مع عدم ذهاب ثلثيه في تحريمه بين أن يصير دبسًا و عدمه، </w:t>
      </w:r>
    </w:p>
    <w:p>
      <w:pPr>
        <w:pStyle w:val="BookText"/>
        <w:rPr/>
      </w:pPr>
      <w:r>
        <w:rPr>
          <w:rFonts w:ascii="Amiri" w:hAnsi="Amiri" w:eastAsia="Amiri" w:cs="Amiri"/>
          <w:color w:val="111111"/>
          <w:sz w:val="28"/>
          <w:sz w:val="28"/>
          <w:szCs w:val="28"/>
          <w:rtl w:val="true"/>
          <w:lang w:bidi="ar-SA"/>
        </w:rPr>
        <w:t xml:space="preserve">لإطلاق النصوص باشتراط ذهاب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ابن أبي يعفور،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الطلاء على الثلث فهو حرام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فرضٌ بعيد، لأنّه لا يصير دبسًا حتّى يذهب أربعة أخماسه غالبًا بالوجدان، فضلاً عن الثلثين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الاكتفاء بصيرورته دبسًا على تقدير إمكانه، لانتقاله من </w:t>
      </w:r>
      <w:r>
        <w:rPr>
          <w:rStyle w:val="FootnoteAnchor"/>
          <w:rtl w:val="true"/>
        </w:rPr>
        <w:footnoteReference w:id="161"/>
      </w:r>
      <w:r>
        <w:rPr>
          <w:rFonts w:ascii="Amiri" w:hAnsi="Amiri" w:eastAsia="Amiri" w:cs="Amiri"/>
          <w:color w:val="111111"/>
          <w:sz w:val="28"/>
          <w:sz w:val="28"/>
          <w:szCs w:val="28"/>
          <w:rtl w:val="true"/>
          <w:lang w:bidi="ar-SA"/>
        </w:rPr>
        <w:t xml:space="preserve">اسم العصير، كما يطهّر بصيرورته خلاًّ لذلك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فرق في ذهاب ثلثيه بين وقوعه بالغليان والشمس والهواء، فلو وضع المعمول به قبل ذهاب 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الشمس فتجفّف بها أو بالهواء و ذهب ثلثاه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يطهّر بذلك لو قيل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يقدح فيه نجاسة الأجسام الموضوعة فيه قبل ذهاب الثلثين، كما يطهّر ما فيه من الأجسام بعد انقلابه من الخمريّة إلى الخلّيّة عندنا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مختصّ بعصير العنب، فلا يتعدّي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كعصير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يسكر، للأصل ؛ و لا إلى عصير الزبيب على الأصحّ، لخروجه عن اسمه و ذهاب ثلثيه </w:t>
      </w:r>
      <w:r>
        <w:rPr>
          <w:rStyle w:val="FootnoteAnchor"/>
          <w:rtl w:val="true"/>
        </w:rPr>
        <w:footnoteReference w:id="163"/>
      </w:r>
      <w:r>
        <w:rPr>
          <w:rFonts w:ascii="Amiri" w:hAnsi="Amiri" w:eastAsia="Amiri" w:cs="Amiri"/>
          <w:color w:val="111111"/>
          <w:sz w:val="28"/>
          <w:sz w:val="28"/>
          <w:szCs w:val="28"/>
          <w:rtl w:val="true"/>
          <w:lang w:bidi="ar-SA"/>
        </w:rPr>
        <w:t xml:space="preserve">و زيادة بالشمس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حرّمه بعض علمائنا </w:t>
      </w:r>
      <w:r>
        <w:rPr>
          <w:rStyle w:val="FootnoteAnchor"/>
          <w:rtl w:val="true"/>
        </w:rPr>
        <w:footnoteReference w:id="164"/>
      </w:r>
      <w:r>
        <w:rPr>
          <w:rFonts w:ascii="Amiri" w:hAnsi="Amiri" w:eastAsia="Amiri" w:cs="Amiri"/>
          <w:color w:val="111111"/>
          <w:sz w:val="28"/>
          <w:sz w:val="28"/>
          <w:szCs w:val="28"/>
          <w:rtl w:val="true"/>
          <w:lang w:bidi="ar-SA"/>
        </w:rPr>
        <w:t xml:space="preserve">استنادًا إلى مفهوم رواية عليّ بن جعفر عن أخيه موسى بن جعفر عليهاالسلام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طريقها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تحريمه قبل ذهاب ثلثيه بوجه، و إنّما نفى عليه‌السلام البأس عن هذا العمل الموصوف وإبقاء الشراب عنده ليشرب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السؤال بالثلثين لا يدلّ على تحريمه بدونه، و لا بالمفهوم</w:t>
      </w:r>
    </w:p>
    <w:p>
      <w:pPr>
        <w:pStyle w:val="BookText"/>
        <w:rPr/>
      </w:pPr>
      <w:r>
        <w:rPr>
          <w:rFonts w:ascii="Amiri" w:hAnsi="Amiri" w:eastAsia="Amiri" w:cs="Amiri"/>
          <w:color w:val="111111"/>
          <w:sz w:val="28"/>
          <w:sz w:val="28"/>
          <w:szCs w:val="28"/>
          <w:rtl w:val="true"/>
          <w:lang w:bidi="ar-SA"/>
        </w:rPr>
        <w:t xml:space="preserve">الّذي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تظهر فائدة التقييد به ليذهب مائيّته، فيصحّ </w:t>
      </w:r>
      <w:r>
        <w:rPr>
          <w:rStyle w:val="FootnoteAnchor"/>
          <w:rtl w:val="true"/>
        </w:rPr>
        <w:footnoteReference w:id="166"/>
      </w:r>
      <w:r>
        <w:rPr>
          <w:rFonts w:ascii="Amiri" w:hAnsi="Amiri" w:eastAsia="Amiri" w:cs="Amiri"/>
          <w:color w:val="111111"/>
          <w:sz w:val="28"/>
          <w:sz w:val="28"/>
          <w:szCs w:val="28"/>
          <w:rtl w:val="true"/>
          <w:lang w:bidi="ar-SA"/>
        </w:rPr>
        <w:t xml:space="preserve">للمكث عنده المدّة المذكورة كما يبقى 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دلالتها بالمفهوم، فهو ضعيف لا يصلح لإثبات مثل هذا الحكم المخالف للأصل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بصير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عليه‌السلام يعجبه </w:t>
      </w:r>
      <w:r>
        <w:rPr>
          <w:rStyle w:val="FootnoteAnchor"/>
          <w:rtl w:val="true"/>
        </w:rPr>
        <w:footnoteReference w:id="167"/>
      </w:r>
      <w:r>
        <w:rPr>
          <w:rFonts w:ascii="Amiri" w:hAnsi="Amiri" w:eastAsia="Amiri" w:cs="Amiri"/>
          <w:color w:val="111111"/>
          <w:sz w:val="28"/>
          <w:sz w:val="28"/>
          <w:szCs w:val="28"/>
          <w:rtl w:val="true"/>
          <w:lang w:bidi="ar-SA"/>
        </w:rPr>
        <w:t xml:space="preserve">الزبيبة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ظاهر في الحلّ، لأنّ طعام الزبيبة لا يذهب فيه ثلثا ماء </w:t>
      </w:r>
    </w:p>
    <w:p>
      <w:pPr>
        <w:pStyle w:val="BookText"/>
        <w:rPr/>
      </w:pPr>
      <w:r>
        <w:rPr>
          <w:rFonts w:ascii="Amiri" w:hAnsi="Amiri" w:eastAsia="Amiri" w:cs="Amiri"/>
          <w:color w:val="111111"/>
          <w:sz w:val="28"/>
          <w:sz w:val="28"/>
          <w:szCs w:val="28"/>
          <w:rtl w:val="true"/>
          <w:lang w:bidi="ar-SA"/>
        </w:rPr>
        <w:t xml:space="preserve">الزبيب كما لا يخفى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المقاصد العليّة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المسكر </w:t>
      </w:r>
      <w:r>
        <w:rPr>
          <w:rStyle w:val="FootnoteAnchor"/>
          <w:rtl w:val="true"/>
        </w:rPr>
        <w:footnoteReference w:id="170"/>
      </w:r>
      <w:r>
        <w:rPr>
          <w:rFonts w:ascii="Amiri" w:hAnsi="Amiri" w:eastAsia="Amiri" w:cs="Amiri"/>
          <w:color w:val="111111"/>
          <w:sz w:val="28"/>
          <w:sz w:val="28"/>
          <w:szCs w:val="28"/>
          <w:rtl w:val="true"/>
          <w:lang w:bidi="ar-SA"/>
        </w:rPr>
        <w:t xml:space="preserve">في النجاسة و إن لم يسكر، و هو شيئان، أحدهما إجماعيّ، و هو الفُقّاع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مشهوريّ، و هو العصير العنبيّ إذا غلى بأن يصير أعلاه أسفله، بنفسه أم بالنار، واشتدّ بأن حصل له ثخانة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بنجاسته مشهورٌ بين المتأخّرين، و ليس عليه نصّ ظاهر، كما اعترف به المصنّف في البيان، بل نسب النجاسة في الذكرى إلى قليلٍ من الأصحاب، غير أنّ الباقين منهم لم يصرّحوا بالطهارة، فتحقّق القولين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في المسألة مشكوكٌ فيه و إن ضعف طريق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نجاسته ذهاب ثلثيه أو صيرورته خلاًّ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بطهره تطهّر آلات طبخه و أيدي مزاوليه و ثيابهم و ما فيه من الأجسام الطاهرة بالأصل، كما يحكم بطهر آنية الخمر و ما فيها من </w:t>
      </w:r>
    </w:p>
    <w:p>
      <w:pPr>
        <w:pStyle w:val="BookText"/>
        <w:rPr/>
      </w:pPr>
      <w:r>
        <w:rPr>
          <w:rFonts w:ascii="Amiri" w:hAnsi="Amiri" w:eastAsia="Amiri" w:cs="Amiri"/>
          <w:color w:val="111111"/>
          <w:sz w:val="28"/>
          <w:sz w:val="28"/>
          <w:szCs w:val="28"/>
          <w:rtl w:val="true"/>
          <w:lang w:bidi="ar-SA"/>
        </w:rPr>
        <w:t xml:space="preserve">الأجسام الموضوعة للعلاج و غيره بانقلابه خلاًّ من باب مفهوم الموافقة، لا القياس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طهارة الدلو والرشاء </w:t>
      </w:r>
      <w:r>
        <w:rPr>
          <w:rStyle w:val="FootnoteAnchor"/>
          <w:rtl w:val="true"/>
        </w:rPr>
        <w:footnoteReference w:id="173"/>
      </w:r>
      <w:r>
        <w:rPr>
          <w:rFonts w:ascii="Amiri" w:hAnsi="Amiri" w:eastAsia="Amiri" w:cs="Amiri"/>
          <w:color w:val="111111"/>
          <w:sz w:val="28"/>
          <w:sz w:val="28"/>
          <w:szCs w:val="28"/>
          <w:rtl w:val="true"/>
          <w:lang w:bidi="ar-SA"/>
        </w:rPr>
        <w:t xml:space="preserve">و حافّات البئر، و ثياب النازح بطهرها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مَن حكم بنجاسة العصير شرط فيها مجموع الوصفين،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الغليان والاشتداد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بتحريمه في النصّ والفتوى معلّقٌ على مجرّد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بين الوصفين زمانًا متحقّقًا، خصوصًا في الّذي يغلي بنفسه أو بالشمس، فعلى هذا يحرم بعد الغليان، و لاينجس إلى أن يشتدّ </w:t>
      </w:r>
      <w:r>
        <w:rPr>
          <w:rStyle w:val="FootnoteAnchor"/>
          <w:rtl w:val="true"/>
        </w:rPr>
        <w:footnoteReference w:id="175"/>
      </w:r>
      <w:r>
        <w:rPr>
          <w:rFonts w:ascii="Amiri" w:hAnsi="Amiri" w:eastAsia="Amiri" w:cs="Amiri"/>
          <w:color w:val="111111"/>
          <w:sz w:val="28"/>
          <w:sz w:val="28"/>
          <w:szCs w:val="28"/>
          <w:rtl w:val="true"/>
          <w:lang w:bidi="ar-SA"/>
        </w:rPr>
        <w:t xml:space="preserve">، فيصير له ثلاث حالات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يلحق به عصير التمر و غيره إجماعًا، و لا الزبيب على أصحّ القولين، للأصل، و ضعف متمسّك القائل بالإلحاق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غاية المرام للصيمريّ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العصير إذا غلى حرم ؛ و معنى الغليان أن يصير أسفله أعلاه، و لا فرق بين أن يكون ذلك من نفسه، أو بسبب تسخينه بالنار أو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ولايشترط أن يقذف بالزبد و لا صيرورته مسكرًا، فيحرم حينئذٍ العنب والرطب دون التمر والزبيب، إلاّ أن يصير مسكرًا، فيحرم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يطهّر بانقلابه خلاًّ، أو بذهاب ثلثيه ؛ و لا يشترط كون الذهاب بالغليان، بل لو ذهب الثلثان بالشمس أو الهواء حلّ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شرح الألفيّة لشيخنا الشيخ </w:t>
      </w:r>
      <w:r>
        <w:rPr>
          <w:rStyle w:val="FootnoteAnchor"/>
          <w:rtl w:val="true"/>
        </w:rPr>
        <w:footnoteReference w:id="178"/>
      </w:r>
      <w:r>
        <w:rPr>
          <w:rFonts w:ascii="Amiri" w:hAnsi="Amiri" w:eastAsia="Amiri" w:cs="Amiri"/>
          <w:color w:val="111111"/>
          <w:sz w:val="28"/>
          <w:sz w:val="28"/>
          <w:szCs w:val="28"/>
          <w:rtl w:val="true"/>
          <w:lang w:bidi="ar-SA"/>
        </w:rPr>
        <w:t xml:space="preserve">حسين والد شيخنا البهائيّ، في شرح العبارة السالفة من الألفيّة 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الفقّاع إجماعًا و إن لم يسكر، والعصير العنبيّ إذا غلى واشتدّ على المشهور ؛ و ليس على نجاسته نصّ، و نسب القول بها في الذكرى إلى قليلٍ من الأصحاب، و تحريمه في النصّ معلّقٌ على مجرّد الغليان، والظاهر أنّ بينه و بين الاشتداد مهلة، فيحرم بعد الغليان، و لا ينجس إلاّ بعد 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الذكرى التلازم بعد الغليان والاشتداد، و هو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ولايلحق به عصير التمر إجماعًا، و لا الزبيب على الأصحّ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الرسالة التولانيّة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قال شيخنا البحّاثة الشيخ آقا بزرگ الطهراني قدس‌سره في ذريعته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التولانيّة، رسالة في الصلاة للشيخ عليّ التولاني،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على سوابغ النعم وترادف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في الخزانة الرضويّة منه بخطّ قاسم بن الحسن في سنة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مكتوب على ظهر الكتاب أنّه للشيخ عليّ التولاني تلميذ الشهيد، المتوفّى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الشيخ عليّ التوايني النحاريري العاملي صاحب كتاب الكفاية في الفقه، الّذي ينقل عنه الكفعمي في مجاميعه ؛ ترجمه كذلك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تلميذ الفاضل المقداد المتوفّى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و يروي عنه الشيخ جمال الدين أحمد بن الحاج علي العيناثي، كما في إجازة الشيخ نعمة اللّه بن خواتون للسيّد حسن بن علي بن شدقم المدني المذكور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ألحق بالمسكر عصير العنب إذا غلى واشتدّ، و إن لم يبلغ حدّ الإسكار، سواء غلى من نفسه، أو بالنار، أو بالشمس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مجمع الفائدة والبرهان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العصير العنبيّ فالظاهر طهارته، كما يظهر من الدروس </w:t>
      </w:r>
      <w:r>
        <w:rPr>
          <w:rStyle w:val="FootnoteAnchor"/>
          <w:rtl w:val="true"/>
        </w:rPr>
        <w:footnoteReference w:id="182"/>
      </w:r>
      <w:r>
        <w:rPr>
          <w:rFonts w:ascii="Amiri" w:hAnsi="Amiri" w:eastAsia="Amiri" w:cs="Amiri"/>
          <w:color w:val="111111"/>
          <w:sz w:val="28"/>
          <w:sz w:val="28"/>
          <w:szCs w:val="28"/>
          <w:rtl w:val="true"/>
          <w:lang w:bidi="ar-SA"/>
        </w:rPr>
        <w:t xml:space="preserve">مع التحريم </w:t>
      </w:r>
      <w:r>
        <w:rPr>
          <w:rStyle w:val="FootnoteAnchor"/>
          <w:rtl w:val="true"/>
        </w:rPr>
        <w:footnoteReference w:id="183"/>
      </w:r>
      <w:r>
        <w:rPr>
          <w:rFonts w:ascii="Amiri" w:hAnsi="Amiri" w:eastAsia="Amiri" w:cs="Amiri"/>
          <w:color w:val="111111"/>
          <w:sz w:val="28"/>
          <w:sz w:val="28"/>
          <w:szCs w:val="28"/>
          <w:rtl w:val="true"/>
          <w:lang w:bidi="ar-SA"/>
        </w:rPr>
        <w:t xml:space="preserve">، لعدم دليل النجاسة مع دليله و دليلها و قلّة القائل، كما يظهر </w:t>
      </w:r>
    </w:p>
    <w:p>
      <w:pPr>
        <w:pStyle w:val="BookText"/>
        <w:rPr/>
      </w:pPr>
      <w:r>
        <w:rPr>
          <w:rFonts w:ascii="Amiri" w:hAnsi="Amiri" w:eastAsia="Amiri" w:cs="Amiri"/>
          <w:color w:val="111111"/>
          <w:sz w:val="28"/>
          <w:sz w:val="28"/>
          <w:szCs w:val="28"/>
          <w:rtl w:val="true"/>
          <w:lang w:bidi="ar-SA"/>
        </w:rPr>
        <w:t xml:space="preserve">من الذكرى مع القول بنجاسته في الرسالة، و هو قريب، فيكون عصير التمر والزبيب طاهرًا بالطريق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إباحته فبالأصل و حصر المحرّمات في بعض الآيات،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ربّي الفواحش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مع دليل من العقل والنقل من </w:t>
      </w:r>
      <w:r>
        <w:rPr>
          <w:rStyle w:val="FootnoteAnchor"/>
          <w:rtl w:val="true"/>
        </w:rPr>
        <w:footnoteReference w:id="185"/>
      </w:r>
      <w:r>
        <w:rPr>
          <w:rFonts w:ascii="Amiri" w:hAnsi="Amiri" w:eastAsia="Amiri" w:cs="Amiri"/>
          <w:color w:val="111111"/>
          <w:sz w:val="28"/>
          <w:sz w:val="28"/>
          <w:szCs w:val="28"/>
          <w:rtl w:val="true"/>
          <w:lang w:bidi="ar-SA"/>
        </w:rPr>
        <w:t xml:space="preserve">الكتاب والسنّة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بغليانه صيرورة أعلاه أسفله، و باشتداده حصول الثخانة له، و ينبغي الرجوع فيها إلى العرف، و ذكر المحقّق الشيخ عليّ أنّها تتحقّق بمجرّد الغليان، و هو غير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العصير إذا غلى واشتدّ و لا يذهب ثلثاه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بين المتأخّرين، و لا نعلم مأخذه، و قد اعترف الشهيد في الذكرى والبيان بأنّه لم نقف على دليلٍ يدلّ على نجاسته، و ذكر أنّ المصرّح بنجاسته قليلٌ من الأصحاب، و مع ذلك فأفتى في الرسالة بنجاسته ؛ و هو عجيب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عن ابن أبي عقيل التصريح بطهارته، و مال إليه جدّي قدس‌سره في </w:t>
      </w:r>
    </w:p>
    <w:p>
      <w:pPr>
        <w:pStyle w:val="BookText"/>
        <w:rPr/>
      </w:pPr>
      <w:r>
        <w:rPr>
          <w:rFonts w:ascii="Amiri" w:hAnsi="Amiri" w:eastAsia="Amiri" w:cs="Amiri"/>
          <w:color w:val="111111"/>
          <w:sz w:val="28"/>
          <w:sz w:val="28"/>
          <w:szCs w:val="28"/>
          <w:rtl w:val="true"/>
          <w:lang w:bidi="ar-SA"/>
        </w:rPr>
        <w:t xml:space="preserve">حواشي القواعد، و قوّاه شيخنا المعاصر </w:t>
      </w:r>
      <w:r>
        <w:rPr>
          <w:rStyle w:val="FootnoteAnchor"/>
          <w:rtl w:val="true"/>
        </w:rPr>
        <w:footnoteReference w:id="187"/>
      </w:r>
      <w:r>
        <w:rPr>
          <w:rFonts w:ascii="Amiri" w:hAnsi="Amiri" w:eastAsia="Amiri" w:cs="Amiri"/>
          <w:color w:val="111111"/>
          <w:sz w:val="28"/>
          <w:sz w:val="28"/>
          <w:szCs w:val="28"/>
          <w:rtl w:val="true"/>
          <w:lang w:bidi="ar-SA"/>
        </w:rPr>
        <w:t xml:space="preserve">؛ و هو المعتمد تمسّكًا بمقتضى الأصل السالم عن المعارض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شيخنا البهائي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عبّاسى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بيان مطهّرات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مثل شيره انگور كه چون او را بجوشانند نجس مى‌شود، و چون چهار دانگ آن كم شود طاهر مى‌شود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المولى التقيّ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نهم از 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شيره انگور است هر گاه بجوشد و قوام به هم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گفته‌اند كه اصل جوشيدن سبب نجاست مى‌شود، و دليل آنها </w:t>
      </w:r>
      <w:r>
        <w:rPr>
          <w:rStyle w:val="FootnoteAnchor"/>
          <w:rtl w:val="true"/>
        </w:rPr>
        <w:footnoteReference w:id="190"/>
      </w:r>
      <w:r>
        <w:rPr>
          <w:rFonts w:ascii="Amiri" w:hAnsi="Amiri" w:eastAsia="Amiri" w:cs="Amiri"/>
          <w:color w:val="111111"/>
          <w:sz w:val="28"/>
          <w:sz w:val="28"/>
          <w:szCs w:val="28"/>
          <w:rtl w:val="true"/>
          <w:lang w:bidi="ar-SA"/>
        </w:rPr>
        <w:t xml:space="preserve">ظاهر نيست، و أحوط اجتناب است از اينها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أحوط است اجتناب كردن از طعامى كه كشمش يا مويز در آن كرده باشند كه جوشيده باشد آب در ميان آن، و </w:t>
      </w:r>
      <w:r>
        <w:rPr>
          <w:rStyle w:val="FootnoteAnchor"/>
          <w:rtl w:val="true"/>
        </w:rPr>
        <w:footnoteReference w:id="191"/>
      </w:r>
      <w:r>
        <w:rPr>
          <w:rFonts w:ascii="IRNazanin" w:hAnsi="IRNazanin" w:eastAsia="IRNazanin"/>
          <w:color w:val="111111"/>
          <w:sz w:val="28"/>
          <w:sz w:val="28"/>
          <w:szCs w:val="28"/>
          <w:rtl w:val="true"/>
          <w:lang w:bidi="fa-IR"/>
        </w:rPr>
        <w:t xml:space="preserve">اگر به روغن سرخ كرده باشند ظاهرًا دغدغه نباشد ؛ و هم چنين از حَبَشى </w:t>
      </w:r>
      <w:r>
        <w:rPr>
          <w:rStyle w:val="FootnoteAnchor"/>
          <w:rtl w:val="true"/>
        </w:rPr>
        <w:footnoteReference w:id="192"/>
      </w:r>
      <w:r>
        <w:rPr>
          <w:rFonts w:ascii="IRNazanin" w:hAnsi="IRNazanin" w:eastAsia="IRNazanin"/>
          <w:color w:val="111111"/>
          <w:sz w:val="28"/>
          <w:sz w:val="28"/>
          <w:szCs w:val="28"/>
          <w:rtl w:val="true"/>
          <w:lang w:bidi="fa-IR"/>
        </w:rPr>
        <w:t xml:space="preserve">و مانند </w:t>
      </w:r>
    </w:p>
    <w:p>
      <w:pPr>
        <w:pStyle w:val="BookText"/>
        <w:rPr/>
      </w:pPr>
      <w:r>
        <w:rPr>
          <w:rFonts w:ascii="Amiri" w:hAnsi="Amiri" w:eastAsia="Amiri" w:cs="Amiri"/>
          <w:color w:val="111111"/>
          <w:sz w:val="28"/>
          <w:sz w:val="28"/>
          <w:szCs w:val="28"/>
          <w:rtl w:val="true"/>
          <w:lang w:bidi="ar-SA"/>
        </w:rPr>
        <w:t xml:space="preserve">آن كه مويز و كشمش را كوفته باشند و در آن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باشند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 و دغدغه حرمت اينها بيش از دغدغه نجاست است، اگر چه ظاهرًا حلال است و پاك، وليكن احتياط أولى است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الذخيرة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ألحق بعض الأصحاب بالخمر في التنجيس العصير إذا غلى واشتدّ ولم يذهب ثلثاه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عن ابن أبي عقيل التصريح بطهارته، و يمكن ترجيحه بالأصل والعمومات الّتي أشرنا إليها مرارًا، و أمّا التحريم فلا خلاف فيه بين الأصحاب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يلحق به عصير الزبيب إذا غلى في النجاسة ؟ لا أعلم بذلك قائلاً، وأمّا في التحريم فالأكثر على عدمه، فيحلّ طبيخ الزبيب لذهاب ثلثيه بالشمس غالبًا و خروجه عن مسمّى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بتحريمه، و هو المنقول عن بعض المتقدّمين، و نقله الشهيد في الدروس عن بعض </w:t>
      </w:r>
    </w:p>
    <w:p>
      <w:pPr>
        <w:pStyle w:val="BookText"/>
        <w:rPr/>
      </w:pPr>
      <w:r>
        <w:rPr>
          <w:rFonts w:ascii="Amiri" w:hAnsi="Amiri" w:eastAsia="Amiri" w:cs="Amiri"/>
          <w:color w:val="111111"/>
          <w:sz w:val="28"/>
          <w:sz w:val="28"/>
          <w:szCs w:val="28"/>
          <w:rtl w:val="true"/>
          <w:lang w:bidi="ar-SA"/>
        </w:rPr>
        <w:t xml:space="preserve">معاصريه، والأوّل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عصير التمر فقد اختلف في حلّه، و قد يستدلّ على التحريم بموثّقة عمّار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دلالته على المطلوب نظر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 انگور هر گاه جوش </w:t>
      </w:r>
      <w:r>
        <w:rPr>
          <w:rStyle w:val="FootnoteAnchor"/>
          <w:rtl w:val="true"/>
        </w:rPr>
        <w:footnoteReference w:id="196"/>
      </w:r>
      <w:r>
        <w:rPr>
          <w:rFonts w:ascii="Amiri" w:hAnsi="Amiri" w:eastAsia="Amiri" w:cs="Amiri"/>
          <w:color w:val="111111"/>
          <w:sz w:val="28"/>
          <w:sz w:val="28"/>
          <w:szCs w:val="28"/>
          <w:rtl w:val="true"/>
          <w:lang w:bidi="ar-SA"/>
        </w:rPr>
        <w:t xml:space="preserve">بزند و اشتدادى به هم رساند، قبل از آنكه دو ثلث او </w:t>
      </w:r>
      <w:r>
        <w:rPr>
          <w:rStyle w:val="FootnoteAnchor"/>
          <w:rtl w:val="true"/>
        </w:rPr>
        <w:footnoteReference w:id="197"/>
      </w:r>
      <w:r>
        <w:rPr>
          <w:rFonts w:ascii="IRNazanin" w:hAnsi="IRNazanin" w:eastAsia="IRNazanin"/>
          <w:color w:val="111111"/>
          <w:sz w:val="28"/>
          <w:sz w:val="28"/>
          <w:szCs w:val="28"/>
          <w:rtl w:val="true"/>
          <w:lang w:bidi="fa-IR"/>
        </w:rPr>
        <w:t xml:space="preserve">برود، جمعى نجس دانسته‌اند، و اقرب طهارت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الكفاية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ألحق بعض الأصحاب بالخمر في التنجيس العصير إذا غلى واشتدّ ولم يذهب ثلثاه، واكتفى بعضهم في التنجيس بالغليان </w:t>
      </w:r>
      <w:r>
        <w:rPr>
          <w:rStyle w:val="FootnoteAnchor"/>
          <w:rtl w:val="true"/>
        </w:rPr>
        <w:footnoteReference w:id="199"/>
      </w:r>
      <w:r>
        <w:rPr>
          <w:rFonts w:ascii="IRNazanin" w:hAnsi="IRNazanin" w:eastAsia="IRNazanin"/>
          <w:color w:val="111111"/>
          <w:sz w:val="28"/>
          <w:sz w:val="28"/>
          <w:szCs w:val="28"/>
          <w:rtl w:val="true"/>
          <w:lang w:bidi="fa-IR"/>
        </w:rPr>
        <w:t xml:space="preserve">، والأقرب </w:t>
      </w:r>
    </w:p>
    <w:p>
      <w:pPr>
        <w:pStyle w:val="BookText"/>
        <w:rPr/>
      </w:pPr>
      <w:r>
        <w:rPr>
          <w:rFonts w:ascii="Amiri" w:hAnsi="Amiri" w:eastAsia="Amiri" w:cs="Amiri"/>
          <w:color w:val="111111"/>
          <w:sz w:val="28"/>
          <w:sz w:val="28"/>
          <w:szCs w:val="28"/>
          <w:rtl w:val="true"/>
          <w:lang w:bidi="ar-SA"/>
        </w:rPr>
        <w:t xml:space="preserve">الطهارة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الأطعمة والأشربة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العصير إذا غلى، سواء غلى بنفسه أو بالنار، والمراد به </w:t>
      </w:r>
      <w:r>
        <w:rPr>
          <w:rStyle w:val="FootnoteAnchor"/>
          <w:rtl w:val="true"/>
        </w:rPr>
        <w:footnoteReference w:id="201"/>
      </w:r>
      <w:r>
        <w:rPr>
          <w:rFonts w:ascii="Amiri" w:hAnsi="Amiri" w:eastAsia="Amiri" w:cs="Amiri"/>
          <w:color w:val="111111"/>
          <w:sz w:val="28"/>
          <w:sz w:val="28"/>
          <w:szCs w:val="28"/>
          <w:rtl w:val="true"/>
          <w:lang w:bidi="ar-SA"/>
        </w:rPr>
        <w:t xml:space="preserve">الماء المعتصر من العنب، و لا خلاف في تحريمه بين الأصحاب، و يدلّ عليه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بالغليان أن يصير أسفله أعلاه، و يستفاد ذلك من بعض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 بعضهم في التحريم الشدّة، و هي الثخونة والغلظ والقوام، و هي أمرٌ زائدٌ على مجرّد الغليان، و لا دليل على اعتباره في التحريم، فإنّ الوارد في النصوص مجرّد الغليان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بالعصير ماء العنب إذا غلى في حبّه، و فيه إشكال، لعدم صدق العصير عليه، والأدلّة العامّة تقتضي حلّه، والقول بنجاسة العصير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يحلّ العصير حتّى يذهب ثلثاه، أو يصدق عليه الخلّ، والأشهر الأقرب أنّه لا يحرم عصير الزبيب، إذ لايصدق عليه العنب، فتشمله الأدلّة العامّة المقتضية للحلّ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عصير التمر قولان، والأشهر الأقرب عدم التحريم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فقهاؤنا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العصير العنبيّ بالغليان والاشتداد، و ظاهر الأخبار و أكثر الأصحاب تحقّق الحرمة بمجرّد الغليان المفسّر بالقلب في رواية حمّاد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شرب العصير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تشرب ما لم يغل، فإذا غلى فلا تشربه،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 شيء الغليان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 أسفله أعلاه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هو المقصود أيضًا من النشيش فيما تقدّم من الأخبار، و فيما روي عن ذريح،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 العصير و غلى حرم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النشيش هو صوت الماء و غيره عند الغليان، فعلى هذا يكون العطف بالواو في الرواية للتفسير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المراد بالنشيش حالة مقارنة الغليان، أو متقدّمة عليه، فيكون العطف بمحض الجمع أو الترتيب، للإشعار بعدم انفكاك أحدهما عن الآخر، أو عدم كفاية النشيش بدون الغليان </w:t>
      </w:r>
      <w:r>
        <w:rPr>
          <w:rStyle w:val="FootnoteAnchor"/>
          <w:rtl w:val="true"/>
        </w:rPr>
        <w:footnoteReference w:id="205"/>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كما في البيان و شرح الإرشاد لفخر الإسلام، و لعلّ </w:t>
      </w:r>
      <w:r>
        <w:rPr>
          <w:rStyle w:val="FootnoteAnchor"/>
          <w:rtl w:val="true"/>
        </w:rPr>
        <w:footnoteReference w:id="206"/>
      </w:r>
      <w:r>
        <w:rPr>
          <w:rFonts w:ascii="Amiri" w:hAnsi="Amiri" w:eastAsia="Amiri" w:cs="Amiri"/>
          <w:color w:val="111111"/>
          <w:sz w:val="28"/>
          <w:sz w:val="28"/>
          <w:szCs w:val="28"/>
          <w:rtl w:val="true"/>
          <w:lang w:bidi="ar-SA"/>
        </w:rPr>
        <w:t xml:space="preserve">منه الزبيبيّ، لا الحصرميّ، و حكى فخر الإسلام عن المصنّف أنّه كان يجتنب عصير الزبيب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والأقوى الطهارة، وفاقًا للحسن والشهيد، و ظاهر النافع والتبصرة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المفاتيح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تحريم عصير العنب إذا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أسفله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يذهب ثلثاه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النخبة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والعصير العنبيّ إذا غلى واشتدّ قبل أن يذهب ثلثاه فهو حرام، إلاّ مع الاضطرار </w:t>
      </w:r>
      <w:r>
        <w:rPr>
          <w:rStyle w:val="FootnoteAnchor"/>
          <w:rtl w:val="true"/>
        </w:rPr>
        <w:footnoteReference w:id="21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عدم ذكر العصير عند تعداد النجاسات يؤمي إلى اعتقاده طهارته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من العنب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عصرت العنب عصرًا،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استخرجت مائه، و اسم الماء العصير فعيل بمعنى مفعول، و هو قبل غليانه طاهر، و بعد غليانه واشتداده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 بصيرورة أعلاه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حرام، نقل عليه الإجماع من الإماميّة، أمّا بعد غليانه و قبل اشتداده فحرام أيضًا، و أمّا النجاسة فمختلف فيها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رياض المسائل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المشهور بين الأصحاب أنّ في حكم الخمر العصير العنبيّ إذا غلى واشتدّ، و لعلّه إمّا لكونه خمرًا حقيقة، كما حكي عن جماعةٍ من فقهاء العامّة والخاصّة، كالبخاري والصدوقين والكليني </w:t>
      </w:r>
      <w:r>
        <w:rPr>
          <w:rStyle w:val="FootnoteAnchor"/>
          <w:rtl w:val="true"/>
        </w:rPr>
        <w:footnoteReference w:id="213"/>
      </w:r>
      <w:r>
        <w:rPr>
          <w:rFonts w:ascii="IRNazanin" w:hAnsi="IRNazanin" w:eastAsia="IRNazanin"/>
          <w:color w:val="111111"/>
          <w:sz w:val="28"/>
          <w:sz w:val="28"/>
          <w:szCs w:val="28"/>
          <w:rtl w:val="true"/>
          <w:lang w:bidi="fa-IR"/>
        </w:rPr>
        <w:t xml:space="preserve">، أو لإطلاقها </w:t>
      </w:r>
      <w:r>
        <w:rPr>
          <w:rStyle w:val="FootnoteAnchor"/>
          <w:rtl w:val="true"/>
        </w:rPr>
        <w:footnoteReference w:id="214"/>
      </w:r>
      <w:r>
        <w:rPr>
          <w:rFonts w:ascii="Amiri" w:hAnsi="Amiri" w:eastAsia="Amiri" w:cs="Amiri"/>
          <w:color w:val="111111"/>
          <w:sz w:val="28"/>
          <w:sz w:val="28"/>
          <w:szCs w:val="28"/>
          <w:rtl w:val="true"/>
          <w:lang w:bidi="ar-SA"/>
        </w:rPr>
        <w:t xml:space="preserve">لفظ الخمر عليه في النصوص الملازم لكونه حقيقة فيه، أو مشتركًا معها في الأحكام الّتي النجاسة منها، ففي الموثّق المرويّ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 أهل المعرفة يأتيني بالبختج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طبخ على الثلث، </w:t>
      </w:r>
    </w:p>
    <w:p>
      <w:pPr>
        <w:pStyle w:val="BookText"/>
        <w:rPr/>
      </w:pPr>
      <w:r>
        <w:rPr>
          <w:rFonts w:ascii="Amiri" w:hAnsi="Amiri" w:eastAsia="Amiri" w:cs="Amiri"/>
          <w:color w:val="111111"/>
          <w:sz w:val="28"/>
          <w:sz w:val="28"/>
          <w:szCs w:val="28"/>
          <w:rtl w:val="true"/>
          <w:lang w:bidi="ar-SA"/>
        </w:rPr>
        <w:t xml:space="preserve">وأنا أعرف أنّه يشربه على النصف،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لا تشربه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مرويّ في الكافي </w:t>
      </w:r>
      <w:r>
        <w:rPr>
          <w:rStyle w:val="FootnoteAnchor"/>
          <w:rtl w:val="true"/>
        </w:rPr>
        <w:footnoteReference w:id="216"/>
      </w:r>
      <w:r>
        <w:rPr>
          <w:rFonts w:ascii="Amiri" w:hAnsi="Amiri" w:eastAsia="Amiri" w:cs="Amiri"/>
          <w:color w:val="111111"/>
          <w:sz w:val="28"/>
          <w:sz w:val="28"/>
          <w:szCs w:val="28"/>
          <w:rtl w:val="true"/>
          <w:lang w:bidi="ar-SA"/>
        </w:rPr>
        <w:t xml:space="preserve">و ليس فيه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احتمال</w:t>
      </w:r>
    </w:p>
    <w:p>
      <w:pPr>
        <w:pStyle w:val="BookText"/>
        <w:rPr/>
      </w:pPr>
      <w:r>
        <w:rPr>
          <w:rFonts w:ascii="Amiri" w:hAnsi="Amiri" w:eastAsia="Amiri" w:cs="Amiri"/>
          <w:color w:val="111111"/>
          <w:sz w:val="28"/>
          <w:sz w:val="28"/>
          <w:szCs w:val="28"/>
          <w:rtl w:val="true"/>
          <w:lang w:bidi="ar-SA"/>
        </w:rPr>
        <w:t xml:space="preserve">السقوط أولى من احتمال الزيادة، و إن كان راوي الأوّل </w:t>
      </w:r>
      <w:r>
        <w:rPr>
          <w:rStyle w:val="FootnoteAnchor"/>
          <w:rtl w:val="true"/>
        </w:rPr>
        <w:footnoteReference w:id="217"/>
      </w:r>
      <w:r>
        <w:rPr>
          <w:rFonts w:ascii="Amiri" w:hAnsi="Amiri" w:eastAsia="Amiri" w:cs="Amiri"/>
          <w:color w:val="111111"/>
          <w:sz w:val="28"/>
          <w:sz w:val="28"/>
          <w:szCs w:val="28"/>
          <w:rtl w:val="true"/>
          <w:lang w:bidi="ar-SA"/>
        </w:rPr>
        <w:t xml:space="preserve">أضبط جدًّا، لكن في الاكتفاء بمثل هذا الاحتمال في تخصيص الأصول والعمومات إشكال، بل ربما انسحب الإشكال على تقديره أيضًا بناءً على التأمّل في تبادر النجاسة عن علاقة الشباهة قطعًا، سيّما بملاحظة سياق الخبر وتفريع حرمة الشرب فيه على الإطلاق المزبور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فانحصر دليل النجاسة في كلام الجماعة، والاستناد إليه في إثباتها يتوقّف على ثبوت الحقيقة فيه </w:t>
      </w:r>
      <w:r>
        <w:rPr>
          <w:rStyle w:val="FootnoteAnchor"/>
          <w:rtl w:val="true"/>
        </w:rPr>
        <w:footnoteReference w:id="218"/>
      </w:r>
      <w:r>
        <w:rPr>
          <w:rFonts w:ascii="Amiri" w:hAnsi="Amiri" w:eastAsia="Amiri" w:cs="Amiri"/>
          <w:color w:val="111111"/>
          <w:sz w:val="28"/>
          <w:sz w:val="28"/>
          <w:szCs w:val="28"/>
          <w:rtl w:val="true"/>
          <w:lang w:bidi="ar-SA"/>
        </w:rPr>
        <w:t xml:space="preserve">، و على تقديره فشمول ما دلّ على إطلاق الخمر لمثله محلّ نظر، لعدم التبادر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الطهارة أقوى، وفاقًا لجماعة من متأخّري الأصحاب </w:t>
      </w:r>
      <w:r>
        <w:rPr>
          <w:rStyle w:val="FootnoteAnchor"/>
          <w:rtl w:val="true"/>
        </w:rPr>
        <w:footnoteReference w:id="219"/>
      </w:r>
      <w:r>
        <w:rPr>
          <w:rFonts w:ascii="Amiri" w:hAnsi="Amiri" w:eastAsia="Amiri" w:cs="Amiri"/>
          <w:color w:val="111111"/>
          <w:sz w:val="28"/>
          <w:sz w:val="28"/>
          <w:szCs w:val="28"/>
          <w:rtl w:val="true"/>
          <w:lang w:bidi="ar-SA"/>
        </w:rPr>
        <w:t xml:space="preserve">، إلاّ أنّ الاحتياط المصير إلى الأوّل إن لم يحصل له الإسكار، و إلاّ فالقول بالنجاسة متعيّن جدًّا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في الأطعمة والأشربة </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يحرم العصير، و هو المعتصر من ماء العنب خاصّة في ظاهر الأصحاب، وإنّما يحرم إذا غلى بأن صار أسفله أعلاه قبل أن يذهب ثلثاه بلا خلاف كما في المسالك </w:t>
      </w:r>
      <w:r>
        <w:rPr>
          <w:rStyle w:val="FootnoteAnchor"/>
          <w:rtl w:val="true"/>
        </w:rPr>
        <w:footnoteReference w:id="222"/>
      </w:r>
      <w:r>
        <w:rPr>
          <w:rFonts w:ascii="Amiri" w:hAnsi="Amiri" w:eastAsia="Amiri" w:cs="Amiri"/>
          <w:color w:val="111111"/>
          <w:sz w:val="28"/>
          <w:sz w:val="28"/>
          <w:szCs w:val="28"/>
          <w:rtl w:val="true"/>
          <w:lang w:bidi="ar-SA"/>
        </w:rPr>
        <w:t xml:space="preserve">، بل عليه الإجماع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التنقيح </w:t>
      </w:r>
      <w:r>
        <w:rPr>
          <w:rStyle w:val="FootnoteAnchor"/>
          <w:rtl w:val="true"/>
        </w:rPr>
        <w:footnoteReference w:id="223"/>
      </w:r>
      <w:r>
        <w:rPr>
          <w:rFonts w:ascii="Amiri" w:hAnsi="Amiri" w:eastAsia="Amiri" w:cs="Amiri"/>
          <w:color w:val="111111"/>
          <w:sz w:val="28"/>
          <w:sz w:val="28"/>
          <w:szCs w:val="28"/>
          <w:rtl w:val="true"/>
          <w:lang w:bidi="ar-SA"/>
        </w:rPr>
        <w:t xml:space="preserve">و غيره صريحًا، و مع ذلك المعتبرة المستفيضة ناطقةٌ به جدًّا، 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عصير أصابه النار فهو حرام حتّى يذهب ثلثاه و يبقى ثلثه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العصير حتّى يغلي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 العصير أو غلى حرم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صريحه و إطلاق أكثر البواقي والفتاوى عدم الفرق في الحكم بتحريمه بالغليان بين وقوعه بالنار أو غيرها، و به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كالماتن في الشرائع </w:t>
      </w:r>
      <w:r>
        <w:rPr>
          <w:rStyle w:val="FootnoteAnchor"/>
          <w:rtl w:val="true"/>
        </w:rPr>
        <w:footnoteReference w:id="227"/>
      </w:r>
      <w:r>
        <w:rPr>
          <w:rFonts w:ascii="Amiri" w:hAnsi="Amiri" w:eastAsia="Amiri" w:cs="Amiri"/>
          <w:color w:val="111111"/>
          <w:sz w:val="28"/>
          <w:sz w:val="28"/>
          <w:szCs w:val="28"/>
          <w:rtl w:val="true"/>
          <w:lang w:bidi="ar-SA"/>
        </w:rPr>
        <w:t xml:space="preserve">، والفاضل في التحرير </w:t>
      </w:r>
      <w:r>
        <w:rPr>
          <w:rStyle w:val="FootnoteAnchor"/>
          <w:rtl w:val="true"/>
        </w:rPr>
        <w:footnoteReference w:id="228"/>
      </w:r>
      <w:r>
        <w:rPr>
          <w:rFonts w:ascii="Amiri" w:hAnsi="Amiri" w:eastAsia="Amiri" w:cs="Amiri"/>
          <w:color w:val="111111"/>
          <w:sz w:val="28"/>
          <w:sz w:val="28"/>
          <w:szCs w:val="28"/>
          <w:rtl w:val="true"/>
          <w:lang w:bidi="ar-SA"/>
        </w:rPr>
        <w:t xml:space="preserve">، و شيخنا في </w:t>
      </w:r>
    </w:p>
    <w:p>
      <w:pPr>
        <w:pStyle w:val="BookText"/>
        <w:rPr/>
      </w:pPr>
      <w:r>
        <w:rPr>
          <w:rFonts w:ascii="Amiri" w:hAnsi="Amiri" w:eastAsia="Amiri" w:cs="Amiri"/>
          <w:color w:val="111111"/>
          <w:sz w:val="28"/>
          <w:sz w:val="28"/>
          <w:szCs w:val="28"/>
          <w:rtl w:val="true"/>
          <w:lang w:bidi="ar-SA"/>
        </w:rPr>
        <w:t xml:space="preserve">المسالك </w:t>
      </w:r>
      <w:r>
        <w:rPr>
          <w:rStyle w:val="FootnoteAnchor"/>
          <w:rtl w:val="true"/>
        </w:rPr>
        <w:footnoteReference w:id="229"/>
      </w:r>
      <w:r>
        <w:rPr>
          <w:rFonts w:ascii="Amiri" w:hAnsi="Amiri" w:eastAsia="Amiri" w:cs="Amiri"/>
          <w:color w:val="111111"/>
          <w:sz w:val="28"/>
          <w:sz w:val="28"/>
          <w:szCs w:val="28"/>
          <w:rtl w:val="true"/>
          <w:lang w:bidi="ar-SA"/>
        </w:rPr>
        <w:t xml:space="preserve">والروضة </w:t>
      </w:r>
      <w:r>
        <w:rPr>
          <w:rStyle w:val="FootnoteAnchor"/>
          <w:rtl w:val="true"/>
        </w:rPr>
        <w:footnoteReference w:id="230"/>
      </w:r>
      <w:r>
        <w:rPr>
          <w:rFonts w:ascii="Amiri" w:hAnsi="Amiri" w:eastAsia="Amiri" w:cs="Amiri"/>
          <w:color w:val="111111"/>
          <w:sz w:val="28"/>
          <w:sz w:val="28"/>
          <w:szCs w:val="28"/>
          <w:rtl w:val="true"/>
          <w:lang w:bidi="ar-SA"/>
        </w:rPr>
        <w:t xml:space="preserve">، و كثير ممّن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في ذهاب ثلثيه بين الأمرين، لإطلاقات النصوص والفتاوى، و به صرّح جماعة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أيضًا، إلاّ أنّ ظاهر التحرير هنا القول بالفرق، حيث قال بعد التصريح بعدم الفرق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غلى بالنار و ذهب ثلثاه حلّ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لعلّه لمنع ما يدلّ على العموم، لإمكان دعوى اختصاص الإطلاقات بحكم التبادر بذهاب الثلثين </w:t>
      </w:r>
      <w:r>
        <w:rPr>
          <w:rStyle w:val="FootnoteAnchor"/>
          <w:rtl w:val="true"/>
        </w:rPr>
        <w:footnoteReference w:id="232"/>
      </w:r>
      <w:r>
        <w:rPr>
          <w:rFonts w:ascii="Amiri" w:hAnsi="Amiri" w:eastAsia="Amiri" w:cs="Amiri"/>
          <w:color w:val="111111"/>
          <w:sz w:val="28"/>
          <w:sz w:val="28"/>
          <w:szCs w:val="28"/>
          <w:rtl w:val="true"/>
          <w:lang w:bidi="ar-SA"/>
        </w:rPr>
        <w:t xml:space="preserve">بالنار، فيرجع في غيره إلى أصالة بقاء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الدعوى و إن أمكن انسحابها في الأوّل أيضًا، نظرًا إلى تبادر الغليان الناريّ من مطلق الغليان، إلاّ أنّ وجود الموثّق الناصّ على عدم الفرق فيه المعتضد بعدم الخلاف فيه اقتضى اختصاص عدم الفرق بين الأمرين به دون الثاني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لعلّه لا يخلو عن وجه إن لم ينعقد الإجماع على خلافه، مع أنّه في الجملة أحوط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مختصره عند تعداد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مسكر مائع بالأصالة، و في حكمه العصير العنبيّ إذا غلى واشتدّ في المشهور،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عليه إجماع الإماميّة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الأطعمة والأشربة في بيان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و هو المعتصر من ماء العنب خاصّة في ظاهر الأصحاب، وإنّما يحرم إذا غلى بأن صار أسفله أعلاه قبل أن يذهب ثلثاه بلا خلاف، ولافرق في الحكم بتحريمه بالغليان بين وقوعه بالنار أو غيرها، وكذا لافرق في ذهاب ثلثيه بين الأمرين، وفاقًا لجماعة، خلافًا للتحرير </w:t>
      </w:r>
      <w:r>
        <w:rPr>
          <w:rStyle w:val="FootnoteAnchor"/>
          <w:rtl w:val="true"/>
        </w:rPr>
        <w:footnoteReference w:id="235"/>
      </w:r>
      <w:r>
        <w:rPr>
          <w:rFonts w:ascii="Amiri" w:hAnsi="Amiri" w:eastAsia="Amiri" w:cs="Amiri"/>
          <w:color w:val="111111"/>
          <w:sz w:val="28"/>
          <w:sz w:val="28"/>
          <w:szCs w:val="28"/>
          <w:rtl w:val="true"/>
          <w:lang w:bidi="ar-SA"/>
        </w:rPr>
        <w:t xml:space="preserve">، فاشترط في الذهاب الغليان بالنار، و لا يخلو عن وجهٍ إن لم ينعقد الإجماع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والأشهر الأظهر حلّ عصير الزبيب والتمر ما لم يبلغا الشدّة المسكرة، بلا خلاف في الثاني يظهر، و نفاه صريحًا بعضهم، ولكنّ </w:t>
      </w:r>
      <w:r>
        <w:rPr>
          <w:rStyle w:val="FootnoteAnchor"/>
          <w:rtl w:val="true"/>
        </w:rPr>
        <w:footnoteReference w:id="236"/>
      </w:r>
      <w:r>
        <w:rPr>
          <w:rFonts w:ascii="Amiri" w:hAnsi="Amiri" w:eastAsia="Amiri" w:cs="Amiri"/>
          <w:color w:val="111111"/>
          <w:sz w:val="28"/>
          <w:sz w:val="28"/>
          <w:szCs w:val="28"/>
          <w:rtl w:val="true"/>
          <w:lang w:bidi="ar-SA"/>
        </w:rPr>
        <w:t xml:space="preserve">المنع فيهما ولاسيّما الأوّل أحوط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914_81928"/>
      <w:bookmarkStart w:id="75" w:name="pg7914_81928"/>
      <w:bookmarkEnd w:id="75"/>
    </w:p>
    <w:p>
      <w:pPr>
        <w:pStyle w:val="Heading2"/>
        <w:numPr>
          <w:ilvl w:val="1"/>
          <w:numId w:val="1"/>
        </w:numPr>
        <w:rPr/>
      </w:pPr>
      <w:bookmarkStart w:id="76" w:name="pg7914_81928"/>
      <w:bookmarkStart w:id="77" w:name="__RefHeading___Toc6320830_1051229030"/>
      <w:bookmarkStart w:id="78" w:name="_Toc27"/>
      <w:bookmarkEnd w:id="76"/>
      <w:bookmarkEnd w:id="77"/>
      <w:r>
        <w:rPr>
          <w:rtl w:val="true"/>
        </w:rPr>
        <w:t xml:space="preserve">المطلب الثاني </w:t>
      </w:r>
      <w:r>
        <w:rPr>
          <w:rtl w:val="true"/>
        </w:rPr>
        <w:t xml:space="preserve">: </w:t>
      </w:r>
      <w:r>
        <w:rPr>
          <w:rtl w:val="true"/>
        </w:rPr>
        <w:t>في تحقيق ما استفيد من كلمات الأعلام</w:t>
      </w:r>
      <w:bookmarkEnd w:id="78"/>
    </w:p>
    <w:p>
      <w:pPr>
        <w:pStyle w:val="Heading3"/>
        <w:numPr>
          <w:ilvl w:val="2"/>
          <w:numId w:val="1"/>
        </w:numPr>
        <w:rPr/>
      </w:pPr>
      <w:bookmarkStart w:id="79" w:name="__RefHeading___Toc6320832_1051229030"/>
      <w:bookmarkStart w:id="80" w:name="_Toc28"/>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 xml:space="preserve">والمقام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تحقيق ما ينبغي تحقيقه في المقام</w:t>
      </w:r>
    </w:p>
    <w:p>
      <w:pPr>
        <w:pStyle w:val="BookText"/>
        <w:rPr/>
      </w:pPr>
      <w:r>
        <w:rPr>
          <w:rFonts w:ascii="Amiri" w:hAnsi="Amiri" w:eastAsia="Amiri" w:cs="Amiri"/>
          <w:color w:val="111111"/>
          <w:sz w:val="28"/>
          <w:sz w:val="28"/>
          <w:szCs w:val="28"/>
          <w:rtl w:val="true"/>
          <w:lang w:bidi="ar-SA"/>
        </w:rPr>
        <w:t>ممّا استفيد من الكلمات الصادرة عن هؤلاء الأعلام</w:t>
      </w:r>
    </w:p>
    <w:p>
      <w:pPr>
        <w:pStyle w:val="Heading3"/>
        <w:numPr>
          <w:ilvl w:val="2"/>
          <w:numId w:val="1"/>
        </w:numPr>
        <w:rPr/>
      </w:pPr>
      <w:bookmarkStart w:id="81" w:name="__RefHeading___Toc6320834_1051229030"/>
      <w:bookmarkStart w:id="82" w:name="_Toc29"/>
      <w:bookmarkEnd w:id="81"/>
      <w:r>
        <w:rPr>
          <w:rtl w:val="true"/>
        </w:rPr>
        <w:t xml:space="preserve">و هو أمور </w:t>
      </w:r>
      <w:r>
        <w:rPr>
          <w:rtl w:val="true"/>
        </w:rPr>
        <w:t>:</w:t>
      </w:r>
      <w:bookmarkEnd w:id="82"/>
    </w:p>
    <w:p>
      <w:pPr>
        <w:pStyle w:val="Heading2"/>
        <w:numPr>
          <w:ilvl w:val="1"/>
          <w:numId w:val="1"/>
        </w:numPr>
        <w:rPr/>
      </w:pPr>
      <w:bookmarkStart w:id="83" w:name="__RefHeading___Toc6320836_1051229030"/>
      <w:bookmarkStart w:id="84" w:name="_Toc30"/>
      <w:bookmarkEnd w:id="83"/>
      <w:r>
        <w:rPr>
          <w:rtl w:val="true"/>
        </w:rPr>
        <w:t xml:space="preserve">[ </w:t>
      </w:r>
      <w:r>
        <w:rPr>
          <w:rtl w:val="true"/>
        </w:rPr>
        <w:t xml:space="preserve">الأمر </w:t>
      </w:r>
      <w:r>
        <w:rPr>
          <w:rtl w:val="true"/>
        </w:rPr>
        <w:t xml:space="preserve">] </w:t>
      </w:r>
      <w:r>
        <w:rPr>
          <w:rtl w:val="true"/>
        </w:rPr>
        <w:t xml:space="preserve">الأوّل </w:t>
      </w:r>
      <w:r>
        <w:rPr>
          <w:rtl w:val="true"/>
        </w:rPr>
        <w:t xml:space="preserve">: </w:t>
      </w:r>
      <w:r>
        <w:rPr>
          <w:rtl w:val="true"/>
        </w:rPr>
        <w:t>في حرمة العصير بعد الغليان</w:t>
      </w:r>
      <w:bookmarkEnd w:id="84"/>
    </w:p>
    <w:p>
      <w:pPr>
        <w:pStyle w:val="Heading3"/>
        <w:numPr>
          <w:ilvl w:val="2"/>
          <w:numId w:val="1"/>
        </w:numPr>
        <w:rPr/>
      </w:pPr>
      <w:bookmarkStart w:id="85" w:name="__RefHeading___Toc6320838_1051229030"/>
      <w:bookmarkStart w:id="86" w:name="_Toc31"/>
      <w:bookmarkEnd w:id="85"/>
      <w:r>
        <w:rPr>
          <w:rtl w:val="true"/>
        </w:rPr>
        <w:t xml:space="preserve">[ </w:t>
      </w:r>
      <w:r>
        <w:rPr>
          <w:rtl w:val="true"/>
        </w:rPr>
        <w:t xml:space="preserve">ذكر القائلين بعدم الحرمة </w:t>
      </w:r>
      <w:r>
        <w:rPr>
          <w:rtl w:val="true"/>
        </w:rPr>
        <w:t>]</w:t>
      </w:r>
      <w:bookmarkEnd w:id="86"/>
    </w:p>
    <w:p>
      <w:pPr>
        <w:pStyle w:val="BookText"/>
        <w:rPr/>
      </w:pPr>
      <w:r>
        <w:rPr>
          <w:rFonts w:ascii="Amiri" w:hAnsi="Amiri" w:eastAsia="Amiri" w:cs="Amiri"/>
          <w:color w:val="111111"/>
          <w:sz w:val="28"/>
          <w:sz w:val="28"/>
          <w:szCs w:val="28"/>
          <w:rtl w:val="true"/>
          <w:lang w:bidi="ar-SA"/>
        </w:rPr>
        <w:t xml:space="preserve">و لعلّ الظاهر من شيخنا المفيد، و تلميذه سلاّر بن عبد العزيز، وابن البرّاج، والسيّد بن زهرة انتفاء الحرمة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المقنعة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يجوز أكل طبيخ قد جعل فيه شيء من الخمر والأشربة المسكرة، وإذا وقع ذلك في طعام أو شراب أفسدهما، ولم يجز التغذّي منهما، و لا تناولهما لنفعٍ بأكلٍ أو شربٍ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الحكم في الفقّاع، لأنّه محرّم لا يحلّ شربه، و لا شيء خالطه من طعام و لا شراب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الذبائح والأطعمة و ما يحلّ من ذلك و ما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والعبارة المذكورة و </w:t>
      </w:r>
      <w:r>
        <w:rPr>
          <w:rStyle w:val="FootnoteAnchor"/>
          <w:rtl w:val="true"/>
        </w:rPr>
        <w:footnoteReference w:id="241"/>
      </w:r>
      <w:r>
        <w:rPr>
          <w:rFonts w:ascii="Amiri" w:hAnsi="Amiri" w:eastAsia="Amiri" w:cs="Amiri"/>
          <w:color w:val="111111"/>
          <w:sz w:val="28"/>
          <w:sz w:val="28"/>
          <w:szCs w:val="28"/>
          <w:rtl w:val="true"/>
          <w:lang w:bidi="ar-SA"/>
        </w:rPr>
        <w:t xml:space="preserve">ذكرها في الباب المعنون بما ذكر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الحكم في الفقّاع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ذكر العصير يقتضي اعتقاده انتفاء التحريم في العصير ولو بعد الغليان، وإلاّ لذكره كما ذكر الفقّاع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من الأشربة كلّ مسكر، و فقّاع، و ما هو نجس في حال الاختيار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والاقتصار بما ذكر و عدم ذكر العصير العنبيّ و لو بعد الغليان مع كون المقصود بيان الأشربة المحظورة، يقتضي اعتقاد القائل انتفاء التحريم في غير ما ذكر، و هو المطلوب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المهذّب لابن البرّاج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الأشربة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و مكروه و مباح، فالمحرّم هو الخمر بعينها، والمسكر من كلّ شراب و إن اختلفت </w:t>
      </w:r>
      <w:r>
        <w:rPr>
          <w:rStyle w:val="FootnoteAnchor"/>
          <w:rtl w:val="true"/>
        </w:rPr>
        <w:footnoteReference w:id="243"/>
      </w:r>
      <w:r>
        <w:rPr>
          <w:rFonts w:ascii="Amiri" w:hAnsi="Amiri" w:eastAsia="Amiri" w:cs="Amiri"/>
          <w:color w:val="111111"/>
          <w:sz w:val="28"/>
          <w:sz w:val="28"/>
          <w:szCs w:val="28"/>
          <w:rtl w:val="true"/>
          <w:lang w:bidi="ar-SA"/>
        </w:rPr>
        <w:t xml:space="preserve">ضروبه و أنواعه، عنبٌ كان، أو زبيب، أو تمر، أو عسل، أو حنطة، أو شعير، أو غير ذلك، والفقّاع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ذكره، و لم يذكر العصير مطلقًا مع ذكر الفقّاع، و هو يؤمي إلى 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الغنية في مقام بيان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شرب قليل المسكر و كثيره من عنبٍ كان أو من غيره، مطبوخًا كان أو غير مطبوخ، والفقّاع، و كلّ ما ليس بطاهرٍ من المياه، و غيرها من المايعات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القائلين بحرمة العصير بعد الغليان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المعروف بين الأصحاب هو التحريم، و هو مختار الفقيه والمقنع، لإيراده </w:t>
      </w:r>
    </w:p>
    <w:p>
      <w:pPr>
        <w:pStyle w:val="BookText"/>
        <w:rPr/>
      </w:pPr>
      <w:r>
        <w:rPr>
          <w:rFonts w:ascii="Amiri" w:hAnsi="Amiri" w:eastAsia="Amiri" w:cs="Amiri"/>
          <w:color w:val="111111"/>
          <w:sz w:val="28"/>
          <w:sz w:val="28"/>
          <w:szCs w:val="28"/>
          <w:rtl w:val="true"/>
          <w:lang w:bidi="ar-SA"/>
        </w:rPr>
        <w:t xml:space="preserve">ذلك عن والده فيهما على وجهٍ يظهر منه الإذعان بذلك، والنهاية، والوسيلة، والمهذّب، والسرائر، والنزهة، والجامع، والشرائع، والنافع، والمعتبر، والتذكرة، والمنتهى، والتحرير، و نهاية الإحكام، والمختلف، والقواعد، والإرشاد، والتلخيص، والتبصرة، والذكرى، والبيان، والدروس، واللمعة، والألفيّة، والجعفريّة، و جامع المقاصد، و تعليقاته على الشرائع والإرشاد والألفيّة، والمهذّب البارع، و خلاصة التنقيح، و شرح الإرشاد له، والمحرّر، والروض، والروضة، والمقاصد العليّة، والمسالك، و شرح الألفيّة لشيخنا الشيخ حسين، ومجمع الفائدة، والمدارك، والرسالة التولانيّة، والحديقة، والبحار، والذخيرة، والكفاية، و كشف اللثام، و رياض المسائل، و مختصره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المعتبر عليه الإجماع،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التحريم فعليه إجماع فقهائنا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المسالك والكفاية والذخيرة والمفاتيح نفى الخلاف في ذلك، قال في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الأصحاب في تحريم عصير العنب إذا غلى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الكفاية </w:t>
      </w:r>
      <w:r>
        <w:rPr>
          <w:rFonts w:eastAsia="Amiri" w:cs="Amiri" w:ascii="Amiri" w:hAnsi="Amiri"/>
          <w:color w:val="111111"/>
          <w:sz w:val="28"/>
          <w:szCs w:val="28"/>
          <w:rtl w:val="true"/>
          <w:lang w:bidi="ar-SA"/>
        </w:rPr>
        <w:t xml:space="preserve">: </w:t>
      </w:r>
      <w:bookmarkStart w:id="87" w:name="pg7914_81932"/>
    </w:p>
    <w:p>
      <w:pPr>
        <w:pStyle w:val="BookText"/>
        <w:rPr/>
      </w:pPr>
      <w:bookmarkEnd w:id="87"/>
      <w:r>
        <w:rPr>
          <w:rFonts w:ascii="Amiri" w:hAnsi="Amiri" w:eastAsia="Amiri" w:cs="Amiri"/>
          <w:color w:val="111111"/>
          <w:sz w:val="28"/>
          <w:sz w:val="28"/>
          <w:szCs w:val="28"/>
          <w:rtl w:val="true"/>
          <w:lang w:bidi="ar-SA"/>
        </w:rPr>
        <w:t xml:space="preserve">لا خلاف في تحريمه بين الأصحاب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الذخيرة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التحريم فلا خلاف فيه بين الأصحاب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المفاتيح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تحريم عصير العنب إذا غلى بأن صار أسفله أعلاه قبل أن يذهب ثلثاه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البحار ما سمعته من دعوى اتّفاق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6320840_1051229030"/>
      <w:bookmarkStart w:id="89" w:name="_Toc32"/>
      <w:bookmarkEnd w:id="88"/>
      <w:r>
        <w:rPr>
          <w:rtl w:val="true"/>
        </w:rPr>
        <w:t xml:space="preserve">[ </w:t>
      </w:r>
      <w:r>
        <w:rPr>
          <w:rtl w:val="true"/>
        </w:rPr>
        <w:t xml:space="preserve">مستند القائلين بالحرمة </w:t>
      </w:r>
      <w:r>
        <w:rPr>
          <w:rtl w:val="true"/>
        </w:rPr>
        <w:t>]</w:t>
      </w:r>
      <w:bookmarkEnd w:id="89"/>
    </w:p>
    <w:p>
      <w:pPr>
        <w:pStyle w:val="BookText"/>
        <w:rPr/>
      </w:pPr>
      <w:r>
        <w:rPr>
          <w:rFonts w:ascii="Amiri" w:hAnsi="Amiri" w:eastAsia="Amiri" w:cs="Amiri"/>
          <w:color w:val="111111"/>
          <w:sz w:val="28"/>
          <w:sz w:val="28"/>
          <w:szCs w:val="28"/>
          <w:rtl w:val="true"/>
          <w:lang w:bidi="ar-SA"/>
        </w:rPr>
        <w:t xml:space="preserve">والمستند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مستفيضة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عن حمّاد بن عثمان، </w:t>
      </w:r>
    </w:p>
    <w:p>
      <w:pPr>
        <w:pStyle w:val="BookText"/>
        <w:rPr/>
      </w:pPr>
      <w:r>
        <w:rPr>
          <w:rFonts w:ascii="Amiri" w:hAnsi="Amiri" w:eastAsia="Amiri" w:cs="Amiri"/>
          <w:color w:val="111111"/>
          <w:sz w:val="28"/>
          <w:sz w:val="28"/>
          <w:szCs w:val="28"/>
          <w:rtl w:val="true"/>
          <w:lang w:bidi="ar-SA"/>
        </w:rPr>
        <w:t xml:space="preserve">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العصير حتّى يغلي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الحكم بالغاية يقتضي انتفاء الحكم فيما بعدها، وانتفاء الحرمة إلى غليان العصير يستدعي تحقّقه هناك، فيتحقّق الحرمة بعده، و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الباب المذكور من الكافي، عن أحمد بن محمّد، عن أبي يحيى الواسطي، عن حمّاد بن عثمان ؛ و في أواخر باب الذبائح والأطعمة من التهذيب، عن محمّد بن أحمد بن يحيى، عن أبي يحيى الواسطي، عن حمّاد بن عثمان،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شرب العصير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اشربه ما لم يغل، فإذا غلى فلا تشربه،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الغليان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سنده مَن يتأمّل في حاله، عدا أبي يحيى الواسطيّ، و حديثه معدودٌ في الحسان، لما ذكره النجاشي في ترجمته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المتكلّم، و أنّ أمّه بنت محمّد بن النعمان مؤمن الطاق، و أنّ له كتاب النوادر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أحمد بن محمّد بن عيسى كما في سند الكافي، و أمّا رواية محمّد بن </w:t>
      </w:r>
      <w:bookmarkStart w:id="90" w:name="pg7914_81934"/>
    </w:p>
    <w:p>
      <w:pPr>
        <w:pStyle w:val="BookText"/>
        <w:rPr/>
      </w:pPr>
      <w:bookmarkEnd w:id="90"/>
      <w:r>
        <w:rPr>
          <w:rFonts w:ascii="Amiri" w:hAnsi="Amiri" w:eastAsia="Amiri" w:cs="Amiri"/>
          <w:color w:val="111111"/>
          <w:sz w:val="28"/>
          <w:sz w:val="28"/>
          <w:szCs w:val="28"/>
          <w:rtl w:val="true"/>
          <w:lang w:bidi="ar-SA"/>
        </w:rPr>
        <w:t xml:space="preserve">أحمد بن يحيى عنه كما في سند التهذيب مع استثناء شيخنا محمّد بن الحسن بن الوليد له فيمن استثنى، فلا يصلح لمعارضة ما مرّ، فالحديث حسن، و ستقف على الكلام في فائدة هذا التفسير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البابين المذكورين من الأصلين، عن ذريح،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 العصير أو غلى حرم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6320842_1051229030"/>
      <w:bookmarkStart w:id="92" w:name="_Toc33"/>
      <w:bookmarkEnd w:id="91"/>
      <w:r>
        <w:rPr>
          <w:rtl w:val="true"/>
        </w:rPr>
        <w:t xml:space="preserve">[ </w:t>
      </w:r>
      <w:r>
        <w:rPr>
          <w:rtl w:val="true"/>
        </w:rPr>
        <w:t xml:space="preserve">بيان لغة </w:t>
      </w:r>
      <w:r>
        <w:rPr>
          <w:rtl w:val="true"/>
        </w:rPr>
        <w:t>]</w:t>
      </w:r>
      <w:bookmarkEnd w:id="92"/>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النبيذ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نشّ فلا تشرب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غلى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غَلَيانِ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قوله في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الزبد </w:t>
      </w:r>
      <w:r>
        <w:rPr>
          <w:rStyle w:val="FootnoteAnchor"/>
          <w:rtl w:val="true"/>
        </w:rPr>
        <w:footnoteReference w:id="257"/>
      </w:r>
      <w:r>
        <w:rPr>
          <w:rFonts w:ascii="Amiri" w:hAnsi="Amiri" w:eastAsia="Amiri" w:cs="Amiri"/>
          <w:color w:val="111111"/>
          <w:sz w:val="28"/>
          <w:sz w:val="28"/>
          <w:szCs w:val="28"/>
          <w:rtl w:val="true"/>
          <w:lang w:bidi="ar-SA"/>
        </w:rPr>
        <w:t xml:space="preserve">و سكن نَشِيشُه،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غَلَيانُه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الصحاح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الماء و غيره إذا غلى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القاموس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الزمخشريّ في الأساس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 الماء في الكوز الجديد، والخمر تنشّ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تغلي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المصباح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غليان الماء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ستقف على الكلام في الترديد المذكور في الحديث إن شاء اللّه تعالى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الباب المذكور من الكافي عن ابن أبي عمير، عن </w:t>
      </w:r>
    </w:p>
    <w:p>
      <w:pPr>
        <w:pStyle w:val="BookText"/>
        <w:rPr/>
      </w:pPr>
      <w:r>
        <w:rPr>
          <w:rFonts w:ascii="Amiri" w:hAnsi="Amiri" w:eastAsia="Amiri" w:cs="Amiri"/>
          <w:color w:val="111111"/>
          <w:sz w:val="28"/>
          <w:sz w:val="28"/>
          <w:szCs w:val="28"/>
          <w:rtl w:val="true"/>
          <w:lang w:bidi="ar-SA"/>
        </w:rPr>
        <w:t xml:space="preserve">محمّد بن عاصم،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بشرب العصير في </w:t>
      </w:r>
      <w:r>
        <w:rPr>
          <w:rStyle w:val="FootnoteAnchor"/>
          <w:rtl w:val="true"/>
        </w:rPr>
        <w:footnoteReference w:id="264"/>
      </w:r>
      <w:r>
        <w:rPr>
          <w:rFonts w:ascii="Amiri" w:hAnsi="Amiri" w:eastAsia="Amiri" w:cs="Amiri"/>
          <w:color w:val="111111"/>
          <w:sz w:val="28"/>
          <w:sz w:val="28"/>
          <w:szCs w:val="28"/>
          <w:rtl w:val="true"/>
          <w:lang w:bidi="ar-SA"/>
        </w:rPr>
        <w:t xml:space="preserve">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لم يغل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 الّذي قد مسّته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في الباب المذكور من التهذيب، عن عبداللّه بن سنان،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عصير أصابته النار فهو حرام حتّى يذهب ثلثاه و يبقى ثلثه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البابين من الأصلين، عن محمّد بن الهشيم </w:t>
      </w:r>
      <w:r>
        <w:rPr>
          <w:rStyle w:val="FootnoteAnchor"/>
          <w:rtl w:val="true"/>
        </w:rPr>
        <w:footnoteReference w:id="267"/>
      </w:r>
      <w:r>
        <w:rPr>
          <w:rFonts w:ascii="Amiri" w:hAnsi="Amiri" w:eastAsia="Amiri" w:cs="Amiri"/>
          <w:color w:val="111111"/>
          <w:sz w:val="28"/>
          <w:sz w:val="28"/>
          <w:szCs w:val="28"/>
          <w:rtl w:val="true"/>
          <w:lang w:bidi="ar-SA"/>
        </w:rPr>
        <w:t xml:space="preserve">، عن رجل،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العصير يطبخ بالنار حتّى يغلي من ساعته فيشربه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عن حاله و غلى فلا خير فيه حتّى يذهب ثلثاه و يبقى ثلثه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المرويّ في الباب المذكور من التهذيب، عن عمّار الساباطي، عن أبي عبداللّه عليه‌السلام، عن الرجل يأتي بالشراب،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مطبوخ على الثلث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مسلمًا ورعًا مأمونًا فلا بأس أن يشرب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93" w:name="pg7914_81937"/>
    </w:p>
    <w:p>
      <w:pPr>
        <w:pStyle w:val="BookText"/>
        <w:rPr/>
      </w:pPr>
      <w:bookmarkEnd w:id="93"/>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العصير إذا طبخ حتّى يذهب ثلثاه و يبقى ثلثه فهو حلال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الباب المذكور من الكافي، عن ابن أبي يعفور،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الطلاء على الثلث فهو حرام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المرويّ في الباب،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الطلاء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طبخ حتّى يذهب منه اثنان و يبقى منه واحد فهو حلال، و ما كان دون ذلك فليس فيه خير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6320844_1051229030"/>
      <w:bookmarkStart w:id="95" w:name="_Toc34"/>
      <w:bookmarkEnd w:id="94"/>
      <w:r>
        <w:rPr>
          <w:rtl w:val="true"/>
        </w:rPr>
        <w:t>بيانٌ و تفسيرٌ</w:t>
      </w:r>
      <w:bookmarkEnd w:id="95"/>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الشراب المطبوخ من عصير العنب، و هو الربّ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مجمل اللغة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الشراب ؛ 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من أسماء الخمر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طبخ من عصير العنب حتّى ذهب ثلثاه، و يسمّيه </w:t>
      </w:r>
      <w:r>
        <w:rPr>
          <w:rStyle w:val="FootnoteAnchor"/>
          <w:rtl w:val="true"/>
        </w:rPr>
        <w:footnoteReference w:id="275"/>
      </w:r>
      <w:r>
        <w:rPr>
          <w:rFonts w:ascii="Amiri" w:hAnsi="Amiri" w:eastAsia="Amiri" w:cs="Amiri"/>
          <w:color w:val="111111"/>
          <w:sz w:val="28"/>
          <w:sz w:val="28"/>
          <w:szCs w:val="28"/>
          <w:rtl w:val="true"/>
          <w:lang w:bidi="ar-SA"/>
        </w:rPr>
        <w:t xml:space="preserve">العجم الميبختج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مقتضى هذا الكلام من الجوهريّ أنّ الطلاء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المطبوخ الّذي ذهب ثلثاه ؛ و مقتضى الحديثين أنّه أعمّ، كما لا يخفى على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البابين من الكتابين،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البُخْتُج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حلوًا يخضب الإناء و 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ثلثاه و بقي الثلث فاشربه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فيهما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الرجل من أهل المعرفة بالحقّ يأتيني بالبختج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طبخ على الثلث وأنا أعلم </w:t>
      </w:r>
      <w:r>
        <w:rPr>
          <w:rStyle w:val="FootnoteAnchor"/>
          <w:rtl w:val="true"/>
        </w:rPr>
        <w:footnoteReference w:id="278"/>
      </w:r>
      <w:r>
        <w:rPr>
          <w:rFonts w:ascii="Amiri" w:hAnsi="Amiri" w:eastAsia="Amiri" w:cs="Amiri"/>
          <w:color w:val="111111"/>
          <w:sz w:val="28"/>
          <w:sz w:val="28"/>
          <w:szCs w:val="28"/>
          <w:rtl w:val="true"/>
          <w:lang w:bidi="ar-SA"/>
        </w:rPr>
        <w:t xml:space="preserve">أنّه يشربه على النصف، أفأشربه بقوله و هو يشربه على النصف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من غير أهل المعرفة ممّن لا نعرفه يشربه على </w:t>
      </w:r>
      <w:bookmarkStart w:id="96" w:name="pg7914_81939"/>
    </w:p>
    <w:p>
      <w:pPr>
        <w:pStyle w:val="BookText"/>
        <w:rPr/>
      </w:pPr>
      <w:bookmarkEnd w:id="96"/>
      <w:r>
        <w:rPr>
          <w:rFonts w:ascii="Amiri" w:hAnsi="Amiri" w:eastAsia="Amiri" w:cs="Amiri"/>
          <w:color w:val="111111"/>
          <w:sz w:val="28"/>
          <w:sz w:val="28"/>
          <w:szCs w:val="28"/>
          <w:rtl w:val="true"/>
          <w:lang w:bidi="ar-SA"/>
        </w:rPr>
        <w:t xml:space="preserve">الثلث و لا يستحلّه على النصف يخبرنا أنّ عنده بختجًا على الثلث قد ذهب ثلثاه وبقي ثلثه، نشرب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لا يشربه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320846_1051229030"/>
      <w:bookmarkStart w:id="98" w:name="_Toc35"/>
      <w:bookmarkEnd w:id="97"/>
      <w:r>
        <w:rPr>
          <w:rtl w:val="true"/>
        </w:rPr>
        <w:t>تنبيه</w:t>
      </w:r>
      <w:bookmarkEnd w:id="98"/>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البُختُج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العصير المطبوخ، و أصله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پُخْتِه،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عصير مطبوخ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يكون الطلاء والبختج شيئًا واحدًا، كما يؤمي إليه العبارة السالفة عن الجوهريّ في تفسير الطلاء، بل يكون الطلاء والبختج عبارةً عن الدبس ؛ و يحتمل أن يدّعى أنّ إطلاق الدبس بعد ذهاب الثلثين، و هما أعمّ، لكن في حصر الدبس فيما بعد ذهاب الثلثين مناقشة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أن تقول في الفرق بين الطلاء والبختج بأنّ الثاني أعمّ من الأوّل، لما علمت من الصحاح أنّ الطلاء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المطبوخ الّذي ذهب به ثلثاه، و قد </w:t>
      </w:r>
    </w:p>
    <w:p>
      <w:pPr>
        <w:pStyle w:val="BookText"/>
        <w:rPr/>
      </w:pPr>
      <w:r>
        <w:rPr>
          <w:rFonts w:ascii="Amiri" w:hAnsi="Amiri" w:eastAsia="Amiri" w:cs="Amiri"/>
          <w:color w:val="111111"/>
          <w:sz w:val="28"/>
          <w:sz w:val="28"/>
          <w:szCs w:val="28"/>
          <w:rtl w:val="true"/>
          <w:lang w:bidi="ar-SA"/>
        </w:rPr>
        <w:t xml:space="preserve">علمت من ابن الأثير أنّ البختج هو العصير المطبوخ، و هو أعمّ من أن ذهب منه الثلثان و غيره، لكن لا يلائمه عبارة الجوهريّ في الطلاء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يسمّيه </w:t>
      </w:r>
      <w:r>
        <w:rPr>
          <w:rStyle w:val="FootnoteAnchor"/>
          <w:rtl w:val="true"/>
        </w:rPr>
        <w:footnoteReference w:id="282"/>
      </w:r>
      <w:r>
        <w:rPr>
          <w:rFonts w:ascii="Amiri" w:hAnsi="Amiri" w:eastAsia="Amiri" w:cs="Amiri"/>
          <w:color w:val="111111"/>
          <w:sz w:val="28"/>
          <w:sz w:val="28"/>
          <w:szCs w:val="28"/>
          <w:rtl w:val="true"/>
          <w:lang w:bidi="ar-SA"/>
        </w:rPr>
        <w:t xml:space="preserve">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الميبختج </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 كقول ابن الأثير في البختج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پخته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مقتضى النصوص الّتي أوردناها أوّلاً و إن كان حرمة العصير بعد الغليان و لو بعد أن ذهب منه الثلثان و غيره، لكن لابدّ من تقييده بما قبل ذهاب الثلثين، لصحيحة عبداللّه بن سنان المذكورة و غيرها، حملاً للمطلق على المقيّد، كما أنّه لابدّ من تقييد صحيحة ابن سنان المقتضية للتحريم بمجرّد إصابة النار ولو قبل الغليان بما بعده، للنصوص السالفة الدالّة على توقّف التحريم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بحرمة العصير بعد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كالحلّيّة بعد أن ذهب منه 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لاينبغي التأمّل فيه، لصراحة النصوص الكثيرة المعتبرة، واستفاضته دعوى نفي الخلاف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العبارة السالفة من شيخنا المفيد و تلميذه والسيّد بن زهرة مبنيّةٌ على الغفلة و عدم الالتفات إلى العصير </w:t>
      </w:r>
      <w:r>
        <w:rPr>
          <w:rStyle w:val="FootnoteAnchor"/>
          <w:rtl w:val="true"/>
        </w:rPr>
        <w:footnoteReference w:id="285"/>
      </w:r>
      <w:r>
        <w:rPr>
          <w:rFonts w:ascii="IRNazanin" w:hAnsi="IRNazanin" w:eastAsia="IRNazanin"/>
          <w:color w:val="111111"/>
          <w:sz w:val="28"/>
          <w:sz w:val="28"/>
          <w:szCs w:val="28"/>
          <w:rtl w:val="true"/>
          <w:lang w:bidi="fa-IR"/>
        </w:rPr>
        <w:t>، إذ لا وجه للإعراض عن الأخبار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المعتبرة </w:t>
      </w:r>
      <w:r>
        <w:rPr>
          <w:rStyle w:val="FootnoteAnchor"/>
          <w:rtl w:val="true"/>
        </w:rPr>
        <w:footnoteReference w:id="286"/>
      </w:r>
      <w:r>
        <w:rPr>
          <w:rFonts w:ascii="Amiri" w:hAnsi="Amiri" w:eastAsia="Amiri" w:cs="Amiri"/>
          <w:color w:val="111111"/>
          <w:sz w:val="28"/>
          <w:sz w:val="28"/>
          <w:szCs w:val="28"/>
          <w:rtl w:val="true"/>
          <w:lang w:bidi="ar-SA"/>
        </w:rPr>
        <w:t xml:space="preserve">المتكثّرة الصريحة من غير معارض </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7914_81942"/>
      <w:bookmarkStart w:id="100" w:name="pg7914_81942"/>
      <w:bookmarkEnd w:id="100"/>
    </w:p>
    <w:p>
      <w:pPr>
        <w:pStyle w:val="Heading2"/>
        <w:numPr>
          <w:ilvl w:val="1"/>
          <w:numId w:val="1"/>
        </w:numPr>
        <w:rPr/>
      </w:pPr>
      <w:bookmarkStart w:id="101" w:name="pg7914_81942"/>
      <w:bookmarkStart w:id="102" w:name="__RefHeading___Toc6320848_1051229030"/>
      <w:bookmarkStart w:id="103" w:name="_Toc36"/>
      <w:bookmarkEnd w:id="101"/>
      <w:bookmarkEnd w:id="102"/>
      <w:r>
        <w:rPr>
          <w:rtl w:val="true"/>
        </w:rPr>
        <w:t xml:space="preserve">[ </w:t>
      </w:r>
      <w:r>
        <w:rPr>
          <w:rtl w:val="true"/>
        </w:rPr>
        <w:t xml:space="preserve">الأمر </w:t>
      </w:r>
      <w:r>
        <w:rPr>
          <w:rtl w:val="true"/>
        </w:rPr>
        <w:t xml:space="preserve">] </w:t>
      </w:r>
      <w:r>
        <w:rPr>
          <w:rtl w:val="true"/>
        </w:rPr>
        <w:t xml:space="preserve">الثاني </w:t>
      </w:r>
      <w:r>
        <w:rPr>
          <w:rtl w:val="true"/>
        </w:rPr>
        <w:t>:</w:t>
      </w:r>
      <w:r>
        <w:rPr>
          <w:rtl w:val="true"/>
        </w:rPr>
        <w:t>في نجاسة العصير بعد الغليان قبل أن يذهب و عدمها</w:t>
      </w:r>
      <w:bookmarkEnd w:id="103"/>
    </w:p>
    <w:p>
      <w:pPr>
        <w:pStyle w:val="Heading3"/>
        <w:numPr>
          <w:ilvl w:val="2"/>
          <w:numId w:val="1"/>
        </w:numPr>
        <w:rPr/>
      </w:pPr>
      <w:bookmarkStart w:id="104" w:name="__RefHeading___Toc6320850_1051229030"/>
      <w:bookmarkStart w:id="105" w:name="_Toc37"/>
      <w:bookmarkEnd w:id="104"/>
      <w:r>
        <w:rPr>
          <w:rtl w:val="true"/>
        </w:rPr>
        <w:t xml:space="preserve">[ </w:t>
      </w:r>
      <w:r>
        <w:rPr>
          <w:rtl w:val="true"/>
        </w:rPr>
        <w:t xml:space="preserve">القائلون بالنجاسة </w:t>
      </w:r>
      <w:r>
        <w:rPr>
          <w:rtl w:val="true"/>
        </w:rPr>
        <w:t>]</w:t>
      </w:r>
      <w:bookmarkEnd w:id="105"/>
    </w:p>
    <w:p>
      <w:pPr>
        <w:pStyle w:val="BookText"/>
        <w:rPr/>
      </w:pPr>
      <w:r>
        <w:rPr>
          <w:rFonts w:ascii="Amiri" w:hAnsi="Amiri" w:eastAsia="Amiri" w:cs="Amiri"/>
          <w:color w:val="111111"/>
          <w:sz w:val="28"/>
          <w:sz w:val="28"/>
          <w:szCs w:val="28"/>
          <w:rtl w:val="true"/>
          <w:lang w:bidi="ar-SA"/>
        </w:rPr>
        <w:t xml:space="preserve">و فيه خلاف، ذهب في الوسيلة، والنزهة، والشرائع، والمعتبر، والمنتهى، والتحرير، و نهاية الإحكام، والمختلف، والتذكرة، والقواعد، والإرشاد، والتلخيص، والألفيّة، واللمعة، والدروس، والجعفريّة، و جامع المقاصد، و تعليقاته على الألفيّة والشرائع والإرشاد، والمهذّب البارع، والمحرّر، و غاية المرام، و جامع العبّاسي، والحديقة، إلى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والروض، والمسالك، والمقاصد العليّة، و شرح الألفيّة لشيخنا الشيخ حسين، و رياض المسائل، أنّه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المدارك مشهورٌ بين المتأخّرين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أوردنا عبارات الجميع فليلاحظ، عدا الدروس، فإنّه و إن ترك ذكر العصير عند تعداد النجاسات، و هو مظهرٌ لإنكار نجاسته، لكن عند استقصاء المطهّرات جعل نقص العصير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البيان واللمعة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مستلزمٌ للقول </w:t>
      </w:r>
    </w:p>
    <w:p>
      <w:pPr>
        <w:pStyle w:val="BookText"/>
        <w:rPr/>
      </w:pPr>
      <w:r>
        <w:rPr>
          <w:rFonts w:ascii="Amiri" w:hAnsi="Amiri" w:eastAsia="Amiri" w:cs="Amiri"/>
          <w:color w:val="111111"/>
          <w:sz w:val="28"/>
          <w:sz w:val="28"/>
          <w:szCs w:val="28"/>
          <w:rtl w:val="true"/>
          <w:lang w:bidi="ar-SA"/>
        </w:rPr>
        <w:t xml:space="preserve">بالنجاسة قبل 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المطهّرات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كما مرّ، والشمس إذا جفّفت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نقص العصير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مختار جماعةٍ من أعاظم الفضلاء المعاصرين،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الفضلاء و سند العلماء أستادنا السيّد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تعداد النجاسة في المنظومة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والكلب والكافر والخنزير</w:t>
      </w:r>
    </w:p>
    <w:p>
      <w:pPr>
        <w:pStyle w:val="BookText"/>
        <w:rPr/>
      </w:pPr>
      <w:r>
        <w:rPr>
          <w:rFonts w:ascii="Amiri" w:hAnsi="Amiri" w:eastAsia="Amiri" w:cs="Amiri"/>
          <w:color w:val="111111"/>
          <w:sz w:val="28"/>
          <w:sz w:val="28"/>
          <w:szCs w:val="28"/>
          <w:rtl w:val="true"/>
          <w:lang w:bidi="ar-SA"/>
        </w:rPr>
        <w:t xml:space="preserve">والخمر والفقّاع والعصير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مرجع البريّة في عصره الآميرزا أبو القاسم القمّي، قال في غنائم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العصير العنبيّ، فيظهر من المختلف والشيخ عليّ أنّ أكثر الأصحاب قائلٌ بنجاسته إذا غلى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فحكم جماعةٍ من المتأخّرين بأنّه لا دليل على ذلك و أصل البراءة </w:t>
      </w:r>
    </w:p>
    <w:p>
      <w:pPr>
        <w:pStyle w:val="BookText"/>
        <w:rPr/>
      </w:pPr>
      <w:r>
        <w:rPr>
          <w:rFonts w:ascii="Amiri" w:hAnsi="Amiri" w:eastAsia="Amiri" w:cs="Amiri"/>
          <w:color w:val="111111"/>
          <w:sz w:val="28"/>
          <w:sz w:val="28"/>
          <w:szCs w:val="28"/>
          <w:rtl w:val="true"/>
          <w:lang w:bidi="ar-SA"/>
        </w:rPr>
        <w:t xml:space="preserve">والطهارة يقتضي عدم التنجيس </w:t>
      </w:r>
      <w:r>
        <w:rPr>
          <w:rStyle w:val="FootnoteAnchor"/>
          <w:rtl w:val="true"/>
        </w:rPr>
        <w:footnoteReference w:id="289"/>
      </w:r>
      <w:r>
        <w:rPr>
          <w:rFonts w:ascii="Amiri" w:hAnsi="Amiri" w:eastAsia="Amiri" w:cs="Amiri"/>
          <w:color w:val="111111"/>
          <w:sz w:val="28"/>
          <w:sz w:val="28"/>
          <w:szCs w:val="28"/>
          <w:rtl w:val="true"/>
          <w:lang w:bidi="ar-SA"/>
        </w:rPr>
        <w:t xml:space="preserve">، كما هو مذهب ابن أبي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يستدلّ عليه بالأخبار الدالّة على أنّ العصير إذا غلى فهو خمر بالتقريب الّذي مرّ في الفقّاع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مرشد العوام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 انگور هر گاه به جوش آيد نجس مى‌شود، خواه به آتش به جوش آيد، يا به غير آن، يا به خودى خود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على الإطلاق، شيخنا الشيخ جعفر النجفيّ، قال في كشف الغطاء عند تعداد </w:t>
      </w:r>
      <w:r>
        <w:rPr>
          <w:rStyle w:val="FootnoteAnchor"/>
          <w:rtl w:val="true"/>
        </w:rPr>
        <w:footnoteReference w:id="292"/>
      </w:r>
      <w:r>
        <w:rPr>
          <w:rFonts w:ascii="IRNazanin" w:hAnsi="IRNazanin" w:eastAsia="IRNazanin"/>
          <w:color w:val="111111"/>
          <w:sz w:val="28"/>
          <w:sz w:val="28"/>
          <w:szCs w:val="28"/>
          <w:rtl w:val="true"/>
          <w:lang w:bidi="fa-IR"/>
        </w:rPr>
        <w:t xml:space="preserve">النجاسات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لا الزبيبيّ، و لا التمريّ، و لا الحصرميّ، و لا المنسوب إلى ما عداهما </w:t>
      </w:r>
      <w:r>
        <w:rPr>
          <w:rStyle w:val="FootnoteAnchor"/>
          <w:rtl w:val="true"/>
        </w:rPr>
        <w:footnoteReference w:id="294"/>
      </w:r>
      <w:r>
        <w:rPr>
          <w:rFonts w:ascii="Amiri" w:hAnsi="Amiri" w:eastAsia="Amiri" w:cs="Amiri"/>
          <w:color w:val="111111"/>
          <w:sz w:val="28"/>
          <w:sz w:val="28"/>
          <w:szCs w:val="28"/>
          <w:rtl w:val="true"/>
          <w:lang w:bidi="ar-SA"/>
        </w:rPr>
        <w:t xml:space="preserve">من الفواكه، بشرط غليانه بنفسه، أو بالنار، أو بالشمس، أو غيرهما، بأن يصير أعلاه أسفله و بالعكس، واشتداده </w:t>
      </w:r>
      <w:bookmarkStart w:id="106" w:name="pg7914_81945"/>
    </w:p>
    <w:p>
      <w:pPr>
        <w:pStyle w:val="BookText"/>
        <w:rPr/>
      </w:pPr>
      <w:bookmarkEnd w:id="106"/>
      <w:r>
        <w:rPr>
          <w:rFonts w:ascii="Amiri" w:hAnsi="Amiri" w:eastAsia="Amiri" w:cs="Amiri"/>
          <w:color w:val="111111"/>
          <w:sz w:val="28"/>
          <w:sz w:val="28"/>
          <w:szCs w:val="28"/>
          <w:rtl w:val="true"/>
          <w:lang w:bidi="ar-SA"/>
        </w:rPr>
        <w:t xml:space="preserve">بأن يكون له قوام في الجملة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6320852_1051229030"/>
      <w:bookmarkStart w:id="108" w:name="_Toc38"/>
      <w:bookmarkEnd w:id="107"/>
      <w:r>
        <w:rPr>
          <w:rtl w:val="true"/>
        </w:rPr>
        <w:t xml:space="preserve">[ </w:t>
      </w:r>
      <w:r>
        <w:rPr>
          <w:rtl w:val="true"/>
        </w:rPr>
        <w:t xml:space="preserve">القائلون بالطهارة </w:t>
      </w:r>
      <w:r>
        <w:rPr>
          <w:rtl w:val="true"/>
        </w:rPr>
        <w:t>]</w:t>
      </w:r>
      <w:bookmarkEnd w:id="108"/>
    </w:p>
    <w:p>
      <w:pPr>
        <w:pStyle w:val="BookText"/>
        <w:rPr/>
      </w:pPr>
      <w:r>
        <w:rPr>
          <w:rFonts w:ascii="Amiri" w:hAnsi="Amiri" w:eastAsia="Amiri" w:cs="Amiri"/>
          <w:color w:val="111111"/>
          <w:sz w:val="28"/>
          <w:sz w:val="28"/>
          <w:szCs w:val="28"/>
          <w:rtl w:val="true"/>
          <w:lang w:bidi="ar-SA"/>
        </w:rPr>
        <w:t xml:space="preserve">والمحكيّ عن ابن أبي عقيل القول بالطهارة </w:t>
      </w:r>
      <w:r>
        <w:rPr>
          <w:rStyle w:val="FootnoteAnchor"/>
          <w:rtl w:val="true"/>
        </w:rPr>
        <w:footnoteReference w:id="296"/>
      </w:r>
      <w:r>
        <w:rPr>
          <w:rFonts w:ascii="Amiri" w:hAnsi="Amiri" w:eastAsia="Amiri" w:cs="Amiri"/>
          <w:color w:val="111111"/>
          <w:sz w:val="28"/>
          <w:sz w:val="28"/>
          <w:szCs w:val="28"/>
          <w:rtl w:val="true"/>
          <w:lang w:bidi="ar-SA"/>
        </w:rPr>
        <w:t xml:space="preserve">؛ واختاره في مجمع الفائدة، والمدارك، والذخيرة، و الكفاية، و كشف اللثام، و رياض المسائل </w:t>
      </w:r>
      <w:r>
        <w:rPr>
          <w:rStyle w:val="FootnoteAnchor"/>
          <w:rtl w:val="true"/>
        </w:rPr>
        <w:footnoteReference w:id="29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اللثام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رياض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هو الظاهر من المقنعة، والمبسوط، والمصباح، والاقتصاد، و جمل العقود، والنهاية، والكافي، والمراسم، والمهذّب، والغنية، والسرائر، والإشارة، والجامع، والنافع، والتبصرة، والموجز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320854_1051229030"/>
      <w:bookmarkStart w:id="110" w:name="_Toc39"/>
      <w:bookmarkEnd w:id="109"/>
      <w:r>
        <w:rPr>
          <w:rtl w:val="true"/>
        </w:rPr>
        <w:t xml:space="preserve">[ </w:t>
      </w:r>
      <w:r>
        <w:rPr>
          <w:rtl w:val="true"/>
        </w:rPr>
        <w:t xml:space="preserve">نقل عبارات العلماء </w:t>
      </w:r>
      <w:r>
        <w:rPr>
          <w:rtl w:val="true"/>
        </w:rPr>
        <w:t>]</w:t>
      </w:r>
      <w:bookmarkEnd w:id="110"/>
    </w:p>
    <w:p>
      <w:pPr>
        <w:pStyle w:val="BookText"/>
        <w:rPr/>
      </w:pPr>
      <w:r>
        <w:rPr>
          <w:rFonts w:ascii="Amiri" w:hAnsi="Amiri" w:eastAsia="Amiri" w:cs="Amiri"/>
          <w:color w:val="111111"/>
          <w:sz w:val="28"/>
          <w:sz w:val="28"/>
          <w:szCs w:val="28"/>
          <w:rtl w:val="true"/>
          <w:lang w:bidi="ar-SA"/>
        </w:rPr>
        <w:t xml:space="preserve">فها أنا أستقصي عباراتهم للتنبيه على حقيقة الحال،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المقنعة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والخمر، و نبيذ التمر، و كلّ شراب مسكر نجس، إذا أصاب ثوب الإنسان شيء منه، قلّ ذلك أم كثر، لم يجز الصلاة فيه حتّى يغسل بالماء، </w:t>
      </w:r>
    </w:p>
    <w:p>
      <w:pPr>
        <w:pStyle w:val="BookText"/>
        <w:rPr/>
      </w:pPr>
      <w:r>
        <w:rPr>
          <w:rFonts w:ascii="Amiri" w:hAnsi="Amiri" w:eastAsia="Amiri" w:cs="Amiri"/>
          <w:color w:val="111111"/>
          <w:sz w:val="28"/>
          <w:sz w:val="28"/>
          <w:szCs w:val="28"/>
          <w:rtl w:val="true"/>
          <w:lang w:bidi="ar-SA"/>
        </w:rPr>
        <w:t xml:space="preserve">و كذلك حكم الفقّاع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النجاسة على ضربين، أحدهما دم، والآخر غير 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ليس بدم من النجاسات يجب إزالة قليله و كثيره، و هي خمسة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من الآدميّ و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والخمر نجسة بلا خلاف، و </w:t>
      </w:r>
      <w:r>
        <w:rPr>
          <w:rStyle w:val="FootnoteAnchor"/>
          <w:rtl w:val="true"/>
        </w:rPr>
        <w:footnoteReference w:id="299"/>
      </w:r>
      <w:r>
        <w:rPr>
          <w:rFonts w:ascii="Amiri" w:hAnsi="Amiri" w:eastAsia="Amiri" w:cs="Amiri"/>
          <w:color w:val="111111"/>
          <w:sz w:val="28"/>
          <w:sz w:val="28"/>
          <w:szCs w:val="28"/>
          <w:rtl w:val="true"/>
          <w:lang w:bidi="ar-SA"/>
        </w:rPr>
        <w:t>كلّ مسكر عندنا حكمه حكم الخمر،</w:t>
      </w:r>
    </w:p>
    <w:p>
      <w:pPr>
        <w:pStyle w:val="BookText"/>
        <w:rPr/>
      </w:pPr>
      <w:r>
        <w:rPr>
          <w:rFonts w:ascii="Amiri" w:hAnsi="Amiri" w:eastAsia="Amiri" w:cs="Amiri"/>
          <w:color w:val="111111"/>
          <w:sz w:val="28"/>
          <w:sz w:val="28"/>
          <w:szCs w:val="28"/>
          <w:rtl w:val="true"/>
          <w:lang w:bidi="ar-SA"/>
        </w:rPr>
        <w:t xml:space="preserve">وألحق أصحابنا الفقّاع بذلك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المصباح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النجاسة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يجب إزالة قليله و كثيره، و ذلك مثل دم الحيض، والاستحاضة، والنفاس، والخمر، و كلّ شراب مسكر، والفقّاع، والمني من كلّ حيوان، والبول والغائط من الآدميّ و كلّ ما لا يؤكل لحمه، و ما يؤكل لحمه لا بأس ببوله و روثه و ذرقه، إلاّ ذرق الدجاج </w:t>
      </w:r>
    </w:p>
    <w:p>
      <w:pPr>
        <w:pStyle w:val="BookText"/>
        <w:rPr/>
      </w:pPr>
      <w:r>
        <w:rPr>
          <w:rFonts w:ascii="Amiri" w:hAnsi="Amiri" w:eastAsia="Amiri" w:cs="Amiri"/>
          <w:color w:val="111111"/>
          <w:sz w:val="28"/>
          <w:sz w:val="28"/>
          <w:szCs w:val="28"/>
          <w:rtl w:val="true"/>
          <w:lang w:bidi="ar-SA"/>
        </w:rPr>
        <w:t xml:space="preserve">خاصّة، فإنّه نجس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الاقتصاد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النجاسة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يجب إزالة قليلها و كثيرها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يجب إزالة القليل والكثير فالبول والغائط والمنيّ من كلّ حيوان، وكلّ شراب مسكر، خمرًا كان أو نبيذًا، والفقّاع، و دم الحيض والنفاس والاستحاضة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جمل 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والنجاسات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و ما ليس بدم من النجاسة يجب إزالة قليله و كثيره، و هي خمسة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من الآدميّ و كلّ ما لا يؤكل لحمه، و ما أكل لحمه فلا بأس ببوله أو روثه أو ذرقه إلاّ ذرق الدجاج خاصّة، والمنيّ من الآدميّ و غيره من ذي النفس السائلة، سواء أكل أو لم يأكل، و كلّ مسكرٍ، خمرًا كان أو نبيذًا، والفقّاع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متى أصاب ثوب الإنسان أو بدنه شيء من الخمر، أو الشراب المسكر، أو الفقّاع، قليلاً كان أو كثيرًا، أو البدن </w:t>
      </w:r>
      <w:r>
        <w:rPr>
          <w:rStyle w:val="FootnoteAnchor"/>
          <w:rtl w:val="true"/>
        </w:rPr>
        <w:footnoteReference w:id="304"/>
      </w:r>
      <w:r>
        <w:rPr>
          <w:rFonts w:ascii="Amiri" w:hAnsi="Amiri" w:eastAsia="Amiri" w:cs="Amiri"/>
          <w:color w:val="111111"/>
          <w:sz w:val="28"/>
          <w:sz w:val="28"/>
          <w:szCs w:val="28"/>
          <w:rtl w:val="true"/>
          <w:lang w:bidi="ar-SA"/>
        </w:rPr>
        <w:t xml:space="preserve">، فإنّه يجب إزالته عن الثوب والبدن معًا، و إن أصاب الثوب دم و كان دم حيض أو استحاضة أو النفاس وجب إزالته، قليلاً كان أو كثيرًا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النجاسة على ثلاثة أضرب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 و خرء ما لايؤكل لحمه، و ما يؤكل لحمه إذا كان جلاّلاً، والشراب، والمسكر، والفقّاع، والمني، والدم المسفوح، و كلّ مايع نجس بغيره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المراسم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النجاسات على ثلاثة أضرب، أحدها تجب إزالة كثيره و قليله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والمني، و دم الحيض والاستحاضة والنفاس، والخمر، و ساير ما يسكر، والفقّاع، و روث و بول ما لا يؤكل لحمه، ولعاب الكلب والمسوخ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المهذّب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والنجاسة على ثلاثة أضرب،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إزالته قليلاً كان أو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فهو دم الحيض والاستحاضة، و بول الإنسان، كبيرًا كان أو صغيرًا، والغائط، والمني من الناس و غيرهم، والخمر، و كلّ شراب مسكر، والفقّاع، و بول و روث كلّ ما لا يؤكل لحمه، و ذرق الدجاج الجلاّل، والإبل الجلاّلة، و عرق الجنب من الحرام، و كلّ ماء غسلت به نجاسة، أو ولغ فيها كلب أو خنزير أو ثعلب أو أرنب، و ما جرى مجرى ذلك، و كلّ ماء أو مايع غير الماء لاقته نجاسة أو ماسّه جسم نجس، وطين المطر إذا مضى عليه ثلاثة أيّام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شرحه على جمل السيّد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 ينجّس به الماء عندنا، فهو ملاقاة أجسام الكفّار له على </w:t>
      </w:r>
    </w:p>
    <w:p>
      <w:pPr>
        <w:pStyle w:val="BookText"/>
        <w:rPr/>
      </w:pPr>
      <w:r>
        <w:rPr>
          <w:rFonts w:ascii="Amiri" w:hAnsi="Amiri" w:eastAsia="Amiri" w:cs="Amiri"/>
          <w:color w:val="111111"/>
          <w:sz w:val="28"/>
          <w:sz w:val="28"/>
          <w:szCs w:val="28"/>
          <w:rtl w:val="true"/>
          <w:lang w:bidi="ar-SA"/>
        </w:rPr>
        <w:t xml:space="preserve">اختلاف مذاهبهم، والكلاب، والخنازير، و ما جرى مجراهم، والمني، والدماء، والخمر، و كلّ شراب مسكر، والفقّاع، والعذرة، و بول و خرء كلّ ما لا يؤكل لحمه، و ذرقه و روثه، وارتماس الجنب فيه </w:t>
      </w:r>
      <w:r>
        <w:rPr>
          <w:rStyle w:val="FootnoteAnchor"/>
          <w:rtl w:val="true"/>
        </w:rPr>
        <w:footnoteReference w:id="310"/>
      </w:r>
      <w:r>
        <w:rPr>
          <w:rFonts w:ascii="IRNazanin" w:hAnsi="IRNazanin" w:eastAsia="IRNazanin"/>
          <w:color w:val="111111"/>
          <w:sz w:val="28"/>
          <w:sz w:val="28"/>
          <w:szCs w:val="28"/>
          <w:rtl w:val="true"/>
          <w:lang w:bidi="fa-IR"/>
        </w:rPr>
        <w:t xml:space="preserve">، و موت </w:t>
      </w:r>
      <w:r>
        <w:rPr>
          <w:rStyle w:val="FootnoteAnchor"/>
          <w:rtl w:val="true"/>
        </w:rPr>
        <w:footnoteReference w:id="311"/>
      </w:r>
      <w:r>
        <w:rPr>
          <w:rFonts w:ascii="Amiri" w:hAnsi="Amiri" w:eastAsia="Amiri" w:cs="Amiri"/>
          <w:color w:val="111111"/>
          <w:sz w:val="28"/>
          <w:sz w:val="28"/>
          <w:szCs w:val="28"/>
          <w:rtl w:val="true"/>
          <w:lang w:bidi="ar-SA"/>
        </w:rPr>
        <w:t xml:space="preserve">كلّ حيوان له نفس سائلة فيه، والعقارب، والوزق، و ذرق الدجاج الجلاّلة خاصّة </w:t>
      </w:r>
      <w:r>
        <w:rPr>
          <w:rStyle w:val="FootnoteAnchor"/>
          <w:rtl w:val="true"/>
        </w:rPr>
        <w:footnoteReference w:id="312"/>
      </w:r>
      <w:r>
        <w:rPr>
          <w:rFonts w:ascii="Amiri" w:hAnsi="Amiri" w:eastAsia="Amiri" w:cs="Amiri"/>
          <w:color w:val="111111"/>
          <w:sz w:val="28"/>
          <w:sz w:val="28"/>
          <w:szCs w:val="28"/>
          <w:rtl w:val="true"/>
          <w:lang w:bidi="ar-SA"/>
        </w:rPr>
        <w:t xml:space="preserve">، و عرق الإبل الجلاّلة، و عرق الجنب إذا أجنب من حرام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والنجاسات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و خرء ما لا يؤكل لحمه بلا خلاف، و ما يؤكل لحمه إذا كان جلاّلاً، بدليل الإجماع المشار إليه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والخمر نجسة بلا خلاف ممّن يعتدّ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شراب مسكر نجس، والفقّاع نجس بدليل الإجماع المشار إليه، </w:t>
      </w:r>
    </w:p>
    <w:p>
      <w:pPr>
        <w:pStyle w:val="BookText"/>
        <w:rPr/>
      </w:pPr>
      <w:r>
        <w:rPr>
          <w:rFonts w:ascii="Amiri" w:hAnsi="Amiri" w:eastAsia="Amiri" w:cs="Amiri"/>
          <w:color w:val="111111"/>
          <w:sz w:val="28"/>
          <w:sz w:val="28"/>
          <w:szCs w:val="28"/>
          <w:rtl w:val="true"/>
          <w:lang w:bidi="ar-SA"/>
        </w:rPr>
        <w:t xml:space="preserve">و دم الحيض والاستحاضة والنفاس نجس بلا خلاف، و كذا الدم المسفوح من غير هذه الدماء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ليس بدم من النجاسات يجب إزالة قليله و كثيره، و من ذلك البول والغائط من الآدميّ و غيره من الحيوان الّذي لا يؤكل لحمه و يكون له دم سائل مسفوح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جملة الأمر و عقد الباب أنّ ما يؤثّر التنجيس على ثلاثة أضرب،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يوثّر بالمخالطة، و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بالملاقاة، و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الحياة،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w:t>
      </w:r>
      <w:r>
        <w:rPr>
          <w:rStyle w:val="FootnoteAnchor"/>
          <w:rtl w:val="true"/>
        </w:rPr>
        <w:footnoteReference w:id="316"/>
      </w:r>
      <w:r>
        <w:rPr>
          <w:rFonts w:ascii="Amiri" w:hAnsi="Amiri" w:eastAsia="Amiri" w:cs="Amiri"/>
          <w:color w:val="111111"/>
          <w:sz w:val="28"/>
          <w:sz w:val="28"/>
          <w:szCs w:val="28"/>
          <w:rtl w:val="true"/>
          <w:lang w:bidi="ar-SA"/>
        </w:rPr>
        <w:t xml:space="preserve">و خرء ما لا يؤكل لحمه، و ما يؤكل لحمه إذا كان جلاّلاً، والشراب المسكر، والفقّاع، والمني، والدم المسفوح، و كلّ مايع نجس بغيره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مباحث اللباس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الصلاة في ثوب فيه خمر، أو شيء من الأشربة المسكرة، </w:t>
      </w:r>
    </w:p>
    <w:p>
      <w:pPr>
        <w:pStyle w:val="BookText"/>
        <w:rPr/>
      </w:pPr>
      <w:r>
        <w:rPr>
          <w:rFonts w:ascii="Amiri" w:hAnsi="Amiri" w:eastAsia="Amiri" w:cs="Amiri"/>
          <w:color w:val="111111"/>
          <w:sz w:val="28"/>
          <w:sz w:val="28"/>
          <w:szCs w:val="28"/>
          <w:rtl w:val="true"/>
          <w:lang w:bidi="ar-SA"/>
        </w:rPr>
        <w:t xml:space="preserve">و كذلك الفقّاع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الطهارة من النجس، فينبغي معرفة النجاسات، و هي إمّا دم الثلاثة المذكورة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مشروب،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والفقّاع، و كلّ شراب مسكر ؛ و إمّا حيوان،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والخنزير، والكافر على اختلاف جهات كفره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والنجاسة الخمر، و كلّ مسكر، والفقّاع، والمني، والدم المسفوح، و بول و روث ما لا يؤكل لحمه، والكلب، والخنزير، والكافر، و ميتة ذي النفس السائلة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النافع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ممّا لا يؤكل لحمه، و يندرج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 والمني، والميتة ممّا يكون له نفس سائلة، وكذا </w:t>
      </w:r>
    </w:p>
    <w:p>
      <w:pPr>
        <w:pStyle w:val="BookText"/>
        <w:rPr/>
      </w:pPr>
      <w:r>
        <w:rPr>
          <w:rFonts w:ascii="Amiri" w:hAnsi="Amiri" w:eastAsia="Amiri" w:cs="Amiri"/>
          <w:color w:val="111111"/>
          <w:sz w:val="28"/>
          <w:sz w:val="28"/>
          <w:szCs w:val="28"/>
          <w:rtl w:val="true"/>
          <w:lang w:bidi="ar-SA"/>
        </w:rPr>
        <w:t xml:space="preserve">الدم، والكلب، والخنزير، والكافر، و كلّ مسكر، والفقّاع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ممّا لا يؤكل لحمه من ذي النفس السائلة</w:t>
      </w:r>
    </w:p>
    <w:p>
      <w:pPr>
        <w:pStyle w:val="BookText"/>
        <w:rPr/>
      </w:pPr>
      <w:r>
        <w:rPr>
          <w:rFonts w:ascii="Amiri" w:hAnsi="Amiri" w:eastAsia="Amiri" w:cs="Amiri"/>
          <w:color w:val="111111"/>
          <w:sz w:val="28"/>
          <w:sz w:val="28"/>
          <w:szCs w:val="28"/>
          <w:rtl w:val="true"/>
          <w:lang w:bidi="ar-SA"/>
        </w:rPr>
        <w:t xml:space="preserve">مطلقًا </w:t>
      </w:r>
      <w:r>
        <w:rPr>
          <w:rStyle w:val="FootnoteAnchor"/>
          <w:rtl w:val="true"/>
        </w:rPr>
        <w:footnoteReference w:id="322"/>
      </w:r>
      <w:r>
        <w:rPr>
          <w:rFonts w:ascii="Amiri" w:hAnsi="Amiri" w:eastAsia="Amiri" w:cs="Amiri"/>
          <w:color w:val="111111"/>
          <w:sz w:val="28"/>
          <w:sz w:val="28"/>
          <w:szCs w:val="28"/>
          <w:rtl w:val="true"/>
          <w:lang w:bidi="ar-SA"/>
        </w:rPr>
        <w:t xml:space="preserve">، والمني من ذي النفس السائلة مطلقًا، و كذا الميتة والدم منه، والكلب، والخنزير، والكافر، والمسكر، والفقّاع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الموجز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أصناف النجاسات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مايع المسكر و إن عرض جموده، دون جامده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كالحشيشة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عرض ميعانها، والفقّاع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الكلمات المذكورة ظاهر الدلالة على أنّ أربابها غير معتقدين لنجاسة العصير العنبيّ مطلقًا، كما لا يخفى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بطهارة العصير العنبيّ بعد الغليان و لو قبل أن يذهب منه </w:t>
      </w:r>
      <w:bookmarkStart w:id="111" w:name="pg7914_81954"/>
    </w:p>
    <w:p>
      <w:pPr>
        <w:pStyle w:val="BookText"/>
        <w:rPr/>
      </w:pPr>
      <w:bookmarkEnd w:id="111"/>
      <w:r>
        <w:rPr>
          <w:rFonts w:ascii="Amiri" w:hAnsi="Amiri" w:eastAsia="Amiri" w:cs="Amiri"/>
          <w:color w:val="111111"/>
          <w:sz w:val="28"/>
          <w:sz w:val="28"/>
          <w:szCs w:val="28"/>
          <w:rtl w:val="true"/>
          <w:lang w:bidi="ar-SA"/>
        </w:rPr>
        <w:t xml:space="preserve">الثلثان، هو الظاهر من الفقيه، والمقنع، والمقنعة، والمبسوط، والمصباح، والنهاية، والاقتصاد، و جمل العقود، والكافي، والمراسم، والمهذّب، و شرحه على الجمل، والغنية، والسرائر، والإشارة، والجامع، والنافع، والتبصرة، والموجز، و قد سمعت عباراتهم، فليلاحظ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المحكيّ عن ابن أبي عقيل، والمصرّح به في مجمع الفائدة والبرهان،</w:t>
      </w:r>
    </w:p>
    <w:p>
      <w:pPr>
        <w:pStyle w:val="BookText"/>
        <w:rPr/>
      </w:pPr>
      <w:r>
        <w:rPr>
          <w:rFonts w:ascii="Amiri" w:hAnsi="Amiri" w:eastAsia="Amiri" w:cs="Amiri"/>
          <w:color w:val="111111"/>
          <w:sz w:val="28"/>
          <w:sz w:val="28"/>
          <w:szCs w:val="28"/>
          <w:rtl w:val="true"/>
          <w:lang w:bidi="ar-SA"/>
        </w:rPr>
        <w:t xml:space="preserve">والمدارك، والذخيرة، والخلافيّة، والكفاية، و كشف اللثام، والمفاتيح، و رياض المسائل ؛ و قد أوردنا عباراتهم عدا المفاتيح،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غير ما ذكر فهو طاهر ما لم يلاق شيئًا من النجاسات برطوبة، للأصل </w:t>
      </w:r>
      <w:r>
        <w:rPr>
          <w:rStyle w:val="FootnoteAnchor"/>
          <w:rtl w:val="true"/>
        </w:rPr>
        <w:footnoteReference w:id="325"/>
      </w:r>
      <w:r>
        <w:rPr>
          <w:rFonts w:ascii="IRNazanin" w:hAnsi="IRNazanin" w:eastAsia="IRNazanin"/>
          <w:color w:val="111111"/>
          <w:sz w:val="28"/>
          <w:sz w:val="28"/>
          <w:szCs w:val="28"/>
          <w:rtl w:val="true"/>
          <w:lang w:bidi="fa-IR"/>
        </w:rPr>
        <w:t xml:space="preserve">السالم عن المعارض، و للموثّق </w:t>
      </w:r>
      <w:r>
        <w:rPr>
          <w:rStyle w:val="FootnoteAnchor"/>
          <w:rtl w:val="true"/>
        </w:rPr>
        <w:footnoteReference w:id="3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 خلافًا للمشهور بين المتأخّرين في العصير العنبيّ إذا غلى واشتدّ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6320856_1051229030"/>
      <w:bookmarkStart w:id="113" w:name="_Toc40"/>
      <w:bookmarkEnd w:id="112"/>
      <w:r>
        <w:rPr>
          <w:rtl w:val="true"/>
        </w:rPr>
        <w:t xml:space="preserve">[ </w:t>
      </w:r>
      <w:r>
        <w:rPr>
          <w:rtl w:val="true"/>
        </w:rPr>
        <w:t xml:space="preserve">مستند القائلين بنجاسة العصير بعد الغليان </w:t>
      </w:r>
      <w:r>
        <w:rPr>
          <w:rtl w:val="true"/>
        </w:rPr>
        <w:t>]</w:t>
      </w:r>
      <w:bookmarkEnd w:id="11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للقول بالنجاسة على ما في غنائم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تعالى درجة مصنّفه </w:t>
      </w:r>
    </w:p>
    <w:p>
      <w:pPr>
        <w:pStyle w:val="BookText"/>
        <w:rPr/>
      </w:pPr>
      <w:r>
        <w:rPr>
          <w:rFonts w:ascii="Amiri" w:hAnsi="Amiri" w:eastAsia="Amiri" w:cs="Amiri"/>
          <w:color w:val="111111"/>
          <w:sz w:val="28"/>
          <w:sz w:val="28"/>
          <w:szCs w:val="28"/>
          <w:rtl w:val="true"/>
          <w:lang w:bidi="ar-SA"/>
        </w:rPr>
        <w:t xml:space="preserve">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الأخبار الدالّة على أنّ العصير إذا غلى فهو خمر،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إطلاق الخمر يقتضي المشابهة في كلّ الأحكام، أو الأحكام الشائعة، والنجاسة من جملتها ؛ و ممّا يرشدك إلى ما ذكرنا ما نقله الكلينيّ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حرمة الخمر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الأخبار الدالّة على أنّ العصير إذا غلى فهو خمر، لم أظفر بها، بل و لا واحدٍ منها في الكافي والفقيه والتهذيب والاستبصار، بل و لا في الوسائل والوافي والبحار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بالموثّق، بل الموثّق الصحيح </w:t>
      </w:r>
      <w:r>
        <w:rPr>
          <w:rStyle w:val="FootnoteAnchor"/>
          <w:rtl w:val="true"/>
        </w:rPr>
        <w:footnoteReference w:id="330"/>
      </w:r>
      <w:r>
        <w:rPr>
          <w:rFonts w:ascii="Amiri" w:hAnsi="Amiri" w:eastAsia="Amiri" w:cs="Amiri"/>
          <w:color w:val="111111"/>
          <w:sz w:val="28"/>
          <w:sz w:val="28"/>
          <w:szCs w:val="28"/>
          <w:rtl w:val="true"/>
          <w:lang w:bidi="ar-SA"/>
        </w:rPr>
        <w:t xml:space="preserve">المرويّ في التهذيب،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الرجل من أهل المعرفة بالحقّ يأتيني بالبختج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طبخ على الثلث و أنا أعرفه أنّه يشربه على النصف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لا تشربه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سلف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الحديث و إن كان مرويًّا في الكافيّ أيضًا على ما علمت ممّا سلف، و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 فيه، لكنّه غير مضرّ، لدوران الأمر بين الزيادة والنقصان، والحمل على الثاني أولى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الحال في ذلك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ثقة الإسلام روى الحديث عن </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اسماعيل، عن يونس بن يعقوب، عن معاوية بن عمّار، عن أبي عبداللّه عليه‌السلام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شيخ الطائفة رواه باسناده عن أحمد بن محمّد، عن محمّد بن اسماعيل، عن يونس بن يعقوب، عن معاوية بن عمّار، عنه عليه‌السلام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أخذاه عن كتاب أحمد بن محمّد، و قد اشتمل المرويّ في التهذيب على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الكافي، فلابدّ إمّا السقط من ثقة الإسلام، أو من كاتب النسخة الّتي أخذه منها ؛ و قد عرفت أنّ المصير إلى النقصان أولى من المصير إلى الزيادة، و مقتضاه صدوره من المعصوم عليه‌السلام، لكن سقط من قلم ثقة الإسلام، أو من ناسخ النسخة الّتي أخذه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ممّا أوردناه من ابن الأثير أنّ البختج هو العصير المطبوخ، وأنّه الّذي يسمّى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پُختِه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البرهان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پخته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دوشابه </w:t>
      </w:r>
      <w:r>
        <w:rPr>
          <w:rStyle w:val="FootnoteAnchor"/>
          <w:rtl w:val="true"/>
        </w:rPr>
        <w:footnoteReference w:id="335"/>
      </w:r>
      <w:r>
        <w:rPr>
          <w:rFonts w:ascii="IRNazanin" w:hAnsi="IRNazanin" w:eastAsia="IRNazanin"/>
          <w:color w:val="111111"/>
          <w:sz w:val="28"/>
          <w:sz w:val="28"/>
          <w:szCs w:val="28"/>
          <w:rtl w:val="true"/>
          <w:lang w:bidi="fa-IR"/>
        </w:rPr>
        <w:t xml:space="preserve">است، و دوشابى را نيز گويند كه چندان بجوشانند كه به قوام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شرابى است كه آن را </w:t>
      </w:r>
    </w:p>
    <w:p>
      <w:pPr>
        <w:pStyle w:val="BookText"/>
        <w:rPr/>
      </w:pPr>
      <w:r>
        <w:rPr>
          <w:rFonts w:ascii="IRNazanin" w:hAnsi="IRNazanin" w:eastAsia="IRNazanin"/>
          <w:color w:val="111111"/>
          <w:sz w:val="28"/>
          <w:sz w:val="28"/>
          <w:szCs w:val="28"/>
          <w:rtl w:val="true"/>
          <w:lang w:bidi="fa-IR"/>
        </w:rPr>
        <w:t xml:space="preserve">با داروى چند بجوشانند و صاف كنند، و معرّب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بختج است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يظهر أنّ ما ذكره في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يسمّيه </w:t>
      </w:r>
      <w:r>
        <w:rPr>
          <w:rStyle w:val="FootnoteAnchor"/>
          <w:rtl w:val="true"/>
        </w:rPr>
        <w:footnoteReference w:id="337"/>
      </w:r>
      <w:r>
        <w:rPr>
          <w:rFonts w:ascii="Amiri" w:hAnsi="Amiri" w:eastAsia="Amiri" w:cs="Amiri"/>
          <w:color w:val="111111"/>
          <w:sz w:val="28"/>
          <w:sz w:val="28"/>
          <w:szCs w:val="28"/>
          <w:rtl w:val="true"/>
          <w:lang w:bidi="ar-SA"/>
        </w:rPr>
        <w:t xml:space="preserve">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الميبختج </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 محلّ مؤاخذة، إذ مقتضاه أنّ البختج ما يسمّيه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ابن الأثير أيضًا و قد سمعت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الميبختج هو المعرّب، لا أنّه عجميّ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مرّ ظنّ اشتمال ما صدر من المعصوم عليه‌السلام على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خبر لمبتدأ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خمر، 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خمر 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إشارة إلى البختج الخاصّ الّذي أتاه به ذلك الرجل، لعلمه عليه‌السلام بأنّ المأتيّ به من ذلك الرجل لم يذهب منه الثلثان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المرجع في قوله عليه‌السلام، النصف المذكور في كلام الراوي ؛ وكذا الحال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أنّ العصير المطبوخ قبل أن يذهب منه ثلثاه خمرٌ لا يجوز شربه ؛ و ليس فيه إلاّ أنّه عليه‌السلام أعرض عن </w:t>
      </w:r>
      <w:r>
        <w:rPr>
          <w:rStyle w:val="FootnoteAnchor"/>
          <w:rtl w:val="true"/>
        </w:rPr>
        <w:footnoteReference w:id="339"/>
      </w:r>
      <w:r>
        <w:rPr>
          <w:rFonts w:ascii="Amiri" w:hAnsi="Amiri" w:eastAsia="Amiri" w:cs="Amiri"/>
          <w:color w:val="111111"/>
          <w:sz w:val="28"/>
          <w:sz w:val="28"/>
          <w:szCs w:val="28"/>
          <w:rtl w:val="true"/>
          <w:lang w:bidi="ar-SA"/>
        </w:rPr>
        <w:t xml:space="preserve">الجواب المفروض في السؤال، و هو المشتبه الحال، ولعلّه لأجل الحثّ على الاجتناب، و كان هناك داع للإجمال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إشارة إلى المفروض في السؤال،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المطبوخ المردّد بين أن ذهب منه الثلثان أم لا، فيما إذا كان قول ذي اليد مخالفًا لفعله، حيث</w:t>
      </w:r>
    </w:p>
    <w:p>
      <w:pPr>
        <w:pStyle w:val="BookText"/>
        <w:rPr/>
      </w:pPr>
      <w:r>
        <w:rPr>
          <w:rFonts w:ascii="Amiri" w:hAnsi="Amiri" w:eastAsia="Amiri" w:cs="Amiri"/>
          <w:color w:val="111111"/>
          <w:sz w:val="28"/>
          <w:sz w:val="28"/>
          <w:szCs w:val="28"/>
          <w:rtl w:val="true"/>
          <w:lang w:bidi="ar-SA"/>
        </w:rPr>
        <w:t xml:space="preserve">أخبر بأنّه قد طبخ على الثلث مع العلم بأنّه يشربه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إن كان اشتبه حاله لاحتمال ذهاب الثلثين منه و عدمه، لكن لمان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مقتضى الاستصحاب هو الثاني، فيحمل عليه لاقتضاء الاستصحاب ذلك، وليس فيه إلاّ إخبار ذي اليد بذهاب ثلثيه، لكن مقتضى الحديث عدم الاعتداد بذلك، لكون فعله مخالفًا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لأجل أنّ في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بعد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مانعةً عن الاعتداد بإخبار ذي اليد فيما إذا كان فعله مخالفًا له، و بسبب تلك الخصوصيّة امتازت عن الأشباه والنظائر، كما إذا أخبر ذو اليد الغير المتوفّى عن النجاسة والحرمة بطهارة شيء أو حلّيّته، كما أنّ في الخمر خصوصيّة داعية لترجيح بول الكلب والكافر عليها فيما إذا اضطرّ الإنسان لشرب واحدٍ منهما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جميع التقادير يكون مقتضى الحديث نجاسةَ العصير المطبوخ قبل ذهاب ثلثيه، لأنّه عليه‌السلام أطلق عليه لفظ الخمر، و هو إمّا محمولٌ على الحقيقة، أو على المجاز ؛ و على التقديرين يتمّ المرام، أمّا على الأوّل فظاهر، و 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مقتضاه مشاركته مع الخمر في جميع الأحكام الّتي منها النجاسة، فيكون نجسًا، و هو المطلوب </w:t>
      </w:r>
      <w:r>
        <w:rPr>
          <w:rFonts w:eastAsia="Amiri" w:cs="Amiri" w:ascii="Amiri" w:hAnsi="Amiri"/>
          <w:color w:val="111111"/>
          <w:sz w:val="28"/>
          <w:szCs w:val="28"/>
          <w:rtl w:val="true"/>
          <w:lang w:bidi="ar-SA"/>
        </w:rPr>
        <w:t xml:space="preserve">. </w:t>
      </w:r>
      <w:bookmarkStart w:id="114" w:name="pg7914_81959"/>
    </w:p>
    <w:p>
      <w:pPr>
        <w:pStyle w:val="BookText"/>
        <w:rPr/>
      </w:pPr>
      <w:bookmarkEnd w:id="114"/>
      <w:r>
        <w:rPr>
          <w:rFonts w:ascii="Amiri" w:hAnsi="Amiri" w:eastAsia="Amiri" w:cs="Amiri"/>
          <w:color w:val="111111"/>
          <w:sz w:val="28"/>
          <w:sz w:val="28"/>
          <w:szCs w:val="28"/>
          <w:rtl w:val="true"/>
          <w:lang w:bidi="ar-SA"/>
        </w:rPr>
        <w:t xml:space="preserve">و بالصحيح المرويّ في الكافي والتهذيب، عن عليّ بن إبراهيم، عن أبيه، عن ابن أبي عمير، عن الحسن بن عطيّة،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يُهدِي إليّ البُختُج من غير أصحابنا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ممّن يستحلّ المسكر فلا تشربه، و إن كان ممّن لا يستحلّ شربه فاقبله،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6320858_1051229030"/>
      <w:bookmarkStart w:id="116" w:name="_Toc41"/>
      <w:bookmarkEnd w:id="115"/>
      <w:r>
        <w:rPr>
          <w:rtl w:val="true"/>
        </w:rPr>
        <w:t xml:space="preserve">[ </w:t>
      </w:r>
      <w:r>
        <w:rPr>
          <w:rtl w:val="true"/>
        </w:rPr>
        <w:t xml:space="preserve">الكلام في سند الحديث </w:t>
      </w:r>
      <w:r>
        <w:rPr>
          <w:rtl w:val="true"/>
        </w:rPr>
        <w:t>]</w:t>
      </w:r>
      <w:bookmarkEnd w:id="116"/>
    </w:p>
    <w:p>
      <w:pPr>
        <w:pStyle w:val="Heading4"/>
        <w:numPr>
          <w:ilvl w:val="3"/>
          <w:numId w:val="1"/>
        </w:numPr>
        <w:rPr/>
      </w:pPr>
      <w:bookmarkStart w:id="117" w:name="__RefHeading___Toc6320860_1051229030"/>
      <w:bookmarkStart w:id="118" w:name="_Toc42"/>
      <w:bookmarkEnd w:id="117"/>
      <w:r>
        <w:rPr>
          <w:rtl w:val="true"/>
        </w:rPr>
        <w:t xml:space="preserve">[ </w:t>
      </w:r>
      <w:r>
        <w:rPr>
          <w:rtl w:val="true"/>
        </w:rPr>
        <w:t xml:space="preserve">تحقيق الحال في الحسن بن عطيّة </w:t>
      </w:r>
      <w:r>
        <w:rPr>
          <w:rtl w:val="true"/>
        </w:rPr>
        <w:t>]</w:t>
      </w:r>
      <w:bookmarkEnd w:id="118"/>
    </w:p>
    <w:p>
      <w:pPr>
        <w:pStyle w:val="BookText"/>
        <w:rPr/>
      </w:pPr>
      <w:r>
        <w:rPr>
          <w:rFonts w:ascii="Amiri" w:hAnsi="Amiri" w:eastAsia="Amiri" w:cs="Amiri"/>
          <w:color w:val="111111"/>
          <w:sz w:val="28"/>
          <w:sz w:val="28"/>
          <w:szCs w:val="28"/>
          <w:rtl w:val="true"/>
          <w:lang w:bidi="ar-SA"/>
        </w:rPr>
        <w:t xml:space="preserve">و لا كلام في السند إلاّ من جهة الحسن بن عطيّة، و عمر بن يزيد، فينبغي تحقيق الحال فيهما،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بن عطيّة، فالّذي يظهر من شيخ الطائفة في الرجال أنّه ثلاثة، لذكره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مولانا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عنوانات،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عطيّة المحاربي الدغشي، أبو ناب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متّصلاً به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عطيّة الحنّاط الكوفيّ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بفاصلة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عطيّة، أبو ناب الدغشي، أخو مالك و عليّ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الفهرست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عطيّة الحنّاط، له كتاب رويناه بالاسناد الأوّل، عن حميد، عن أحمد بن ميثم، عنه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إرجاع ما وجد في العنوان الثالث من الرجال إلى الأوّل، للاشتراك في الكنية والدغشي ؛ و لعلّه لذلك جعل ابن داود العنوان اثنين،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عطيّة الحنّاط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عطيّة الدغشي، بالدال المهملة والغين والشين المعجمتين، أبو ناب الكوفيّ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 ذكر بعض الأصحاب أنّه هو الحناط الّذي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لأنّ الشيخ ذكرهما في كتاب الرجال مختلفي النسبة و فصّل بينهما و ذكر الأوّل في الفهرست دون الثاني، و هذا يدلّ على تغايرهما </w:t>
      </w:r>
      <w:r>
        <w:rPr>
          <w:rStyle w:val="FootnoteAnchor"/>
          <w:rtl w:val="true"/>
        </w:rPr>
        <w:footnoteReference w:id="34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لأنّه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عطيّة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 الكوفيّ، مولى، ثقة، و أخواه أيضًا محمّد و عليّ، كلّهم رووا عن أبي عبداللّه عليه‌السلام، وهو الحسن بن عطيّة الدغشي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والغين المعجمة، والشين المعجمة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وافق في ذلك النجاشي، لأنّه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عطيّة الحنّاط، كوفيّ، ثقة، و أخواه أيضًا محمّد و عليّ، كلّهم رووا عن أبي عبداللّه عليه‌السلام، و هو الحسن بن عطيّة الدغشيّ المحاربيّ، أبو ناب، و من ولده عليّ بن إبراهيم بن الحسن، روى عن أبيه، عن جدّه، ما رأيت أحدًا من أصحابنا ذكر له تصنيفًا </w:t>
      </w:r>
      <w:r>
        <w:rPr>
          <w:rStyle w:val="FootnoteAnchor"/>
          <w:rtl w:val="true"/>
        </w:rPr>
        <w:footnoteReference w:id="34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فالحقّ أنّ الحسن بن عطيّة واحد، لما عرفت من إرجاع العنوان الثالث في كلام الشيخ إلى الأوّل، و قد ذكر شيخ الطائفة أنّ الأخوين للحسن بن عطيّة أبو ناب الدغشي ؛ والمصرّح به في كلام النجاشي أنّ الأخوين للحسن بن عطيّة الحنّاط الكوفيّ، فقد رجع العنوانات الثلاث في الرجال إلى شخصٍ واحد، فالحسن بن عطيّة واحد، وثّقه النجاشي والعلاّمة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فيما ينبغي التنبيه عليه،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المصرّح به في كلام النجاشي أنّ الأخوين للحسن هذا أحدهما محمّد، والآخر عليّ ؛ والمذكور في الرجال أنّ </w:t>
      </w:r>
    </w:p>
    <w:p>
      <w:pPr>
        <w:pStyle w:val="BookText"/>
        <w:rPr/>
      </w:pPr>
      <w:r>
        <w:rPr>
          <w:rFonts w:ascii="Amiri" w:hAnsi="Amiri" w:eastAsia="Amiri" w:cs="Amiri"/>
          <w:color w:val="111111"/>
          <w:sz w:val="28"/>
          <w:sz w:val="28"/>
          <w:szCs w:val="28"/>
          <w:rtl w:val="true"/>
          <w:lang w:bidi="ar-SA"/>
        </w:rPr>
        <w:t xml:space="preserve">أحدهما مالك، والآخر عليّ، و هو مطابقٌ لما ذكره الكشّي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روى في أبي ناب الدغشي و أخويه عليّ و مالك بن عطيّة، 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عن أبي ناب الدغشي،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بن عطّية و عليّ بن عطيّة و مالك بن عطيّة إخوة كوفيّون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النجاشي و إن ترك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العين، مع أنّه ينبغي أن يذكر لكونه ذا كتاب كما في الفهرست </w:t>
      </w:r>
      <w:r>
        <w:rPr>
          <w:rStyle w:val="FootnoteAnchor"/>
          <w:rtl w:val="true"/>
        </w:rPr>
        <w:footnoteReference w:id="349"/>
      </w:r>
      <w:r>
        <w:rPr>
          <w:rFonts w:ascii="Amiri" w:hAnsi="Amiri" w:eastAsia="Amiri" w:cs="Amiri"/>
          <w:color w:val="111111"/>
          <w:sz w:val="28"/>
          <w:sz w:val="28"/>
          <w:szCs w:val="28"/>
          <w:rtl w:val="true"/>
          <w:lang w:bidi="ar-SA"/>
        </w:rPr>
        <w:t xml:space="preserve">، لكن عنون محمّدًا في بابه،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عطيّة الحنّاط، أخو الحسن و جعفر، كوفيّ، روى عن أبي عبداللّه عليه‌السلام و هو صغير، له كتاب أخبرنا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ابن أبي عمير، عن محمّد بن عطيّة، انتهى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أنّ مقتضى ما ذكره في ترجمته </w:t>
      </w:r>
      <w:r>
        <w:rPr>
          <w:rStyle w:val="FootnoteAnchor"/>
          <w:rtl w:val="true"/>
        </w:rPr>
        <w:footnoteReference w:id="351"/>
      </w:r>
      <w:r>
        <w:rPr>
          <w:rFonts w:ascii="Amiri" w:hAnsi="Amiri" w:eastAsia="Amiri" w:cs="Amiri"/>
          <w:color w:val="111111"/>
          <w:sz w:val="28"/>
          <w:sz w:val="28"/>
          <w:szCs w:val="28"/>
          <w:rtl w:val="true"/>
          <w:lang w:bidi="ar-SA"/>
        </w:rPr>
        <w:t xml:space="preserve">الحسن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عطيّة الحنّاط أخو الحسن و عليّ،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سيّما مع ترك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لا يخفى أنّ العلاّمة أورد الأخوين كلا </w:t>
      </w:r>
      <w:r>
        <w:rPr>
          <w:rStyle w:val="FootnoteAnchor"/>
          <w:rtl w:val="true"/>
        </w:rPr>
        <w:footnoteReference w:id="352"/>
      </w:r>
      <w:r>
        <w:rPr>
          <w:rFonts w:ascii="Amiri" w:hAnsi="Amiri" w:eastAsia="Amiri" w:cs="Amiri"/>
          <w:color w:val="111111"/>
          <w:sz w:val="28"/>
          <w:sz w:val="28"/>
          <w:szCs w:val="28"/>
          <w:rtl w:val="true"/>
          <w:lang w:bidi="ar-SA"/>
        </w:rPr>
        <w:t>كليهما في الخلاصة، فقال في باب</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عطيّة ثقة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باب الميم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عطيّة ثقة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المحقّق الأسترآباديّ في رجاله الوسيط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عطيّة الحناط الكوفيّ، تقدّم عن الخلاصة والنجاشي في أخيه الحسن أنّه ثقة، روى عن أبي عبداللّه عليه‌السلام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عنه عليه‌السلام و إن صرّحا بها في ترجمته، لقولهما مشيرًا إلى الإخوة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رووا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التوثيق غير مصرّح به، والظاهر أنّه استفاده من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الحسن، فلاحظ ؛ والظاهر أنّه المأخذ للتوثيق الّذي صدر من العلاّمة في ترجمة عليّ بن عطيّة و محمّد بن عطيّة، لكن يوهنه ترك التصريح به من النجاشي في ترجمته كما علمت، سيّما بعد ذكره </w:t>
      </w:r>
    </w:p>
    <w:p>
      <w:pPr>
        <w:pStyle w:val="BookText"/>
        <w:rPr/>
      </w:pPr>
      <w:r>
        <w:rPr>
          <w:rFonts w:ascii="Amiri" w:hAnsi="Amiri" w:eastAsia="Amiri" w:cs="Amiri"/>
          <w:color w:val="111111"/>
          <w:sz w:val="28"/>
          <w:sz w:val="28"/>
          <w:szCs w:val="28"/>
          <w:rtl w:val="true"/>
          <w:lang w:bidi="ar-SA"/>
        </w:rPr>
        <w:t xml:space="preserve">كوفيّ، وأنّه روى عن </w:t>
      </w:r>
      <w:r>
        <w:rPr>
          <w:rStyle w:val="FootnoteAnchor"/>
          <w:rtl w:val="true"/>
        </w:rPr>
        <w:footnoteReference w:id="356"/>
      </w:r>
      <w:r>
        <w:rPr>
          <w:rFonts w:ascii="Amiri" w:hAnsi="Amiri" w:eastAsia="Amiri" w:cs="Amiri"/>
          <w:color w:val="111111"/>
          <w:sz w:val="28"/>
          <w:sz w:val="28"/>
          <w:szCs w:val="28"/>
          <w:rtl w:val="true"/>
          <w:lang w:bidi="ar-SA"/>
        </w:rPr>
        <w:t>أبي عبداللّه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المدلول عليه بالعبارة السالفة من النجاشي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الوثاقة، والكوفيّة، والرواية عن أبي عبداللّه عليه‌السلام ؛ و لمّا صرّح بالأخيرين في ترجمة محمّد بن عطيّة دون الأوّل، مع أنّه كان أولى بالذكر، صار ذلك سببًا لوهن إرادته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 إن كان كذلك،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اتّصال الوثاقة في كلامه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أوجب تيقّن إرادتها منه، بخلاف كوفيّ، ولذا أعاد ذكره في ترجمته، دون الوثاقة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المتحصّل ممّا ذكر أنّ بني عطيّة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والحسن و جعفر و مالك ؛ و قد علم من النجاشي والعلاّمة أنّ الثلاثة الاُوَل ثقات، أمّا الحسن فلتصريحهما في ترجمته بوثاقته ؛ و أمّا أخواه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فلاستفادة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كلامهما ؛ والظاهر أنّه المراد ممّا ذكره المحقّق الأسترآباديّ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ترجمة عليّ بن عطيّة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عن الخلاصة والنجاشي في أخيه الحسن أنّه ثقة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الفاضل التفرشيّ في نقد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وثّقه النجاشي عند ذكر أخيه الحسن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ذكره أيضًا في ترجمة محمّد بن عطيّة، قال المحقّق الأسترآباديّ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عطيّة الحنّاط الكوفيّ، أخو الحسن و جعفر، كوفيّ، روى عن أبي عبداللّه عليه‌السلام و هو صغير، جش صه، لكن فيها و في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ضعيف، والظاهر أنّه تصحيف و أنّه ثقة كما تقدّم هنا و في أخيه الحسن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نقد الرجال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العلاّمة في الخلاصة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النجاشي بعينها، إلاّ أنّه ذكر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صغير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ذكره ابن داود، ولعلّه تصحيف، و يؤيّده أنّ النجاشي وثّقه عند ترجمة أخيه الحسن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عطيّة الحنّاط، كوفيّ، مولى، ثقة وأخواه أيضًا محمّد و عليّ كلّهم رووا عن الصادق عليه‌السلام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 أر مَن تأمّل في ذلك عدا مولانا الشيخ عبد النبيّ، فإنّه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لأقوال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عليّ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توثيقه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في ترجمة الحسن بن عطيّة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كوفيّ، مولى، ثقة، وأخواه أيضًا محمّد و عليّ كلّهم رووا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أجد توثيقه في شيء من كتب الرجال، و عبارة النجاشي هذه لا يستفاد منها التوثيق، و لعلّ العلاّمة اطّلع على توثيقه في محلّ آخر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ترجمة محمّد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توثيقه عن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ترجمة الحسن بن عطيّة في كتاب النجاشي ما هذا </w:t>
      </w:r>
      <w:r>
        <w:rPr>
          <w:rStyle w:val="FootnoteAnchor"/>
          <w:rtl w:val="true"/>
        </w:rPr>
        <w:footnoteReference w:id="363"/>
      </w:r>
      <w:r>
        <w:rPr>
          <w:rFonts w:ascii="Amiri" w:hAnsi="Amiri" w:eastAsia="Amiri" w:cs="Amiri"/>
          <w:color w:val="111111"/>
          <w:sz w:val="28"/>
          <w:sz w:val="28"/>
          <w:szCs w:val="28"/>
          <w:rtl w:val="true"/>
          <w:lang w:bidi="ar-SA"/>
        </w:rPr>
        <w:t xml:space="preserve">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عطيّة الحنّاط، كوفيّ، مولى، ثقة، و أخواه أيضًا محمّد و عليّ كلّهم رووا عن أبي عبداللّه عليه‌السلام،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غير ظاهرة في توثيقه، انتهى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انتفائه التوثيق من الكلام المذكور ليس في محلّه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جعفر و مالك، فهما مجهول الحال، سيّما جعفر ؛ و ما ذكره المحقّق الأسترآبادي في المتوسّط </w:t>
      </w:r>
      <w:r>
        <w:rPr>
          <w:rFonts w:eastAsia="Amiri" w:cs="Amiri" w:ascii="Amiri" w:hAnsi="Amiri"/>
          <w:color w:val="111111"/>
          <w:sz w:val="28"/>
          <w:szCs w:val="28"/>
          <w:rtl w:val="true"/>
          <w:lang w:bidi="ar-SA"/>
        </w:rPr>
        <w:t xml:space="preserve">: </w:t>
      </w:r>
      <w:bookmarkStart w:id="119" w:name="pg7914_81967"/>
    </w:p>
    <w:p>
      <w:pPr>
        <w:pStyle w:val="BookText"/>
        <w:rPr/>
      </w:pPr>
      <w:bookmarkEnd w:id="119"/>
      <w:r>
        <w:rPr>
          <w:rFonts w:ascii="Amiri" w:hAnsi="Amiri" w:eastAsia="Amiri" w:cs="Amiri"/>
          <w:color w:val="111111"/>
          <w:sz w:val="28"/>
          <w:sz w:val="28"/>
          <w:szCs w:val="28"/>
          <w:rtl w:val="true"/>
          <w:lang w:bidi="ar-SA"/>
        </w:rPr>
        <w:t xml:space="preserve">والظاهر أنّ محمّدًا و مالكًا </w:t>
      </w:r>
      <w:r>
        <w:rPr>
          <w:rStyle w:val="FootnoteAnchor"/>
          <w:rtl w:val="true"/>
        </w:rPr>
        <w:footnoteReference w:id="365"/>
      </w:r>
      <w:r>
        <w:rPr>
          <w:rFonts w:ascii="Amiri" w:hAnsi="Amiri" w:eastAsia="Amiri" w:cs="Amiri"/>
          <w:color w:val="111111"/>
          <w:sz w:val="28"/>
          <w:sz w:val="28"/>
          <w:szCs w:val="28"/>
          <w:rtl w:val="true"/>
          <w:lang w:bidi="ar-SA"/>
        </w:rPr>
        <w:t xml:space="preserve">كلاهما صحيحان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مجهول المراد، لاحتمال أن يكون مراده أنّهما ثقتان، كما يمكن أن يكون مراده صحّة كونهما أخوين للحسن ؛ و يؤيّده ترك عليّ، لكونه ممّا اتّفق عليه الكشّي و شيخ الطائفة والنجاشي، و لهذا جمع بين </w:t>
      </w:r>
      <w:r>
        <w:rPr>
          <w:rStyle w:val="FootnoteAnchor"/>
          <w:rtl w:val="true"/>
        </w:rPr>
        <w:footnoteReference w:id="367"/>
      </w:r>
      <w:r>
        <w:rPr>
          <w:rFonts w:ascii="Amiri" w:hAnsi="Amiri" w:eastAsia="Amiri" w:cs="Amiri"/>
          <w:color w:val="111111"/>
          <w:sz w:val="28"/>
          <w:sz w:val="28"/>
          <w:szCs w:val="28"/>
          <w:rtl w:val="true"/>
          <w:lang w:bidi="ar-SA"/>
        </w:rPr>
        <w:t xml:space="preserve">ما اختلفوا فيه،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 أنّ بني عطيّة خمسة، ثلاثة منهم ثقات،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و حسن، و اثنان مجهول الحال، فالحسن بن عطيّة المذكور في سند الرواية ثقة </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320862_1051229030"/>
      <w:bookmarkStart w:id="121" w:name="_Toc43"/>
      <w:bookmarkEnd w:id="120"/>
      <w:r>
        <w:rPr>
          <w:rtl w:val="true"/>
        </w:rPr>
        <w:t xml:space="preserve">[ </w:t>
      </w:r>
      <w:r>
        <w:rPr>
          <w:rtl w:val="true"/>
        </w:rPr>
        <w:t xml:space="preserve">تحقيق الحال في عمر بن يزيد </w:t>
      </w:r>
      <w:r>
        <w:rPr>
          <w:rtl w:val="true"/>
        </w:rPr>
        <w:t>]</w:t>
      </w:r>
      <w:bookmarkEnd w:id="121"/>
    </w:p>
    <w:p>
      <w:pPr>
        <w:pStyle w:val="BookText"/>
        <w:rPr/>
      </w:pPr>
      <w:r>
        <w:rPr>
          <w:rFonts w:ascii="Amiri" w:hAnsi="Amiri" w:eastAsia="Amiri" w:cs="Amiri"/>
          <w:color w:val="111111"/>
          <w:sz w:val="28"/>
          <w:sz w:val="28"/>
          <w:szCs w:val="28"/>
          <w:rtl w:val="true"/>
          <w:lang w:bidi="ar-SA"/>
        </w:rPr>
        <w:t xml:space="preserve">و أمّا عمر بن يزيد، فتحقيق الحال فيه أيضًا يستدعي التكلّم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وحدته و تعدّده،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الكشّيّ و شيخ الطائفة والعلاّمة أنّه واحد، لأنّهم لم يعنونوه إلاّ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روى في عمر بن يزيد بيّاع السابري، مولى ثقيف، حدّثني جعفر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يزيد، عن محمّد بن عذافر، عن عمر </w:t>
      </w:r>
    </w:p>
    <w:p>
      <w:pPr>
        <w:pStyle w:val="BookText"/>
        <w:rPr/>
      </w:pPr>
      <w:r>
        <w:rPr>
          <w:rFonts w:ascii="Amiri" w:hAnsi="Amiri" w:eastAsia="Amiri" w:cs="Amiri"/>
          <w:color w:val="111111"/>
          <w:sz w:val="28"/>
          <w:sz w:val="28"/>
          <w:szCs w:val="28"/>
          <w:rtl w:val="true"/>
          <w:lang w:bidi="ar-SA"/>
        </w:rPr>
        <w:t xml:space="preserve">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يزيد أنت واللّه منّا أهل البيت،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آل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من أنفسهم،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من أنفسهم يا عمر، أما تقرأ كتاب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 هذا النبيّ والّذين آمنوا واللّه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الفهرست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ثقة، له كتاب، أخبرنا به أبو عبداللّه </w:t>
      </w:r>
      <w:r>
        <w:rPr>
          <w:rStyle w:val="FootnoteAnchor"/>
          <w:rtl w:val="true"/>
        </w:rPr>
        <w:footnoteReference w:id="369"/>
      </w:r>
      <w:r>
        <w:rPr>
          <w:rFonts w:ascii="Amiri" w:hAnsi="Amiri" w:eastAsia="Amiri" w:cs="Amiri"/>
          <w:color w:val="111111"/>
          <w:sz w:val="28"/>
          <w:sz w:val="28"/>
          <w:szCs w:val="28"/>
          <w:rtl w:val="true"/>
          <w:lang w:bidi="ar-SA"/>
        </w:rPr>
        <w:t xml:space="preserve">، عن محمّد بن عليّ بن الحسين بن بابويه، عن أبيه و محمّد بن الحسن، عن سعد والحميري، عن محمّد بن عبد الحميد، عن محمّد بن عمر بن يزيد، عن الحسين بن عمر ابن يزيد، عن عمر بن يزيد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يعنون غيره، فمقتضاه أنّه واحد، و أنّه عمر بن يزيد بيّاع السابري، لما ستقف من أنّ الحسين بن عمر بن يزيد يروي عن بيّاع السابريّ، و أنّه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محمّد بن يزيد أبو الأسود بيّاع السابريّ، مولى ثقيف، كوفيّ، </w:t>
      </w:r>
    </w:p>
    <w:p>
      <w:pPr>
        <w:pStyle w:val="BookText"/>
        <w:rPr/>
      </w:pPr>
      <w:r>
        <w:rPr>
          <w:rFonts w:ascii="Amiri" w:hAnsi="Amiri" w:eastAsia="Amiri" w:cs="Amiri"/>
          <w:color w:val="111111"/>
          <w:sz w:val="28"/>
          <w:sz w:val="28"/>
          <w:szCs w:val="28"/>
          <w:rtl w:val="true"/>
          <w:lang w:bidi="ar-SA"/>
        </w:rPr>
        <w:t xml:space="preserve">ثقة، جليل، أحد من كان يفد في كلّ سنة، روى عن أبي عبداللّه وأبي الحسن عليهماالسلام، و أثنى عليه الصادق عليه‌السلام شفاهًا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اقتصاره بذلك، و عدم ذكر عنوان آخر، لا في هذا الباب ولا في باب المجروحين، يستدعي اعتقاده وحدته، و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شيخ الطائفة في الرجال تعدّده،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بيّاع السابريّ، كوفيّ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بفاصلةٍ 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الجعفيّ الكوفيّ، أسند عنه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بعد ثلاثة عنوانات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الثقفي، مولاهم البزّاز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الصيقل الكوفي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أظهر منه في الدلالة على التعدّد كلام النجاشي، قال في أوّل الباب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محمّد بن يزيد، أبو الأسود، بياع السابري، مولى ثقيف، كوفيّ، </w:t>
      </w:r>
    </w:p>
    <w:p>
      <w:pPr>
        <w:pStyle w:val="BookText"/>
        <w:rPr/>
      </w:pPr>
      <w:r>
        <w:rPr>
          <w:rFonts w:ascii="Amiri" w:hAnsi="Amiri" w:eastAsia="Amiri" w:cs="Amiri"/>
          <w:color w:val="111111"/>
          <w:sz w:val="28"/>
          <w:sz w:val="28"/>
          <w:szCs w:val="28"/>
          <w:rtl w:val="true"/>
          <w:lang w:bidi="ar-SA"/>
        </w:rPr>
        <w:t xml:space="preserve">ثقة، جليل، أحد من كان يفد في كلّ سنة، روى عن أبي عبداللّه وأبي الحسن عليهماالسلام، ذكر ذلك أصحاب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مناسك الحجّ و فرائضه و ما هو مسنون من ذلك، سمعه كلّه من أبي عبداللّه عليه‌السلام، أخبرنا</w:t>
      </w:r>
    </w:p>
    <w:p>
      <w:pPr>
        <w:pStyle w:val="BookText"/>
        <w:rPr/>
      </w:pPr>
      <w:r>
        <w:rPr>
          <w:rFonts w:ascii="Amiri" w:hAnsi="Amiri" w:eastAsia="Amiri" w:cs="Amiri"/>
          <w:color w:val="111111"/>
          <w:sz w:val="28"/>
          <w:sz w:val="28"/>
          <w:szCs w:val="28"/>
          <w:rtl w:val="true"/>
          <w:lang w:bidi="ar-SA"/>
        </w:rPr>
        <w:t xml:space="preserve">أبو عبداللّه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عن أحمد بن محمّد بن عيسى، عن عمرو بن عثمان، عن محمّد بن عذافر، عنه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نوح، عن أحمد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عبدالجبّار،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عبدالحميد، عنه بكتابه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عبداللّه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عثمان، عن محمّد بن عذافر، عنه به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بفاصلة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يزيد بن ذبيان الصيقل، أبو موسى، مولى بني فهد </w:t>
      </w:r>
      <w:r>
        <w:rPr>
          <w:rStyle w:val="FootnoteAnchor"/>
          <w:rtl w:val="true"/>
        </w:rPr>
        <w:footnoteReference w:id="376"/>
      </w:r>
      <w:r>
        <w:rPr>
          <w:rFonts w:ascii="Amiri" w:hAnsi="Amiri" w:eastAsia="Amiri" w:cs="Amiri"/>
          <w:color w:val="111111"/>
          <w:sz w:val="28"/>
          <w:sz w:val="28"/>
          <w:szCs w:val="28"/>
          <w:rtl w:val="true"/>
          <w:lang w:bidi="ar-SA"/>
        </w:rPr>
        <w:t>، روى 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الحسين بن عبيد اللّه، عن أحمد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w:t>
      </w:r>
    </w:p>
    <w:p>
      <w:pPr>
        <w:pStyle w:val="BookText"/>
        <w:rPr/>
      </w:pPr>
      <w:r>
        <w:rPr>
          <w:rFonts w:ascii="Amiri" w:hAnsi="Amiri" w:eastAsia="Amiri" w:cs="Amiri"/>
          <w:color w:val="111111"/>
          <w:sz w:val="28"/>
          <w:sz w:val="28"/>
          <w:szCs w:val="28"/>
          <w:rtl w:val="true"/>
          <w:lang w:bidi="ar-SA"/>
        </w:rPr>
        <w:t xml:space="preserve">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عن عمر بكتابه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يحمل على أنّه عمر بن محمّد بن يزيد بياع السابريّ فيما إذا كانت الرواية عن مولانا الكاظم عليه‌السلام، لما علمت من أنّ النجاشي صرّح بأنّ بياع السابريّ يروي عن مولانا الصادق والكاظم عليهماالسلام، كما أنّ شيخ الطائفة أورده في أصحاب مولانا الصادق والكاظم عليهماالسلام، بخلاف ابن ذبيان، فإنّ النجاشي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أبي عبداللّه عليه‌السلام </w:t>
      </w:r>
      <w:r>
        <w:rPr>
          <w:rStyle w:val="FootnoteAnchor"/>
          <w:rtl w:val="true"/>
        </w:rPr>
        <w:footnoteReference w:id="378"/>
      </w:r>
      <w:r>
        <w:rPr>
          <w:rFonts w:ascii="Amiri" w:hAnsi="Amiri" w:eastAsia="Amiri" w:cs="Amiri"/>
          <w:color w:val="111111"/>
          <w:sz w:val="28"/>
          <w:sz w:val="28"/>
          <w:szCs w:val="28"/>
          <w:rtl w:val="true"/>
          <w:lang w:bidi="ar-SA"/>
        </w:rPr>
        <w:t xml:space="preserve">؛ و شيخ الطائفة لم يذكره إلاّ في أصحابه </w:t>
      </w:r>
      <w:r>
        <w:rPr>
          <w:rStyle w:val="FootnoteAnchor"/>
          <w:rtl w:val="true"/>
        </w:rPr>
        <w:footnoteReference w:id="379"/>
      </w:r>
      <w:r>
        <w:rPr>
          <w:rFonts w:ascii="Amiri" w:hAnsi="Amiri" w:eastAsia="Amiri" w:cs="Amiri"/>
          <w:color w:val="111111"/>
          <w:sz w:val="28"/>
          <w:sz w:val="28"/>
          <w:szCs w:val="28"/>
          <w:rtl w:val="true"/>
          <w:lang w:bidi="ar-SA"/>
        </w:rPr>
        <w:t xml:space="preserve">؛ فإذا كانت رواية عمر بن يزيد عن مولانا الكاظم عليه‌السلام، فلا اشتراك، بل هو ابن يزيد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فالاشتراك إنّما يكون فيما إذا روى عن مولانا الصادق عليه‌السلام، فتردّد الأمر بين كونه ثقة و ممدوحًا، لكن يحمل على الأوّل فيما إذا كان الراوي عنه الحسين بن عمر بن يزيد، لأنّه ابن السابريّ، و يروي عن أبيه، أمّا كونه ابن السابريّ فلما في النجاشي، قال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بن عمر بن يزيد الصيقل، أبو جعفر، ثقة، كوفيّ، من أصحابنا، جدّه عمر بن يزيد بياع السابريّ، روى عن أبي عبداللّه وأبي </w:t>
      </w:r>
    </w:p>
    <w:p>
      <w:pPr>
        <w:pStyle w:val="BookText"/>
        <w:rPr/>
      </w:pPr>
      <w:r>
        <w:rPr>
          <w:rFonts w:ascii="Amiri" w:hAnsi="Amiri" w:eastAsia="Amiri" w:cs="Amiri"/>
          <w:color w:val="111111"/>
          <w:sz w:val="28"/>
          <w:sz w:val="28"/>
          <w:szCs w:val="28"/>
          <w:rtl w:val="true"/>
          <w:lang w:bidi="ar-SA"/>
        </w:rPr>
        <w:t xml:space="preserve">الحسن عليهماالسلام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رواية الحسين عن أبيه، فلما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متاجر التهذيب،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يحيى، عن الحسين بن عمر بن يزيد، عن أبيه، عن أبي عبداللّه عليه‌السلام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استفادة هذا المطلب ممّا ذكره شيخ الطائفة في الرجال والفهرست، قال في الرجال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يحمل عليه أيضًا برواية ابن أبي عمير، أو صفوان بن يحيى، أو محمّد بن عبّاس عنه، لما في مشيخة الصدوق قال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فيه عن عمر بن يزيد، فقد رويته عن أبي رضى‌الله‌عنه، عن محمّد بن يحيى العطّار، عن يعقوب بن يزيد، عن محمّد بن أبي </w:t>
      </w:r>
      <w:r>
        <w:rPr>
          <w:rStyle w:val="FootnoteAnchor"/>
          <w:rtl w:val="true"/>
        </w:rPr>
        <w:footnoteReference w:id="383"/>
      </w:r>
      <w:r>
        <w:rPr>
          <w:rFonts w:ascii="Amiri" w:hAnsi="Amiri" w:eastAsia="Amiri" w:cs="Amiri"/>
          <w:color w:val="111111"/>
          <w:sz w:val="28"/>
          <w:sz w:val="28"/>
          <w:szCs w:val="28"/>
          <w:rtl w:val="true"/>
          <w:lang w:bidi="ar-SA"/>
        </w:rPr>
        <w:t xml:space="preserve">عمير، و صفوان بن يحيى، عن عمر بن يزيد، عن أبيه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رويته أيضًا عن أبي رضى‌الله‌عنه، عن عبداللّه بن جعفر الحميريّ، عن محمّد بن عبدالجبّار، عن </w:t>
      </w:r>
      <w:bookmarkStart w:id="122" w:name="pg7914_81973"/>
    </w:p>
    <w:p>
      <w:pPr>
        <w:pStyle w:val="BookText"/>
        <w:rPr/>
      </w:pPr>
      <w:bookmarkEnd w:id="122"/>
      <w:r>
        <w:rPr>
          <w:rFonts w:ascii="Amiri" w:hAnsi="Amiri" w:eastAsia="Amiri" w:cs="Amiri"/>
          <w:color w:val="111111"/>
          <w:sz w:val="28"/>
          <w:sz w:val="28"/>
          <w:szCs w:val="28"/>
          <w:rtl w:val="true"/>
          <w:lang w:bidi="ar-SA"/>
        </w:rPr>
        <w:t xml:space="preserve">محمّد بن اسماعيل، عن محمّد بن عبّاس، عن عمر بن يزيد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في الكلام في سند الحديث، واتّضح منه أنّه صحيح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6320864_1051229030"/>
      <w:bookmarkStart w:id="124" w:name="_Toc44"/>
      <w:bookmarkEnd w:id="123"/>
      <w:r>
        <w:rPr>
          <w:rtl w:val="true"/>
        </w:rPr>
        <w:t xml:space="preserve">[ </w:t>
      </w:r>
      <w:r>
        <w:rPr>
          <w:rtl w:val="true"/>
        </w:rPr>
        <w:t xml:space="preserve">الكلام في دلالة الحديث </w:t>
      </w:r>
      <w:r>
        <w:rPr>
          <w:rtl w:val="true"/>
        </w:rPr>
        <w:t>]</w:t>
      </w:r>
      <w:bookmarkEnd w:id="124"/>
    </w:p>
    <w:p>
      <w:pPr>
        <w:pStyle w:val="BookText"/>
        <w:rPr/>
      </w:pPr>
      <w:r>
        <w:rPr>
          <w:rFonts w:ascii="Amiri" w:hAnsi="Amiri" w:eastAsia="Amiri" w:cs="Amiri"/>
          <w:color w:val="111111"/>
          <w:sz w:val="28"/>
          <w:sz w:val="28"/>
          <w:szCs w:val="28"/>
          <w:rtl w:val="true"/>
          <w:lang w:bidi="ar-SA"/>
        </w:rPr>
        <w:t xml:space="preserve">و أمّا دلالته على إثبات المرام،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 في السؤال البختج، و قد علمت أنّه العصير المطبوخ، و لمّا كان المذكور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ممّن يستحلّ المسكر فلا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السؤال المذكور، مقتضاه كون البختج قبل أن ذهب منه الثلثان مسكرًا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إمّا محمولٌ على الحقيقة أو المجاز، و على التقديرين يثبت المرام، للصحيح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الخمر إنّما حرمت لفعلها، فما فعل فعل الخمر فهو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عن عليّ بن يقطين، عن أبي إبراهيم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 يحرّم الخمر لاسمها، و لكن حرّمها لعاقبتها، فما فعل فعل الخمر فهو خمر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رواه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w:t>
      </w:r>
    </w:p>
    <w:p>
      <w:pPr>
        <w:pStyle w:val="BookText"/>
        <w:rPr/>
      </w:pPr>
      <w:r>
        <w:rPr>
          <w:rFonts w:ascii="Amiri" w:hAnsi="Amiri" w:eastAsia="Amiri" w:cs="Amiri"/>
          <w:color w:val="111111"/>
          <w:sz w:val="28"/>
          <w:sz w:val="28"/>
          <w:szCs w:val="28"/>
          <w:rtl w:val="true"/>
          <w:lang w:bidi="ar-SA"/>
        </w:rPr>
        <w:t xml:space="preserve">صلى‌الله‌عليه‌و‌آله حرّم كلّ مسكر قليله و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عن عطاء بن يسار،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خمر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يمكن أن يكون المراد ذلك، يمكن أن يكون المراد منه أنّه إن كان ذلك الشخص ممّن يستحلّ المسكر فلا تشربه، لوضوح أنّ استحلال المسكر يقتضي استحلال العصير قبل أن يذهب منه ثلثاه بطريقٍ أولى، فأين ذلك من إطلاق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المرام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التمسّك لإثبات المرام بما 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 والخمر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معيشة الكافي، و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الغرر والمجازفة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متاجر التهذيب، عن أبي بصير،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ثمن العصير قبل أن يغلي لمن يبتاعه ليطبخه، أو يجعله خمرًا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بعته قبل أن يكون خمرًا فهو حلال، فلا بأس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لزوم مطابقة الجواب للسؤال، يكون الجواب 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بعته قبل أن يغلي، فأطلق الخمر عليه بعد الغليان، و هو يستلزم النجاسة بالتقريب السالف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تطرّق المنع إليه ظاهر، بل الظاهر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الغليان في السؤال محمولٌ على الغليان بالنار، فالمستفاد منه أنّ السائل اعتقد عدم جواز بيعه بعد الغليان بالنار و حرمة ثمنه ؛ و كذا اعتقد حلّيّة بيعه قبل الغليان لمن لم يطبخه ويجعله خمرًا، لكن يخبره باعتبار الخصوصيّة المستفادة من السؤال من شرائه للطبخ، أو لجعله خمرًا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العصير قبل الغليان إن لم يبلغ حدّ الخمريّة و لا خرج </w:t>
      </w:r>
      <w:bookmarkStart w:id="125" w:name="pg7914_81975"/>
    </w:p>
    <w:p>
      <w:pPr>
        <w:pStyle w:val="BookText"/>
        <w:rPr/>
      </w:pPr>
      <w:bookmarkEnd w:id="125"/>
      <w:r>
        <w:rPr>
          <w:rFonts w:ascii="Amiri" w:hAnsi="Amiri" w:eastAsia="Amiri" w:cs="Amiri"/>
          <w:color w:val="111111"/>
          <w:sz w:val="28"/>
          <w:sz w:val="28"/>
          <w:szCs w:val="28"/>
          <w:rtl w:val="true"/>
          <w:lang w:bidi="ar-SA"/>
        </w:rPr>
        <w:t xml:space="preserve">عن الحلّيّة، فلا بأس بثمنه، لجواز بيعه ولو لمن يجعله خمرًا، فالتمسّك به في إثبات النجاسة غير صحيح، فالتعويل على صحيحة معاوية بن عمّار السالفة، أو موثّقته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320866_1051229030"/>
      <w:bookmarkStart w:id="127" w:name="_Toc45"/>
      <w:bookmarkEnd w:id="126"/>
      <w:r>
        <w:rPr>
          <w:rtl w:val="true"/>
        </w:rPr>
        <w:t xml:space="preserve">[ </w:t>
      </w:r>
      <w:r>
        <w:rPr>
          <w:rtl w:val="true"/>
        </w:rPr>
        <w:t xml:space="preserve">تحقيق الحال في الاختلافات الظاهرة من‌العبارات السالفة </w:t>
      </w:r>
      <w:r>
        <w:rPr>
          <w:rtl w:val="true"/>
        </w:rPr>
        <w:t>]</w:t>
      </w:r>
      <w:bookmarkEnd w:id="127"/>
    </w:p>
    <w:p>
      <w:pPr>
        <w:pStyle w:val="Heading4"/>
        <w:numPr>
          <w:ilvl w:val="3"/>
          <w:numId w:val="1"/>
        </w:numPr>
        <w:rPr/>
      </w:pPr>
      <w:bookmarkStart w:id="128" w:name="__RefHeading___Toc6320868_1051229030"/>
      <w:bookmarkStart w:id="129" w:name="_Toc46"/>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إذا علمت ذلك فلنعد إلى الاختلافات الظاهرة من العبارات السالفة و تحقيق الحال في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فيما يستفاد منها من الاختلافات الكثيرة، و حاصل الاختلاف يرجع إلى أقوال </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320870_1051229030"/>
      <w:bookmarkStart w:id="131" w:name="_Toc47"/>
      <w:bookmarkEnd w:id="130"/>
      <w:r>
        <w:rPr>
          <w:rtl w:val="true"/>
        </w:rPr>
        <w:t xml:space="preserve">[ </w:t>
      </w:r>
      <w:r>
        <w:rPr>
          <w:rtl w:val="true"/>
        </w:rPr>
        <w:t xml:space="preserve">القول الأوّل </w:t>
      </w:r>
      <w:r>
        <w:rPr>
          <w:rtl w:val="true"/>
        </w:rPr>
        <w:t>]</w:t>
      </w:r>
      <w:bookmarkEnd w:id="13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أكثر العبارات السالفة أنّه يكتفى في الحكم بحرمة العصير بمجرّد تحقّق الغليان وإن لم يتحقّق الاشتداد ؛ والظاهر من العلاّمة في الإرشاد والتلخيص خلافه، و أنّها </w:t>
      </w:r>
      <w:r>
        <w:rPr>
          <w:rStyle w:val="FootnoteAnchor"/>
          <w:rtl w:val="true"/>
        </w:rPr>
        <w:footnoteReference w:id="388"/>
      </w:r>
      <w:r>
        <w:rPr>
          <w:rFonts w:ascii="Amiri" w:hAnsi="Amiri" w:eastAsia="Amiri" w:cs="Amiri"/>
          <w:color w:val="111111"/>
          <w:sz w:val="28"/>
          <w:sz w:val="28"/>
          <w:szCs w:val="28"/>
          <w:rtl w:val="true"/>
          <w:lang w:bidi="ar-SA"/>
        </w:rPr>
        <w:t xml:space="preserve">متوقّفة على الاشتداد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الإرشاد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خلقه اللّه تعالى من المطعومات فهو مباح، إلاّ ما نستثنيه، و هي </w:t>
      </w:r>
    </w:p>
    <w:p>
      <w:pPr>
        <w:pStyle w:val="BookText"/>
        <w:rPr/>
      </w:pPr>
      <w:r>
        <w:rPr>
          <w:rFonts w:ascii="Amiri" w:hAnsi="Amiri" w:eastAsia="Amiri" w:cs="Amiri"/>
          <w:color w:val="111111"/>
          <w:sz w:val="28"/>
          <w:sz w:val="28"/>
          <w:szCs w:val="28"/>
          <w:rtl w:val="true"/>
          <w:lang w:bidi="ar-SA"/>
        </w:rPr>
        <w:t xml:space="preserve">على خمسة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المائعات، و يحرم منها الخمر، و كلّ مسكر كالنبيذ، و شبهه،</w:t>
      </w:r>
    </w:p>
    <w:p>
      <w:pPr>
        <w:pStyle w:val="BookText"/>
        <w:rPr/>
      </w:pPr>
      <w:r>
        <w:rPr>
          <w:rFonts w:ascii="Amiri" w:hAnsi="Amiri" w:eastAsia="Amiri" w:cs="Amiri"/>
          <w:color w:val="111111"/>
          <w:sz w:val="28"/>
          <w:sz w:val="28"/>
          <w:szCs w:val="28"/>
          <w:rtl w:val="true"/>
          <w:lang w:bidi="ar-SA"/>
        </w:rPr>
        <w:t xml:space="preserve">والفقّاع، والعصير إذا غلى واشتدّ، إلاّ أن ينقلب خلاًّ، أو يذهب ثلثاه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التلخيص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الخمر والنبيذ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والعصير إذا غلى واشتدّ قبل ذهاب ثلثيه، أو انقلابه خلاًّ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مردودٌ بالعموم والإطلاق في النصوص المعتبرة المستفيضة السالفة، والإجماعات المنقولة، قال في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نجاسة العصير بغليانه قبل اشتداده تردّد، أمّا التحريم فعليه إجماع فقهائنا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كنز العرفان </w:t>
      </w:r>
      <w:r>
        <w:rPr>
          <w:rFonts w:eastAsia="Amiri" w:cs="Amiri" w:ascii="Amiri" w:hAnsi="Amiri"/>
          <w:color w:val="111111"/>
          <w:sz w:val="28"/>
          <w:szCs w:val="28"/>
          <w:rtl w:val="true"/>
          <w:lang w:bidi="ar-SA"/>
        </w:rPr>
        <w:t xml:space="preserve">: </w:t>
      </w:r>
      <w:bookmarkStart w:id="132" w:name="pg7914_81977"/>
    </w:p>
    <w:p>
      <w:pPr>
        <w:pStyle w:val="BookText"/>
        <w:rPr/>
      </w:pPr>
      <w:bookmarkEnd w:id="132"/>
      <w:r>
        <w:rPr>
          <w:rFonts w:ascii="Amiri" w:hAnsi="Amiri" w:eastAsia="Amiri" w:cs="Amiri"/>
          <w:color w:val="111111"/>
          <w:sz w:val="28"/>
          <w:sz w:val="28"/>
          <w:szCs w:val="28"/>
          <w:rtl w:val="true"/>
          <w:lang w:bidi="ar-SA"/>
        </w:rPr>
        <w:t xml:space="preserve">أمّا بعد غليانه و قبل اشتداده، فحرام إجماعًا منّا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الاستدلال لاعتبار الاشتداد بالصحيح المرويّ في الكافي والتهذيب عن محمّد بن الهيثم، عن رجل،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العصير يطبخ بالنار حتّى يغلي من ساعته، فيشربه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عن حاله و غلى فلا خير فيه حتّى يذهب ثلثاه و يبقى ثلثه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لوضوح أنّه يصدق عليه بعد الاشتداد أنّه تغيّر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عمّا فيه من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يصلح لتخصيص العمومات السالفة المعتضدة بعمل الأصحاب، كما لايخفى على أولى الألباب، مضافًا إلى ما فيه من الإجمال </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6320872_1051229030"/>
      <w:bookmarkStart w:id="134" w:name="_Toc48"/>
      <w:bookmarkEnd w:id="133"/>
      <w:r>
        <w:rPr>
          <w:rtl w:val="true"/>
        </w:rPr>
        <w:t xml:space="preserve">[ </w:t>
      </w:r>
      <w:r>
        <w:rPr>
          <w:rtl w:val="true"/>
        </w:rPr>
        <w:t xml:space="preserve">القول الثاني </w:t>
      </w:r>
      <w:r>
        <w:rPr>
          <w:rtl w:val="true"/>
        </w:rPr>
        <w:t>]</w:t>
      </w:r>
      <w:bookmarkEnd w:id="134"/>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مَن اعتبر الاشتداد في الحكم بالحرمة يلزمه اعتباره في الحكم بالنجاسة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يظهر من العلاّمة في التلخيص </w:t>
      </w:r>
      <w:r>
        <w:rPr>
          <w:rStyle w:val="FootnoteAnchor"/>
          <w:rtl w:val="true"/>
        </w:rPr>
        <w:footnoteReference w:id="394"/>
      </w:r>
      <w:r>
        <w:rPr>
          <w:rFonts w:ascii="Amiri" w:hAnsi="Amiri" w:eastAsia="Amiri" w:cs="Amiri"/>
          <w:color w:val="111111"/>
          <w:sz w:val="28"/>
          <w:sz w:val="28"/>
          <w:szCs w:val="28"/>
          <w:rtl w:val="true"/>
          <w:lang w:bidi="ar-SA"/>
        </w:rPr>
        <w:t xml:space="preserve">حيث اكتفى في الطهارة في الحكم </w:t>
      </w:r>
    </w:p>
    <w:p>
      <w:pPr>
        <w:pStyle w:val="BookText"/>
        <w:rPr/>
      </w:pPr>
      <w:r>
        <w:rPr>
          <w:rFonts w:ascii="Amiri" w:hAnsi="Amiri" w:eastAsia="Amiri" w:cs="Amiri"/>
          <w:color w:val="111111"/>
          <w:sz w:val="28"/>
          <w:sz w:val="28"/>
          <w:szCs w:val="28"/>
          <w:rtl w:val="true"/>
          <w:lang w:bidi="ar-SA"/>
        </w:rPr>
        <w:t xml:space="preserve">بالتنجيس بمجرّد الغليان، و في الأطعمة والأشربة عند تعداد المحرّمات </w:t>
      </w:r>
      <w:r>
        <w:rPr>
          <w:rStyle w:val="FootnoteAnchor"/>
          <w:rtl w:val="true"/>
        </w:rPr>
        <w:footnoteReference w:id="395"/>
      </w:r>
      <w:r>
        <w:rPr>
          <w:rFonts w:ascii="Amiri" w:hAnsi="Amiri" w:eastAsia="Amiri" w:cs="Amiri"/>
          <w:color w:val="111111"/>
          <w:sz w:val="28"/>
          <w:sz w:val="28"/>
          <w:szCs w:val="28"/>
          <w:rtl w:val="true"/>
          <w:lang w:bidi="ar-SA"/>
        </w:rPr>
        <w:t>اعتبر الاشتداد أيضًا كما يظهر من عبارته السالفة، فالظاهر أنّه من باب التغيير في الرأي ؛</w:t>
      </w:r>
    </w:p>
    <w:p>
      <w:pPr>
        <w:pStyle w:val="BookText"/>
        <w:rPr/>
      </w:pPr>
      <w:r>
        <w:rPr>
          <w:rFonts w:ascii="Amiri" w:hAnsi="Amiri" w:eastAsia="Amiri" w:cs="Amiri"/>
          <w:color w:val="111111"/>
          <w:sz w:val="28"/>
          <w:sz w:val="28"/>
          <w:szCs w:val="28"/>
          <w:rtl w:val="true"/>
          <w:lang w:bidi="ar-SA"/>
        </w:rPr>
        <w:t xml:space="preserve">و يمكن أن يجعل ما في الأطعمة والأشربة قرينة على حمل الغلي المطلق في الطهارة على الغلي مع الاشتداد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المكتفون في التحريم بالغليان، فقد افترقوا فرقتين، فطائفةٌ منهم سوّوا بين التحريم والتنجيس، فالموجب للتحريم عندهم هو الموجب للتنجيس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الظاهر من ابن حمزة، و صاحب النزهة، والعلاّمة في المختلف والتحرير والقواعد، و شيخنا ابن فهد في المحرّر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عصيرًا لم يخل إمّا غلى أو لم يغل، فإن غلى لم يخل إمّا غلى من قبل نفسه أو بالنار، فإن غلى من قبل نفسه حتّى يعود أسفله أعلاه حرم و نجس ؛ إلى آخر ما سلف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النزهة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العصير إذا صار أسفله أعلاه </w:t>
      </w:r>
      <w:r>
        <w:rPr>
          <w:rStyle w:val="FootnoteAnchor"/>
          <w:rtl w:val="true"/>
        </w:rPr>
        <w:footnoteReference w:id="397"/>
      </w:r>
      <w:r>
        <w:rPr>
          <w:rFonts w:ascii="IRNazanin" w:hAnsi="IRNazanin" w:eastAsia="IRNazanin"/>
          <w:color w:val="111111"/>
          <w:sz w:val="28"/>
          <w:sz w:val="28"/>
          <w:szCs w:val="28"/>
          <w:rtl w:val="true"/>
          <w:lang w:bidi="fa-IR"/>
        </w:rPr>
        <w:t xml:space="preserve">، نجس و حرم شربه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الخمر، و كلّ مسكر، والفقّاع، والعصير إذا غلى قبل ذهاب ثلثيه بالنار أو من نفسه نجس، ذهب إليه أكثر علمائنا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المسكرات كلّها نجسة، و قول ابن بابويه ضعيف، والروايات معارضةٌ بمثلها و عمل الأصحاب، و كذا العصير إذا غلى ما لم يذهب ثلثاه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الأطعمة والأشربة من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والعصير إذا غلى حرام نجس، سواء غلى من قبل نفسه أو بالنار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المحرّر في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عشرة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مسكر مائع، و يلحق به عصير العنب إذا غلى و لو من نفسه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طائفة أخرى فرّقوا بين الأمرين، فجعلوا الغليان موجبًا للتحريم، والاشتداد </w:t>
      </w:r>
    </w:p>
    <w:p>
      <w:pPr>
        <w:pStyle w:val="BookText"/>
        <w:rPr/>
      </w:pPr>
      <w:r>
        <w:rPr>
          <w:rFonts w:ascii="Amiri" w:hAnsi="Amiri" w:eastAsia="Amiri" w:cs="Amiri"/>
          <w:color w:val="111111"/>
          <w:sz w:val="28"/>
          <w:sz w:val="28"/>
          <w:szCs w:val="28"/>
          <w:rtl w:val="true"/>
          <w:lang w:bidi="ar-SA"/>
        </w:rPr>
        <w:t xml:space="preserve">سببًا للتنجيس ؛ و هو مختار المعتبر، والشرائع، و نهاية الإحكام، والمنتهى، و طهارة القواعد، والألفيّة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نجاسة العصير بغليانه قبل اشتداده تردّد، أمّا التحريم فعليه إجماع فقهائنا، ثمّ منهم من اتّبع التحريم النجاسة ؛ والوجه الحكم بالتحريم مع الغليان حتّى يذهب الثلثان و وقوف النجاسة على الاشتداد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الأطعمة والأشربة من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العصير إذا غلى، سواء كان من قبل نفسه أو بالنار، ولا يحلّ حتّى يذهب ثلثاه، أو ينقلب خلاًّ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مقام تعداد النجاسات من 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المسكرات، و في تنجيسها خلاف، والأظهر النجاسة، و في حكمها العصير إذا غلى واشتدّ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المنتهى و نهاية الإحكام </w:t>
      </w:r>
      <w:r>
        <w:rPr>
          <w:rStyle w:val="FootnoteAnchor"/>
          <w:rtl w:val="true"/>
        </w:rPr>
        <w:footnoteReference w:id="406"/>
      </w:r>
      <w:r>
        <w:rPr>
          <w:rFonts w:ascii="Amiri" w:hAnsi="Amiri" w:eastAsia="Amiri" w:cs="Amiri"/>
          <w:color w:val="111111"/>
          <w:sz w:val="28"/>
          <w:sz w:val="28"/>
          <w:szCs w:val="28"/>
          <w:rtl w:val="true"/>
          <w:lang w:bidi="ar-SA"/>
        </w:rPr>
        <w:t xml:space="preserve">ما تقدّم نقله في أوائل المبحث ممّا دلّ على نجاسة العصير بعد الغليان والاشتداد، و هو و إن لم يظهر منه فيهما ما دلّ على </w:t>
      </w:r>
    </w:p>
    <w:p>
      <w:pPr>
        <w:pStyle w:val="BookText"/>
        <w:rPr/>
      </w:pPr>
      <w:r>
        <w:rPr>
          <w:rFonts w:ascii="Amiri" w:hAnsi="Amiri" w:eastAsia="Amiri" w:cs="Amiri"/>
          <w:color w:val="111111"/>
          <w:sz w:val="28"/>
          <w:sz w:val="28"/>
          <w:szCs w:val="28"/>
          <w:rtl w:val="true"/>
          <w:lang w:bidi="ar-SA"/>
        </w:rPr>
        <w:t xml:space="preserve">حرمة العصير بمجرّد الغليان، لكنّه ممّا لا ينبغي التأمّل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طهارة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عدّا </w:t>
      </w:r>
      <w:r>
        <w:rPr>
          <w:rStyle w:val="FootnoteAnchor"/>
          <w:rtl w:val="true"/>
        </w:rPr>
        <w:footnoteReference w:id="407"/>
      </w:r>
      <w:r>
        <w:rPr>
          <w:rFonts w:ascii="Amiri" w:hAnsi="Amiri" w:eastAsia="Amiri" w:cs="Amiri"/>
          <w:color w:val="111111"/>
          <w:sz w:val="28"/>
          <w:sz w:val="28"/>
          <w:szCs w:val="28"/>
          <w:rtl w:val="true"/>
          <w:lang w:bidi="ar-SA"/>
        </w:rPr>
        <w:t xml:space="preserve">المسكرات من جملة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بها العصير إذا غلى واشتدّ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الألفيّة عند تعداد النجاسات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والمسكر المائع، و في حكمه الفقّاع، والعصير العنبيّ إذا غلى واشتدّ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135" w:name="pg7914_81982"/>
    </w:p>
    <w:p>
      <w:pPr>
        <w:pStyle w:val="Heading3"/>
        <w:numPr>
          <w:ilvl w:val="2"/>
          <w:numId w:val="1"/>
        </w:numPr>
        <w:rPr/>
      </w:pPr>
      <w:bookmarkStart w:id="136" w:name="__RefHeading___Toc6320874_1051229030"/>
      <w:bookmarkStart w:id="137" w:name="_Toc49"/>
      <w:bookmarkEnd w:id="135"/>
      <w:bookmarkEnd w:id="136"/>
      <w:r>
        <w:rPr>
          <w:rtl w:val="true"/>
        </w:rPr>
        <w:t xml:space="preserve">[ </w:t>
      </w:r>
      <w:r>
        <w:rPr>
          <w:rtl w:val="true"/>
        </w:rPr>
        <w:t xml:space="preserve">هنا دعويان </w:t>
      </w:r>
      <w:r>
        <w:rPr>
          <w:rtl w:val="true"/>
        </w:rPr>
        <w:t>]</w:t>
      </w:r>
      <w:bookmarkEnd w:id="137"/>
    </w:p>
    <w:p>
      <w:pPr>
        <w:pStyle w:val="BookText"/>
        <w:rPr/>
      </w:pPr>
      <w:r>
        <w:rPr>
          <w:rFonts w:ascii="Amiri" w:hAnsi="Amiri" w:eastAsia="Amiri" w:cs="Amiri"/>
          <w:color w:val="111111"/>
          <w:sz w:val="28"/>
          <w:sz w:val="28"/>
          <w:szCs w:val="28"/>
          <w:rtl w:val="true"/>
          <w:lang w:bidi="ar-SA"/>
        </w:rPr>
        <w:t xml:space="preserve">هنا دعويان </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6320876_1051229030"/>
      <w:bookmarkStart w:id="139" w:name="_Toc50"/>
      <w:bookmarkEnd w:id="138"/>
      <w:r>
        <w:rPr>
          <w:rtl w:val="true"/>
        </w:rPr>
        <w:t xml:space="preserve">[ </w:t>
      </w:r>
      <w:r>
        <w:rPr>
          <w:rtl w:val="true"/>
        </w:rPr>
        <w:t xml:space="preserve">الدعوى الأولى </w:t>
      </w:r>
      <w:r>
        <w:rPr>
          <w:rtl w:val="true"/>
        </w:rPr>
        <w:t xml:space="preserve">: </w:t>
      </w:r>
      <w:r>
        <w:rPr>
          <w:rtl w:val="true"/>
        </w:rPr>
        <w:t xml:space="preserve">عدم نجاسة العصير بمجرّد الغليان </w:t>
      </w:r>
      <w:r>
        <w:rPr>
          <w:rtl w:val="true"/>
        </w:rPr>
        <w:t>]</w:t>
      </w:r>
      <w:bookmarkEnd w:id="139"/>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نجاسة العصير بمجرّد الغليان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320878_1051229030"/>
      <w:bookmarkStart w:id="141" w:name="_Toc51"/>
      <w:bookmarkEnd w:id="140"/>
      <w:r>
        <w:rPr>
          <w:rtl w:val="true"/>
        </w:rPr>
        <w:t xml:space="preserve">[ </w:t>
      </w:r>
      <w:r>
        <w:rPr>
          <w:rtl w:val="true"/>
        </w:rPr>
        <w:t xml:space="preserve">الدعوى الثانية </w:t>
      </w:r>
      <w:r>
        <w:rPr>
          <w:rtl w:val="true"/>
        </w:rPr>
        <w:t xml:space="preserve">: </w:t>
      </w:r>
      <w:r>
        <w:rPr>
          <w:rtl w:val="true"/>
        </w:rPr>
        <w:t xml:space="preserve">نجاسة العصير بالاشتداد </w:t>
      </w:r>
      <w:r>
        <w:rPr>
          <w:rtl w:val="true"/>
        </w:rPr>
        <w:t>]</w:t>
      </w:r>
      <w:bookmarkEnd w:id="141"/>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نجاسته بالاشتداد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320880_1051229030"/>
      <w:bookmarkStart w:id="143" w:name="_Toc52"/>
      <w:bookmarkEnd w:id="142"/>
      <w:r>
        <w:rPr>
          <w:rtl w:val="true"/>
        </w:rPr>
        <w:t xml:space="preserve">[ </w:t>
      </w:r>
      <w:r>
        <w:rPr>
          <w:rtl w:val="true"/>
        </w:rPr>
        <w:t xml:space="preserve">الدليل على الدعوى الأولى و هي </w:t>
      </w:r>
      <w:r>
        <w:rPr>
          <w:rtl w:val="true"/>
        </w:rPr>
        <w:t xml:space="preserve">: </w:t>
      </w:r>
      <w:r>
        <w:rPr>
          <w:rtl w:val="true"/>
        </w:rPr>
        <w:t xml:space="preserve">عدم نجاسة العصير بمجرّد الغليان </w:t>
      </w:r>
      <w:r>
        <w:rPr>
          <w:rtl w:val="true"/>
        </w:rPr>
        <w:t>]</w:t>
      </w:r>
      <w:bookmarkEnd w:id="14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على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المرويّ في طهارة التهذيب عن مولانا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يعلم أنّه قذر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العصير المغلى شيء، و كلّ شيء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الصغرى فظاهر، و أمّا الكبرى فللموثّق المذكور والاستصحاب، للقطع بأنّ العصير قبل الغليان كان محكومًا بالطهارة والحلّيّة، و قد دلّت النصوص المعتبرة والإجماعات المنقولة على زوال الحلّيّة بالغليان واتّصافه بالحرمة حينئذ، و معلومٌ أنّ زوال الحلّيّة غير مستلزم لزوال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قوله عليه‌السلام في الصحيح السالف عن حمّاد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لايحرم العصير حتّى يغلي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 قوله عليه‌السلام في الموثّق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نشّ العصير أو غلى حرم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 غيرهما ممّا سلف، تحقّقُ الحرمة بالغليان ؛ و معلومٌ أنّ الحرمة غيرُ مستلزمة للنجاسة، لاجتماعهما معًا في الخمر مثلاً وافتراقها عنها في اللبن من الحيوان الطاهر العين إذا لم يؤكل لحمه، فالطهارة ثابتة </w:t>
      </w:r>
      <w:r>
        <w:rPr>
          <w:rStyle w:val="FootnoteAnchor"/>
          <w:rtl w:val="true"/>
        </w:rPr>
        <w:footnoteReference w:id="413"/>
      </w:r>
      <w:r>
        <w:rPr>
          <w:rFonts w:ascii="Amiri" w:hAnsi="Amiri" w:eastAsia="Amiri" w:cs="Amiri"/>
          <w:color w:val="111111"/>
          <w:sz w:val="28"/>
          <w:sz w:val="28"/>
          <w:szCs w:val="28"/>
          <w:rtl w:val="true"/>
          <w:lang w:bidi="ar-SA"/>
        </w:rPr>
        <w:t xml:space="preserve">محكومة بالبقاء، إلاّ أن يعلم الرافع، و لم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يتّجه إذا لم يكن هنا ما أوجب سقوطها و قد وجد، و هو ما صدر من شيخنا الشهيد الثاني و صاحب التنقيح من دعوى الاتّفاق على أنّ حكم العصير بعد الغليان حكم الخمر في الأحكام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في مباحث الحدود في شرح عبارة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يتعلّق </w:t>
      </w:r>
    </w:p>
    <w:p>
      <w:pPr>
        <w:pStyle w:val="BookText"/>
        <w:rPr/>
      </w:pPr>
      <w:r>
        <w:rPr>
          <w:rFonts w:ascii="Amiri" w:hAnsi="Amiri" w:eastAsia="Amiri" w:cs="Amiri"/>
          <w:color w:val="111111"/>
          <w:sz w:val="28"/>
          <w:sz w:val="28"/>
          <w:szCs w:val="28"/>
          <w:rtl w:val="true"/>
          <w:lang w:bidi="ar-SA"/>
        </w:rPr>
        <w:t xml:space="preserve">الحكم بالعصير إذا 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 الأصحاب أنّ العصير العنبيّ إذا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أسفله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و يصير بمنزلة الخمر في الأحكام، و يستمرّ حكمه كذلك إلى أن يذهب ثلثاه، أو ينقلب إلى حقيقةٍ أخرى، بأن يصير خلاًّ أو دبسًا على قول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التنقيح في شرح عبارة النافع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علمائنا على أنّ عصير العنب إذا غلى حكمه حكم المسكر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الكلامان و إن صدرا من هذين الجليلين، لكن لا يمكن لنا التعويل عليهما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فلإباء صاحب الكلام عن المرام، لما علمت ممّا سلف من إصراره في الإشكال في نجاسة العصير بعد الغليان، بل بعد الاشتداد أيضًا، فهذا الكلام بعد ملاحظة ما صدر منه في مباحث المطاعم والمشارب، كما يمكن أن يكون الوجه فيه العدول عمّا سلف واعتقاد النجاسة، كذا يمكن أن يكون المراد منه غير النجاسة، فلا يتمّ التقريب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مخالفته الواقع، و كيف مع أنّ المحقّق والعلاّمة و غيرهما </w:t>
      </w:r>
      <w:bookmarkStart w:id="144" w:name="pg7914_81985"/>
    </w:p>
    <w:p>
      <w:pPr>
        <w:pStyle w:val="BookText"/>
        <w:rPr/>
      </w:pPr>
      <w:bookmarkEnd w:id="144"/>
      <w:r>
        <w:rPr>
          <w:rFonts w:ascii="Amiri" w:hAnsi="Amiri" w:eastAsia="Amiri" w:cs="Amiri"/>
          <w:color w:val="111111"/>
          <w:sz w:val="28"/>
          <w:sz w:val="28"/>
          <w:szCs w:val="28"/>
          <w:rtl w:val="true"/>
          <w:lang w:bidi="ar-SA"/>
        </w:rPr>
        <w:t xml:space="preserve">أنكروا النجاسة بالغليان، و هم من أعاظم الفقهاء كما لا يخفى، فلابدّ من حمله على غير ما فيه الكلام، فلا يتمّ المرام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320882_1051229030"/>
      <w:bookmarkStart w:id="146" w:name="_Toc53"/>
      <w:bookmarkEnd w:id="145"/>
      <w:r>
        <w:rPr>
          <w:rtl w:val="true"/>
        </w:rPr>
        <w:t xml:space="preserve">[ </w:t>
      </w:r>
      <w:r>
        <w:rPr>
          <w:rtl w:val="true"/>
        </w:rPr>
        <w:t xml:space="preserve">الدليل على الدعوى الثانية </w:t>
      </w:r>
      <w:r>
        <w:rPr>
          <w:rtl w:val="true"/>
        </w:rPr>
        <w:t>]</w:t>
      </w:r>
      <w:bookmarkEnd w:id="146"/>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العصير بالاشتداد</w:t>
      </w:r>
    </w:p>
    <w:p>
      <w:pPr>
        <w:pStyle w:val="BookText"/>
        <w:rPr/>
      </w:pPr>
      <w:r>
        <w:rPr>
          <w:rFonts w:ascii="Amiri" w:hAnsi="Amiri" w:eastAsia="Amiri" w:cs="Amiri"/>
          <w:color w:val="111111"/>
          <w:sz w:val="28"/>
          <w:sz w:val="28"/>
          <w:szCs w:val="28"/>
          <w:rtl w:val="true"/>
          <w:lang w:bidi="ar-SA"/>
        </w:rPr>
        <w:t xml:space="preserve">و لنا على الثانية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على ما ظهر ممّا صدر من سيّدنا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 اللّه تعالى روحه في الغرفات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حكينا عنه فيما سلف،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حكمه العصير العنبيّ إذا غلى واشتدّ في المشهور،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إجماع الإماميّة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الشريف إشارةٌ إلى صاحب مجمع البحرين، قال مشيرًا إلى العصير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قبل غليانه طاهر، و بعد غليانه واشتداده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 بصيرورة أعلاه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حرام، نقل عليه الإجماع من الإماميّة ؛ أمّا بعد غليانه </w:t>
      </w:r>
    </w:p>
    <w:p>
      <w:pPr>
        <w:pStyle w:val="BookText"/>
        <w:rPr/>
      </w:pPr>
      <w:r>
        <w:rPr>
          <w:rFonts w:ascii="IRNazanin" w:hAnsi="IRNazanin" w:eastAsia="IRNazanin"/>
          <w:color w:val="111111"/>
          <w:sz w:val="28"/>
          <w:sz w:val="28"/>
          <w:szCs w:val="28"/>
          <w:rtl w:val="true"/>
          <w:lang w:bidi="fa-IR"/>
        </w:rPr>
        <w:t xml:space="preserve">و بعد </w:t>
      </w:r>
      <w:r>
        <w:rPr>
          <w:rStyle w:val="FootnoteAnchor"/>
          <w:rtl w:val="true"/>
        </w:rPr>
        <w:footnoteReference w:id="418"/>
      </w:r>
      <w:r>
        <w:rPr>
          <w:rFonts w:ascii="Amiri" w:hAnsi="Amiri" w:eastAsia="Amiri" w:cs="Amiri"/>
          <w:color w:val="111111"/>
          <w:sz w:val="28"/>
          <w:sz w:val="28"/>
          <w:szCs w:val="28"/>
          <w:rtl w:val="true"/>
          <w:lang w:bidi="ar-SA"/>
        </w:rPr>
        <w:t xml:space="preserve">اشتداده فحرام أيضًا، و أمّا النجاسة فمختلف فيها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إشارةٌ إلى ما صدر من صاحب كنز العرفان،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العصير من العنب قبل غليانه طاهر حلال، و بعد غليانه واشتداده نجس حرام، و ذلك إجماع من فقهائنا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عبارته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استفادةٌ من الكلام السالف من المعتبر، و 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نجاسة العصير بغليانه قبل اشتداده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التحريم فعليه إجماع فقهائنا، ثمّ منهم من اتبع التحريم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الحكم بالتحريم مع الغليان حتّى يذهب الثلثان، و وقوف النجاسة على الاشتداد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لوضوح أنّه يوهم أنّ نجاسة العصير بعد الاشتداد ممّا لا خلاف فيه، سيّما بعد الالتفات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منهم من اتبع التحريم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إذ المستفاد منه أنّ الخلاف في تحقّق التلازم بين التحريم والنجاسة بالغليان، أم لا ؛ و هو غير تمام، لظهور أنّه كما يحتمل ذلك، يحتمل ذكر المختار عنده، فلا يتمّ الاستفادة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 يظهر الحال في كلام العلاّمة في التذكرة،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العصير إذا غلى حرم حتّى يذهب ثلثاه ؛ و هل ينجس بالغليان، أو يقف على الشدّة ؟ إشكال، انتهى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دعوى ظهور استناد ما في كنز العرفان إلى ما ذكر، فلأنّ ذكر توقّف النجاسة على الاشتداد لم يوجد إلاّ في كلام المحقّق، بل لم يوجد ذكر النجاسة في خصوص العصير قبل المحقّق إلاّ في كلام ابن حمزة في الجملة و صاحب النزهة، و مع ذلك كيف يمكن دعوى اتّفاق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التفرقة في الغليان قبل الاشتداد و بعده، فلم نتعرّض إليه أحد قبله، فمن أين هذه الدعوى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الكلام المذكور من المحقّق لمّا كان موهمًا لذلك، يظنّ استناد الدعوى المذكورة إليها، و حيث قد عرفت عدم تماميّته تبيّن عدم إمكان التعويل على هذه الدعوى، سيّما بعد ما حكي عن ابن أبي عقيل من </w:t>
      </w:r>
      <w:r>
        <w:rPr>
          <w:rStyle w:val="FootnoteAnchor"/>
          <w:rtl w:val="true"/>
        </w:rPr>
        <w:footnoteReference w:id="423"/>
      </w:r>
      <w:r>
        <w:rPr>
          <w:rFonts w:ascii="Amiri" w:hAnsi="Amiri" w:eastAsia="Amiri" w:cs="Amiri"/>
          <w:color w:val="111111"/>
          <w:sz w:val="28"/>
          <w:sz w:val="28"/>
          <w:szCs w:val="28"/>
          <w:rtl w:val="true"/>
          <w:lang w:bidi="ar-SA"/>
        </w:rPr>
        <w:t xml:space="preserve">القول بالطهارة </w:t>
      </w:r>
      <w:r>
        <w:rPr>
          <w:rStyle w:val="FootnoteAnchor"/>
          <w:rtl w:val="true"/>
        </w:rPr>
        <w:footnoteReference w:id="424"/>
      </w:r>
      <w:r>
        <w:rPr>
          <w:rFonts w:ascii="Amiri" w:hAnsi="Amiri" w:eastAsia="Amiri" w:cs="Amiri"/>
          <w:color w:val="111111"/>
          <w:sz w:val="28"/>
          <w:sz w:val="28"/>
          <w:szCs w:val="28"/>
          <w:rtl w:val="true"/>
          <w:lang w:bidi="ar-SA"/>
        </w:rPr>
        <w:t xml:space="preserve">، و هو لازم ما حكي عن الصدوقين </w:t>
      </w:r>
      <w:r>
        <w:rPr>
          <w:rStyle w:val="FootnoteAnchor"/>
          <w:rtl w:val="true"/>
        </w:rPr>
        <w:footnoteReference w:id="425"/>
      </w:r>
      <w:r>
        <w:rPr>
          <w:rFonts w:ascii="Amiri" w:hAnsi="Amiri" w:eastAsia="Amiri" w:cs="Amiri"/>
          <w:color w:val="111111"/>
          <w:sz w:val="28"/>
          <w:sz w:val="28"/>
          <w:szCs w:val="28"/>
          <w:rtl w:val="true"/>
          <w:lang w:bidi="ar-SA"/>
        </w:rPr>
        <w:t xml:space="preserve">من القول بطهارة الخمر، لوضوح أنّ مَن يقول بطهارة الخمر يقول بطهارة العصير و لو بعد الغليان والاشتداد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يمكن الحكم بأنّ نجاسة العصير بعد الاشتداد إجماع فقهائنا، سيّما بعد تفسير الاشتداد بصيرورة الأعلى أسفل، كما صدر مِن صاحب كنز 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المستند في النجاسة لمّا كان منحصرًا في صحيحة معاوية بن عمّار السالفة، لاشتمالها على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أوجب ذلك المصير إلى اعتبار الاشتداد في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المرام يستدعي إعادة الحديث المذكور،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الرجل من أهل المعرفة بالحقّ يأتيني بالبختج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طبخ على الثلث و أنا أعرفه أنّه يشربه على النصف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لا تشربه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خبرٌ لمبتدأ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خمر، والمرجع للضمير المحذوف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علمت ممّا سلف أنّ البختج هو العصير المطبوخ، والظاهر أنّه لا ينفكّ عن الاشتداد كما لا يخفى، فاعتبره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النجاسة لذلك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 إن كان وجيهًا، لكن غاية ما يلزم منه النجاسة فيما إذا غلى بالنار واشتدّ، لما علم ممّا سلف أنّ البختج هو العصير المطبوخ، و معلومٌ أنّ الطبخ لايكون إلاّ بالنار، فعلى هذا لا يمكن الحكم بنجاسة العصير فيما إذا غلى واشتدّ بنفسه، و هو مناف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غلى من نفسه أو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الحكم بأنّ </w:t>
      </w:r>
    </w:p>
    <w:p>
      <w:pPr>
        <w:pStyle w:val="BookText"/>
        <w:rPr/>
      </w:pPr>
      <w:r>
        <w:rPr>
          <w:rFonts w:ascii="Amiri" w:hAnsi="Amiri" w:eastAsia="Amiri" w:cs="Amiri"/>
          <w:color w:val="111111"/>
          <w:sz w:val="28"/>
          <w:sz w:val="28"/>
          <w:szCs w:val="28"/>
          <w:rtl w:val="true"/>
          <w:lang w:bidi="ar-SA"/>
        </w:rPr>
        <w:t xml:space="preserve">المأخذ في اعتبار الاشتداد هو الحديث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أوّل مَن صرّح باعتبار الاشتداد في النجاسة هو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ذهب إلى المغائرة بين المحرّم والمنجّس في محلّ الكلام هو المحقّق، فلا يمكن الاجتزاء بالمحرّم في المنجّس في محلّ الكلام، لكفاية الغليان في التحريم، وأنّه لا يكفي عنده في التنجيس، بل لابدّ فيه من الاشتداد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قلنا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الداعي له لاعتبار الاشتداد في التنجيس هو الحديث المذكور، والإيراد المذكور إنّما يتوجّه إذا صدر من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المذكور في مقام التنجيس، و ليس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المرام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سلف أنّ هنا مقامين،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العصير بالغليان،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كفايته في التنجيس، بل لابدّ فيه من الاشتداد ؛ والتعميم المذكور الّذي صدر من المحقّق إنّما هو في المقام الأوّل، دون الثاني، فها أنا أورد ما حضرني من كلماته في المقامين، ليتبيّن حقيقة الحال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الأطعمة والأشربة من الشرائع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العصير إذا غلى، سواء غلى من قبل نفسه، أو بالنار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كتاب الشهادات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شارب المسكر تردّ شهادته و تفسق، خمرًا كان، أو نبيذًا، أو تبعًا، أو منصفًا، أو فضيحًا، و لو شرب منه قطرة ؛ و كذا الفقّاع ؛ و كذا العصير إذا غلى من نفسه، أو بالنار و لو لم يسكر، إلاّ أن يغلي حتّى يذهب ثلثاه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العصير من التمر أو البسر، فالأصل أنّه حلال ما لم يسكر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كتاب الطهارة عند تعداد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المسكرات، و في تنجيسها خلاف، والأظهر النجاسة، و في حكمها العصير إذا غلى واشتدّ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نجاسة العصير بغليانه قبل اشتداده تردّد، أمّا التحريم فعليه إجماع فقهائنا، ثمّ منهم من اتّبع التحريم النجاسة، والوجه الحكم بالتحريم مع الغليان حتّى يذهب الثلثان، و وقوف النجاسة على الاشتداد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إذا أمعنت النظر في العبارات المذكورة، علمت أنّ التعميم بالغليان النفسيّ والناريّ إنّما هو في المقام الأوّل، دون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ذكره المحقّق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الحكم بحرمة العصير حصول الغليان فيه، سواء كان بالنفس أو بالنار، بخلاف النجاسة، فإنّ ما ذكر لايكفي في الحكم بها، بل الموجب لها هو الغليان بالنار مع حصول الاشتداد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فظاهر،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يحرم العصير إذا غلى، سواء كان من قبل نفسه أو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فلأنّ الّذي وصل إلينا منه ممّا دلّ على النجاسة كلامان، أحدهما في الشرائع، والثاني في المعتبر، و قد سمعتهما ؛ و مقتضاهما توقّف الحكم بالنجاسة على الغليان مع الاشتداد ؛ و معلومٌ أنّ المتبادر من الغليان هو الغليان بالنار، فيحمل عليه، لانتفاء الصارف عنه في الطهارة، بخلافه في الأطعمة والأشربة، للتصريح هناك بالتعميم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فالمستفاد ممّا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الغليان، سواء كان بالنفس أو بالنار في الحكم بتحريم العصير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كفايته في</w:t>
      </w:r>
    </w:p>
    <w:p>
      <w:pPr>
        <w:pStyle w:val="BookText"/>
        <w:rPr/>
      </w:pPr>
      <w:r>
        <w:rPr>
          <w:rFonts w:ascii="Amiri" w:hAnsi="Amiri" w:eastAsia="Amiri" w:cs="Amiri"/>
          <w:color w:val="111111"/>
          <w:sz w:val="28"/>
          <w:sz w:val="28"/>
          <w:szCs w:val="28"/>
          <w:rtl w:val="true"/>
          <w:lang w:bidi="ar-SA"/>
        </w:rPr>
        <w:t xml:space="preserve">الحكم بالتنجيس، بل الموجب له هو الغليان الناريّ مع الاشتداد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الغليان و لو كان بالنفس للحكم بالتحريم، مع أنّ المتبادر من الغليان هو ما كان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فلاستفادته من النصوص المستفيضة، كالمرويّ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العصير والخمر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عن أبي كهمش </w:t>
      </w:r>
      <w:r>
        <w:rPr>
          <w:rStyle w:val="FootnoteAnchor"/>
          <w:rtl w:val="true"/>
        </w:rPr>
        <w:footnoteReference w:id="4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w:t>
      </w:r>
    </w:p>
    <w:p>
      <w:pPr>
        <w:pStyle w:val="BookText"/>
        <w:rPr/>
      </w:pPr>
      <w:r>
        <w:rPr>
          <w:rFonts w:ascii="Amiri" w:hAnsi="Amiri" w:eastAsia="Amiri" w:cs="Amiri"/>
          <w:color w:val="111111"/>
          <w:sz w:val="28"/>
          <w:sz w:val="28"/>
          <w:szCs w:val="28"/>
          <w:rtl w:val="true"/>
          <w:lang w:bidi="ar-SA"/>
        </w:rPr>
        <w:t xml:space="preserve">أبا عبداللّه عليه‌السلام عن العصير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كرم و أنا أعصره في </w:t>
      </w:r>
      <w:r>
        <w:rPr>
          <w:rStyle w:val="FootnoteAnchor"/>
          <w:rtl w:val="true"/>
        </w:rPr>
        <w:footnoteReference w:id="432"/>
      </w:r>
      <w:r>
        <w:rPr>
          <w:rFonts w:ascii="Amiri" w:hAnsi="Amiri" w:eastAsia="Amiri" w:cs="Amiri"/>
          <w:color w:val="111111"/>
          <w:sz w:val="28"/>
          <w:sz w:val="28"/>
          <w:szCs w:val="28"/>
          <w:rtl w:val="true"/>
          <w:lang w:bidi="ar-SA"/>
        </w:rPr>
        <w:t xml:space="preserve">كلّ سنة، وأجعله في الدنان، و أبيعه قبل أن يغلي،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وإن </w:t>
      </w:r>
      <w:r>
        <w:rPr>
          <w:rStyle w:val="FootnoteAnchor"/>
          <w:rtl w:val="true"/>
        </w:rPr>
        <w:footnoteReference w:id="433"/>
      </w:r>
      <w:r>
        <w:rPr>
          <w:rFonts w:ascii="Amiri" w:hAnsi="Amiri" w:eastAsia="Amiri" w:cs="Amiri"/>
          <w:color w:val="111111"/>
          <w:sz w:val="28"/>
          <w:sz w:val="28"/>
          <w:szCs w:val="28"/>
          <w:rtl w:val="true"/>
          <w:lang w:bidi="ar-SA"/>
        </w:rPr>
        <w:t xml:space="preserve">غلى فلا يحلّ بيعه، الحديث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بالدال المكسورة والنون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المفتوحة والنون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الراقود العظيم، أو أطول من الحبّ، أو أصغر، له عسس لا يقعد إلاّ أن يحفر له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 كبير، أو طويل الأسفل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والحسن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وأواخر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الذبائح والأطعمة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عن حمّاد بن عثمان، عن أبي عبداللّه عليه‌السلامقال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شرب العصير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إشربه </w:t>
      </w:r>
      <w:r>
        <w:rPr>
          <w:rStyle w:val="FootnoteAnchor"/>
          <w:rtl w:val="true"/>
        </w:rPr>
        <w:footnoteReference w:id="437"/>
      </w:r>
      <w:r>
        <w:rPr>
          <w:rFonts w:ascii="Amiri" w:hAnsi="Amiri" w:eastAsia="Amiri" w:cs="Amiri"/>
          <w:color w:val="111111"/>
          <w:sz w:val="28"/>
          <w:sz w:val="28"/>
          <w:szCs w:val="28"/>
          <w:rtl w:val="true"/>
          <w:lang w:bidi="ar-SA"/>
        </w:rPr>
        <w:t xml:space="preserve">ما لم يغل، فإذا غلى </w:t>
      </w:r>
    </w:p>
    <w:p>
      <w:pPr>
        <w:pStyle w:val="BookText"/>
        <w:rPr/>
      </w:pPr>
      <w:r>
        <w:rPr>
          <w:rFonts w:ascii="Amiri" w:hAnsi="Amiri" w:eastAsia="Amiri" w:cs="Amiri"/>
          <w:color w:val="111111"/>
          <w:sz w:val="28"/>
          <w:sz w:val="28"/>
          <w:szCs w:val="28"/>
          <w:rtl w:val="true"/>
          <w:lang w:bidi="ar-SA"/>
        </w:rPr>
        <w:t xml:space="preserve">فلاتشربه،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الغليان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حسنه بيّناه فيما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المرويّ في الباب المذكور من الكافي، عن ابن أبي عمير، عن محمّد بن عاصم،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بشرب العصير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لم يغل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البابين من الأصلين، عن ذريح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 العصير أو غلى حرم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الماء و غيره إذا غلى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بمثله ذكره في القاموس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النهاية لابن الأثير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حديث النبيذ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نشّ فلا تشرب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غلى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النشيش صوت غليان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قوله في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الزبد </w:t>
      </w:r>
      <w:r>
        <w:rPr>
          <w:rStyle w:val="FootnoteAnchor"/>
          <w:rtl w:val="true"/>
        </w:rPr>
        <w:footnoteReference w:id="444"/>
      </w:r>
      <w:r>
        <w:rPr>
          <w:rFonts w:ascii="Amiri" w:hAnsi="Amiri" w:eastAsia="Amiri" w:cs="Amiri"/>
          <w:color w:val="111111"/>
          <w:sz w:val="28"/>
          <w:sz w:val="28"/>
          <w:szCs w:val="28"/>
          <w:rtl w:val="true"/>
          <w:lang w:bidi="ar-SA"/>
        </w:rPr>
        <w:t xml:space="preserve">و سكن نشيشه،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غليانه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المصباح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غليان الماء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الأساس للزمخشريّ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 الماء في الكوز الجديد، والخمر تنشّ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تغلي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ما في الكلمات المذكورة من الاختلاف، إذ مقتضى ما في الصحاح والقاموس والمصباح المنير أنّ النشيش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غليان الماء، و هو مقتضى ما ذكره أوّلاً في المغرب ؛ و مقتضى </w:t>
      </w:r>
      <w:r>
        <w:rPr>
          <w:rStyle w:val="FootnoteAnchor"/>
          <w:rtl w:val="true"/>
        </w:rPr>
        <w:footnoteReference w:id="448"/>
      </w:r>
      <w:r>
        <w:rPr>
          <w:rFonts w:ascii="Amiri" w:hAnsi="Amiri" w:eastAsia="Amiri" w:cs="Amiri"/>
          <w:color w:val="111111"/>
          <w:sz w:val="28"/>
          <w:sz w:val="28"/>
          <w:szCs w:val="28"/>
          <w:rtl w:val="true"/>
          <w:lang w:bidi="ar-SA"/>
        </w:rPr>
        <w:t xml:space="preserve">ما في النهاية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الغليان، كما هو مقتضى ما ذكره ثانيًا في المغرب ؛ و مقتضى ما ذكره في الأساس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في الغليان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علمت ذلك، فلنعد إلى ما كنّا بصدده،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الترديد المذكور في الحديث </w:t>
      </w:r>
      <w:r>
        <w:rPr>
          <w:rStyle w:val="FootnoteAnchor"/>
          <w:rtl w:val="true"/>
        </w:rPr>
        <w:footnoteReference w:id="449"/>
      </w:r>
      <w:r>
        <w:rPr>
          <w:rFonts w:ascii="Amiri" w:hAnsi="Amiri" w:eastAsia="Amiri" w:cs="Amiri"/>
          <w:color w:val="111111"/>
          <w:sz w:val="28"/>
          <w:sz w:val="28"/>
          <w:szCs w:val="28"/>
          <w:rtl w:val="true"/>
          <w:lang w:bidi="ar-SA"/>
        </w:rPr>
        <w:t xml:space="preserve">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النشيش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الغليان النفسيّ، و من الغليان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النشيش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غليان الماء، و من الغليان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النشيش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قبل الغليان فيما إذا قرب من الغليان، و من الغليان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الترديد المذكور من الراوي، بمعنى أنّ الصادر عنه عليه‌السلام واحد ولم يعلم ما هو مردّد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يتوجّه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منه هو الحكم بالتحريم قبل تحقّق الغليان، و هو مدفوعٌ بالنصوص المعتبرة المستفيضة السالفة و غيرها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صوت غليان الماء لا ينفكّ عن الغليان، فلا يناسبه العطف بأو،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 الصوت والغليان لمّا لم يكن مستندًا إلى حاسّة واحدة، لظهور أنّ الصوت محسوسٌ بالسامعة، والغليان بالباصرة، فيمكن أن يكون هو الوجه للعطف بأو، فربّما يعلم الغليان بسماع صوته، لتحقّق الحاجب عن الرؤية من العمى و غيره، كما يعلم بمشاهدته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تتبّع النصوص الواردة في إفادة تحريم العصير بالغليان يوصل إلى أنّ المناط في تحريمه وجودًا و عدمًا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الغليان و لو كان بالنفس، فهو ممّا لا ينبغي التأمّل فيه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الحكم بالنجاسة على ما إذا كان الغليان بالنار مع 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فصّلناه فيما سلف </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7914_81998"/>
      <w:bookmarkStart w:id="148" w:name="pg7914_81998"/>
      <w:bookmarkEnd w:id="148"/>
    </w:p>
    <w:p>
      <w:pPr>
        <w:pStyle w:val="Heading3"/>
        <w:numPr>
          <w:ilvl w:val="2"/>
          <w:numId w:val="1"/>
        </w:numPr>
        <w:rPr/>
      </w:pPr>
      <w:bookmarkStart w:id="149" w:name="pg7914_81998"/>
      <w:bookmarkStart w:id="150" w:name="__RefHeading___Toc6320884_1051229030"/>
      <w:bookmarkStart w:id="151" w:name="_Toc54"/>
      <w:bookmarkEnd w:id="149"/>
      <w:bookmarkEnd w:id="150"/>
      <w:r>
        <w:rPr>
          <w:rtl w:val="true"/>
        </w:rPr>
        <w:t xml:space="preserve">[ </w:t>
      </w:r>
      <w:r>
        <w:rPr>
          <w:rtl w:val="true"/>
        </w:rPr>
        <w:t xml:space="preserve">التنبيه على أمرين </w:t>
      </w:r>
      <w:r>
        <w:rPr>
          <w:rtl w:val="true"/>
        </w:rPr>
        <w:t>]</w:t>
      </w:r>
      <w:bookmarkEnd w:id="151"/>
    </w:p>
    <w:p>
      <w:pPr>
        <w:pStyle w:val="BookText"/>
        <w:rPr/>
      </w:pPr>
      <w:r>
        <w:rPr>
          <w:rFonts w:ascii="Amiri" w:hAnsi="Amiri" w:eastAsia="Amiri" w:cs="Amiri"/>
          <w:color w:val="111111"/>
          <w:sz w:val="28"/>
          <w:sz w:val="28"/>
          <w:szCs w:val="28"/>
          <w:rtl w:val="true"/>
          <w:lang w:bidi="ar-SA"/>
        </w:rPr>
        <w:t xml:space="preserve">بقي الكلام هنا في أمرين ينبغي التنبيه عليهما </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6320886_1051229030"/>
      <w:bookmarkStart w:id="153" w:name="_Toc55"/>
      <w:bookmarkEnd w:id="152"/>
      <w:r>
        <w:rPr>
          <w:rtl w:val="true"/>
        </w:rPr>
        <w:t xml:space="preserve">[ </w:t>
      </w:r>
      <w:r>
        <w:rPr>
          <w:rtl w:val="true"/>
        </w:rPr>
        <w:t xml:space="preserve">الأمر الأوّل </w:t>
      </w:r>
      <w:r>
        <w:rPr>
          <w:rtl w:val="true"/>
        </w:rPr>
        <w:t xml:space="preserve">: </w:t>
      </w:r>
      <w:r>
        <w:rPr>
          <w:rtl w:val="true"/>
        </w:rPr>
        <w:t xml:space="preserve">في بيان المراد من الاشتداد الّذي هو المناط في نجاسة العصير </w:t>
      </w:r>
      <w:r>
        <w:rPr>
          <w:rtl w:val="true"/>
        </w:rPr>
        <w:t>]</w:t>
      </w:r>
      <w:bookmarkEnd w:id="153"/>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الاشتداد الّذي هو المناط في نجاسة العصير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الثخانة والقوام الّذي يحصل بالغليان، لا بأوّله، بل يتحقّق فصلٌ بين أوّل الغليان و حصول الثخانة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المرام في ذلك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العصير في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مائع له مقدار من الرقّة، فإذا وضع على النار طرء له الغليان أوّلاً، ثمّ بعد فصلٍ يحصل له غلظةٌ بالإضافة إلى حالته الأولى، ثمّ يتزايد الغلظة والثخانة إلى أن يذهب منه ثلث و يبقى ثلثان مثلاً، ثمّ يتزايد إلى أن يذهب منه ثلثان و يبقى </w:t>
      </w:r>
    </w:p>
    <w:p>
      <w:pPr>
        <w:pStyle w:val="BookText"/>
        <w:rPr/>
      </w:pPr>
      <w:r>
        <w:rPr>
          <w:rFonts w:ascii="Amiri" w:hAnsi="Amiri" w:eastAsia="Amiri" w:cs="Amiri"/>
          <w:color w:val="111111"/>
          <w:sz w:val="28"/>
          <w:sz w:val="28"/>
          <w:szCs w:val="28"/>
          <w:rtl w:val="true"/>
          <w:lang w:bidi="ar-SA"/>
        </w:rPr>
        <w:t xml:space="preserve">ثلث، و 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50"/>
      </w:r>
      <w:r>
        <w:rPr>
          <w:rFonts w:ascii="Amiri" w:hAnsi="Amiri" w:eastAsia="Amiri" w:cs="Amiri"/>
          <w:color w:val="111111"/>
          <w:sz w:val="28"/>
          <w:sz w:val="28"/>
          <w:szCs w:val="28"/>
          <w:rtl w:val="true"/>
          <w:lang w:bidi="ar-SA"/>
        </w:rPr>
        <w:t xml:space="preserve">المقصود أنّ العصير ينجس بأوّل درجة الثخانة والغلظة والقوام الّذي به يحصل الامتياز عمّا فيه من 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هو مراد المحقّق والعلاّمة من الاشتداد الّذي جعلاه موقوفًا عليه للنجاسة، فلاحظ عبارة المعتبر حتّى يتّضح لك الحال،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نجاسة العصير بغليانه قبل اشتداده تردّد، أمّا التحريم فعليه إجماع فقهائنا، ثمّ منهم من اتبع التحريم النجاسة ؛ والوجه الحكم بالتحريم مع الغليان حتّى يذهب الثلثان، و وقوف النجاسة على الاشتداد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الإشارة ممّا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العصير إذا غلى حرم حتّى يذهب ثلثاه ؛ و هل ينجس بالغليان، أو يقف على الشدّة ؟ إشكال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الإشارة بما في الذكرى،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حكمها العصير إذا غلى واشتدّ، في قول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مع الغليان حتّى يذهب الثلثان، و لا ينجس إلاّ مع الاشتداد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فكأنّه يرى الشدّة المطربة، إذ الثخانة حاصلةٌ بمجرّد الغليان </w:t>
      </w:r>
      <w:r>
        <w:rPr>
          <w:rStyle w:val="FootnoteAnchor"/>
          <w:rtl w:val="true"/>
        </w:rPr>
        <w:footnoteReference w:id="45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مراده من الشدّة المطربة الشدّة القويّة هذا المعنى، وإن كان ما ذكره من حصول الثخانة بمجرّد الغليان مخالفًا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ما ذكره أنّ الثخانة وإن كانت لازمةً للغليان، لكن هذا القدر لا يكفي للحكم بالنجاسة، بل القدر الموجب للنجاسة ثخانةٌ مخصوصةٌ بعد ذلك المقدار اللازم لمطلق الغليان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ما صدر من ثاني الشهيدين والمحقّقين، فليس على ما ينبغي ؛ قال شيخنا الشهيد الثاني في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الشهيد في الذكرى، فجعل 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 الثخانة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w:t>
      </w:r>
      <w:r>
        <w:rPr>
          <w:rStyle w:val="FootnoteAnchor"/>
          <w:rtl w:val="true"/>
        </w:rPr>
        <w:footnoteReference w:id="454"/>
      </w:r>
      <w:r>
        <w:rPr>
          <w:rFonts w:ascii="Amiri" w:hAnsi="Amiri" w:eastAsia="Amiri" w:cs="Amiri"/>
          <w:color w:val="111111"/>
          <w:sz w:val="28"/>
          <w:sz w:val="28"/>
          <w:szCs w:val="28"/>
          <w:rtl w:val="true"/>
          <w:lang w:bidi="ar-SA"/>
        </w:rPr>
        <w:t xml:space="preserve">عن مجرّد الغليان، فجعل التحريم والنجاسة متلازمين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في شرح عبارة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حكمها العصير إذا غلى واشتدّ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 العصير العنبيّ، و بغليانه أن يصير أعلاه أسفله بنفسه أو بغيره، </w:t>
      </w:r>
    </w:p>
    <w:p>
      <w:pPr>
        <w:pStyle w:val="BookText"/>
        <w:rPr/>
      </w:pPr>
      <w:r>
        <w:rPr>
          <w:rFonts w:ascii="Amiri" w:hAnsi="Amiri" w:eastAsia="Amiri" w:cs="Amiri"/>
          <w:color w:val="111111"/>
          <w:sz w:val="28"/>
          <w:sz w:val="28"/>
          <w:szCs w:val="28"/>
          <w:rtl w:val="true"/>
          <w:lang w:bidi="ar-SA"/>
        </w:rPr>
        <w:t xml:space="preserve">و باشتداده أن يحصل فيه ثخانة، و هي مسبّبة عن مجرّد الغليان عند الشهيد رحمه‌الله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جعل مطلق الاشتداد لازمًا للغليان، لا الاشتداد الّذي هو المسبّب للنجاسة، كما فصّلناه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المحقّق الثاني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عبارة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يلحق بها العصير إذا غلى واشتدّ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بغليانه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أعلاه أسفله، و باشتداده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الثخانة المسبّبة عن مجرّد الغليان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بمثله عبّر في تعليقاته على الشرائع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154" w:name="pg7914_82002"/>
    </w:p>
    <w:p>
      <w:pPr>
        <w:pStyle w:val="Heading2"/>
        <w:numPr>
          <w:ilvl w:val="1"/>
          <w:numId w:val="1"/>
        </w:numPr>
        <w:rPr/>
      </w:pPr>
      <w:bookmarkStart w:id="155" w:name="__RefHeading___Toc6320888_1051229030"/>
      <w:bookmarkStart w:id="156" w:name="_Toc56"/>
      <w:bookmarkEnd w:id="154"/>
      <w:bookmarkEnd w:id="155"/>
      <w:r>
        <w:rPr>
          <w:rtl w:val="true"/>
        </w:rPr>
        <w:t xml:space="preserve">[ </w:t>
      </w:r>
      <w:r>
        <w:rPr>
          <w:rtl w:val="true"/>
        </w:rPr>
        <w:t xml:space="preserve">الأمر الثاني </w:t>
      </w:r>
      <w:r>
        <w:rPr>
          <w:rtl w:val="true"/>
        </w:rPr>
        <w:t xml:space="preserve">: </w:t>
      </w:r>
      <w:r>
        <w:rPr>
          <w:rtl w:val="true"/>
        </w:rPr>
        <w:t xml:space="preserve">في بيان المراد من‌الغليان الّذي هو المناط في حرمة العصير </w:t>
      </w:r>
      <w:r>
        <w:rPr>
          <w:rtl w:val="true"/>
        </w:rPr>
        <w:t>]</w:t>
      </w:r>
      <w:bookmarkEnd w:id="156"/>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الغليان الّذي هو المناط في حرمة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أسفله أعلاه، كما في الفقيه والمقنع نقلاً عن والده، والنهاية، والوسيلة، والمهذّب لابن البرّاج، والنزهة، والجامع، والتحرير، و الدروس، و جامع المقاصد، و تعليقاته على الشرائع والإرشاد، والمهذّب البارع، و المسالك، و الروض، والمقاصد العليّة، و غاية المرام، و المدارك، فلاحظ عباراتهم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ما صدر من صاحب كنز العرفان، حيث قال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العصير من العنب قبل غليانه طاهر حلال، و بعد غليانه واشتداده نجس حرام، و ذلك إجماع من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غليانه و قبل اشتداده فحرام إجماعًا منّا، و أمّا النجاسة فعند بعضنا أنّه نجس أيضًا، و عند آخرين أنّه طاهر، والأوّل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بالاشتداد صيرورة أعلاه أسفله، أو أن يصير له قوام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عجائب الأمور، لما علمت من كلماتهم الموصلة إلى إطباقهم على أنّ الغليان عبارةٌ عن صيرورة الأسفل أعلى،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الاشتداد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يقال بعد غليانه و قبل اشتداده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أن يكون الموقع له في ذلك ملاحظة كلام شيخنا الشهيد في الدروس،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إذا غلى واشتدّ، و حدّه أن يصير أسفله أعلاه ما لم يذهب ثلثاه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إرجاع الضمير إلى الاشتداد المدلول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ليس كذلك، بل المرجع الغليان المفهوم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هذا لايبعد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الترديد في كلامه إشارةٌ إلى أحد التفسيرين اللّذين أخذ أحدهما من الدروس، والثاني من غيره، مع الغفلة عمّا يتوجّه عليه، فمراده أنّ المراد من الاشتداد إمّا صيرورة أسفله أعلاه كما يظهر من الدروس، أو حصول القوام له كما يظهر من المعتبر و غيره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قد علمت ممّا بيّناه أنّ تفسير الاشتداد بصيرورة أسفله أعلاه، بيّن الفساد، بل لم يقل به أحد، و قد عرفت المراد من عبارة الدروس </w:t>
      </w:r>
      <w:r>
        <w:rPr>
          <w:rFonts w:eastAsia="Amiri" w:cs="Amiri" w:ascii="Amiri" w:hAnsi="Amiri"/>
          <w:color w:val="111111"/>
          <w:sz w:val="28"/>
          <w:szCs w:val="28"/>
          <w:rtl w:val="true"/>
          <w:lang w:bidi="ar-SA"/>
        </w:rPr>
        <w:t xml:space="preserve">. </w:t>
      </w:r>
      <w:bookmarkStart w:id="157" w:name="pg7914_82004"/>
    </w:p>
    <w:p>
      <w:pPr>
        <w:pStyle w:val="Heading2"/>
        <w:numPr>
          <w:ilvl w:val="1"/>
          <w:numId w:val="1"/>
        </w:numPr>
        <w:rPr/>
      </w:pPr>
      <w:bookmarkStart w:id="158" w:name="__RefHeading___Toc6320890_1051229030"/>
      <w:bookmarkStart w:id="159" w:name="_Toc57"/>
      <w:bookmarkEnd w:id="157"/>
      <w:bookmarkEnd w:id="158"/>
      <w:r>
        <w:rPr>
          <w:rtl w:val="true"/>
        </w:rPr>
        <w:t xml:space="preserve">[ </w:t>
      </w:r>
      <w:r>
        <w:rPr>
          <w:rtl w:val="true"/>
        </w:rPr>
        <w:t xml:space="preserve">الأمر الثالث </w:t>
      </w:r>
      <w:r>
        <w:rPr>
          <w:rtl w:val="true"/>
        </w:rPr>
        <w:t xml:space="preserve">: </w:t>
      </w:r>
      <w:r>
        <w:rPr>
          <w:rtl w:val="true"/>
        </w:rPr>
        <w:t xml:space="preserve">في أنّ الغليان المحرّم هل يعمّ الغليان الشمسيّ أيضًا أو لا، بل يختصّ ذلك بالغليان النفسيّ والناريّ ؟ </w:t>
      </w:r>
      <w:r>
        <w:rPr>
          <w:rtl w:val="true"/>
        </w:rPr>
        <w:t>]</w:t>
      </w:r>
      <w:bookmarkEnd w:id="159"/>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ممّا سلف التعميم في المحرّم للعصير والتخصيص في المنجّس له، بمعنى أنّ المحرّم هو الغليان مطلقًا، والمنجّس هو الاشتداد المستند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هذا المقام في أنّ الغليان المحرّم هل يعمّ الغليان الشمسيّ أيضًا، فيكون الغليان موجبًا للحرمة، سواء كان بالنفس أو بالنار أو بالشمس ؛ أو لا، بل يختصّ ذلك بالغليان النفسيّ والناريّ ؟</w:t>
      </w:r>
    </w:p>
    <w:p>
      <w:pPr>
        <w:pStyle w:val="BookText"/>
        <w:rPr/>
      </w:pPr>
      <w:r>
        <w:rPr>
          <w:rFonts w:ascii="Amiri" w:hAnsi="Amiri" w:eastAsia="Amiri" w:cs="Amiri"/>
          <w:color w:val="111111"/>
          <w:sz w:val="28"/>
          <w:sz w:val="28"/>
          <w:szCs w:val="28"/>
          <w:rtl w:val="true"/>
          <w:lang w:bidi="ar-SA"/>
        </w:rPr>
        <w:t>العلاّمة في نهاية الإحكام، والمحقّق الثاني في تعليقاته على الإرشاد، و ظاهره على تعليقات الشرائع، و الصيمريّ في غاية المرام، وابن فهد في المهذّب، والشيخ</w:t>
      </w:r>
    </w:p>
    <w:p>
      <w:pPr>
        <w:pStyle w:val="BookText"/>
        <w:rPr/>
      </w:pPr>
      <w:r>
        <w:rPr>
          <w:rFonts w:ascii="Amiri" w:hAnsi="Amiri" w:eastAsia="Amiri" w:cs="Amiri"/>
          <w:color w:val="111111"/>
          <w:sz w:val="28"/>
          <w:sz w:val="28"/>
          <w:szCs w:val="28"/>
          <w:rtl w:val="true"/>
          <w:lang w:bidi="ar-SA"/>
        </w:rPr>
        <w:t xml:space="preserve">شمس الدين في الرسالة التولانيّة على الأوّل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نهاية الإحكام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والعصير إذا غلى واشتدّ و إن لم يبلغ حدّ الإسكار نجس، سواء غلى من نفسه أو بالنار أو الشمس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تعليقات 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بغليانه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أعلاه أسفله بالنار أو الشمس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تعليقات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كون غليانه بالنار أو بغيرها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غاية المرام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 أسفله أعلاه، و لا فرق بين أن يكون ذلك من نفسه، أو بسبب تسخينه بالنار أو بالشمس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المهذّب البارع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الغليان أن يصير أسفله أعلاه، و لا فرق بين حصول ذلك من نفسه، أو بتسخين من نارٍ أو شمس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الرسالة التولانيّة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بالمسكر عصير العنب إذا غلى واشتدّ و إن لم يبلغ حدّ الإسكار، سواء غلى من نفسه، أو بالنار، أو بالشمس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ما عثرنا عليه من النسختين الخطّيّتين </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7914_82008"/>
      <w:bookmarkStart w:id="161" w:name="pg7914_82008"/>
      <w:bookmarkEnd w:id="161"/>
    </w:p>
    <w:p>
      <w:pPr>
        <w:pStyle w:val="Heading2"/>
        <w:numPr>
          <w:ilvl w:val="1"/>
          <w:numId w:val="1"/>
        </w:numPr>
        <w:rPr/>
      </w:pPr>
      <w:bookmarkStart w:id="162" w:name="pg7914_82008"/>
      <w:bookmarkStart w:id="163" w:name="__RefHeading___Toc6320892_1051229030"/>
      <w:bookmarkStart w:id="164" w:name="_Toc58"/>
      <w:bookmarkEnd w:id="162"/>
      <w:bookmarkEnd w:id="163"/>
      <w:r>
        <w:rPr>
          <w:rtl w:val="true"/>
        </w:rPr>
        <w:t>فهرس مصادر التحقيق</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آل البيت عليهم‌السلام،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فارس الحسّون، مؤسّسة النشر الإسلامي التابعة لجماعة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البلاغة، لأبي القاسم جار اللّه محمود بن عمر 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و مطابع الشعب،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السبق إلى معرفة الحقّ، للشيخ عليّ بن الحسن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مؤسّسة النشر الإسلامي،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الهادي إلى طريق الرشاد، لأبي جعفر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مكتبة جامع چهلستون،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عليهم‌السلام، 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قاطع، لمحمّد حسين بن خلف التبريزي، المتخلّص ببرهان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باهتمام الدوكتر محمّد المعين، ابن سينا، تهران،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مجمع الذخائر الإسلاميّة، قم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للسيّد مصلح الدّين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مسجد السيّد، اصفهان،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في أحكام الدين، للعلاّمة الحلّي جمال الدّين حسن بن يوسف </w:t>
      </w:r>
    </w:p>
    <w:p>
      <w:pPr>
        <w:pStyle w:val="BookText"/>
        <w:rPr/>
      </w:pP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والشيخ هادي اليوسفي، نشر الفقيه، 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على مذهب الإماميّة،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للحاج السيّد محمّد باقر الشفتي، المعروف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مهدي الرجائي، نشر مكتبة مسجد السيّد باصفهان، مطبعة سيّد</w:t>
      </w:r>
    </w:p>
    <w:p>
      <w:pPr>
        <w:pStyle w:val="BookText"/>
        <w:rPr/>
      </w:pPr>
      <w:r>
        <w:rPr>
          <w:rFonts w:ascii="IRNazanin" w:hAnsi="IRNazanin" w:eastAsia="IRNazanin"/>
          <w:color w:val="111111"/>
          <w:sz w:val="28"/>
          <w:sz w:val="28"/>
          <w:szCs w:val="28"/>
          <w:rtl w:val="true"/>
          <w:lang w:bidi="fa-IR"/>
        </w:rPr>
        <w:t xml:space="preserve">الشهداء،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المرام في معرفة الأحكام،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مركز الأبحاث والدراسات الإسلاميّة، قم، مطبعة مكتب الإعلام</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المقال في تحقيق أحوال الرجال، لميرزا محمّد بن عليّ الحسينيّ الأسترآباديّ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مكتبة مجلس الشورى، المرقّمة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لجمال الدين مقداد بن عبداللّه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اللطيف الحسيني الكوه كمري، نشر مكتبة آية اللّه المرعشي رحمه‌الله، الطبعة الأولى،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تأليف الشيخ عبداللّه المامقاني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الشيخ محيي الدين المامقاني، نشر مؤسّسة آل البيت عليهم‌السلام لإحياء التراث، قم،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العبّاسي، للشيخ بهاء الدين محمّد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لنجيب الدّين يحيى بن أحمد بن سعيد الحلّي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بإشراف الشيخ السبحاني، المطبعة العلمية،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للمحقّق الثاني عليّ بن الحسين بن عبدالعالي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و تحقيق مؤسّسة آل البيت عليهم‌السلام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والعقود، 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واعظ زاده الخراساني، نشر جامعة مشهد،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إرشاد الأذهان حياة المحقّق الكركي وآثاره</w:t>
      </w:r>
    </w:p>
    <w:p>
      <w:pPr>
        <w:pStyle w:val="BookText"/>
        <w:rPr/>
      </w:pPr>
      <w:r>
        <w:rPr>
          <w:rFonts w:ascii="Amiri" w:hAnsi="Amiri" w:eastAsia="Amiri" w:cs="Amiri"/>
          <w:color w:val="111111"/>
          <w:sz w:val="28"/>
          <w:sz w:val="28"/>
          <w:szCs w:val="28"/>
          <w:rtl w:val="true"/>
          <w:lang w:bidi="ar-SA"/>
        </w:rPr>
        <w:t>حاشية الألفيّة</w:t>
      </w:r>
    </w:p>
    <w:p>
      <w:pPr>
        <w:pStyle w:val="BookText"/>
        <w:rPr/>
      </w:pPr>
      <w:r>
        <w:rPr>
          <w:rFonts w:ascii="Amiri" w:hAnsi="Amiri" w:eastAsia="Amiri" w:cs="Amiri"/>
          <w:color w:val="111111"/>
          <w:sz w:val="28"/>
          <w:sz w:val="28"/>
          <w:szCs w:val="28"/>
          <w:rtl w:val="true"/>
          <w:lang w:bidi="ar-SA"/>
        </w:rPr>
        <w:t>حياة المحقّق الكركي وآثاره</w:t>
      </w:r>
    </w:p>
    <w:p>
      <w:pPr>
        <w:pStyle w:val="BookText"/>
        <w:rPr/>
      </w:pPr>
      <w:r>
        <w:rPr>
          <w:rFonts w:ascii="Amiri" w:hAnsi="Amiri" w:eastAsia="Amiri" w:cs="Amiri"/>
          <w:color w:val="111111"/>
          <w:sz w:val="28"/>
          <w:sz w:val="28"/>
          <w:szCs w:val="28"/>
          <w:rtl w:val="true"/>
          <w:lang w:bidi="ar-SA"/>
        </w:rPr>
        <w:t>حاشية شرائع الإسلام حياة المحقّق الكركي وآثاره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شرائع الإسلام، للشهيد الثاني 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الأبحاث والدراسات الإسلاميّة، مركز النشر التابع لمكتب الإعلام</w:t>
      </w:r>
    </w:p>
    <w:p>
      <w:pPr>
        <w:pStyle w:val="BookText"/>
        <w:rPr/>
      </w:pPr>
      <w:r>
        <w:rPr>
          <w:rFonts w:ascii="Amiri" w:hAnsi="Amiri" w:eastAsia="Amiri" w:cs="Amiri"/>
          <w:color w:val="111111"/>
          <w:sz w:val="28"/>
          <w:sz w:val="28"/>
          <w:szCs w:val="28"/>
          <w:rtl w:val="true"/>
          <w:lang w:bidi="ar-SA"/>
        </w:rPr>
        <w:t xml:space="preserve">الإسلامي،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حاوي الأقوال في معرفة الرجال، للشيخ عبد النبيّ بن سعد الدين الأسديّ الجزائريّ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الهداية لإحياء التراث، رياض الناصري،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حديقة المتّقين في معرفة أحكام الدين، للعلاّمة محمّد تقي بن مقصود علي المجلسي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مكتبة مجلس الشورى المرقّمة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210641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المحقّق الكركي وآثاره، تأليف الشيخ محمّد الحسّون، منشورات الاحتجاج، تهران،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للعلاّمة الحلّي جمال الدّين حسن بن يوسف </w:t>
      </w:r>
    </w:p>
    <w:p>
      <w:pPr>
        <w:pStyle w:val="BookText"/>
        <w:rPr/>
      </w:pP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النشر الإسلامي،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الخراساني والسيّد جواد الشهرستاني والشيخ مهدي نجف،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للعلاّمة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مكتبة مجلس الشورى المرقّمة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209337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الفقه الإماميّة، 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النجفيّة، للسيّد محمّد المهدي بحرالعلوم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الزهراء،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و ذكر الحلال و الحرام و القضايا والأحكام عن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أفضل السلام، للقاضي نعمان بن محمّد بن منصور بن أحمد بن حيون التميمي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آصف بن علي اصغر فيضي، دار المعارف، مصر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في شرح الإرشاد، للعلاّمة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نشر مؤسّسة آل البيت عليهم‌السلام لإحياء التراث،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لتقي الدّين الحسن بن علي بن داود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المطبعة الحيدريّة، النجف الأشرف،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الاصفهاني، مؤسّسة النشر الإسلامي التابعة لجماعة المدرّسين،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p>
    <w:p>
      <w:pPr>
        <w:pStyle w:val="BookText"/>
        <w:rPr/>
      </w:pPr>
      <w:r>
        <w:rPr>
          <w:rFonts w:ascii="Amiri" w:hAnsi="Amiri" w:eastAsia="Amiri" w:cs="Amiri"/>
          <w:color w:val="111111"/>
          <w:sz w:val="28"/>
          <w:sz w:val="28"/>
          <w:szCs w:val="28"/>
          <w:rtl w:val="true"/>
          <w:lang w:bidi="ar-SA"/>
        </w:rPr>
        <w:t>اختيار معرفة الرجال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العبّاس أحمد بن علي بن أحمد بن العبّاس النجاشي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موسى الشبيري الزنجاني، نشر مؤسّسة النشر الإسلامي التابعة لجماعة المدرّسين،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للسيّد محمّد باقر بن محمّد نقي الشفتي المشهور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مسجد السيّد باصفهان،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لجمال الدّين أبي العبّاس أحمد بن محمّد بن فهد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آية اللّه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المحقّق الكركي، للمحقّق الثاني علي بن الحسين بن عبدالعالي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المجلّد الأوّل والثاني نشر مكتبة السيّد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والمجلّد الثالث نشر جامعة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في أحوال العلماء والسادات، للسيّد محمّد باقر الموسوي الچهارسوقي </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اسماعيليان،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للشهيد الثاني زين الدّين بن عليّ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مؤسّسة آل البيت عليهم‌السلام لإحياء التراث،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للشهيد الثاني 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جامعة النجف الدينيّة،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البهيّة في الطرق الشفيعيّة، للسيّد محمّد شفيع بن علي أكبر الجاپلقي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 الحجري، تهران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في شرح من لايحضره الفقيه، للعلاّمة محمّد تقي بن مقصود علي </w:t>
      </w:r>
    </w:p>
    <w:p>
      <w:pPr>
        <w:pStyle w:val="BookText"/>
        <w:rPr/>
      </w:pPr>
      <w:r>
        <w:rPr>
          <w:rFonts w:ascii="IRNazanin" w:hAnsi="IRNazanin" w:eastAsia="IRNazanin"/>
          <w:color w:val="111111"/>
          <w:sz w:val="28"/>
          <w:sz w:val="28"/>
          <w:szCs w:val="28"/>
          <w:rtl w:val="true"/>
          <w:lang w:bidi="fa-IR"/>
        </w:rPr>
        <w:t xml:space="preserve">المجلسي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السيّد حسين الموسوي الكرماني والشيخ علي پناه الاشتهاردي والسيّد فضل اللّه الطباطبائي، نشر المؤسسة الثقافيّة الإسلاميّة</w:t>
      </w:r>
    </w:p>
    <w:p>
      <w:pPr>
        <w:pStyle w:val="BookText"/>
        <w:rPr/>
      </w:pPr>
      <w:r>
        <w:rPr>
          <w:rFonts w:ascii="Amiri" w:hAnsi="Amiri" w:eastAsia="Amiri" w:cs="Amiri"/>
          <w:color w:val="111111"/>
          <w:sz w:val="28"/>
          <w:sz w:val="28"/>
          <w:szCs w:val="28"/>
          <w:rtl w:val="true"/>
          <w:lang w:bidi="ar-SA"/>
        </w:rPr>
        <w:t xml:space="preserve">للكوشانبور،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تحقيق الأحكام بالدلائل، 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لمحمّد بن منصور بن أحمد بن إدريس العجلي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للمحقّق الحلّي الشيخ أبي القاسم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تعليق السيّد صادق الشيرازي، نشر الاستقلال،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جمل العلم والعمل، للشيخ الأجلّ القاضي ابن البرّاج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كاظم مدير شانه چى، دانشگاه مشهد،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الصغير، 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آية اللّه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بن عبدالغفور عطّار،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لأبي عبداللّه بن إسماعيل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لأبي الحسين مسلم بن الحجاج القشيري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عبدالباقي،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في معرفة طبقات الرجال، للسيّد علي أصغر بن محمّد شفيع الجابلقي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مكتبة آية اللّه المرعشي،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العصيريّة في أحكام الخمر و سائر المسكرات والعصير العنبيّ والتمريّ </w:t>
      </w:r>
    </w:p>
    <w:p>
      <w:pPr>
        <w:pStyle w:val="BookText"/>
        <w:rPr/>
      </w:pPr>
      <w:r>
        <w:rPr>
          <w:rFonts w:ascii="Amiri" w:hAnsi="Amiri" w:eastAsia="Amiri" w:cs="Amiri"/>
          <w:color w:val="111111"/>
          <w:sz w:val="28"/>
          <w:sz w:val="28"/>
          <w:szCs w:val="28"/>
          <w:rtl w:val="true"/>
          <w:lang w:bidi="ar-SA"/>
        </w:rPr>
        <w:t xml:space="preserve">والزبيبيّ، للعلاّمة السيّد أسد اللّه بن محمّد باقر الشفتيّ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الشفتيّ، نشر عطر عترت،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في شرح شرائع الإسلام، للشيخ مفلح بن الحسن الصيمري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الهادي،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غنائم الأيّام، لميرزا أبي القاسم الجيلاني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عبّاس تبريزيان، مركز النشر التابع لمكتب الاعلام الاسلامي،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لأبي المكارم السيّد حمزة بن عليّ بن زهرة الحسيني، المعروف بابن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مؤسّسة الإمام الصادق عليه‌السلام بإشراف الشيخ جعفر السبحاني،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ابن أبي عقيل، إعداد مركز المعجم الفقهي،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المنسوب إلى الإمام الرضا عليه‌السلام، لعليّ بن بابويه القمي رحمه‌الله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عليهم‌السلام، نشر المؤتمر العالمي للإمام الرضا عليه‌السلام، 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لأبي جعفر شيخ الطائفة محمّد بن الحسن المعروف بالشيخ الطوسي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للشيخ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كتابخانه مركزى، تهران،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لأبي طاهر مجد الدّين محمّد بن يعقوب الفيروزآبادي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دار العلم، بيروت،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العلماء، لميرزا محمّد بن سليمان التنكابني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قبل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علميّه إسلاميّه،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معرفة الحلال والحرام،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لأبي جعفر ثقة الإسلام 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لأبي الصلاح الحلبي تقي الدّين بن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رضا الأستادي، مكتبة أمير المؤمنين عليه‌السلام، اصفهان،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لايحضره الفقيه، لأبي جعفر محمّد بن عليّ بن الحسين بن بابويه القمّي </w:t>
      </w:r>
    </w:p>
    <w:p>
      <w:pPr>
        <w:pStyle w:val="BookText"/>
        <w:rPr/>
      </w:pPr>
      <w:r>
        <w:rPr>
          <w:rFonts w:ascii="Amiri" w:hAnsi="Amiri" w:eastAsia="Amiri" w:cs="Amiri"/>
          <w:color w:val="111111"/>
          <w:sz w:val="28"/>
          <w:sz w:val="28"/>
          <w:szCs w:val="28"/>
          <w:rtl w:val="true"/>
          <w:lang w:bidi="ar-SA"/>
        </w:rPr>
        <w:t xml:space="preserve">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نشر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شريعة الغراء، للشيخ الكبير 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انتشارات مهدوي، 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اللّثام عن قواعد الأحكام، للشيخ بهاء الدّين محمّد بن الحسن الاصفهاني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للعلاّمة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نشر مدرسة صدر المهدوي، 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العرفان في فقه القرآن، لجمال الدّين المقداد بن عبداللّه السيوري، المعروف بالفاضل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القاضي، نشر المجمع العالمي للتقريب بين المذاهب الإسلاميّة،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لجمال الدّين محمّد بن مكرم بن منظور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علي الكوراني، دار الفكر،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الكشفي، نشر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 مطلع النيّرين، للشيخ فخر الدّين محمّد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في شرح إرشاد الأذهان، للمحقّق الأردبيلي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اشتهاردي و عراقي و يزدي، نشر جامعة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مجمل اللغة، أحمد بن فارس بن زكريّا القزوينيّ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زهير عبد المحسن سلطان، مؤسّسة الرسالة،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للمحقّق الحلّي نجم الدّين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القمي، نشر مؤسّسة البعثة،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التقريب، 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في شرح شرائع الإسلام، للسيّد محمّد بن علي الموسوي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آل البيت عليهم‌السلام لإحياءالتراث،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النبويّة والأحكام العلويّة، لسلاّر بن عبدالعزيزالديلمي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السيّد محسن الحسينيالأميني، نشرالمعاونية الثقافية للمجمع العالمي،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للشهيد الثاني زين الدّين بن عليّ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المعارف الإسلامية،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للحاج الميرزا حسين المحدّث النوري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 مؤسّسة آل البيت عليهم‌السلام لإحياء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الأحكام، للسيّد محمّد مهدي الطباطبائيّ، المعروف ببحر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الطباطبائيّ و فخر الدين الصانعيّ، منشورات فقه الثقلين، قم،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 سلاح المتعبّد، 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لأحمد بن محمّد بن علي المقري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للحاجّ السيّد محمّد باقر الشفتي، المعروف بحجّة الإسلام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الأفست، مكتبة مسجد السيّد، نشاط، اصفهان،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و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في فهرست كتب الشيعة وأسماء المصنّفين منهم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w:t>
      </w:r>
    </w:p>
    <w:p>
      <w:pPr>
        <w:pStyle w:val="BookText"/>
        <w:rPr/>
      </w:pPr>
      <w:r>
        <w:rPr>
          <w:rFonts w:ascii="Amiri" w:hAnsi="Amiri" w:eastAsia="Amiri" w:cs="Amiri"/>
          <w:color w:val="111111"/>
          <w:sz w:val="28"/>
          <w:sz w:val="28"/>
          <w:szCs w:val="28"/>
          <w:rtl w:val="true"/>
          <w:lang w:bidi="ar-SA"/>
        </w:rPr>
        <w:t xml:space="preserve">الحيدريّة، النجف الأشرف،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للمحقّق الحلّي نجم الدّين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بإشراف الشيخ ناصر مكارم ، مؤسّسة سيّد الشهداء عليه‌السلام،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 في ترتيب المعرب، ناصر بن عبد السيد أبي المكارم ابن علي، أبو الفتح، برهان الدين الخوارزميّ المُطَرِّزِيّ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العربيّ، بدون طبعة و بدون تأريخ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للمولى محمّد محسن بن الشاه مرتضى المشهور بالفيض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مجمع الذخائر الإسلامية،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العليّة في شرح الرسالة الألفيّة، للشهيد الثاني زين الدّين بن عليّ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المطبوعة مع حاشيتا الألفيّة، تحقيق مركز الأبحاث والدراسات الإسلاميّة،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التابعة لمؤسسة الإمام الهادي عليه‌السلام،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لأبي عبداللّه محمّد بن محمّد بن النعمان البغدادي، المعروف بالشيخ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للعلاّمة الحلّي جمال الدّين حسن بن يوسف </w:t>
      </w:r>
    </w:p>
    <w:p>
      <w:pPr>
        <w:pStyle w:val="BookText"/>
        <w:rPr/>
      </w:pP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قسم الفقه في مجمع البحوث الإسلامية، مشهد،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بحرالعلوم الدرّة النجفيّة</w:t>
      </w:r>
    </w:p>
    <w:p>
      <w:pPr>
        <w:pStyle w:val="BookText"/>
        <w:rPr/>
      </w:pPr>
      <w:r>
        <w:rPr>
          <w:rFonts w:ascii="Amiri" w:hAnsi="Amiri" w:eastAsia="Amiri" w:cs="Amiri"/>
          <w:color w:val="111111"/>
          <w:sz w:val="28"/>
          <w:sz w:val="28"/>
          <w:szCs w:val="28"/>
          <w:rtl w:val="true"/>
          <w:lang w:bidi="ar-SA"/>
        </w:rPr>
        <w:t>من لايحضره الفقيه كتاب من لايحضره الفقيه</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لأبي العبّاس أحمد بن محمّد بن فهد الحلّي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مجتبى العراقي، نشر جامعة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للقاضي ابن البرّاج أبي القاسم عبدالعزيز بن نحرير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جعفر السبحاني، نشر جامعة المدرّسين،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النخبة في الحكمة العمليّة والأحكام الشرعيّة، للمولى محمّد محسن بن الشاه مرتضى المشهور بالفيض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مهدي الأنصاريّ القمّيّ، نشر منظمة الإعلام الإسلاميّ، تهران،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 و تنبيه الخاطر، تأليف الحسين بن محمّد بن الحسن بن نصر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مدرسة الإمام المهدي عليه‌السلام،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للسيّد مصطفى بن الحسين الحسيني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إسماعيليان،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لأبي السعادات مجد الدّين المبارك بن محمّد بن محمّد المعروف بابن الأثير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طاهر أحمد الزاوي ومحمود محمّد الطناحي، مؤسّسة اسماعيليان،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الأندلس،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لعماد الدّين أبي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نشر مكتبة السيّد المرعشي،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165" w:name="pg7914_82026"/>
    </w:p>
    <w:p>
      <w:pPr>
        <w:pStyle w:val="Heading2"/>
        <w:numPr>
          <w:ilvl w:val="1"/>
          <w:numId w:val="1"/>
        </w:numPr>
        <w:rPr/>
      </w:pPr>
      <w:bookmarkStart w:id="166" w:name="__RefHeading___Toc6320894_1051229030"/>
      <w:bookmarkStart w:id="167" w:name="_Toc59"/>
      <w:bookmarkEnd w:id="165"/>
      <w:bookmarkEnd w:id="166"/>
      <w:r>
        <w:rPr>
          <w:rtl w:val="true"/>
        </w:rPr>
        <w:t>فهرس المطالب</w:t>
      </w:r>
      <w:bookmarkEnd w:id="167"/>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لمحةٌ من حياة المؤلّف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ولادته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إطراء العلماء 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زهده و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إقامته الحدود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أساتذته و مشايخ روايته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تآليفه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وفاته و مرقده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رسالة في العصير العنبيّ والزبيبيّ والتمريّ</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العصير العنبيّ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 فيه ثلاثة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العلماء في العصير العنبيّ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تحقيق ما استفيد من كلمات 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و هو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حرمة العصير بعد الغليان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ذكر القائلين بعدم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ذكر القائلين بحرمة العصير بعد الغليان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مستند القائلين بالحرمة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بيان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بيانٌ و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العصير بعد الغليان قبل أن يذهب و 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القائلون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القائلون بالطهارة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نقل عبارات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مستند القائلين بنجاسة العصير بعد الغليان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الكلام في سند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الحال في الحسن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تحقيق الحال في عمر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الكلام في دلالة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تحقيق الحال في الاختلافات الظاهرة من العبارات السالفة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هنا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العصير بمجرّد الغليان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العصير بالاشتداد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الدليل على الدعوى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الدعوى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الاشتداد الّذي هو المناط في نجاسة</w:t>
      </w:r>
    </w:p>
    <w:p>
      <w:pPr>
        <w:pStyle w:val="BookText"/>
        <w:rPr/>
      </w:pP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من‌الغليان الّذي هو المناط في حرمة العصير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أنّ الغليان المحرّم هل يعمّ الغليان الشمسيّ أيضًا أو لا، بل يختصّ ذلك بالغليان النفسيّ والناريّ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والثاني ؛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أعلام الشيعة 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 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مزارات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صاحب الترجمة في ديباجة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صاحب الترجمة قدس‌سره في بعض إجازاته،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المولى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فزنا بالاستفادة من جنابه في أوائل التحصيل في علم الأصول، و قرأنا عليه من مصنّفاته ما هو مشهور بالفوائد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البهبهاني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نفسه قدس‌سره في حواشي بعض إجازاته،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انتقلنا منها إلى ديار العجم في سنة خمس ومائتين بعد الألف، وكان مولانا مولى الكلّ آقا محمّد باقر البهبهاني في الحيات، ثمّ انتقل إلى الفردوس الأعلى في سنة ستّ و مائتين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السعيد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المترجم له قدس‌سره في حاشية بعض إجازاته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ما هذا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مير عبدالباقي إلى دار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ورودي في اصبهان في سنة سبع و مائتين بعد الألف من الهجرة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سيّدنا المترجم رحمه‌الله في حاشية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اتّفق لي في سنة مائتين و خمس عشر بعد الألف</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نفسه قدس‌سره في مناسكه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بذلك الميرزا حبيب اللّه نيّر رحمه‌الله ضمن مرثيته للمترجم قدس‌سره معادن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التاريخ معاصره الأديب الفاضل الميرزا محمّد عليّ الطباطبائي الزوّاري، المتخلّص بوفا المتوفّى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تذكرته الموسومة بالمآثر الباقريّة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الّتي جمع فيها بعض من القصائد والمقطّعات الّتي أنشدها الشعراء في مدح حجّة الإسلام قدس‌سرهووصف مسجده الأعظم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محلاّت أصفهان العظيمة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أحكام القناة، للمترجم 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ترجمة أبيه ؛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ماضي النجف و 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 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تاريخ قاجار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علماى معاصرين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الكرام البررة 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بزرگان ودانشمندان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ملّى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السيّد حجّة الإسلام قدس‌سره في الرسالة الثانية بأنّه كتب في تحقيق أحواله رسالتان، حيث قال في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كتبت في سالف الزمان رسالة في تحقيق الحال في إبراهيم بن هاشم وأغفلت فيها بعض ما ينبغي التنبيه عليه، أبرزت هذه الكلمات في ذلك المرام</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الذريعة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إسماعيل الواقع في صدر بعض أسانيد الكافي، للسيّد حجّة الإسلام الاصفهاني، طبعت مع رسائله، فرغ من أصله سنة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ثمّ بعد مدّة كتب عليه حاشية منه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أكثر هذه الرسائل في مجلّد واحد بتحقيق الحجّة الحاج السيّد مهدي الرجائي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قامت بطبعها مكتبة مسجد السيّد حجّة الإسلام الشفتي</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مطابق لما كتبه صاحب الروضات رحمه‌الله في بياضه انظر مقدّمة النهريّة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مطابق لما كتبه العلاّمة الشيخ محمّد جعفر بن محمّد إبراهيم الكلباسي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ظهر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في شرح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 مخطوطات مكتبة مركز إحياء التراث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وضبطه كذلك العالم الفاضل الشاعر رضا قليخان هما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تاريخ وفاته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توى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توى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كوفته 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 بوده، وآن قسمى از طعام است كه غالبًا از گوشت كوبيده با برنج و لپّه و تره و جعفرى درست مى‌كنند به صورت گلوله هايى، و در آب افكنده بپزند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الخطبة ليست من كلام المؤلّف قدس‌سره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توى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توى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كوفته 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 بوده، وآن قسمى از طعام است كه غالبًا از گوشت كوبيده با برنج و لپّه و تره و جعفرى درست مى‌كنند به صورت گلوله هايى، و در آب افكنده بپزند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نشش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يتحوّل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يعزل من ذلك الخمر في إناء و يصبر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قدس‌سره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الفقه المنسوب إلى الإمام الرضا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هذا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والحاصل أنّ دون تصحيح عبارات الكتاب المذكور خرط القتاد ؛ أنشدك باللّه العليّ العظيم أنّ من يعرف مرتبة مولانا و سيّدنا وإمامنا و ملاذنا في الدنيا والآخرة، هل يمكن أن يرضي بنسبة هذا الكتاب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 على آبائه 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ما فيه من التهافت والحزازة لا يمكن أن يوجد في كتب واحدٍ من أداني علماء شيعته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 سلامه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هذا شيء عجيب صدر من جماعةٍ من علمائنا المتأخّرين من غير تأمّل واطّلاع بالترّهات الثابتة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والباعث لي في المبالغة والإصرار في إظهار شنائع هذا الكتاب، حميّة الدين المبين، والعصبيّة عن أئمّتنا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صلوات اللّه جلّ جلاله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وقوعه بيد المخالفين و غيرهم من أعادي الدين المبين مع عدم اطّلاعهم على جلالة قدره و علوّ رتبته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يكون ذلك سببًا لفتح باب التعيير في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 وليّه الكاشف عن الأسرار والدقائق والمخبر عن الظواهر والبواطن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انتهى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في شرح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يبقى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يتحوّل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يستخرج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روق الشراب إذا صفاه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طبخ من عصير العنب، و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ميبختج،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پخته بالفارسيّة، و بعض العرب يسمّى الخمر الطلاء يريد بذلك تحسين اسمها، لا أنّها الطلاء بعينها المختار من صحاح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وصفنا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رأينا كتاب دعائم الإسلام المنسوب إليه، و هو كتاب كبير، لكنّه ظهر أنّه ليس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كتاب دعائم الإسلام قد كان أكثر أهل عصرنا يتوهّمون أنّه تأليف الصدوق رحمه‌الله، و قد ظهر لنا أنّه تأليف أبي حنيفة النعمان بن محمّد بن منصور قاضي مصر في أيّام الدولة الاسماعيليّة، و كان مالكيًّا أوّلاً ثمّ اهتدى و صار إماميًّا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مرقده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مصر للمسبحي ، لا يوجد لدينا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الوافي في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النسختان المخطوطتان خاليتان من ذكر عبارة الخلاف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يراه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المخطوطتين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على أقلّه،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على أكثره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يسلم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تغيّرها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الاعمال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المخطوطتين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 ذلك، إلى آخره، هكذا كانت العبارة في النسخة المغلوطة، و لا يبعد أن تكون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غلى العصير على النار لم يجز شربه إلى أن يذهب ثلثاه و يبقى ثلثه، و حدّ ذلك، إلى آخره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في الفردوس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 والمالح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بحرارته نقص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لحرارته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غلى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فاشتدّ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السابع من أبواب الأشربة المحرّمة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والعصير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فيها، لكن هذه العبارة بعينها في الرسالة الجعفريّة، للمحقّق الكركيّ قدس‌سره، ينظررسائل الكركيّ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نار أو شمس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يختصّ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يصيره فقّاعًا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النار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لدينا شرح الإرشاد، لابن فهد الحلّي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في الفتوى،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لابن فهد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الجعفريّة،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الألفيّة،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تظهر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والوجه الحكم بالتحريم مع الغليان حتّى يذهب الثلثان، و وقوف النجاسة على الاشتداد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تعتبر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يعتبر في نجاسته فكذا في طهارته، كذا رأيت العبارة في نسختين منه، و لا يخفى ما فيه، إذ مقتضى السياق أن يعبّر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لا يلحق به في نجاسته فكذا في تحريمه،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يعتبر العصير العنبيّ في نجاسته فكذا في تحريمه، والأوّل أظهر كما يظهر للمتأمّل ؛ منه رحمه‌الله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أيدي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بانقلابه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الّذي يتوصّل به إلى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بالآي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ثلثه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قدس‌سره عن بعض مشايخه المعاصرين و بعض الفضلاء المتقدّمين، ينظر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فيصلح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المسكر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الّذي يتوصّل به إلى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رشا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يشتدّ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الشهيد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في شرح الألفيّة الشهيديّة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مكتبة الوطنيّة مكتبة ملّي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المخطوطتين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الرسالة لبعض الأفاضل، و هو الشيخ الأعلم الشيخ شمس الدين التولانيّ، اسمه عليّ، و هو من جبل عامل، كذا قيل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التولانيّة، مخطوطة مكتبة مجلس الشورى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اينها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قسمى طعام و بعضى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 سماق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معنى 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آشى را گويند كه از گوشت و برنج و نخود و مغز گردكان پزند و قاتق آن را از سركه ودوشاب كنند و آن را آش حَبَشى خوانند لغت نامه دهخدا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المتّقين، مخطوطة مكتبة مجلس الشورى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جوشى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الخلافيّة، للمحقّق السبزواريّ، مخطوطة مكتبة مجلس الشورى المرقّمة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بمجرّد الغليان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للفيض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لإطلاق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لاقتضاء السياق ذلك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ثلثين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يمكن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المخطوطتين،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المخطوطتين، والظاهر زيادة الواو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سهيل بن زياد، أبو يحيى الواسطي، لقى أبا محمّد العسكريّ عليه‌السلام، أمّه بنت محمّد بن النعمان أبو جعفر الأحول مؤمن الطاق شيخنا المتكلّم رحمه‌الله، و قال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سهيل بكلّ الثبت في الحديث ؛ له كتاب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بالزبد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غلت القدر تغلي غليًا و غَلَيانًا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وأغليتها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غلت القدر تغلي غليًا و غليانًا، كذا في الأصل ؛ منه رحمه‌الله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تسمّيه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أعرفه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تشربه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تسمّيه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المخطوطتين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النجاسة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مرشد العوام، مخطوطة مكتبة مجلس الشورى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تعداده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عداها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والفتوى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النجاسات ما يؤثر التنجيس على ثلاثة أضرب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بول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المشار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لتحرير الفتاوى،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لابن فهد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الموثّق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غنايم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المخطوطتين،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كالصحيح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دوشاب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تسمّيه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المخطوطتين، والصواب ظاهرًا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كان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المخطوطتين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المخطوطتين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مخطوطة مكتبة مجلس الشورى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المخطوطتين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ممّا يؤيّد وثاقة عليّ بن عطيّة رواية ابن أبي عمير عنه، ففي الكافي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عليّ بن عطيّة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عليه‌السلام،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نشتري الطعام من السفن، ثمّ نكيله فيزيد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نقص عليكم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نقص يردّون عليكم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منه رض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مخطوطة مكتبة مجلس الشورى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مخطوطة مكتبة مجلس الشورى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مالك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مخطوطة مكتبة مجلس الشورى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الشيخ المفيد رحمه‌الله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هنا في هامش المخطوطتين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هنا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إنّما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ولحرارته نقص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في الفتوى،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لابن فهد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المخطوطتين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نجده في الألفيّة، لكن هذه العبارة بعينها في الرسالة الجعفريّة، للمحقّق الكركيّ قدس‌سره، ينظر رسائل الكركيّ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الثابتة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الدعوى الثانية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سعيد الحلّي في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الصدوق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 والده ابن سعيد الحلّي في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ينظر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كهمس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تشرب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بالزبد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تقتضي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التردّد في المذكور في الحديث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النجاسة مسبّبًا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التولانيّة، مخطوطة مكتبة مجلس الشورى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31100</Words>
  <Characters>114501</Characters>
  <CharactersWithSpaces>144235</CharactersWithSpaces>
  <Paragraphs>2002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2026-08-27T13:22:34Z</dcterms:created>
  <dc:creator>ghaemiyeh.com</dc:creator>
  <dc:description/>
  <dc:language>en-US</dc:language>
  <cp:lastModifiedBy/>
  <dcterms:modified xsi:type="dcterms:W3CDTF">2026-08-27T16:52:40Z</dcterms:modified>
  <cp:revision>1</cp:revision>
  <dc:subject/>
  <dc:title>رسالة فی العصیر العنبی والزبیبی والتمری</dc:title>
</cp:coreProperties>
</file>

<file path=docProps/custom.xml><?xml version="1.0" encoding="utf-8"?>
<Properties xmlns="http://schemas.openxmlformats.org/officeDocument/2006/custom-properties" xmlns:vt="http://schemas.openxmlformats.org/officeDocument/2006/docPropsVTypes"/>
</file>